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OBJETOS MATERIAIS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MARCA (FORD)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MODELO (FIESTA)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COR (VERMELHO)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COMBUSTÍVEL (FLEX)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LIGAR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DESLIGAR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ACELERAR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PARAR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MARCA (DELL)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MODELO (IR5)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PROCESSADOR (INTEL)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COR (PRETO)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VOLTAGEM (220W)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LIGAR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DESLIGAR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ACESSAR A INTERNET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SUSPENDER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REINICIAR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OBJETOS ABSTRATOS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BATER PONTO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ATENDER TELEFONE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FAZER CÓPIAS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PARTICIPAR DE REUNIÕES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CANTOR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TIPO DE MÚSICA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CANTAR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DANÇAR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ENSAIAR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