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D8F6E" w14:textId="1B2BF338" w:rsidR="003D7A83" w:rsidRDefault="003D7A83" w:rsidP="003D7A83">
      <w:pPr>
        <w:jc w:val="center"/>
        <w:rPr>
          <w:rFonts w:ascii="Arial" w:hAnsi="Arial" w:cs="Arial"/>
          <w:b/>
          <w:bCs/>
          <w:u w:val="single"/>
        </w:rPr>
      </w:pPr>
      <w:r>
        <w:rPr>
          <w:rFonts w:ascii="Arial" w:hAnsi="Arial" w:cs="Arial"/>
          <w:b/>
          <w:bCs/>
          <w:u w:val="single"/>
        </w:rPr>
        <w:t>FREQUENT AS</w:t>
      </w:r>
      <w:r w:rsidR="00BA4B0B">
        <w:rPr>
          <w:rFonts w:ascii="Arial" w:hAnsi="Arial" w:cs="Arial"/>
          <w:b/>
          <w:bCs/>
          <w:u w:val="single"/>
        </w:rPr>
        <w:t>K</w:t>
      </w:r>
      <w:r>
        <w:rPr>
          <w:rFonts w:ascii="Arial" w:hAnsi="Arial" w:cs="Arial"/>
          <w:b/>
          <w:bCs/>
          <w:u w:val="single"/>
        </w:rPr>
        <w:t>ED QUESTIONS</w:t>
      </w:r>
    </w:p>
    <w:p w14:paraId="6CABB833" w14:textId="20CFB8B4" w:rsidR="008A5CE2" w:rsidRPr="003D7A83" w:rsidRDefault="003D7A83" w:rsidP="003D7A83">
      <w:pPr>
        <w:jc w:val="center"/>
        <w:rPr>
          <w:rFonts w:ascii="Arial" w:hAnsi="Arial" w:cs="Arial"/>
          <w:b/>
          <w:bCs/>
          <w:u w:val="single"/>
        </w:rPr>
      </w:pPr>
      <w:r w:rsidRPr="003D7A83">
        <w:rPr>
          <w:rFonts w:ascii="Arial" w:hAnsi="Arial" w:cs="Arial"/>
          <w:b/>
          <w:bCs/>
          <w:u w:val="single"/>
        </w:rPr>
        <w:t>UPDATES – SEAFLOOR LAYERS – SEPTEMBER 2020</w:t>
      </w:r>
    </w:p>
    <w:p w14:paraId="6EE8392F" w14:textId="0801FCC2" w:rsidR="003D7A83" w:rsidRPr="00AF5B8A" w:rsidRDefault="003D7A83" w:rsidP="00AF5B8A">
      <w:pPr>
        <w:jc w:val="center"/>
        <w:rPr>
          <w:rFonts w:ascii="Arial" w:hAnsi="Arial" w:cs="Arial"/>
          <w:b/>
          <w:bCs/>
        </w:rPr>
      </w:pPr>
      <w:r w:rsidRPr="003D7A83">
        <w:rPr>
          <w:rFonts w:ascii="Arial" w:hAnsi="Arial" w:cs="Arial"/>
          <w:b/>
          <w:bCs/>
        </w:rPr>
        <w:t xml:space="preserve">THE NATURE CONSERVANCY. MARTA RIBERA. </w:t>
      </w:r>
      <w:hyperlink r:id="rId5" w:history="1">
        <w:r w:rsidRPr="003D7A83">
          <w:rPr>
            <w:rStyle w:val="Hyperlink"/>
            <w:rFonts w:ascii="Arial" w:hAnsi="Arial" w:cs="Arial"/>
            <w:b/>
            <w:bCs/>
          </w:rPr>
          <w:t>marta.ribera@tnc.org</w:t>
        </w:r>
      </w:hyperlink>
    </w:p>
    <w:p w14:paraId="79346C7C" w14:textId="77777777" w:rsidR="003D7A83" w:rsidRPr="003D7A83" w:rsidRDefault="003D7A83">
      <w:pPr>
        <w:rPr>
          <w:rFonts w:ascii="Arial" w:hAnsi="Arial" w:cs="Arial"/>
        </w:rPr>
      </w:pPr>
    </w:p>
    <w:p w14:paraId="66BF679A" w14:textId="77777777" w:rsidR="003D7A83" w:rsidRPr="003D7A83" w:rsidRDefault="003D7A83" w:rsidP="003D7A83">
      <w:pPr>
        <w:pStyle w:val="mb-0"/>
        <w:shd w:val="clear" w:color="auto" w:fill="FFFFFF"/>
        <w:spacing w:before="0" w:beforeAutospacing="0"/>
        <w:rPr>
          <w:rFonts w:ascii="Arial" w:hAnsi="Arial" w:cs="Arial"/>
          <w:b/>
          <w:bCs/>
          <w:spacing w:val="2"/>
          <w:sz w:val="22"/>
          <w:szCs w:val="22"/>
          <w:u w:val="single"/>
        </w:rPr>
      </w:pPr>
      <w:r w:rsidRPr="003D7A83">
        <w:rPr>
          <w:rFonts w:ascii="Arial" w:hAnsi="Arial" w:cs="Arial"/>
          <w:b/>
          <w:bCs/>
          <w:spacing w:val="2"/>
          <w:sz w:val="22"/>
          <w:szCs w:val="22"/>
          <w:u w:val="single"/>
        </w:rPr>
        <w:t>BATHYMETRY, SEABED FORMS, AND SEAFLOOR COMPLEXITY</w:t>
      </w:r>
    </w:p>
    <w:p w14:paraId="57F66645"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22BE516A"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What do these data show?</w:t>
      </w:r>
    </w:p>
    <w:p w14:paraId="7A461C02"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Bathymetry layers show the estimated average depth within each 100m cell.</w:t>
      </w:r>
    </w:p>
    <w:p w14:paraId="6EAD6405"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Seabed forms show the shape of the seafloor. They compare the depth of a site with the information from surrounding locations. For example, areas that are shallower than the surrounding areas, can be considered peaks or banks. They are based on a metric called “Benthic Position Index” or BPI (see below for more information). Seabed forms are scale-dependent. This layer combines broad (e.g. banks, depressions, …) and finer scale features (e.g. scrapes). </w:t>
      </w:r>
    </w:p>
    <w:p w14:paraId="0CE31838"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Seafloor complexity is how “diverse” the seafloor is in one location. It calculates how many fine-scale features can be found within a 10 km buffer. If there are many different features (e.g. several peaks and valleys within a small space), then the seafloor complexity is high. </w:t>
      </w:r>
    </w:p>
    <w:p w14:paraId="7F24CE51"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1E76D0E3" w14:textId="4F4A4630" w:rsidR="003D7A83" w:rsidRDefault="003D7A83" w:rsidP="003D7A83">
      <w:pPr>
        <w:pStyle w:val="mb-0"/>
        <w:shd w:val="clear" w:color="auto" w:fill="FFFFFF"/>
        <w:spacing w:before="0" w:beforeAutospacing="0"/>
        <w:rPr>
          <w:rFonts w:ascii="Arial" w:hAnsi="Arial" w:cs="Arial"/>
          <w:b/>
          <w:bCs/>
          <w:spacing w:val="2"/>
          <w:sz w:val="22"/>
          <w:szCs w:val="22"/>
        </w:rPr>
      </w:pPr>
      <w:r>
        <w:rPr>
          <w:rFonts w:ascii="Arial" w:hAnsi="Arial" w:cs="Arial"/>
          <w:b/>
          <w:bCs/>
          <w:spacing w:val="2"/>
          <w:sz w:val="22"/>
          <w:szCs w:val="22"/>
        </w:rPr>
        <w:t>What do the classes represent?</w:t>
      </w:r>
    </w:p>
    <w:tbl>
      <w:tblPr>
        <w:tblStyle w:val="TableGrid"/>
        <w:tblW w:w="4100" w:type="dxa"/>
        <w:tblLook w:val="04A0" w:firstRow="1" w:lastRow="0" w:firstColumn="1" w:lastColumn="0" w:noHBand="0" w:noVBand="1"/>
      </w:tblPr>
      <w:tblGrid>
        <w:gridCol w:w="552"/>
        <w:gridCol w:w="3548"/>
      </w:tblGrid>
      <w:tr w:rsidR="004C3E90" w:rsidRPr="004C3E90" w14:paraId="30C23AFE" w14:textId="77777777" w:rsidTr="004C3E90">
        <w:trPr>
          <w:trHeight w:val="300"/>
        </w:trPr>
        <w:tc>
          <w:tcPr>
            <w:tcW w:w="4100" w:type="dxa"/>
            <w:gridSpan w:val="2"/>
            <w:noWrap/>
            <w:hideMark/>
          </w:tcPr>
          <w:p w14:paraId="3C51FF77" w14:textId="77777777" w:rsidR="004C3E90" w:rsidRPr="004C3E90" w:rsidRDefault="004C3E90" w:rsidP="004C3E90">
            <w:pPr>
              <w:rPr>
                <w:rFonts w:ascii="Calibri" w:eastAsia="Times New Roman" w:hAnsi="Calibri" w:cs="Calibri"/>
                <w:b/>
                <w:bCs/>
                <w:color w:val="000000"/>
              </w:rPr>
            </w:pPr>
            <w:r w:rsidRPr="004C3E90">
              <w:rPr>
                <w:rFonts w:ascii="Calibri" w:eastAsia="Times New Roman" w:hAnsi="Calibri" w:cs="Calibri"/>
                <w:b/>
                <w:bCs/>
                <w:color w:val="000000"/>
              </w:rPr>
              <w:t>SEABED FORMS</w:t>
            </w:r>
          </w:p>
        </w:tc>
      </w:tr>
      <w:tr w:rsidR="004C3E90" w:rsidRPr="004C3E90" w14:paraId="1F1C6781" w14:textId="77777777" w:rsidTr="004C3E90">
        <w:trPr>
          <w:trHeight w:val="300"/>
        </w:trPr>
        <w:tc>
          <w:tcPr>
            <w:tcW w:w="552" w:type="dxa"/>
            <w:noWrap/>
            <w:hideMark/>
          </w:tcPr>
          <w:p w14:paraId="265DF60C" w14:textId="77777777" w:rsidR="004C3E90" w:rsidRPr="004C3E90" w:rsidRDefault="004C3E90" w:rsidP="004C3E90">
            <w:pPr>
              <w:rPr>
                <w:rFonts w:ascii="Calibri" w:eastAsia="Times New Roman" w:hAnsi="Calibri" w:cs="Calibri"/>
                <w:b/>
                <w:bCs/>
                <w:color w:val="000000"/>
              </w:rPr>
            </w:pPr>
          </w:p>
        </w:tc>
        <w:tc>
          <w:tcPr>
            <w:tcW w:w="3548" w:type="dxa"/>
            <w:noWrap/>
            <w:hideMark/>
          </w:tcPr>
          <w:p w14:paraId="7DB4E0AE" w14:textId="77777777" w:rsidR="004C3E90" w:rsidRPr="004C3E90" w:rsidRDefault="004C3E90" w:rsidP="004C3E90">
            <w:pPr>
              <w:rPr>
                <w:rFonts w:ascii="Times New Roman" w:eastAsia="Times New Roman" w:hAnsi="Times New Roman" w:cs="Times New Roman"/>
                <w:sz w:val="20"/>
                <w:szCs w:val="20"/>
              </w:rPr>
            </w:pPr>
          </w:p>
        </w:tc>
      </w:tr>
      <w:tr w:rsidR="004C3E90" w:rsidRPr="004C3E90" w14:paraId="37DE7C6E" w14:textId="77777777" w:rsidTr="004C3E90">
        <w:trPr>
          <w:trHeight w:val="300"/>
        </w:trPr>
        <w:tc>
          <w:tcPr>
            <w:tcW w:w="552" w:type="dxa"/>
            <w:noWrap/>
            <w:hideMark/>
          </w:tcPr>
          <w:p w14:paraId="1FBB6FBF"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10</w:t>
            </w:r>
          </w:p>
        </w:tc>
        <w:tc>
          <w:tcPr>
            <w:tcW w:w="3548" w:type="dxa"/>
            <w:noWrap/>
            <w:hideMark/>
          </w:tcPr>
          <w:p w14:paraId="74BAA87B"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Depression/valley</w:t>
            </w:r>
          </w:p>
        </w:tc>
      </w:tr>
      <w:tr w:rsidR="004C3E90" w:rsidRPr="004C3E90" w14:paraId="3DD57EEE" w14:textId="77777777" w:rsidTr="004C3E90">
        <w:trPr>
          <w:trHeight w:val="300"/>
        </w:trPr>
        <w:tc>
          <w:tcPr>
            <w:tcW w:w="552" w:type="dxa"/>
            <w:noWrap/>
            <w:hideMark/>
          </w:tcPr>
          <w:p w14:paraId="6D586AA4"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15</w:t>
            </w:r>
          </w:p>
        </w:tc>
        <w:tc>
          <w:tcPr>
            <w:tcW w:w="3548" w:type="dxa"/>
            <w:noWrap/>
            <w:hideMark/>
          </w:tcPr>
          <w:p w14:paraId="73FFF7E2" w14:textId="3E93136E" w:rsidR="004C3E90" w:rsidRPr="004C3E90" w:rsidRDefault="004C3E90" w:rsidP="004C3E90">
            <w:pPr>
              <w:rPr>
                <w:rFonts w:ascii="Calibri" w:eastAsia="Times New Roman" w:hAnsi="Calibri" w:cs="Calibri"/>
                <w:color w:val="000000"/>
              </w:rPr>
            </w:pPr>
            <w:r>
              <w:rPr>
                <w:rFonts w:ascii="Calibri" w:eastAsia="Times New Roman" w:hAnsi="Calibri" w:cs="Calibri"/>
                <w:color w:val="000000"/>
              </w:rPr>
              <w:t>V</w:t>
            </w:r>
            <w:r w:rsidRPr="004C3E90">
              <w:rPr>
                <w:rFonts w:ascii="Calibri" w:eastAsia="Times New Roman" w:hAnsi="Calibri" w:cs="Calibri"/>
                <w:color w:val="000000"/>
              </w:rPr>
              <w:t>alley peaks</w:t>
            </w:r>
          </w:p>
        </w:tc>
      </w:tr>
      <w:tr w:rsidR="004C3E90" w:rsidRPr="004C3E90" w14:paraId="53C04CA4" w14:textId="77777777" w:rsidTr="004C3E90">
        <w:trPr>
          <w:trHeight w:val="300"/>
        </w:trPr>
        <w:tc>
          <w:tcPr>
            <w:tcW w:w="552" w:type="dxa"/>
            <w:noWrap/>
            <w:hideMark/>
          </w:tcPr>
          <w:p w14:paraId="4273449B"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20</w:t>
            </w:r>
          </w:p>
        </w:tc>
        <w:tc>
          <w:tcPr>
            <w:tcW w:w="3548" w:type="dxa"/>
            <w:noWrap/>
            <w:hideMark/>
          </w:tcPr>
          <w:p w14:paraId="5B1BC779"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Low flat</w:t>
            </w:r>
          </w:p>
        </w:tc>
      </w:tr>
      <w:tr w:rsidR="004C3E90" w:rsidRPr="004C3E90" w14:paraId="1BA26D67" w14:textId="77777777" w:rsidTr="004C3E90">
        <w:trPr>
          <w:trHeight w:val="300"/>
        </w:trPr>
        <w:tc>
          <w:tcPr>
            <w:tcW w:w="552" w:type="dxa"/>
            <w:noWrap/>
            <w:hideMark/>
          </w:tcPr>
          <w:p w14:paraId="134907B2"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30</w:t>
            </w:r>
          </w:p>
        </w:tc>
        <w:tc>
          <w:tcPr>
            <w:tcW w:w="3548" w:type="dxa"/>
            <w:noWrap/>
            <w:hideMark/>
          </w:tcPr>
          <w:p w14:paraId="73B90284"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Mid flat</w:t>
            </w:r>
          </w:p>
        </w:tc>
      </w:tr>
      <w:tr w:rsidR="004C3E90" w:rsidRPr="004C3E90" w14:paraId="47FB11FF" w14:textId="77777777" w:rsidTr="004C3E90">
        <w:trPr>
          <w:trHeight w:val="300"/>
        </w:trPr>
        <w:tc>
          <w:tcPr>
            <w:tcW w:w="552" w:type="dxa"/>
            <w:noWrap/>
            <w:hideMark/>
          </w:tcPr>
          <w:p w14:paraId="414BCE2D"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40</w:t>
            </w:r>
          </w:p>
        </w:tc>
        <w:tc>
          <w:tcPr>
            <w:tcW w:w="3548" w:type="dxa"/>
            <w:noWrap/>
            <w:hideMark/>
          </w:tcPr>
          <w:p w14:paraId="14317250"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Upper flat/bank</w:t>
            </w:r>
          </w:p>
        </w:tc>
      </w:tr>
      <w:tr w:rsidR="004C3E90" w:rsidRPr="004C3E90" w14:paraId="4A92D92E" w14:textId="77777777" w:rsidTr="004C3E90">
        <w:trPr>
          <w:trHeight w:val="300"/>
        </w:trPr>
        <w:tc>
          <w:tcPr>
            <w:tcW w:w="552" w:type="dxa"/>
            <w:noWrap/>
            <w:hideMark/>
          </w:tcPr>
          <w:p w14:paraId="05EE408D"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45</w:t>
            </w:r>
          </w:p>
        </w:tc>
        <w:tc>
          <w:tcPr>
            <w:tcW w:w="3548" w:type="dxa"/>
            <w:noWrap/>
            <w:hideMark/>
          </w:tcPr>
          <w:p w14:paraId="202F1DB1"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Upper slope/peak</w:t>
            </w:r>
          </w:p>
        </w:tc>
      </w:tr>
    </w:tbl>
    <w:p w14:paraId="7466D663" w14:textId="2B5D2E1E" w:rsidR="003D7A83" w:rsidRPr="003D7A83" w:rsidRDefault="003D7A83" w:rsidP="003D7A83">
      <w:pPr>
        <w:pStyle w:val="mb-0"/>
        <w:shd w:val="clear" w:color="auto" w:fill="FFFFFF"/>
        <w:spacing w:before="0" w:beforeAutospacing="0"/>
        <w:rPr>
          <w:rFonts w:ascii="Arial" w:hAnsi="Arial" w:cs="Arial"/>
          <w:spacing w:val="2"/>
          <w:sz w:val="22"/>
          <w:szCs w:val="22"/>
        </w:rPr>
      </w:pPr>
    </w:p>
    <w:tbl>
      <w:tblPr>
        <w:tblStyle w:val="TableGrid"/>
        <w:tblW w:w="4100" w:type="dxa"/>
        <w:tblLook w:val="04A0" w:firstRow="1" w:lastRow="0" w:firstColumn="1" w:lastColumn="0" w:noHBand="0" w:noVBand="1"/>
      </w:tblPr>
      <w:tblGrid>
        <w:gridCol w:w="572"/>
        <w:gridCol w:w="3528"/>
      </w:tblGrid>
      <w:tr w:rsidR="004C3E90" w:rsidRPr="004C3E90" w14:paraId="41243419" w14:textId="77777777" w:rsidTr="004C3E90">
        <w:trPr>
          <w:trHeight w:val="300"/>
        </w:trPr>
        <w:tc>
          <w:tcPr>
            <w:tcW w:w="4100" w:type="dxa"/>
            <w:gridSpan w:val="2"/>
            <w:noWrap/>
            <w:hideMark/>
          </w:tcPr>
          <w:p w14:paraId="0CB2C45F" w14:textId="77777777" w:rsidR="004C3E90" w:rsidRPr="004C3E90" w:rsidRDefault="004C3E90" w:rsidP="004C3E90">
            <w:pPr>
              <w:rPr>
                <w:rFonts w:ascii="Calibri" w:eastAsia="Times New Roman" w:hAnsi="Calibri" w:cs="Calibri"/>
                <w:b/>
                <w:bCs/>
                <w:color w:val="000000"/>
              </w:rPr>
            </w:pPr>
            <w:r w:rsidRPr="004C3E90">
              <w:rPr>
                <w:rFonts w:ascii="Calibri" w:eastAsia="Times New Roman" w:hAnsi="Calibri" w:cs="Calibri"/>
                <w:b/>
                <w:bCs/>
                <w:color w:val="000000"/>
              </w:rPr>
              <w:t>Seafloor complexity (within 10km)</w:t>
            </w:r>
          </w:p>
        </w:tc>
      </w:tr>
      <w:tr w:rsidR="004C3E90" w:rsidRPr="004C3E90" w14:paraId="229DF323" w14:textId="77777777" w:rsidTr="004C3E90">
        <w:trPr>
          <w:trHeight w:val="300"/>
        </w:trPr>
        <w:tc>
          <w:tcPr>
            <w:tcW w:w="572" w:type="dxa"/>
            <w:noWrap/>
            <w:hideMark/>
          </w:tcPr>
          <w:p w14:paraId="24EF76C7" w14:textId="77777777" w:rsidR="004C3E90" w:rsidRPr="004C3E90" w:rsidRDefault="004C3E90" w:rsidP="004C3E90">
            <w:pPr>
              <w:rPr>
                <w:rFonts w:ascii="Calibri" w:eastAsia="Times New Roman" w:hAnsi="Calibri" w:cs="Calibri"/>
                <w:b/>
                <w:bCs/>
                <w:color w:val="000000"/>
              </w:rPr>
            </w:pPr>
          </w:p>
        </w:tc>
        <w:tc>
          <w:tcPr>
            <w:tcW w:w="3528" w:type="dxa"/>
            <w:noWrap/>
            <w:hideMark/>
          </w:tcPr>
          <w:p w14:paraId="11AC8604" w14:textId="77777777" w:rsidR="004C3E90" w:rsidRPr="004C3E90" w:rsidRDefault="004C3E90" w:rsidP="004C3E90">
            <w:pPr>
              <w:rPr>
                <w:rFonts w:ascii="Times New Roman" w:eastAsia="Times New Roman" w:hAnsi="Times New Roman" w:cs="Times New Roman"/>
                <w:sz w:val="20"/>
                <w:szCs w:val="20"/>
              </w:rPr>
            </w:pPr>
          </w:p>
        </w:tc>
      </w:tr>
      <w:tr w:rsidR="004C3E90" w:rsidRPr="004C3E90" w14:paraId="12767D2A" w14:textId="77777777" w:rsidTr="004C3E90">
        <w:trPr>
          <w:trHeight w:val="300"/>
        </w:trPr>
        <w:tc>
          <w:tcPr>
            <w:tcW w:w="572" w:type="dxa"/>
            <w:noWrap/>
            <w:hideMark/>
          </w:tcPr>
          <w:p w14:paraId="20855B96"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0</w:t>
            </w:r>
          </w:p>
        </w:tc>
        <w:tc>
          <w:tcPr>
            <w:tcW w:w="3528" w:type="dxa"/>
            <w:noWrap/>
            <w:hideMark/>
          </w:tcPr>
          <w:p w14:paraId="3717431D"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Low</w:t>
            </w:r>
          </w:p>
        </w:tc>
      </w:tr>
      <w:tr w:rsidR="004C3E90" w:rsidRPr="004C3E90" w14:paraId="6E59D96C" w14:textId="77777777" w:rsidTr="004C3E90">
        <w:trPr>
          <w:trHeight w:val="300"/>
        </w:trPr>
        <w:tc>
          <w:tcPr>
            <w:tcW w:w="572" w:type="dxa"/>
            <w:noWrap/>
            <w:hideMark/>
          </w:tcPr>
          <w:p w14:paraId="66AC6EA0"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1</w:t>
            </w:r>
          </w:p>
        </w:tc>
        <w:tc>
          <w:tcPr>
            <w:tcW w:w="3528" w:type="dxa"/>
            <w:noWrap/>
            <w:hideMark/>
          </w:tcPr>
          <w:p w14:paraId="001CDD13"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Medium</w:t>
            </w:r>
          </w:p>
        </w:tc>
      </w:tr>
      <w:tr w:rsidR="004C3E90" w:rsidRPr="004C3E90" w14:paraId="4BD6009D" w14:textId="77777777" w:rsidTr="004C3E90">
        <w:trPr>
          <w:trHeight w:val="300"/>
        </w:trPr>
        <w:tc>
          <w:tcPr>
            <w:tcW w:w="572" w:type="dxa"/>
            <w:noWrap/>
            <w:hideMark/>
          </w:tcPr>
          <w:p w14:paraId="07F6F4EF"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2</w:t>
            </w:r>
          </w:p>
        </w:tc>
        <w:tc>
          <w:tcPr>
            <w:tcW w:w="3528" w:type="dxa"/>
            <w:noWrap/>
            <w:hideMark/>
          </w:tcPr>
          <w:p w14:paraId="281F1785"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High</w:t>
            </w:r>
          </w:p>
        </w:tc>
      </w:tr>
      <w:tr w:rsidR="004C3E90" w:rsidRPr="004C3E90" w14:paraId="065EBDE9" w14:textId="77777777" w:rsidTr="004C3E90">
        <w:trPr>
          <w:trHeight w:val="300"/>
        </w:trPr>
        <w:tc>
          <w:tcPr>
            <w:tcW w:w="572" w:type="dxa"/>
            <w:noWrap/>
            <w:hideMark/>
          </w:tcPr>
          <w:p w14:paraId="6BE262D2"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3</w:t>
            </w:r>
          </w:p>
        </w:tc>
        <w:tc>
          <w:tcPr>
            <w:tcW w:w="3528" w:type="dxa"/>
            <w:noWrap/>
            <w:hideMark/>
          </w:tcPr>
          <w:p w14:paraId="66F5FFAF"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Very high</w:t>
            </w:r>
          </w:p>
        </w:tc>
      </w:tr>
    </w:tbl>
    <w:p w14:paraId="283B778C"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0C65F8C6"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lastRenderedPageBreak/>
        <w:t>Are there other similar datasets available for the region?</w:t>
      </w:r>
    </w:p>
    <w:p w14:paraId="3F057F46"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There are several different bathymetry products available on the regional portals. They all cover different regions and use slightly different methodologies, but the majority are based on the same raw soundings used for the bathymetry layer you see in this tool. The big differences are both the resolution and the extent of the layer. In this case, we wanted to have a layer that covered our full area of study (from Maine to NC). The resulting bathymetry has a 100 meter spatial resolution. </w:t>
      </w:r>
    </w:p>
    <w:p w14:paraId="33C0840D"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7B96B5EB"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How did you create this bathymetry layer?</w:t>
      </w:r>
    </w:p>
    <w:p w14:paraId="5FCDF859"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sz w:val="22"/>
          <w:szCs w:val="22"/>
        </w:rPr>
        <w:t xml:space="preserve">This was created interpolating all available bottom soundings for the region to ensure a continuous surface. The majority of soundings originate from previous multibeam maps (see sources here: </w:t>
      </w:r>
      <w:hyperlink r:id="rId6" w:history="1">
        <w:r w:rsidRPr="003D7A83">
          <w:rPr>
            <w:rStyle w:val="Hyperlink"/>
            <w:rFonts w:ascii="Arial" w:hAnsi="Arial" w:cs="Arial"/>
            <w:sz w:val="22"/>
            <w:szCs w:val="22"/>
          </w:rPr>
          <w:t>https://maps.ngdc.noaa.gov/viewers/bathymetry/</w:t>
        </w:r>
      </w:hyperlink>
      <w:r w:rsidRPr="003D7A83">
        <w:rPr>
          <w:rFonts w:ascii="Arial" w:hAnsi="Arial" w:cs="Arial"/>
          <w:sz w:val="22"/>
          <w:szCs w:val="22"/>
        </w:rPr>
        <w:t>) and NOS surveys. However, in locations where there were no other sources of bathymetry, gaps were filled using the digital bathymetry database from the US Naval Oceanographic Office (</w:t>
      </w:r>
      <w:hyperlink r:id="rId7" w:history="1">
        <w:r w:rsidRPr="003D7A83">
          <w:rPr>
            <w:rStyle w:val="Hyperlink"/>
            <w:rFonts w:ascii="Arial" w:hAnsi="Arial" w:cs="Arial"/>
            <w:sz w:val="22"/>
            <w:szCs w:val="22"/>
          </w:rPr>
          <w:t>https://gcmd.nasa.gov/records/GCMD_DBDBV.html</w:t>
        </w:r>
      </w:hyperlink>
      <w:r w:rsidRPr="003D7A83">
        <w:rPr>
          <w:rFonts w:ascii="Arial" w:hAnsi="Arial" w:cs="Arial"/>
          <w:sz w:val="22"/>
          <w:szCs w:val="22"/>
        </w:rPr>
        <w:t xml:space="preserve">). Points were interpolated using Empirical Bayesian Kriging in </w:t>
      </w:r>
      <w:proofErr w:type="spellStart"/>
      <w:r w:rsidRPr="003D7A83">
        <w:rPr>
          <w:rFonts w:ascii="Arial" w:hAnsi="Arial" w:cs="Arial"/>
          <w:sz w:val="22"/>
          <w:szCs w:val="22"/>
        </w:rPr>
        <w:t>ArcPro</w:t>
      </w:r>
      <w:proofErr w:type="spellEnd"/>
      <w:r w:rsidRPr="003D7A83">
        <w:rPr>
          <w:rFonts w:ascii="Arial" w:hAnsi="Arial" w:cs="Arial"/>
          <w:sz w:val="22"/>
          <w:szCs w:val="22"/>
        </w:rPr>
        <w:t xml:space="preserve"> (ESRI). </w:t>
      </w:r>
    </w:p>
    <w:p w14:paraId="7BBD5175"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p>
    <w:p w14:paraId="28EB019F"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How did you create the seabed forms layer?</w:t>
      </w:r>
    </w:p>
    <w:p w14:paraId="5AA9FE03"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To create the seabed forms layer, we calculated the Benthic Position Index (BPI) using the bathymetry layer as input. We used NOAA’s Benthic Terrain Modeler for these calculations. We calculated BPI at two separate scales:</w:t>
      </w:r>
    </w:p>
    <w:p w14:paraId="46829D58" w14:textId="77777777" w:rsidR="003D7A83" w:rsidRPr="003D7A83" w:rsidRDefault="003D7A83" w:rsidP="003D7A83">
      <w:pPr>
        <w:pStyle w:val="mb-0"/>
        <w:numPr>
          <w:ilvl w:val="0"/>
          <w:numId w:val="2"/>
        </w:numPr>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“Broad-scale” BPI - inner radius: 9 cells; outer radius: 90 cells, standardized</w:t>
      </w:r>
    </w:p>
    <w:p w14:paraId="1BDB1429" w14:textId="77777777" w:rsidR="003D7A83" w:rsidRPr="003D7A83" w:rsidRDefault="003D7A83" w:rsidP="003D7A83">
      <w:pPr>
        <w:pStyle w:val="mb-0"/>
        <w:numPr>
          <w:ilvl w:val="0"/>
          <w:numId w:val="2"/>
        </w:numPr>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“Fine-scale” BPI - inner radius: 3 cells; outer radius: 25 cells, standardized</w:t>
      </w:r>
    </w:p>
    <w:p w14:paraId="3EA11E8B"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We then reclassified the resulting layers to determine the “features” at both scales. To visualize Broad-scale features, we created four classes: Deep valley, Valley, Peak, and High-peak. For fine-scale features, we created two classes: deep valleys and high peaks. The two resulting layers were them combined to create the final seabed forms. </w:t>
      </w:r>
    </w:p>
    <w:p w14:paraId="461D966F"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7820F54A"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How did you create the seafloor complexity layer?</w:t>
      </w:r>
    </w:p>
    <w:p w14:paraId="236F1757"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Using the fine-scale BPI derived from the bathymetry information, we used the Focal Statistics Tool in </w:t>
      </w:r>
      <w:proofErr w:type="spellStart"/>
      <w:r w:rsidRPr="003D7A83">
        <w:rPr>
          <w:rFonts w:ascii="Arial" w:hAnsi="Arial" w:cs="Arial"/>
          <w:spacing w:val="2"/>
          <w:sz w:val="22"/>
          <w:szCs w:val="22"/>
        </w:rPr>
        <w:t>ArcPro</w:t>
      </w:r>
      <w:proofErr w:type="spellEnd"/>
      <w:r w:rsidRPr="003D7A83">
        <w:rPr>
          <w:rFonts w:ascii="Arial" w:hAnsi="Arial" w:cs="Arial"/>
          <w:spacing w:val="2"/>
          <w:sz w:val="22"/>
          <w:szCs w:val="22"/>
        </w:rPr>
        <w:t xml:space="preserve"> to calculate the standard deviation from each cell within a 10 km buffer. We then reclassified the resulting standard deviation values into different categories. </w:t>
      </w:r>
    </w:p>
    <w:p w14:paraId="77DF1707"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4483711D"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What are the limitations of these datasets?</w:t>
      </w:r>
    </w:p>
    <w:p w14:paraId="01972BE6"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lastRenderedPageBreak/>
        <w:t xml:space="preserve">These layers were created to provide a regional overview of the depth and shape of the seafloor across the region. They should not be used for navigation or for local-scale surveys. </w:t>
      </w:r>
    </w:p>
    <w:p w14:paraId="1F7BB92D"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These layers are based on interpolations from samples from different sources, so their accuracy depends on the source data. The resulting layers are estimates of actual depths, not actual observations. Please consider when the samples were taken and their source to determine accuracy of depth for each location. </w:t>
      </w:r>
    </w:p>
    <w:p w14:paraId="687BA3AD"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6A430F41"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When were these last updated?</w:t>
      </w:r>
    </w:p>
    <w:p w14:paraId="29AD2C3F"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These layers were last updated in September 2020. </w:t>
      </w:r>
    </w:p>
    <w:p w14:paraId="73873B7C"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2601F2A5"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How can I find more information about these layers?</w:t>
      </w:r>
    </w:p>
    <w:p w14:paraId="33C65B51" w14:textId="77777777" w:rsidR="003D7A83" w:rsidRPr="003D7A83" w:rsidRDefault="003D7A83" w:rsidP="003D7A83">
      <w:pPr>
        <w:pStyle w:val="mb-0"/>
        <w:shd w:val="clear" w:color="auto" w:fill="FFFFFF"/>
        <w:tabs>
          <w:tab w:val="left" w:pos="1860"/>
        </w:tabs>
        <w:spacing w:before="0" w:beforeAutospacing="0"/>
        <w:rPr>
          <w:rFonts w:ascii="Arial" w:hAnsi="Arial" w:cs="Arial"/>
          <w:spacing w:val="2"/>
          <w:sz w:val="22"/>
          <w:szCs w:val="22"/>
        </w:rPr>
      </w:pPr>
      <w:r w:rsidRPr="003D7A83">
        <w:rPr>
          <w:rFonts w:ascii="Arial" w:hAnsi="Arial" w:cs="Arial"/>
          <w:spacing w:val="2"/>
          <w:sz w:val="22"/>
          <w:szCs w:val="22"/>
        </w:rPr>
        <w:t xml:space="preserve">For an overall overview of benthic layers resulting from The Nature Conservancy’s Northwest Atlantic Ecoregional Assessment (NAMERA), please check out this page: </w:t>
      </w:r>
      <w:hyperlink r:id="rId8" w:history="1">
        <w:r w:rsidRPr="003D7A83">
          <w:rPr>
            <w:rStyle w:val="Hyperlink"/>
            <w:rFonts w:ascii="Arial" w:hAnsi="Arial" w:cs="Arial"/>
            <w:spacing w:val="2"/>
            <w:sz w:val="22"/>
            <w:szCs w:val="22"/>
          </w:rPr>
          <w:t>https://www.conservationgateway.org/ConservationByGeography/NorthAmerica/UnitedStates/edc/reportsdata/marine/namera/namera/Pages/default.aspx</w:t>
        </w:r>
      </w:hyperlink>
      <w:r w:rsidRPr="003D7A83">
        <w:rPr>
          <w:rFonts w:ascii="Arial" w:hAnsi="Arial" w:cs="Arial"/>
          <w:spacing w:val="2"/>
          <w:sz w:val="22"/>
          <w:szCs w:val="22"/>
        </w:rPr>
        <w:t xml:space="preserve"> </w:t>
      </w:r>
    </w:p>
    <w:p w14:paraId="5BA9EED1"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For any other questions, please contact the team at </w:t>
      </w:r>
      <w:hyperlink r:id="rId9" w:history="1">
        <w:r w:rsidRPr="003D7A83">
          <w:rPr>
            <w:rStyle w:val="Hyperlink"/>
            <w:rFonts w:ascii="Arial" w:hAnsi="Arial" w:cs="Arial"/>
            <w:spacing w:val="2"/>
            <w:sz w:val="22"/>
            <w:szCs w:val="22"/>
          </w:rPr>
          <w:t>eScience@tnc.org</w:t>
        </w:r>
      </w:hyperlink>
      <w:r w:rsidRPr="003D7A83">
        <w:rPr>
          <w:rFonts w:ascii="Arial" w:hAnsi="Arial" w:cs="Arial"/>
          <w:spacing w:val="2"/>
          <w:sz w:val="22"/>
          <w:szCs w:val="22"/>
        </w:rPr>
        <w:t xml:space="preserve"> </w:t>
      </w:r>
    </w:p>
    <w:p w14:paraId="213BB134"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0A09D33D" w14:textId="77777777" w:rsidR="003D7A83" w:rsidRPr="003D7A83" w:rsidRDefault="003D7A83" w:rsidP="003D7A83">
      <w:pPr>
        <w:rPr>
          <w:rFonts w:ascii="Arial" w:eastAsia="Times New Roman" w:hAnsi="Arial" w:cs="Arial"/>
          <w:spacing w:val="2"/>
        </w:rPr>
      </w:pPr>
      <w:r w:rsidRPr="003D7A83">
        <w:rPr>
          <w:rFonts w:ascii="Arial" w:hAnsi="Arial" w:cs="Arial"/>
          <w:spacing w:val="2"/>
        </w:rPr>
        <w:br w:type="page"/>
      </w:r>
    </w:p>
    <w:p w14:paraId="35F9793E" w14:textId="77777777" w:rsidR="003D7A83" w:rsidRPr="003D7A83" w:rsidRDefault="003D7A83" w:rsidP="003D7A83">
      <w:pPr>
        <w:pStyle w:val="mb-0"/>
        <w:shd w:val="clear" w:color="auto" w:fill="FFFFFF"/>
        <w:spacing w:before="0" w:beforeAutospacing="0"/>
        <w:rPr>
          <w:rFonts w:ascii="Arial" w:hAnsi="Arial" w:cs="Arial"/>
          <w:b/>
          <w:bCs/>
          <w:spacing w:val="2"/>
          <w:sz w:val="22"/>
          <w:szCs w:val="22"/>
          <w:u w:val="single"/>
        </w:rPr>
      </w:pPr>
      <w:r w:rsidRPr="003D7A83">
        <w:rPr>
          <w:rFonts w:ascii="Arial" w:hAnsi="Arial" w:cs="Arial"/>
          <w:b/>
          <w:bCs/>
          <w:spacing w:val="2"/>
          <w:sz w:val="22"/>
          <w:szCs w:val="22"/>
          <w:u w:val="single"/>
        </w:rPr>
        <w:lastRenderedPageBreak/>
        <w:t>SEDIMENT TYPE (SOFT SEDIMENTS)</w:t>
      </w:r>
    </w:p>
    <w:p w14:paraId="3EAD0E33"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100689BB"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What do these data show?</w:t>
      </w:r>
    </w:p>
    <w:p w14:paraId="65DE7E2F"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These data show the different combinations of soft sediments (sand, mud, gravel) within each 100 km cell. </w:t>
      </w:r>
    </w:p>
    <w:p w14:paraId="27CA260B"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11223290" w14:textId="3CC223D8" w:rsidR="003D7A83" w:rsidRDefault="003D7A83" w:rsidP="003D7A83">
      <w:pPr>
        <w:pStyle w:val="mb-0"/>
        <w:shd w:val="clear" w:color="auto" w:fill="FFFFFF"/>
        <w:spacing w:before="0" w:beforeAutospacing="0"/>
        <w:rPr>
          <w:rFonts w:ascii="Arial" w:hAnsi="Arial" w:cs="Arial"/>
          <w:b/>
          <w:bCs/>
          <w:spacing w:val="2"/>
          <w:sz w:val="22"/>
          <w:szCs w:val="22"/>
        </w:rPr>
      </w:pPr>
      <w:r>
        <w:rPr>
          <w:rFonts w:ascii="Arial" w:hAnsi="Arial" w:cs="Arial"/>
          <w:b/>
          <w:bCs/>
          <w:spacing w:val="2"/>
          <w:sz w:val="22"/>
          <w:szCs w:val="22"/>
        </w:rPr>
        <w:t>What do the classes represent?</w:t>
      </w:r>
    </w:p>
    <w:p w14:paraId="15933B51" w14:textId="7EE5D9CD" w:rsidR="003D7A83" w:rsidRDefault="003D7A83" w:rsidP="003D7A83">
      <w:pPr>
        <w:pStyle w:val="mb-0"/>
        <w:shd w:val="clear" w:color="auto" w:fill="FFFFFF"/>
        <w:spacing w:before="0" w:beforeAutospacing="0"/>
        <w:rPr>
          <w:rFonts w:ascii="Arial" w:hAnsi="Arial" w:cs="Arial"/>
          <w:spacing w:val="2"/>
          <w:sz w:val="22"/>
          <w:szCs w:val="22"/>
        </w:rPr>
      </w:pPr>
    </w:p>
    <w:tbl>
      <w:tblPr>
        <w:tblStyle w:val="TableGrid"/>
        <w:tblW w:w="4100" w:type="dxa"/>
        <w:tblLook w:val="04A0" w:firstRow="1" w:lastRow="0" w:firstColumn="1" w:lastColumn="0" w:noHBand="0" w:noVBand="1"/>
      </w:tblPr>
      <w:tblGrid>
        <w:gridCol w:w="663"/>
        <w:gridCol w:w="3523"/>
      </w:tblGrid>
      <w:tr w:rsidR="004C3E90" w:rsidRPr="004C3E90" w14:paraId="650D45D0" w14:textId="77777777" w:rsidTr="004C3E90">
        <w:trPr>
          <w:trHeight w:val="300"/>
        </w:trPr>
        <w:tc>
          <w:tcPr>
            <w:tcW w:w="4100" w:type="dxa"/>
            <w:gridSpan w:val="2"/>
            <w:noWrap/>
            <w:hideMark/>
          </w:tcPr>
          <w:p w14:paraId="60D1A0A8" w14:textId="77777777" w:rsidR="004C3E90" w:rsidRPr="004C3E90" w:rsidRDefault="004C3E90" w:rsidP="004C3E90">
            <w:pPr>
              <w:rPr>
                <w:rFonts w:ascii="Calibri" w:eastAsia="Times New Roman" w:hAnsi="Calibri" w:cs="Calibri"/>
                <w:b/>
                <w:bCs/>
                <w:color w:val="000000"/>
              </w:rPr>
            </w:pPr>
            <w:r w:rsidRPr="004C3E90">
              <w:rPr>
                <w:rFonts w:ascii="Calibri" w:eastAsia="Times New Roman" w:hAnsi="Calibri" w:cs="Calibri"/>
                <w:b/>
                <w:bCs/>
                <w:color w:val="000000"/>
              </w:rPr>
              <w:t>SEDIMENT TYPE</w:t>
            </w:r>
          </w:p>
        </w:tc>
      </w:tr>
      <w:tr w:rsidR="004C3E90" w:rsidRPr="004C3E90" w14:paraId="25D489CF" w14:textId="77777777" w:rsidTr="004C3E90">
        <w:trPr>
          <w:trHeight w:val="300"/>
        </w:trPr>
        <w:tc>
          <w:tcPr>
            <w:tcW w:w="4100" w:type="dxa"/>
            <w:gridSpan w:val="2"/>
            <w:noWrap/>
            <w:hideMark/>
          </w:tcPr>
          <w:p w14:paraId="493C3546" w14:textId="77777777" w:rsidR="004C3E90" w:rsidRPr="004C3E90" w:rsidRDefault="004C3E90" w:rsidP="004C3E90">
            <w:pPr>
              <w:rPr>
                <w:rFonts w:ascii="Calibri" w:eastAsia="Times New Roman" w:hAnsi="Calibri" w:cs="Calibri"/>
                <w:b/>
                <w:bCs/>
                <w:color w:val="000000"/>
              </w:rPr>
            </w:pPr>
            <w:r w:rsidRPr="004C3E90">
              <w:rPr>
                <w:rFonts w:ascii="Calibri" w:eastAsia="Times New Roman" w:hAnsi="Calibri" w:cs="Calibri"/>
                <w:b/>
                <w:bCs/>
                <w:color w:val="000000"/>
              </w:rPr>
              <w:t>COMBINED CLASSES</w:t>
            </w:r>
          </w:p>
        </w:tc>
      </w:tr>
      <w:tr w:rsidR="004C3E90" w:rsidRPr="004C3E90" w14:paraId="6AA0A5D0" w14:textId="77777777" w:rsidTr="004C3E90">
        <w:trPr>
          <w:trHeight w:val="300"/>
        </w:trPr>
        <w:tc>
          <w:tcPr>
            <w:tcW w:w="577" w:type="dxa"/>
            <w:noWrap/>
            <w:hideMark/>
          </w:tcPr>
          <w:p w14:paraId="65B799B2" w14:textId="77777777" w:rsidR="004C3E90" w:rsidRPr="004C3E90" w:rsidRDefault="004C3E90" w:rsidP="004C3E90">
            <w:pPr>
              <w:rPr>
                <w:rFonts w:ascii="Calibri" w:eastAsia="Times New Roman" w:hAnsi="Calibri" w:cs="Calibri"/>
                <w:b/>
                <w:bCs/>
                <w:color w:val="000000"/>
              </w:rPr>
            </w:pPr>
          </w:p>
        </w:tc>
        <w:tc>
          <w:tcPr>
            <w:tcW w:w="3523" w:type="dxa"/>
            <w:noWrap/>
            <w:hideMark/>
          </w:tcPr>
          <w:p w14:paraId="4F903727" w14:textId="77777777" w:rsidR="004C3E90" w:rsidRPr="004C3E90" w:rsidRDefault="004C3E90" w:rsidP="004C3E90">
            <w:pPr>
              <w:rPr>
                <w:rFonts w:ascii="Times New Roman" w:eastAsia="Times New Roman" w:hAnsi="Times New Roman" w:cs="Times New Roman"/>
                <w:sz w:val="20"/>
                <w:szCs w:val="20"/>
              </w:rPr>
            </w:pPr>
          </w:p>
        </w:tc>
      </w:tr>
      <w:tr w:rsidR="004C3E90" w:rsidRPr="004C3E90" w14:paraId="6682192C" w14:textId="77777777" w:rsidTr="004C3E90">
        <w:trPr>
          <w:trHeight w:val="300"/>
        </w:trPr>
        <w:tc>
          <w:tcPr>
            <w:tcW w:w="577" w:type="dxa"/>
            <w:noWrap/>
            <w:hideMark/>
          </w:tcPr>
          <w:p w14:paraId="300603D1"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1000</w:t>
            </w:r>
          </w:p>
        </w:tc>
        <w:tc>
          <w:tcPr>
            <w:tcW w:w="3523" w:type="dxa"/>
            <w:noWrap/>
            <w:hideMark/>
          </w:tcPr>
          <w:p w14:paraId="71CD27F0"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Majority Sand</w:t>
            </w:r>
          </w:p>
        </w:tc>
      </w:tr>
      <w:tr w:rsidR="004C3E90" w:rsidRPr="004C3E90" w14:paraId="74577E9C" w14:textId="77777777" w:rsidTr="004C3E90">
        <w:trPr>
          <w:trHeight w:val="300"/>
        </w:trPr>
        <w:tc>
          <w:tcPr>
            <w:tcW w:w="577" w:type="dxa"/>
            <w:noWrap/>
            <w:hideMark/>
          </w:tcPr>
          <w:p w14:paraId="280C97E9"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2000</w:t>
            </w:r>
          </w:p>
        </w:tc>
        <w:tc>
          <w:tcPr>
            <w:tcW w:w="3523" w:type="dxa"/>
            <w:noWrap/>
            <w:hideMark/>
          </w:tcPr>
          <w:p w14:paraId="062C80D7"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Majority Mud</w:t>
            </w:r>
          </w:p>
        </w:tc>
      </w:tr>
      <w:tr w:rsidR="004C3E90" w:rsidRPr="004C3E90" w14:paraId="55755103" w14:textId="77777777" w:rsidTr="004C3E90">
        <w:trPr>
          <w:trHeight w:val="300"/>
        </w:trPr>
        <w:tc>
          <w:tcPr>
            <w:tcW w:w="577" w:type="dxa"/>
            <w:noWrap/>
            <w:hideMark/>
          </w:tcPr>
          <w:p w14:paraId="5BA123F3"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5000</w:t>
            </w:r>
          </w:p>
        </w:tc>
        <w:tc>
          <w:tcPr>
            <w:tcW w:w="3523" w:type="dxa"/>
            <w:noWrap/>
            <w:hideMark/>
          </w:tcPr>
          <w:p w14:paraId="4FED1617"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Majority Gravel</w:t>
            </w:r>
          </w:p>
        </w:tc>
      </w:tr>
      <w:tr w:rsidR="004C3E90" w:rsidRPr="004C3E90" w14:paraId="4EC54107" w14:textId="77777777" w:rsidTr="004C3E90">
        <w:trPr>
          <w:trHeight w:val="300"/>
        </w:trPr>
        <w:tc>
          <w:tcPr>
            <w:tcW w:w="577" w:type="dxa"/>
            <w:noWrap/>
            <w:hideMark/>
          </w:tcPr>
          <w:p w14:paraId="10B1C612"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120</w:t>
            </w:r>
          </w:p>
        </w:tc>
        <w:tc>
          <w:tcPr>
            <w:tcW w:w="3523" w:type="dxa"/>
            <w:noWrap/>
            <w:hideMark/>
          </w:tcPr>
          <w:p w14:paraId="0F085C2F"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Sand with some mud</w:t>
            </w:r>
          </w:p>
        </w:tc>
      </w:tr>
      <w:tr w:rsidR="004C3E90" w:rsidRPr="004C3E90" w14:paraId="74EA352F" w14:textId="77777777" w:rsidTr="004C3E90">
        <w:trPr>
          <w:trHeight w:val="300"/>
        </w:trPr>
        <w:tc>
          <w:tcPr>
            <w:tcW w:w="577" w:type="dxa"/>
            <w:noWrap/>
            <w:hideMark/>
          </w:tcPr>
          <w:p w14:paraId="005C8E1A"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150</w:t>
            </w:r>
          </w:p>
        </w:tc>
        <w:tc>
          <w:tcPr>
            <w:tcW w:w="3523" w:type="dxa"/>
            <w:noWrap/>
            <w:hideMark/>
          </w:tcPr>
          <w:p w14:paraId="79C425C7"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Sand with some gravel</w:t>
            </w:r>
          </w:p>
        </w:tc>
      </w:tr>
      <w:tr w:rsidR="004C3E90" w:rsidRPr="004C3E90" w14:paraId="780B393A" w14:textId="77777777" w:rsidTr="004C3E90">
        <w:trPr>
          <w:trHeight w:val="300"/>
        </w:trPr>
        <w:tc>
          <w:tcPr>
            <w:tcW w:w="577" w:type="dxa"/>
            <w:noWrap/>
            <w:hideMark/>
          </w:tcPr>
          <w:p w14:paraId="580737E5"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170</w:t>
            </w:r>
          </w:p>
        </w:tc>
        <w:tc>
          <w:tcPr>
            <w:tcW w:w="3523" w:type="dxa"/>
            <w:noWrap/>
            <w:hideMark/>
          </w:tcPr>
          <w:p w14:paraId="27F834B8"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Sand with some mud and gravel</w:t>
            </w:r>
          </w:p>
        </w:tc>
      </w:tr>
      <w:tr w:rsidR="004C3E90" w:rsidRPr="004C3E90" w14:paraId="3160576D" w14:textId="77777777" w:rsidTr="004C3E90">
        <w:trPr>
          <w:trHeight w:val="300"/>
        </w:trPr>
        <w:tc>
          <w:tcPr>
            <w:tcW w:w="577" w:type="dxa"/>
            <w:noWrap/>
            <w:hideMark/>
          </w:tcPr>
          <w:p w14:paraId="619F63B9"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210</w:t>
            </w:r>
          </w:p>
        </w:tc>
        <w:tc>
          <w:tcPr>
            <w:tcW w:w="3523" w:type="dxa"/>
            <w:noWrap/>
            <w:hideMark/>
          </w:tcPr>
          <w:p w14:paraId="3AC1A193"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Mud with some sand</w:t>
            </w:r>
          </w:p>
        </w:tc>
      </w:tr>
      <w:tr w:rsidR="004C3E90" w:rsidRPr="004C3E90" w14:paraId="7FA9005B" w14:textId="77777777" w:rsidTr="004C3E90">
        <w:trPr>
          <w:trHeight w:val="300"/>
        </w:trPr>
        <w:tc>
          <w:tcPr>
            <w:tcW w:w="577" w:type="dxa"/>
            <w:noWrap/>
            <w:hideMark/>
          </w:tcPr>
          <w:p w14:paraId="5806ADF6"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250</w:t>
            </w:r>
          </w:p>
        </w:tc>
        <w:tc>
          <w:tcPr>
            <w:tcW w:w="3523" w:type="dxa"/>
            <w:noWrap/>
            <w:hideMark/>
          </w:tcPr>
          <w:p w14:paraId="134CAD82"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Mud with some gravel</w:t>
            </w:r>
          </w:p>
        </w:tc>
      </w:tr>
      <w:tr w:rsidR="004C3E90" w:rsidRPr="004C3E90" w14:paraId="68A44E3E" w14:textId="77777777" w:rsidTr="004C3E90">
        <w:trPr>
          <w:trHeight w:val="300"/>
        </w:trPr>
        <w:tc>
          <w:tcPr>
            <w:tcW w:w="577" w:type="dxa"/>
            <w:noWrap/>
            <w:hideMark/>
          </w:tcPr>
          <w:p w14:paraId="117FA2BD"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260</w:t>
            </w:r>
          </w:p>
        </w:tc>
        <w:tc>
          <w:tcPr>
            <w:tcW w:w="3523" w:type="dxa"/>
            <w:noWrap/>
            <w:hideMark/>
          </w:tcPr>
          <w:p w14:paraId="6892F3EA"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Mud with some sand and gravel</w:t>
            </w:r>
          </w:p>
        </w:tc>
      </w:tr>
      <w:tr w:rsidR="004C3E90" w:rsidRPr="004C3E90" w14:paraId="4C2979B0" w14:textId="77777777" w:rsidTr="004C3E90">
        <w:trPr>
          <w:trHeight w:val="300"/>
        </w:trPr>
        <w:tc>
          <w:tcPr>
            <w:tcW w:w="577" w:type="dxa"/>
            <w:noWrap/>
            <w:hideMark/>
          </w:tcPr>
          <w:p w14:paraId="025A927E"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510</w:t>
            </w:r>
          </w:p>
        </w:tc>
        <w:tc>
          <w:tcPr>
            <w:tcW w:w="3523" w:type="dxa"/>
            <w:noWrap/>
            <w:hideMark/>
          </w:tcPr>
          <w:p w14:paraId="67B2A9D0"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Gravel with some sand</w:t>
            </w:r>
          </w:p>
        </w:tc>
      </w:tr>
      <w:tr w:rsidR="004C3E90" w:rsidRPr="004C3E90" w14:paraId="1442AD6A" w14:textId="77777777" w:rsidTr="004C3E90">
        <w:trPr>
          <w:trHeight w:val="300"/>
        </w:trPr>
        <w:tc>
          <w:tcPr>
            <w:tcW w:w="577" w:type="dxa"/>
            <w:noWrap/>
            <w:hideMark/>
          </w:tcPr>
          <w:p w14:paraId="6E2E3FB5"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520</w:t>
            </w:r>
          </w:p>
        </w:tc>
        <w:tc>
          <w:tcPr>
            <w:tcW w:w="3523" w:type="dxa"/>
            <w:noWrap/>
            <w:hideMark/>
          </w:tcPr>
          <w:p w14:paraId="7F4EFCBC"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Gravel with some mud</w:t>
            </w:r>
          </w:p>
        </w:tc>
      </w:tr>
      <w:tr w:rsidR="004C3E90" w:rsidRPr="004C3E90" w14:paraId="7346E1FB" w14:textId="77777777" w:rsidTr="004C3E90">
        <w:trPr>
          <w:trHeight w:val="300"/>
        </w:trPr>
        <w:tc>
          <w:tcPr>
            <w:tcW w:w="577" w:type="dxa"/>
            <w:noWrap/>
            <w:hideMark/>
          </w:tcPr>
          <w:p w14:paraId="5D036B63"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530</w:t>
            </w:r>
          </w:p>
        </w:tc>
        <w:tc>
          <w:tcPr>
            <w:tcW w:w="3523" w:type="dxa"/>
            <w:noWrap/>
            <w:hideMark/>
          </w:tcPr>
          <w:p w14:paraId="673B916D"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Gravel with some sand and mud</w:t>
            </w:r>
          </w:p>
        </w:tc>
      </w:tr>
      <w:tr w:rsidR="004C3E90" w:rsidRPr="004C3E90" w14:paraId="572638CB" w14:textId="77777777" w:rsidTr="004C3E90">
        <w:trPr>
          <w:trHeight w:val="300"/>
        </w:trPr>
        <w:tc>
          <w:tcPr>
            <w:tcW w:w="577" w:type="dxa"/>
            <w:noWrap/>
            <w:hideMark/>
          </w:tcPr>
          <w:p w14:paraId="01583CCB"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30</w:t>
            </w:r>
          </w:p>
        </w:tc>
        <w:tc>
          <w:tcPr>
            <w:tcW w:w="3523" w:type="dxa"/>
            <w:noWrap/>
            <w:hideMark/>
          </w:tcPr>
          <w:p w14:paraId="3120ECB9"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Mix of sand and mud</w:t>
            </w:r>
          </w:p>
        </w:tc>
      </w:tr>
      <w:tr w:rsidR="004C3E90" w:rsidRPr="004C3E90" w14:paraId="7A4308C3" w14:textId="77777777" w:rsidTr="004C3E90">
        <w:trPr>
          <w:trHeight w:val="300"/>
        </w:trPr>
        <w:tc>
          <w:tcPr>
            <w:tcW w:w="577" w:type="dxa"/>
            <w:noWrap/>
            <w:hideMark/>
          </w:tcPr>
          <w:p w14:paraId="705DA2F1"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60</w:t>
            </w:r>
          </w:p>
        </w:tc>
        <w:tc>
          <w:tcPr>
            <w:tcW w:w="3523" w:type="dxa"/>
            <w:noWrap/>
            <w:hideMark/>
          </w:tcPr>
          <w:p w14:paraId="5340DBF4"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Mix of sand and gravel</w:t>
            </w:r>
          </w:p>
        </w:tc>
      </w:tr>
      <w:tr w:rsidR="004C3E90" w:rsidRPr="004C3E90" w14:paraId="119ADC30" w14:textId="77777777" w:rsidTr="004C3E90">
        <w:trPr>
          <w:trHeight w:val="300"/>
        </w:trPr>
        <w:tc>
          <w:tcPr>
            <w:tcW w:w="577" w:type="dxa"/>
            <w:noWrap/>
            <w:hideMark/>
          </w:tcPr>
          <w:p w14:paraId="78B41AF8"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70</w:t>
            </w:r>
          </w:p>
        </w:tc>
        <w:tc>
          <w:tcPr>
            <w:tcW w:w="3523" w:type="dxa"/>
            <w:noWrap/>
            <w:hideMark/>
          </w:tcPr>
          <w:p w14:paraId="307B9F4B"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Mix of mud and gravel</w:t>
            </w:r>
          </w:p>
        </w:tc>
      </w:tr>
      <w:tr w:rsidR="004C3E90" w:rsidRPr="004C3E90" w14:paraId="4D0F73C8" w14:textId="77777777" w:rsidTr="004C3E90">
        <w:trPr>
          <w:trHeight w:val="300"/>
        </w:trPr>
        <w:tc>
          <w:tcPr>
            <w:tcW w:w="577" w:type="dxa"/>
            <w:noWrap/>
            <w:hideMark/>
          </w:tcPr>
          <w:p w14:paraId="7CFDCC0A" w14:textId="77777777" w:rsidR="004C3E90" w:rsidRPr="004C3E90" w:rsidRDefault="004C3E90" w:rsidP="004C3E90">
            <w:pPr>
              <w:jc w:val="right"/>
              <w:rPr>
                <w:rFonts w:ascii="Calibri" w:eastAsia="Times New Roman" w:hAnsi="Calibri" w:cs="Calibri"/>
                <w:b/>
                <w:bCs/>
                <w:color w:val="000000"/>
              </w:rPr>
            </w:pPr>
            <w:r w:rsidRPr="004C3E90">
              <w:rPr>
                <w:rFonts w:ascii="Calibri" w:eastAsia="Times New Roman" w:hAnsi="Calibri" w:cs="Calibri"/>
                <w:b/>
                <w:bCs/>
                <w:color w:val="000000"/>
              </w:rPr>
              <w:t>80</w:t>
            </w:r>
          </w:p>
        </w:tc>
        <w:tc>
          <w:tcPr>
            <w:tcW w:w="3523" w:type="dxa"/>
            <w:noWrap/>
            <w:hideMark/>
          </w:tcPr>
          <w:p w14:paraId="2F899B16" w14:textId="77777777" w:rsidR="004C3E90" w:rsidRPr="004C3E90" w:rsidRDefault="004C3E90" w:rsidP="004C3E90">
            <w:pPr>
              <w:rPr>
                <w:rFonts w:ascii="Calibri" w:eastAsia="Times New Roman" w:hAnsi="Calibri" w:cs="Calibri"/>
                <w:color w:val="000000"/>
              </w:rPr>
            </w:pPr>
            <w:r w:rsidRPr="004C3E90">
              <w:rPr>
                <w:rFonts w:ascii="Calibri" w:eastAsia="Times New Roman" w:hAnsi="Calibri" w:cs="Calibri"/>
                <w:color w:val="000000"/>
              </w:rPr>
              <w:t>Mix of sand, mud and gravel</w:t>
            </w:r>
          </w:p>
        </w:tc>
      </w:tr>
    </w:tbl>
    <w:p w14:paraId="1CC586BC"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4C574F7E"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Are there other datasets available for the region?</w:t>
      </w:r>
    </w:p>
    <w:p w14:paraId="4C917009"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Yes. At a regional scale, the Northeast Data Portal provides an additional sediment estimate resulting from the New England Fishery Management Council’s Fishing Effects model (</w:t>
      </w:r>
      <w:hyperlink r:id="rId10" w:history="1">
        <w:r w:rsidRPr="003D7A83">
          <w:rPr>
            <w:rStyle w:val="Hyperlink"/>
            <w:rFonts w:ascii="Arial" w:hAnsi="Arial" w:cs="Arial"/>
            <w:spacing w:val="2"/>
            <w:sz w:val="22"/>
            <w:szCs w:val="22"/>
          </w:rPr>
          <w:t>https://www.nefmc.org/library/fishing-effects-model</w:t>
        </w:r>
      </w:hyperlink>
      <w:r w:rsidRPr="003D7A83">
        <w:rPr>
          <w:rFonts w:ascii="Arial" w:hAnsi="Arial" w:cs="Arial"/>
          <w:spacing w:val="2"/>
          <w:sz w:val="22"/>
          <w:szCs w:val="22"/>
        </w:rPr>
        <w:t xml:space="preserve"> ).</w:t>
      </w:r>
    </w:p>
    <w:p w14:paraId="0283EC41"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1A0B2B12"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How did you create the sediment layer?</w:t>
      </w:r>
    </w:p>
    <w:p w14:paraId="39800086" w14:textId="77777777" w:rsidR="003D7A83" w:rsidRPr="003D7A83" w:rsidRDefault="003D7A83" w:rsidP="003D7A83">
      <w:pPr>
        <w:spacing w:after="0" w:line="240" w:lineRule="auto"/>
        <w:rPr>
          <w:rFonts w:ascii="Arial" w:hAnsi="Arial" w:cs="Arial"/>
        </w:rPr>
      </w:pPr>
      <w:r w:rsidRPr="003D7A83">
        <w:rPr>
          <w:rFonts w:ascii="Arial" w:hAnsi="Arial" w:cs="Arial"/>
        </w:rPr>
        <w:lastRenderedPageBreak/>
        <w:t xml:space="preserve">This layer is a result of an interpolation of point based samples compiled from different sources, The sources for the sediment information were a combination of: USGS </w:t>
      </w:r>
      <w:r w:rsidRPr="003D7A83">
        <w:rPr>
          <w:rFonts w:ascii="Arial" w:eastAsia="Times New Roman" w:hAnsi="Arial" w:cs="Arial"/>
        </w:rPr>
        <w:t>Sediment Texture Database (</w:t>
      </w:r>
      <w:hyperlink r:id="rId11" w:history="1">
        <w:r w:rsidRPr="003D7A83">
          <w:rPr>
            <w:rStyle w:val="Hyperlink"/>
            <w:rFonts w:ascii="Arial" w:eastAsia="Times New Roman" w:hAnsi="Arial" w:cs="Arial"/>
          </w:rPr>
          <w:t>https://woodshole.er.usgs.gov/project-pages/sediment/gis-data-catalog.html</w:t>
        </w:r>
      </w:hyperlink>
      <w:r w:rsidRPr="003D7A83">
        <w:rPr>
          <w:rFonts w:ascii="Arial" w:eastAsia="Times New Roman" w:hAnsi="Arial" w:cs="Arial"/>
        </w:rPr>
        <w:t xml:space="preserve"> ), USGS’ </w:t>
      </w:r>
      <w:proofErr w:type="spellStart"/>
      <w:r w:rsidRPr="003D7A83">
        <w:rPr>
          <w:rFonts w:ascii="Arial" w:eastAsia="Times New Roman" w:hAnsi="Arial" w:cs="Arial"/>
        </w:rPr>
        <w:t>usSEABED</w:t>
      </w:r>
      <w:proofErr w:type="spellEnd"/>
      <w:r w:rsidRPr="003D7A83">
        <w:rPr>
          <w:rFonts w:ascii="Arial" w:eastAsia="Times New Roman" w:hAnsi="Arial" w:cs="Arial"/>
        </w:rPr>
        <w:t xml:space="preserve"> database (</w:t>
      </w:r>
      <w:hyperlink r:id="rId12" w:anchor="qt-science_center_objects" w:history="1">
        <w:r w:rsidRPr="003D7A83">
          <w:rPr>
            <w:rStyle w:val="Hyperlink"/>
            <w:rFonts w:ascii="Arial" w:eastAsia="Times New Roman" w:hAnsi="Arial" w:cs="Arial"/>
          </w:rPr>
          <w:t>https://www.usgs.gov/natural-hazards/coastal-marine-hazards-and-resources/science/accessing-usseabed?qt-science_center_objects=0#qt-science_center_objects</w:t>
        </w:r>
      </w:hyperlink>
      <w:r w:rsidRPr="003D7A83">
        <w:rPr>
          <w:rFonts w:ascii="Arial" w:eastAsia="Times New Roman" w:hAnsi="Arial" w:cs="Arial"/>
        </w:rPr>
        <w:t>), and data from recent NOS surveys (</w:t>
      </w:r>
      <w:hyperlink r:id="rId13" w:history="1">
        <w:r w:rsidRPr="003D7A83">
          <w:rPr>
            <w:rStyle w:val="Hyperlink"/>
            <w:rFonts w:ascii="Arial" w:eastAsia="Times New Roman" w:hAnsi="Arial" w:cs="Arial"/>
          </w:rPr>
          <w:t>https://www.ngdc.noaa.gov/geosamples/survey.jsp</w:t>
        </w:r>
      </w:hyperlink>
      <w:r w:rsidRPr="003D7A83">
        <w:rPr>
          <w:rFonts w:ascii="Arial" w:eastAsia="Times New Roman" w:hAnsi="Arial" w:cs="Arial"/>
        </w:rPr>
        <w:t xml:space="preserve">). </w:t>
      </w:r>
      <w:r w:rsidRPr="003D7A83">
        <w:rPr>
          <w:rFonts w:ascii="Arial" w:hAnsi="Arial" w:cs="Arial"/>
        </w:rPr>
        <w:t xml:space="preserve">All these were cleaned to remove erroneous and duplicate values. We also removed samples where percentages could not be easily derived. All the points were interpolated using EBK regression prediction tool from ArcGIS’ Geostatistical Analyst, with Bathymetry and BPI at two different scales as covariates. We interpolated three different surfaces: percentage of sand, percentage of mud, percentage of gravel. </w:t>
      </w:r>
    </w:p>
    <w:p w14:paraId="07617A9E" w14:textId="262DA6C7" w:rsidR="003D7A83" w:rsidRPr="003D7A83" w:rsidRDefault="003D7A83" w:rsidP="004C3E90">
      <w:pPr>
        <w:spacing w:after="0" w:line="240" w:lineRule="auto"/>
        <w:rPr>
          <w:rFonts w:ascii="Arial" w:eastAsia="Times New Roman" w:hAnsi="Arial" w:cs="Arial"/>
        </w:rPr>
      </w:pPr>
      <w:r w:rsidRPr="003D7A83">
        <w:rPr>
          <w:rFonts w:ascii="Arial" w:hAnsi="Arial" w:cs="Arial"/>
        </w:rPr>
        <w:t>We reclassified the resulting surfaces in 3 classes depending on the percentages. For example, for sand: &lt;25% (absence of sand), 25-75%(sand combined with others), &gt;75% (majority sand).</w:t>
      </w:r>
      <w:r w:rsidR="004C3E90">
        <w:rPr>
          <w:rFonts w:ascii="Arial" w:hAnsi="Arial" w:cs="Arial"/>
        </w:rPr>
        <w:t xml:space="preserve"> </w:t>
      </w:r>
      <w:r w:rsidRPr="003D7A83">
        <w:rPr>
          <w:rFonts w:ascii="Arial" w:hAnsi="Arial" w:cs="Arial"/>
        </w:rPr>
        <w:t>Finally, we combined the three distinct sediment layers into one combined</w:t>
      </w:r>
      <w:r w:rsidR="008801A1">
        <w:rPr>
          <w:rFonts w:ascii="Arial" w:hAnsi="Arial" w:cs="Arial"/>
        </w:rPr>
        <w:t xml:space="preserve"> layer.</w:t>
      </w:r>
    </w:p>
    <w:p w14:paraId="41A9BDD0"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27E3BA2B"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What are the limitations of these datasets?</w:t>
      </w:r>
    </w:p>
    <w:p w14:paraId="6669C2C9"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These layers were created to provide a regional overview of the type of sediment found across the region. They should not be used for navigation or for local-scale surveys. </w:t>
      </w:r>
    </w:p>
    <w:p w14:paraId="02627795"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These layers are based on interpolations from samples from different sources, so their accuracy depends on the source data. The resulting layers are estimates of actual sediment types, not actual observations. Please consider when the samples were taken and their source to determine accuracy of the values for each location. </w:t>
      </w:r>
    </w:p>
    <w:p w14:paraId="16924B73"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056536BA"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When were these last updated?</w:t>
      </w:r>
    </w:p>
    <w:p w14:paraId="16F12DAD" w14:textId="1A79FB96"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These layers were last updated in </w:t>
      </w:r>
      <w:r w:rsidR="0043617D">
        <w:rPr>
          <w:rFonts w:ascii="Arial" w:hAnsi="Arial" w:cs="Arial"/>
          <w:spacing w:val="2"/>
          <w:sz w:val="22"/>
          <w:szCs w:val="22"/>
        </w:rPr>
        <w:t>D</w:t>
      </w:r>
      <w:r w:rsidR="00F54AD5">
        <w:rPr>
          <w:rFonts w:ascii="Arial" w:hAnsi="Arial" w:cs="Arial"/>
          <w:spacing w:val="2"/>
          <w:sz w:val="22"/>
          <w:szCs w:val="22"/>
        </w:rPr>
        <w:t>e</w:t>
      </w:r>
      <w:r w:rsidR="0043617D">
        <w:rPr>
          <w:rFonts w:ascii="Arial" w:hAnsi="Arial" w:cs="Arial"/>
          <w:spacing w:val="2"/>
          <w:sz w:val="22"/>
          <w:szCs w:val="22"/>
        </w:rPr>
        <w:t>cember</w:t>
      </w:r>
      <w:r w:rsidRPr="003D7A83">
        <w:rPr>
          <w:rFonts w:ascii="Arial" w:hAnsi="Arial" w:cs="Arial"/>
          <w:spacing w:val="2"/>
          <w:sz w:val="22"/>
          <w:szCs w:val="22"/>
        </w:rPr>
        <w:t xml:space="preserve"> 2020. </w:t>
      </w:r>
    </w:p>
    <w:p w14:paraId="3D7210DA" w14:textId="77777777" w:rsidR="003D7A83" w:rsidRPr="003D7A83" w:rsidRDefault="003D7A83" w:rsidP="003D7A83">
      <w:pPr>
        <w:pStyle w:val="mb-0"/>
        <w:shd w:val="clear" w:color="auto" w:fill="FFFFFF"/>
        <w:spacing w:before="0" w:beforeAutospacing="0"/>
        <w:rPr>
          <w:rFonts w:ascii="Arial" w:hAnsi="Arial" w:cs="Arial"/>
          <w:spacing w:val="2"/>
          <w:sz w:val="22"/>
          <w:szCs w:val="22"/>
        </w:rPr>
      </w:pPr>
    </w:p>
    <w:p w14:paraId="5BFD4E37" w14:textId="77777777" w:rsidR="003D7A83" w:rsidRPr="003D7A83" w:rsidRDefault="003D7A83" w:rsidP="003D7A83">
      <w:pPr>
        <w:pStyle w:val="mb-0"/>
        <w:shd w:val="clear" w:color="auto" w:fill="FFFFFF"/>
        <w:spacing w:before="0" w:beforeAutospacing="0"/>
        <w:rPr>
          <w:rFonts w:ascii="Arial" w:hAnsi="Arial" w:cs="Arial"/>
          <w:b/>
          <w:bCs/>
          <w:spacing w:val="2"/>
          <w:sz w:val="22"/>
          <w:szCs w:val="22"/>
        </w:rPr>
      </w:pPr>
      <w:r w:rsidRPr="003D7A83">
        <w:rPr>
          <w:rFonts w:ascii="Arial" w:hAnsi="Arial" w:cs="Arial"/>
          <w:b/>
          <w:bCs/>
          <w:spacing w:val="2"/>
          <w:sz w:val="22"/>
          <w:szCs w:val="22"/>
        </w:rPr>
        <w:t>How can I find more information about these layers?</w:t>
      </w:r>
    </w:p>
    <w:p w14:paraId="1FAE77B6" w14:textId="77777777" w:rsidR="003D7A83" w:rsidRPr="003D7A83" w:rsidRDefault="003D7A83" w:rsidP="003D7A83">
      <w:pPr>
        <w:pStyle w:val="mb-0"/>
        <w:shd w:val="clear" w:color="auto" w:fill="FFFFFF"/>
        <w:tabs>
          <w:tab w:val="left" w:pos="1860"/>
        </w:tabs>
        <w:spacing w:before="0" w:beforeAutospacing="0"/>
        <w:rPr>
          <w:rFonts w:ascii="Arial" w:hAnsi="Arial" w:cs="Arial"/>
          <w:spacing w:val="2"/>
          <w:sz w:val="22"/>
          <w:szCs w:val="22"/>
        </w:rPr>
      </w:pPr>
      <w:r w:rsidRPr="003D7A83">
        <w:rPr>
          <w:rFonts w:ascii="Arial" w:hAnsi="Arial" w:cs="Arial"/>
          <w:spacing w:val="2"/>
          <w:sz w:val="22"/>
          <w:szCs w:val="22"/>
        </w:rPr>
        <w:t xml:space="preserve">For an overall overview of benthic layers resulting from The Nature Conservancy’s Northwest Atlantic Ecoregional Assessment (NAMERA), please check out this page: </w:t>
      </w:r>
      <w:hyperlink r:id="rId14" w:history="1">
        <w:r w:rsidRPr="003D7A83">
          <w:rPr>
            <w:rStyle w:val="Hyperlink"/>
            <w:rFonts w:ascii="Arial" w:hAnsi="Arial" w:cs="Arial"/>
            <w:spacing w:val="2"/>
            <w:sz w:val="22"/>
            <w:szCs w:val="22"/>
          </w:rPr>
          <w:t>https://www.conservationgateway.org/ConservationByGeography/NorthAmerica/UnitedStates/edc/reportsdata/marine/namera/namera/Pages/default.aspx</w:t>
        </w:r>
      </w:hyperlink>
      <w:r w:rsidRPr="003D7A83">
        <w:rPr>
          <w:rFonts w:ascii="Arial" w:hAnsi="Arial" w:cs="Arial"/>
          <w:spacing w:val="2"/>
          <w:sz w:val="22"/>
          <w:szCs w:val="22"/>
        </w:rPr>
        <w:t xml:space="preserve"> </w:t>
      </w:r>
    </w:p>
    <w:p w14:paraId="04DEA3E4" w14:textId="7EA9E17C" w:rsidR="003D7A83" w:rsidRPr="003D7A83" w:rsidRDefault="003D7A83" w:rsidP="003D7A83">
      <w:pPr>
        <w:pStyle w:val="mb-0"/>
        <w:shd w:val="clear" w:color="auto" w:fill="FFFFFF"/>
        <w:spacing w:before="0" w:beforeAutospacing="0"/>
        <w:rPr>
          <w:rFonts w:ascii="Arial" w:hAnsi="Arial" w:cs="Arial"/>
          <w:spacing w:val="2"/>
          <w:sz w:val="22"/>
          <w:szCs w:val="22"/>
        </w:rPr>
      </w:pPr>
      <w:r w:rsidRPr="003D7A83">
        <w:rPr>
          <w:rFonts w:ascii="Arial" w:hAnsi="Arial" w:cs="Arial"/>
          <w:spacing w:val="2"/>
          <w:sz w:val="22"/>
          <w:szCs w:val="22"/>
        </w:rPr>
        <w:t xml:space="preserve">For any other questions, please contact the team at </w:t>
      </w:r>
      <w:hyperlink r:id="rId15" w:history="1">
        <w:r w:rsidRPr="003D7A83">
          <w:rPr>
            <w:rStyle w:val="Hyperlink"/>
            <w:rFonts w:ascii="Arial" w:hAnsi="Arial" w:cs="Arial"/>
            <w:spacing w:val="2"/>
            <w:sz w:val="22"/>
            <w:szCs w:val="22"/>
          </w:rPr>
          <w:t>eScience@tnc.org</w:t>
        </w:r>
      </w:hyperlink>
      <w:r w:rsidRPr="003D7A83">
        <w:rPr>
          <w:rFonts w:ascii="Arial" w:hAnsi="Arial" w:cs="Arial"/>
          <w:spacing w:val="2"/>
          <w:sz w:val="22"/>
          <w:szCs w:val="22"/>
        </w:rPr>
        <w:t xml:space="preserve"> </w:t>
      </w:r>
    </w:p>
    <w:sectPr w:rsidR="003D7A83" w:rsidRPr="003D7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25DD7"/>
    <w:multiLevelType w:val="hybridMultilevel"/>
    <w:tmpl w:val="BA2A4DC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9F37D32"/>
    <w:multiLevelType w:val="hybridMultilevel"/>
    <w:tmpl w:val="69E2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83"/>
    <w:rsid w:val="003D7A83"/>
    <w:rsid w:val="0043617D"/>
    <w:rsid w:val="004C3E90"/>
    <w:rsid w:val="008801A1"/>
    <w:rsid w:val="008A5CE2"/>
    <w:rsid w:val="00AF5B8A"/>
    <w:rsid w:val="00BA4B0B"/>
    <w:rsid w:val="00F5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6856"/>
  <w15:chartTrackingRefBased/>
  <w15:docId w15:val="{BD422245-2805-4914-B201-86EC121A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A83"/>
    <w:rPr>
      <w:color w:val="0563C1" w:themeColor="hyperlink"/>
      <w:u w:val="single"/>
    </w:rPr>
  </w:style>
  <w:style w:type="character" w:styleId="UnresolvedMention">
    <w:name w:val="Unresolved Mention"/>
    <w:basedOn w:val="DefaultParagraphFont"/>
    <w:uiPriority w:val="99"/>
    <w:semiHidden/>
    <w:unhideWhenUsed/>
    <w:rsid w:val="003D7A83"/>
    <w:rPr>
      <w:color w:val="605E5C"/>
      <w:shd w:val="clear" w:color="auto" w:fill="E1DFDD"/>
    </w:rPr>
  </w:style>
  <w:style w:type="paragraph" w:styleId="ListParagraph">
    <w:name w:val="List Paragraph"/>
    <w:basedOn w:val="Normal"/>
    <w:uiPriority w:val="34"/>
    <w:qFormat/>
    <w:rsid w:val="003D7A83"/>
    <w:pPr>
      <w:ind w:left="720"/>
      <w:contextualSpacing/>
    </w:pPr>
  </w:style>
  <w:style w:type="paragraph" w:customStyle="1" w:styleId="mb-0">
    <w:name w:val="mb-0"/>
    <w:basedOn w:val="Normal"/>
    <w:rsid w:val="003D7A8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3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50760">
      <w:bodyDiv w:val="1"/>
      <w:marLeft w:val="0"/>
      <w:marRight w:val="0"/>
      <w:marTop w:val="0"/>
      <w:marBottom w:val="0"/>
      <w:divBdr>
        <w:top w:val="none" w:sz="0" w:space="0" w:color="auto"/>
        <w:left w:val="none" w:sz="0" w:space="0" w:color="auto"/>
        <w:bottom w:val="none" w:sz="0" w:space="0" w:color="auto"/>
        <w:right w:val="none" w:sz="0" w:space="0" w:color="auto"/>
      </w:divBdr>
    </w:div>
    <w:div w:id="824012812">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ationgateway.org/ConservationByGeography/NorthAmerica/UnitedStates/edc/reportsdata/marine/namera/namera/Pages/default.aspx" TargetMode="External"/><Relationship Id="rId13" Type="http://schemas.openxmlformats.org/officeDocument/2006/relationships/hyperlink" Target="https://www.ngdc.noaa.gov/geosamples/survey.jsp" TargetMode="External"/><Relationship Id="rId3" Type="http://schemas.openxmlformats.org/officeDocument/2006/relationships/settings" Target="settings.xml"/><Relationship Id="rId7" Type="http://schemas.openxmlformats.org/officeDocument/2006/relationships/hyperlink" Target="https://gcmd.nasa.gov/records/GCMD_DBDBV.html" TargetMode="External"/><Relationship Id="rId12" Type="http://schemas.openxmlformats.org/officeDocument/2006/relationships/hyperlink" Target="https://www.usgs.gov/natural-hazards/coastal-marine-hazards-and-resources/science/accessing-usseabed?qt-science_center_objects=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ps.ngdc.noaa.gov/viewers/bathymetry/" TargetMode="External"/><Relationship Id="rId11" Type="http://schemas.openxmlformats.org/officeDocument/2006/relationships/hyperlink" Target="https://woodshole.er.usgs.gov/project-pages/sediment/gis-data-catalog.html" TargetMode="External"/><Relationship Id="rId5" Type="http://schemas.openxmlformats.org/officeDocument/2006/relationships/hyperlink" Target="mailto:marta.ribera@tnc.org" TargetMode="External"/><Relationship Id="rId15" Type="http://schemas.openxmlformats.org/officeDocument/2006/relationships/hyperlink" Target="mailto:eScience@tnc.org" TargetMode="External"/><Relationship Id="rId10" Type="http://schemas.openxmlformats.org/officeDocument/2006/relationships/hyperlink" Target="https://www.nefmc.org/library/fishing-effects-model" TargetMode="External"/><Relationship Id="rId4" Type="http://schemas.openxmlformats.org/officeDocument/2006/relationships/webSettings" Target="webSettings.xml"/><Relationship Id="rId9" Type="http://schemas.openxmlformats.org/officeDocument/2006/relationships/hyperlink" Target="mailto:eScience@tnc.org" TargetMode="External"/><Relationship Id="rId14" Type="http://schemas.openxmlformats.org/officeDocument/2006/relationships/hyperlink" Target="https://www.conservationgateway.org/ConservationByGeography/NorthAmerica/UnitedStates/edc/reportsdata/marine/namera/namera/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Ribera</dc:creator>
  <cp:keywords/>
  <dc:description/>
  <cp:lastModifiedBy>Marta Ribera</cp:lastModifiedBy>
  <cp:revision>7</cp:revision>
  <dcterms:created xsi:type="dcterms:W3CDTF">2021-04-12T19:11:00Z</dcterms:created>
  <dcterms:modified xsi:type="dcterms:W3CDTF">2021-04-12T19:18:00Z</dcterms:modified>
</cp:coreProperties>
</file>