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Forschungsprojekte – Übersicht</w:t>
      </w:r>
    </w:p>
    <w:p>
      <w:pPr>
        <w:jc w:val="center"/>
      </w:pPr>
      <w:r>
        <w:t>PhD-Draft-Skizzen (Broker Research &amp; Management Disclosures)</w:t>
      </w:r>
    </w:p>
    <w:p/>
    <w:p>
      <w:pPr>
        <w:pStyle w:val="Heading1"/>
      </w:pPr>
      <w:r>
        <w:t>1) Informationsursprung im Analystenreport (Belegbarkeits-Studie)</w:t>
      </w:r>
    </w:p>
    <w:p>
      <w:pPr>
        <w:pStyle w:val="Heading2"/>
      </w:pPr>
      <w:r>
        <w:t>Ziel</w:t>
      </w:r>
    </w:p>
    <w:p>
      <w:pPr>
        <w:pStyle w:val="ListBullet"/>
      </w:pPr>
      <w:r>
        <w:t>Belegbarkeit von Claims in Broker-Reports (v. a. Investment Thesis, Risk Section) anhand öffentlich verfügbarer Quellen, die vor dem Reportdatum liegen.</w:t>
      </w:r>
    </w:p>
    <w:p>
      <w:pPr>
        <w:pStyle w:val="Heading2"/>
      </w:pPr>
      <w:r>
        <w:t>Daten/Scope</w:t>
      </w:r>
    </w:p>
    <w:p>
      <w:pPr>
        <w:pStyle w:val="ListBullet"/>
      </w:pPr>
      <w:r>
        <w:t>Universe: S&amp;P 500; Fokus initial auf ausgewählte Bankhäuser (erweiterbar).</w:t>
      </w:r>
    </w:p>
    <w:p>
      <w:pPr>
        <w:pStyle w:val="ListBullet"/>
      </w:pPr>
      <w:r>
        <w:t>Quellen: 10-K/10-Q/20-F/8-K, Pressemitteilungen, Investor-Präsentationen, Earnings-Calls.</w:t>
      </w:r>
    </w:p>
    <w:p>
      <w:pPr>
        <w:pStyle w:val="ListBullet"/>
      </w:pPr>
      <w:r>
        <w:t>Zeitstempel: UTC; Release-Uhrzeiten für Quellen und Reports.</w:t>
      </w:r>
    </w:p>
    <w:p>
      <w:pPr>
        <w:pStyle w:val="Heading2"/>
      </w:pPr>
      <w:r>
        <w:t>Operationalisierung</w:t>
      </w:r>
    </w:p>
    <w:p>
      <w:pPr>
        <w:pStyle w:val="ListBullet"/>
      </w:pPr>
      <w:r>
        <w:t>Claim-Typen: Fakten (Zahlen/KPIs/Zitate) und Prognosen (Forward-looking).</w:t>
      </w:r>
    </w:p>
    <w:p>
      <w:pPr>
        <w:pStyle w:val="ListBullet"/>
      </w:pPr>
      <w:r>
        <w:t>Granularität: zu evaluieren (Satz/Bullet/Abschnitt).</w:t>
      </w:r>
    </w:p>
    <w:p>
      <w:pPr>
        <w:pStyle w:val="ListBullet"/>
      </w:pPr>
      <w:r>
        <w:t>Matching: semantische Paraphrase genügt (nicht nur exakte Zitate).</w:t>
      </w:r>
    </w:p>
    <w:p>
      <w:pPr>
        <w:pStyle w:val="ListBullet"/>
      </w:pPr>
      <w:r>
        <w:t>Evidenz-Labels (Vorschlag): belegt / teilweise belegt / nicht belegbar / widersprochen.</w:t>
      </w:r>
    </w:p>
    <w:p>
      <w:pPr>
        <w:pStyle w:val="ListBullet"/>
      </w:pPr>
      <w:r>
        <w:t>Bewertung: LLM-as-Judge (kalibriert auf Gold-Sample, κ-Ziel), mit menschlichem QA-Audit.</w:t>
      </w:r>
    </w:p>
    <w:p>
      <w:pPr>
        <w:pStyle w:val="Heading2"/>
      </w:pPr>
      <w:r>
        <w:t>Metriken</w:t>
      </w:r>
    </w:p>
    <w:p>
      <w:pPr>
        <w:pStyle w:val="ListBullet"/>
      </w:pPr>
      <w:r>
        <w:t>Belegbarkeits-Rate je Sektion/Broker/Firma; Anteil Prognose-vs-Fakt-Claims.</w:t>
      </w:r>
    </w:p>
    <w:p>
      <w:pPr>
        <w:pStyle w:val="ListBullet"/>
      </w:pPr>
      <w:r>
        <w:t>Precision/Recall@k der Evidenz, Attribution-Korrektheit, Zeit-bis-Evidenz.</w:t>
      </w:r>
    </w:p>
    <w:p>
      <w:pPr>
        <w:pStyle w:val="Heading2"/>
      </w:pPr>
      <w:r>
        <w:t>Methodik</w:t>
      </w:r>
    </w:p>
    <w:p>
      <w:pPr>
        <w:pStyle w:val="ListBullet"/>
      </w:pPr>
      <w:r>
        <w:t>RAG-Pipeline über definierte Publikationskorpora (Dedup, Versionierung, „published-before“-Filter).</w:t>
      </w:r>
    </w:p>
    <w:p>
      <w:pPr>
        <w:pStyle w:val="ListBullet"/>
      </w:pPr>
      <w:r>
        <w:t>Abblationen: Chunking-Größe, Re-Ranking, Passage vs. Table-Extractor.</w:t>
      </w:r>
    </w:p>
    <w:p>
      <w:pPr>
        <w:pStyle w:val="Heading2"/>
      </w:pPr>
      <w:r>
        <w:t>Ergebnis</w:t>
      </w:r>
    </w:p>
    <w:p>
      <w:pPr>
        <w:pStyle w:val="ListBullet"/>
      </w:pPr>
      <w:r>
        <w:t>Score je Report/Sektion, Evidence-Graph (Claim→Quelle), Benchmark-Dataset für Finance-RAG.</w:t>
      </w:r>
    </w:p>
    <w:p/>
    <w:p>
      <w:pPr>
        <w:pStyle w:val="Heading1"/>
      </w:pPr>
      <w:r>
        <w:t>2) Wirkt das Delta oder ist es Noise?</w:t>
      </w:r>
    </w:p>
    <w:p>
      <w:pPr>
        <w:pStyle w:val="Heading2"/>
      </w:pPr>
      <w:r>
        <w:t>Frage</w:t>
      </w:r>
    </w:p>
    <w:p>
      <w:pPr>
        <w:pStyle w:val="ListBullet"/>
      </w:pPr>
      <w:r>
        <w:t>Beschreibt das Delta (Broker vs. Management) die nachfolgende Entwicklung besser als Zufall/Noise?</w:t>
      </w:r>
    </w:p>
    <w:p>
      <w:pPr>
        <w:pStyle w:val="Heading2"/>
      </w:pPr>
      <w:r>
        <w:t>Definition &amp; Messung</w:t>
      </w:r>
    </w:p>
    <w:p>
      <w:pPr>
        <w:pStyle w:val="ListBullet"/>
      </w:pPr>
      <w:r>
        <w:t>Delta-Konstrukte:</w:t>
      </w:r>
    </w:p>
    <w:p>
      <w:pPr>
        <w:pStyle w:val="ListBullet"/>
      </w:pPr>
      <w:r>
        <w:t>• Textähnlichkeit (Cosine) zwischen Broker- und Management-Narrativ (gleiches Quartal).</w:t>
      </w:r>
    </w:p>
    <w:p>
      <w:pPr>
        <w:pStyle w:val="ListBullet"/>
      </w:pPr>
      <w:r>
        <w:t>• Thematische Divergenz (z. B. JSD/Topic-Shift).</w:t>
      </w:r>
    </w:p>
    <w:p>
      <w:pPr>
        <w:pStyle w:val="ListBullet"/>
      </w:pPr>
      <w:r>
        <w:t>• Claim-Gewichtung: materiale Claims (KPIs, Guidance) &gt; narrative Claims (Framing); beide berücksichtigt.</w:t>
      </w:r>
    </w:p>
    <w:p>
      <w:pPr>
        <w:pStyle w:val="ListBullet"/>
      </w:pPr>
      <w:r>
        <w:t>• Schwellen/Bins: small / medium / large (Divergenz-Quantile).</w:t>
      </w:r>
    </w:p>
    <w:p>
      <w:pPr>
        <w:pStyle w:val="Heading2"/>
      </w:pPr>
      <w:r>
        <w:t>Zeitachse</w:t>
      </w:r>
    </w:p>
    <w:p>
      <w:pPr>
        <w:pStyle w:val="ListBullet"/>
      </w:pPr>
      <w:r>
        <w:t>Beobachtungsfenster für Delta: T (Earnings-Call) → T+1 (Broker-Report).</w:t>
      </w:r>
    </w:p>
    <w:p>
      <w:pPr>
        <w:pStyle w:val="ListBullet"/>
      </w:pPr>
      <w:r>
        <w:t>Outcomes (Vorschlag): AR[1,5], Volumen, IV/Spreads, Forecast-Revisionen (1–30 Tage).</w:t>
      </w:r>
    </w:p>
    <w:p>
      <w:pPr>
        <w:pStyle w:val="Heading2"/>
      </w:pPr>
      <w:r>
        <w:t>Empirie</w:t>
      </w:r>
    </w:p>
    <w:p>
      <w:pPr>
        <w:pStyle w:val="ListBullet"/>
      </w:pPr>
      <w:r>
        <w:t>Panel-Modelle mit Firm- &amp; Zeit-FE; Broker-FE optional.</w:t>
      </w:r>
    </w:p>
    <w:p>
      <w:pPr>
        <w:pStyle w:val="ListBullet"/>
      </w:pPr>
      <w:r>
        <w:t>Externe Kontrollen noch zu definieren (Makro, Sektor-News, SUE, Event-Overlaps).</w:t>
      </w:r>
    </w:p>
    <w:p>
      <w:pPr>
        <w:pStyle w:val="ListBullet"/>
      </w:pPr>
      <w:r>
        <w:t>Robustheit: alternative Delta-Maße, Winsorizing, Placebos (verschobene Fenster).</w:t>
      </w:r>
    </w:p>
    <w:p>
      <w:pPr>
        <w:pStyle w:val="Heading2"/>
      </w:pPr>
      <w:r>
        <w:t>Ergebnis</w:t>
      </w:r>
    </w:p>
    <w:p>
      <w:pPr>
        <w:pStyle w:val="ListBullet"/>
      </w:pPr>
      <w:r>
        <w:t>Elastizitäten: Effekt pro 1σ-Delta auf Outcomes; Test „Delta≠Noise“.</w:t>
      </w:r>
    </w:p>
    <w:p/>
    <w:p>
      <w:pPr>
        <w:pStyle w:val="Heading1"/>
      </w:pPr>
      <w:r>
        <w:t>3) Narrative Translation (Management → Broker)</w:t>
      </w:r>
    </w:p>
    <w:p>
      <w:pPr>
        <w:pStyle w:val="Heading2"/>
      </w:pPr>
      <w:r>
        <w:t>Kernidee</w:t>
      </w:r>
    </w:p>
    <w:p>
      <w:pPr>
        <w:pStyle w:val="ListBullet"/>
      </w:pPr>
      <w:r>
        <w:t>Welche Management-Narrativ-Elemente werden übernommen / umgewichtet / ausgelassen?</w:t>
      </w:r>
    </w:p>
    <w:p>
      <w:pPr>
        <w:pStyle w:val="Heading2"/>
      </w:pPr>
      <w:r>
        <w:t>Vorschlag für erste Operationalisierung</w:t>
      </w:r>
    </w:p>
    <w:p>
      <w:pPr>
        <w:pStyle w:val="ListBullet"/>
      </w:pPr>
      <w:r>
        <w:t>Gemeinsame Topic-Taxonomie; Mapping-Matrix Management-Topic i → Broker-Topic j (Transport/Amplification).</w:t>
      </w:r>
    </w:p>
    <w:p>
      <w:pPr>
        <w:pStyle w:val="ListBullet"/>
      </w:pPr>
      <w:r>
        <w:t>Stil/Framing-Metriken: Hedging, Modalverben, Unsicherheitslexika, Konkretheit; getrennt von KPI-Übernahmen.</w:t>
      </w:r>
    </w:p>
    <w:p>
      <w:pPr>
        <w:pStyle w:val="ListBullet"/>
      </w:pPr>
      <w:r>
        <w:t>Output: Translation-Matrix (Sankey), Broker-Profile („Amplifier“, „Hedger“, „Reframer“).</w:t>
      </w:r>
    </w:p>
    <w:p>
      <w:pPr>
        <w:pStyle w:val="Heading2"/>
      </w:pPr>
      <w:r>
        <w:t>Design-Skizze</w:t>
      </w:r>
    </w:p>
    <w:p>
      <w:pPr>
        <w:pStyle w:val="ListBullet"/>
      </w:pPr>
      <w:r>
        <w:t>Alignment von Sätzen/Abschnitten (Zitat/Paraphrase-Mining).</w:t>
      </w:r>
    </w:p>
    <w:p>
      <w:pPr>
        <w:pStyle w:val="ListBullet"/>
      </w:pPr>
      <w:r>
        <w:t>Zeit-Lag (Call→Report) als Moderator der Übersetzungsraten.</w:t>
      </w:r>
    </w:p>
    <w:p>
      <w:pPr>
        <w:pStyle w:val="ListBullet"/>
      </w:pPr>
      <w:r>
        <w:t>Validierung: LLM-as-Judge + annotiertes Subset.</w:t>
      </w:r>
    </w:p>
    <w:p>
      <w:pPr>
        <w:pStyle w:val="Heading2"/>
      </w:pPr>
      <w:r>
        <w:t>Outcomes (Vorschlag)</w:t>
      </w:r>
    </w:p>
    <w:p>
      <w:pPr>
        <w:pStyle w:val="ListBullet"/>
      </w:pPr>
      <w:r>
        <w:t>Korrelation Translation-Intensität ↔ Forecast-Revisionen (1–30 Tage), AR[1,5], IV/Spreads.</w:t>
      </w:r>
    </w:p>
    <w:p/>
    <w:p>
      <w:pPr>
        <w:pStyle w:val="Heading1"/>
      </w:pPr>
      <w:r>
        <w:t>4) Timing &amp; Wirkung (Does speed matter?)</w:t>
      </w:r>
    </w:p>
    <w:p>
      <w:pPr>
        <w:pStyle w:val="Heading2"/>
      </w:pPr>
      <w:r>
        <w:t>Ziel</w:t>
      </w:r>
    </w:p>
    <w:p>
      <w:pPr>
        <w:pStyle w:val="ListBullet"/>
      </w:pPr>
      <w:r>
        <w:t>Schätzt die Speed-Elasticity: Effekt der Publikations-Latenz τ = t(R)−t(C_end) auf Marktreaktion.</w:t>
      </w:r>
    </w:p>
    <w:p>
      <w:pPr>
        <w:pStyle w:val="Heading2"/>
      </w:pPr>
      <w:r>
        <w:t>Design</w:t>
      </w:r>
    </w:p>
    <w:p>
      <w:pPr>
        <w:pStyle w:val="ListBullet"/>
      </w:pPr>
      <w:r>
        <w:t>Events: Ende Prepared Remarks oder Q&amp;A (= t(C_end), klar zu fixieren).</w:t>
      </w:r>
    </w:p>
    <w:p>
      <w:pPr>
        <w:pStyle w:val="ListBullet"/>
      </w:pPr>
      <w:r>
        <w:t>t(R): Erstveröffentlichungszeitpunkt Broker-Report (UTC).</w:t>
      </w:r>
    </w:p>
    <w:p>
      <w:pPr>
        <w:pStyle w:val="ListBullet"/>
      </w:pPr>
      <w:r>
        <w:t>Surprise: SUE/Guidance-Surprise und/oder Text-Surprise (Call).</w:t>
      </w:r>
    </w:p>
    <w:p>
      <w:pPr>
        <w:pStyle w:val="ListBullet"/>
      </w:pPr>
      <w:r>
        <w:t>Event-Study intraday bis T+1 (minütlich), optional T+5.</w:t>
      </w:r>
    </w:p>
    <w:p>
      <w:pPr>
        <w:pStyle w:val="Heading2"/>
      </w:pPr>
      <w:r>
        <w:t>Modell</w:t>
      </w:r>
    </w:p>
    <w:p>
      <w:pPr>
        <w:pStyle w:val="ListBullet"/>
      </w:pPr>
      <w:r>
        <w:t>AR/Abnormal-Volumen ~ τ × |Surprise| (+ Kontrollen; Cluster SE Firm×Tag).</w:t>
      </w:r>
    </w:p>
    <w:p>
      <w:pPr>
        <w:pStyle w:val="ListBullet"/>
      </w:pPr>
      <w:r>
        <w:t>Heterogenität: Liquidity, Size, Analyst-Reputation, News-Konkurrenz.</w:t>
      </w:r>
    </w:p>
    <w:p>
      <w:pPr>
        <w:pStyle w:val="ListBullet"/>
      </w:pPr>
      <w:r>
        <w:t>Robustheit: Overlap-Filter, microstructure-adjusted Returns, Zeitzonen/DST-Checks.</w:t>
      </w:r>
    </w:p>
    <w:p>
      <w:pPr>
        <w:pStyle w:val="Heading2"/>
      </w:pPr>
      <w:r>
        <w:t>Ergebnis</w:t>
      </w:r>
    </w:p>
    <w:p>
      <w:pPr>
        <w:pStyle w:val="ListBullet"/>
      </w:pPr>
      <w:r>
        <w:t>bp AR pro Stunde Verzögerung; Policy-/Trading-Implikationen.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