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LabMate 设备视觉模板交付说明</w:t>
      </w:r>
    </w:p>
    <w:p>
      <w:r>
        <w:t>第一项任务完成情况  2026年10月12日</w:t>
      </w:r>
    </w:p>
    <w:p>
      <w:r>
        <w:t>本次根据老师提供的三份 SIGLENT 说明书，完成示波器、信号发生器和数字万用表的视觉识别模板。新增内容包括部件目录、手册参考图、识别提示词、JSON 输出协议和模板读取工具，供现有 Qwen 多模态框架后续选用。</w:t>
      </w:r>
    </w:p>
    <w:p>
      <w:r>
        <w:t>工作范围为设备模板设计。OCR 接入及对比实验不在本次范围内。组长原有文件没有修改或删除，原来的演示接口和动态规划流程继续保留。</w:t>
      </w:r>
    </w:p>
    <w:p>
      <w:pPr>
        <w:pStyle w:val="Heading1"/>
      </w:pPr>
      <w:r>
        <w:t>1 完成的模板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</w:trPr>
        <w:tc>
          <w:tcPr>
            <w:tcW w:type="dxa" w:w="3528"/>
            <w:shd w:fill="E6EDF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b/>
                <w:sz w:val="20"/>
              </w:rPr>
              <w:t>设备模板</w:t>
            </w:r>
          </w:p>
        </w:tc>
        <w:tc>
          <w:tcPr>
            <w:tcW w:type="dxa" w:w="936"/>
            <w:shd w:fill="E6EDF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b/>
                <w:sz w:val="20"/>
              </w:rPr>
              <w:t>条目数</w:t>
            </w:r>
          </w:p>
        </w:tc>
        <w:tc>
          <w:tcPr>
            <w:tcW w:type="dxa" w:w="5472"/>
            <w:shd w:fill="E6EDF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b/>
                <w:sz w:val="20"/>
              </w:rPr>
              <w:t>依据</w:t>
            </w:r>
          </w:p>
        </w:tc>
      </w:tr>
      <w:tr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sz w:val="20"/>
              </w:rPr>
              <w:t>SDS2000X HD 示波器</w:t>
            </w:r>
          </w:p>
        </w:tc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sz w:val="20"/>
              </w:rPr>
              <w:t>34</w:t>
            </w:r>
          </w:p>
        </w:tc>
        <w:tc>
          <w:tcPr>
            <w:tcW w:type="dxa" w:w="54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sz w:val="20"/>
              </w:rPr>
              <w:t>HD 手册的前后面板、屏幕与控制区</w:t>
            </w:r>
          </w:p>
        </w:tc>
      </w:tr>
      <w:tr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sz w:val="20"/>
              </w:rPr>
              <w:t>SDG2000X 信号发生器</w:t>
            </w:r>
          </w:p>
        </w:tc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sz w:val="20"/>
              </w:rPr>
              <w:t>32</w:t>
            </w:r>
          </w:p>
        </w:tc>
        <w:tc>
          <w:tcPr>
            <w:tcW w:type="dxa" w:w="54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sz w:val="20"/>
              </w:rPr>
              <w:t>SDG2000X 手册及 SDG2082X 外观核对</w:t>
            </w:r>
          </w:p>
        </w:tc>
      </w:tr>
      <w:tr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sz w:val="20"/>
              </w:rPr>
              <w:t>SDM3055X-E 数字万用表</w:t>
            </w:r>
          </w:p>
        </w:tc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sz w:val="20"/>
              </w:rPr>
              <w:t>39</w:t>
            </w:r>
          </w:p>
        </w:tc>
        <w:tc>
          <w:tcPr>
            <w:tcW w:type="dxa" w:w="54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sz w:val="20"/>
              </w:rPr>
              <w:t>SDM3055X-E 手册，待对应实物核对</w:t>
            </w:r>
          </w:p>
        </w:tc>
      </w:tr>
    </w:tbl>
    <w:p>
      <w:r>
        <w:t>合计 105 个部件或功能区条目，包含部件组与子部件，并不表示 105 个独立硬件。每个条目记录 ID、中文名、手册图标记、位置提示、用途、观察项、章节、PDF 页码和印刷页码。</w:t>
      </w:r>
    </w:p>
    <w:p>
      <w:pPr>
        <w:pStyle w:val="Heading1"/>
      </w:pPr>
      <w:r>
        <w:t>2 仓库新增内容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/>
        </w:trPr>
        <w:tc>
          <w:tcPr>
            <w:tcW w:type="dxa" w:w="4680"/>
            <w:shd w:fill="E6EDF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b/>
                <w:sz w:val="20"/>
              </w:rPr>
              <w:t>新增位置</w:t>
            </w:r>
          </w:p>
        </w:tc>
        <w:tc>
          <w:tcPr>
            <w:tcW w:type="dxa" w:w="5256"/>
            <w:shd w:fill="E6EDF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b/>
                <w:sz w:val="20"/>
              </w:rPr>
              <w:t>用途</w:t>
            </w:r>
          </w:p>
        </w:tc>
      </w:tr>
      <w:tr>
        <w:tc>
          <w:tcPr>
            <w:tcW w:type="dxa" w:w="46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sz w:val="20"/>
              </w:rPr>
              <w:t>backend/device_templates/templates</w:t>
            </w:r>
          </w:p>
        </w:tc>
        <w:tc>
          <w:tcPr>
            <w:tcW w:type="dxa" w:w="52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sz w:val="20"/>
              </w:rPr>
              <w:t>三份设备部件目录 JSON</w:t>
            </w:r>
          </w:p>
        </w:tc>
      </w:tr>
      <w:tr>
        <w:tc>
          <w:tcPr>
            <w:tcW w:type="dxa" w:w="46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sz w:val="20"/>
              </w:rPr>
              <w:t>backend/device_templates/assets</w:t>
            </w:r>
          </w:p>
        </w:tc>
        <w:tc>
          <w:tcPr>
            <w:tcW w:type="dxa" w:w="52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sz w:val="20"/>
              </w:rPr>
              <w:t>九张手册参考页图及来源清单</w:t>
            </w:r>
          </w:p>
        </w:tc>
      </w:tr>
      <w:tr>
        <w:tc>
          <w:tcPr>
            <w:tcW w:type="dxa" w:w="46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sz w:val="20"/>
              </w:rPr>
              <w:t>backend/device_templates/prompts</w:t>
            </w:r>
          </w:p>
        </w:tc>
        <w:tc>
          <w:tcPr>
            <w:tcW w:type="dxa" w:w="52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sz w:val="20"/>
              </w:rPr>
              <w:t>公共规则及三份完整提示词</w:t>
            </w:r>
          </w:p>
        </w:tc>
      </w:tr>
      <w:tr>
        <w:tc>
          <w:tcPr>
            <w:tcW w:type="dxa" w:w="46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sz w:val="20"/>
              </w:rPr>
              <w:t>catalog.py 和 __main__.py</w:t>
            </w:r>
          </w:p>
        </w:tc>
        <w:tc>
          <w:tcPr>
            <w:tcW w:type="dxa" w:w="52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sz w:val="20"/>
              </w:rPr>
              <w:t>读取模板、编译提示词及预览 Qwen 输入</w:t>
            </w:r>
          </w:p>
        </w:tc>
      </w:tr>
      <w:tr>
        <w:tc>
          <w:tcPr>
            <w:tcW w:type="dxa" w:w="46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sz w:val="20"/>
              </w:rPr>
              <w:t>schemas 和 examples</w:t>
            </w:r>
          </w:p>
        </w:tc>
        <w:tc>
          <w:tcPr>
            <w:tcW w:type="dxa" w:w="52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sz w:val="20"/>
              </w:rPr>
              <w:t>JSON 输出协议及 unknown 示例</w:t>
            </w:r>
          </w:p>
        </w:tc>
      </w:tr>
      <w:tr>
        <w:tc>
          <w:tcPr>
            <w:tcW w:type="dxa" w:w="46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sz w:val="20"/>
              </w:rPr>
              <w:t>docs 和 tests</w:t>
            </w:r>
          </w:p>
        </w:tc>
        <w:tc>
          <w:tcPr>
            <w:tcW w:type="dxa" w:w="52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sz w:val="20"/>
              </w:rPr>
              <w:t>交付说明、照片核对记录及七项无网络测试</w:t>
            </w:r>
          </w:p>
        </w:tc>
      </w:tr>
    </w:tbl>
    <w:p>
      <w:r>
        <w:br w:type="page"/>
      </w:r>
    </w:p>
    <w:p>
      <w:pPr>
        <w:pStyle w:val="Heading1"/>
      </w:pPr>
      <w:r>
        <w:t>3 模板中的设备模块</w:t>
      </w:r>
    </w:p>
    <w:p>
      <w:pPr>
        <w:pStyle w:val="Heading2"/>
      </w:pPr>
      <w:r>
        <w:t>示波器</w:t>
      </w:r>
    </w:p>
    <w:p>
      <w:r>
        <w:t>前面板覆盖触摸屏、控制键盘、校准和接地端、USB Host、MSO、模拟输入、电源和支撑脚；后面板覆盖外触发、辅助输出、函数发生器输出、LAN、USB、电源和提手。</w:t>
      </w:r>
    </w:p>
    <w:p>
      <w:r>
        <w:t>屏幕模板区分菜单栏、网格、光标、通道参数、时基和触发参数、对话框，并补充通道键、垂直旋钮、水平控制、触发区、Run Stop、AutoSetup 和常用功能键。</w:t>
      </w:r>
    </w:p>
    <w:p>
      <w:pPr>
        <w:pStyle w:val="Heading2"/>
      </w:pPr>
      <w:r>
        <w:t>信号发生器</w:t>
      </w:r>
    </w:p>
    <w:p>
      <w:r>
        <w:t>前面板覆盖屏幕、USB、软键、数字键盘、多功能旋钮、方向键、功能键及两通道输出；后面板覆盖 Counter、Aux In Out、10MHz 时钟、接地、LAN、USB Device 和电源。</w:t>
      </w:r>
    </w:p>
    <w:p>
      <w:r>
        <w:t>屏幕模板区分波形预览、通道状态、频率幅度偏置相位、负载和输出、网络与模式提示、菜单和调制参数。明确区分输出设定值与实测值，保留 Vpp、Vrms 和 dBm 的意义。</w:t>
      </w:r>
    </w:p>
    <w:p>
      <w:pPr>
        <w:pStyle w:val="Heading2"/>
      </w:pPr>
      <w:r>
        <w:t>数字万用表</w:t>
      </w:r>
    </w:p>
    <w:p>
      <w:r>
        <w:t>前面板覆盖 LCD、USB、软键、基本辅助功能键、量程方向键和五个测量端子。端子分别为 Input HI、Input LO、HI Sense、LO Sense 和 Input I，避免把电压与电流输入混为一类。</w:t>
      </w:r>
    </w:p>
    <w:p>
      <w:r>
        <w:t>后面板覆盖电源、两类保险丝、电压选择器、巡检卡、USB、LAN、VMC 和外触发。屏幕模板区分测量功能、主读数、副读数、单位、量程、触发和菜单。</w:t>
      </w:r>
    </w:p>
    <w:p>
      <w:pPr>
        <w:pStyle w:val="Heading1"/>
      </w:pPr>
      <w:r>
        <w:t>4 说明书依据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</w:trPr>
        <w:tc>
          <w:tcPr>
            <w:tcW w:type="dxa" w:w="3600"/>
            <w:shd w:fill="E6EDF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b/>
                <w:sz w:val="20"/>
              </w:rPr>
              <w:t>说明书</w:t>
            </w:r>
          </w:p>
        </w:tc>
        <w:tc>
          <w:tcPr>
            <w:tcW w:type="dxa" w:w="3672"/>
            <w:shd w:fill="E6EDF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b/>
                <w:sz w:val="20"/>
              </w:rPr>
              <w:t>参考图片的 PDF 页码</w:t>
            </w:r>
          </w:p>
        </w:tc>
        <w:tc>
          <w:tcPr>
            <w:tcW w:type="dxa" w:w="2664"/>
            <w:shd w:fill="E6EDF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b/>
                <w:sz w:val="20"/>
              </w:rPr>
              <w:t>对应印刷页码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sz w:val="20"/>
              </w:rPr>
              <w:t>SDS2000X HD</w:t>
            </w:r>
          </w:p>
        </w:tc>
        <w:tc>
          <w:tcPr>
            <w:tcW w:type="dxa" w:w="36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sz w:val="20"/>
              </w:rPr>
              <w:t>22 前面板</w:t>
              <w:br/>
              <w:t>23 后面板</w:t>
              <w:br/>
              <w:t>27 屏幕</w:t>
            </w:r>
          </w:p>
        </w:tc>
        <w:tc>
          <w:tcPr>
            <w:tcW w:type="dxa" w:w="26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sz w:val="20"/>
              </w:rPr>
              <w:t>20</w:t>
              <w:br/>
              <w:t>21</w:t>
              <w:br/>
              <w:t>25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sz w:val="20"/>
              </w:rPr>
              <w:t>SDG2000X</w:t>
            </w:r>
          </w:p>
        </w:tc>
        <w:tc>
          <w:tcPr>
            <w:tcW w:type="dxa" w:w="36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sz w:val="20"/>
              </w:rPr>
              <w:t>10 前面板</w:t>
              <w:br/>
              <w:t>11 后面板</w:t>
              <w:br/>
              <w:t>12 屏幕</w:t>
            </w:r>
          </w:p>
        </w:tc>
        <w:tc>
          <w:tcPr>
            <w:tcW w:type="dxa" w:w="26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sz w:val="20"/>
              </w:rPr>
              <w:t>8</w:t>
              <w:br/>
              <w:t>9</w:t>
              <w:br/>
              <w:t>10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sz w:val="20"/>
              </w:rPr>
              <w:t>SDM3055X-E</w:t>
            </w:r>
          </w:p>
        </w:tc>
        <w:tc>
          <w:tcPr>
            <w:tcW w:type="dxa" w:w="36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sz w:val="20"/>
              </w:rPr>
              <w:t>16 前面板</w:t>
              <w:br/>
              <w:t>17 后面板</w:t>
              <w:br/>
              <w:t>19 单显和双显</w:t>
            </w:r>
          </w:p>
        </w:tc>
        <w:tc>
          <w:tcPr>
            <w:tcW w:type="dxa" w:w="26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sz w:val="20"/>
              </w:rPr>
              <w:t>4</w:t>
              <w:br/>
              <w:t>5</w:t>
              <w:br/>
              <w:t>7</w:t>
            </w:r>
          </w:p>
        </w:tc>
      </w:tr>
    </w:tbl>
    <w:p>
      <w:r>
        <w:t>控制区条目的出处也逐项保存在 JSON 中。assets/manifest.json 记录原手册文件名、SHA256 和总页数，后续换版手册时可以核对。参考页图保留字母、箭头和说明，但其示例数字和灯光不能作为本轮现场状态。</w:t>
      </w:r>
    </w:p>
    <w:p>
      <w:r>
        <w:br w:type="page"/>
      </w:r>
    </w:p>
    <w:p>
      <w:pPr>
        <w:pStyle w:val="Heading1"/>
      </w:pPr>
      <w:r>
        <w:t>5 如何把模板给大模型</w:t>
      </w:r>
    </w:p>
    <w:p>
      <w:r>
        <w:t>可以先在模型控制台使用完整提示词，替换其中的用户问题，同时上传现场照片和对应参考图，分别标明“本轮现场照片”与“说明书参考图”。只读现场图中的状态，参考图用于部件命名和布局。</w:t>
      </w:r>
    </w:p>
    <w:p>
      <w:r>
        <w:t>也可以在仓库根目录使用无网络预览命令。命令不会调用 Qwen，也不读取 API Key：</w:t>
      </w:r>
    </w:p>
    <w:p>
      <w:pPr>
        <w:spacing w:line="252" w:lineRule="auto"/>
      </w:pPr>
      <w:r>
        <w:rPr>
          <w:rFonts w:ascii="Consolas" w:hAnsi="Consolas"/>
          <w:sz w:val="19"/>
        </w:rPr>
        <w:t>python -m backend.device_templates --list</w:t>
      </w:r>
    </w:p>
    <w:p>
      <w:r>
        <w:t>打印信号发生器模板提示词：</w:t>
      </w:r>
    </w:p>
    <w:p>
      <w:pPr>
        <w:spacing w:line="252" w:lineRule="auto"/>
      </w:pPr>
      <w:r>
        <w:rPr>
          <w:rFonts w:ascii="Consolas" w:hAnsi="Consolas"/>
          <w:sz w:val="19"/>
        </w:rPr>
        <w:t>python -m backend.device_templates --template-id siglent_sdg2000x</w:t>
        <w:br/>
        <w:t xml:space="preserve">  --question "请识别CH1输出区域"</w:t>
      </w:r>
    </w:p>
    <w:p>
      <w:r>
        <w:t>上例为了排版分两行展示，实际执行时请写成一行。生成当前图片的 Qwen 请求时，再增加 --mode fast --image "照片绝对路径"。该命令只输出请求 JSON，不发送。</w:t>
      </w:r>
    </w:p>
    <w:p>
      <w:pPr>
        <w:pStyle w:val="Heading1"/>
      </w:pPr>
      <w:r>
        <w:t>6 与组长框架的接法</w:t>
      </w:r>
    </w:p>
    <w:p>
      <w:r>
        <w:t>新增模块提供 build_visual_content()，可用来构造现有 Qwen 请求中的 messages[0].content。默认附前面板和屏幕参考图；后面板模式只附后面板图，也可以只使用文字模板。</w:t>
      </w:r>
    </w:p>
    <w:p>
      <w:r>
        <w:t>旧 POST /api/analyze 尚未自动装载这些模板，启动原 run_demo.ps1 仍使用组长原来的提示词。接入示例已写在新增目录的 README 中，后续只需在多模态消息构造处选用该函数，无需重建上传、检索、会话或动态规划模块。</w:t>
      </w:r>
    </w:p>
    <w:p>
      <w:r>
        <w:t>外层观察协议继续使用 image_quality、observations、measurement_values、visible_text、uncertain_items、safety_flags、confidence、need_retake。部件观察放入 observations.components；快速模式仍返回 observation 和 plan。</w:t>
      </w:r>
    </w:p>
    <w:p>
      <w:pPr>
        <w:pStyle w:val="Heading1"/>
      </w:pPr>
      <w:r>
        <w:t>7 接入时需要配置的内容</w:t>
      </w:r>
    </w:p>
    <w:p>
      <w:r>
        <w:t>template_id 用于选择部件目录，version 用于选择说明书知识库，两者分别配置。三份新手册没有导入原 knowledge.db，不能将原 EPI 手册回退结果当作 SIGLENT 操作依据。模板只提供识别知识，具体操作仍需匹配型号的说明书证据。</w:t>
      </w:r>
    </w:p>
    <w:p>
      <w:r>
        <w:t>旧快速模式输出上限是 650 token，返回多个部件时可能不足；新增请求预览使用 1600 作为可调整值，没有修改旧配置。Schema 已提供，但尚未接入旧 API 的运行时强制校验。</w:t>
      </w:r>
    </w:p>
    <w:p>
      <w:r>
        <w:br w:type="page"/>
      </w:r>
    </w:p>
    <w:p>
      <w:pPr>
        <w:pStyle w:val="Heading1"/>
      </w:pPr>
      <w:r>
        <w:t>8 实物与手册的差异</w:t>
      </w:r>
    </w:p>
    <w:p>
      <w:r>
        <w:t>现场示波器铭牌为 SDS2202X Plus，老师提供的手册为 SDS2000X HD。HD 手册的示例为四通道设备，现场 Plus 是两通道，部分按键和 WaveGen 接口位置不同。本次没有把 Plus 注册为 HD 别名，避免套用错误布局。</w:t>
      </w:r>
    </w:p>
    <w:p>
      <w:r>
        <w:t>Plus 照片中可确认的前面板标签另记在 device_templates_photo_notes.md。照片显示开机画面或测量光标界面，不能据此推断未拍到的后面板和 Plus 专属操作。该型号的完整模板仍需匹配的 Plus 手册。</w:t>
      </w:r>
    </w:p>
    <w:p>
      <w:r>
        <w:t>现场信号发生器为 SDG2082X，可以选择 SDG2000X 系列的公共面板模板；不能把手册示例机的带宽或采样率抄成实物参数。万用表照片仅露出另一台设备的局部端子，不能确认 SDM3055X-E，因此其模板以手册为依据。</w:t>
      </w:r>
    </w:p>
    <w:p>
      <w:pPr>
        <w:pStyle w:val="Heading1"/>
      </w:pPr>
      <w:r>
        <w:t>9 模板的观察约束</w:t>
      </w:r>
    </w:p>
    <w:p>
      <w:r>
        <w:t>参考图里的 A B C 和箭头是手册注释；手册示例读数不是当前读数。定位框需要在现场照片重新确认，用 0 到 1 的归一化坐标返回，不能复制手册图的坐标。定位不清楚时使用 null。</w:t>
      </w:r>
    </w:p>
    <w:p>
      <w:r>
        <w:t>未拍到后面板时返回 unknown；单张照片不能证明波形或读数在时间上稳定；只看到仪器端插线不能证明被测端和地线正确；旋钮外观不能推出数值。不可读的数字返回 null，并将原因记入 uncertain_items。</w:t>
      </w:r>
    </w:p>
    <w:p>
      <w:pPr>
        <w:pStyle w:val="Heading1"/>
      </w:pPr>
      <w:r>
        <w:t>10 已做的检查与交付状态</w:t>
      </w:r>
    </w:p>
    <w:p>
      <w:r>
        <w:t>七项无网络测试通过，覆盖部件和引用完整性、误选型号拒绝、现场与参考图顺序、后面板范围、纯文字模式、FAST_MODE 协议和 unknown 示例。目录、Schema 与示例 JSON 可以解析，九张参考页图已逐页核对。</w:t>
      </w:r>
    </w:p>
    <w:p>
      <w:r>
        <w:t>本次没有向模型服务发送现场照片，没有进行 Qwen 或 OCR 准确率实验，没有增加独立 OCR、目标检测训练或固定任务状态机。模板结构和输入构造可用，实际识别效果需要接入后验证。</w:t>
      </w:r>
    </w:p>
    <w:p>
      <w:r>
        <w:t>基准提交 0771203，新增分支 feat/manual-device-templates。全部新增文件已在本地提交；当前 Git 没有可用的 GitHub 登录凭据，远程分支尚未上传，也未合并至 main。完成登录并具备仓库写入权限后可推送该分支。另提供只含新增文件的 ZIP，便于组长核对和接收。</w:t>
      </w:r>
    </w:p>
    <w:sectPr w:rsidR="00FC693F" w:rsidRPr="0006063C" w:rsidSect="00034616">
      <w:footerReference w:type="default" r:id="rId9"/>
      <w:pgSz w:w="12240" w:h="15840"/>
      <w:pgMar w:top="1037" w:right="1152" w:bottom="1037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exact" w:before="0"/>
      <w:snapToGrid w:val="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snapToGrid w:val="0"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LabMate 设备视觉模板交付说明</dc:title>
  <dc:subject/>
  <dc:creator>LabMate 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