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600"/>
        <w:jc w:val="center"/>
      </w:pPr>
      <w:r>
        <w:rPr>
          <w:rFonts w:ascii="Arial" w:cs="Arial" w:eastAsia="Arial" w:hAnsi="Arial"/>
          <w:color w:val="1F3864"/>
          <w:sz w:val="44"/>
          <w:szCs w:val="44"/>
        </w:rPr>
        <w:t xml:space="preserve">Burd Functional Composition Logic</w:t>
      </w:r>
    </w:p>
    <w:p>
      <w:pPr>
        <w:spacing w:after="280"/>
        <w:jc w:val="center"/>
      </w:pPr>
      <w:r>
        <w:rPr>
          <w:i/>
          <w:iCs/>
          <w:sz w:val="24"/>
          <w:szCs w:val="24"/>
        </w:rPr>
        <w:t xml:space="preserve">A layered mathematics of quantity, structure, interaction, and function</w:t>
      </w:r>
    </w:p>
    <w:p>
      <w:pPr>
        <w:spacing w:after="80"/>
        <w:jc w:val="center"/>
      </w:pPr>
      <w:r>
        <w:rPr>
          <w:b/>
          <w:bCs/>
          <w:sz w:val="24"/>
          <w:szCs w:val="24"/>
        </w:rPr>
        <w:t xml:space="preserve">Levi Burd</w:t>
      </w:r>
    </w:p>
    <w:p>
      <w:pPr>
        <w:spacing w:after="400"/>
        <w:jc w:val="center"/>
      </w:pPr>
      <w:r>
        <w:rPr>
          <w:i/>
          <w:iCs/>
          <w:sz w:val="20"/>
          <w:szCs w:val="20"/>
        </w:rPr>
        <w:t xml:space="preserve">Research manuscript version 2.2.0   October 2026</w:t>
      </w:r>
    </w:p>
    <w:p>
      <w:pPr>
        <w:pStyle w:val="Heading2"/>
      </w:pPr>
      <w:r>
        <w:t xml:space="preserve">Status and claim boundary</w:t>
      </w:r>
    </w:p>
    <w:p>
      <w:pPr>
        <w:spacing w:after="140" w:line="276"/>
        <w:jc w:val="both"/>
      </w:pPr>
      <w:r>
        <w:t xml:space="preserve">This manuscript proposes a formal research framework. It does not dispute ordinary arithmetic, and it does not claim that 1 + 1 is unequal to 2 in the integers. Its central claim is narrower: scalar addition can be exact as a count while remaining incomplete as a representation of a composed system. The framework therefore attaches relational, interaction, state, and functional information to composition rather than silently discarding those layers, and it supplies a test for when discarding them is safe.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9CFDB" w:sz="4"/>
              <w:left w:val="single" w:color="C9CFDB" w:sz="4"/>
              <w:bottom w:val="single" w:color="C9CFDB" w:sz="4"/>
              <w:right w:val="single" w:color="C9CFDB" w:sz="4"/>
            </w:tcBorders>
            <w:shd w:fill="1F3864" w:color="auto" w:val="clear"/>
            <w:tcMar>
              <w:top w:type="dxa" w:w="60"/>
              <w:left w:type="dxa" w:w="100"/>
              <w:bottom w:type="dxa" w:w="60"/>
              <w:right w:type="dxa" w:w="100"/>
            </w:tcMar>
          </w:tcPr>
          <w:p>
            <w:r>
              <w:rPr>
                <w:b/>
                <w:bCs/>
                <w:color w:val="FFFFFF"/>
                <w:sz w:val="19"/>
                <w:szCs w:val="19"/>
              </w:rPr>
              <w:t xml:space="preserve">Status</w:t>
            </w:r>
          </w:p>
        </w:tc>
        <w:tc>
          <w:tcPr>
            <w:tcW w:type="dxa" w:w="7020"/>
            <w:tcBorders>
              <w:top w:val="single" w:color="C9CFDB" w:sz="4"/>
              <w:left w:val="single" w:color="C9CFDB" w:sz="4"/>
              <w:bottom w:val="single" w:color="C9CFDB" w:sz="4"/>
              <w:right w:val="single" w:color="C9CFDB" w:sz="4"/>
            </w:tcBorders>
            <w:shd w:fill="1F3864" w:color="auto" w:val="clear"/>
            <w:tcMar>
              <w:top w:type="dxa" w:w="60"/>
              <w:left w:type="dxa" w:w="100"/>
              <w:bottom w:type="dxa" w:w="60"/>
              <w:right w:type="dxa" w:w="100"/>
            </w:tcMar>
          </w:tcPr>
          <w:p>
            <w:r>
              <w:rPr>
                <w:b/>
                <w:bCs/>
                <w:color w:val="FFFFFF"/>
                <w:sz w:val="19"/>
                <w:szCs w:val="19"/>
              </w:rPr>
              <w:t xml:space="preserve">Meaning in this manuscript</w:t>
            </w:r>
          </w:p>
        </w:tc>
      </w:tr>
      <w:tr>
        <w:tc>
          <w:tcPr>
            <w:tcW w:type="dxa" w:w="2340"/>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Proved</w:t>
            </w:r>
          </w:p>
        </w:tc>
        <w:tc>
          <w:tcPr>
            <w:tcW w:type="dxa" w:w="7020"/>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Follows from stated definitions or standard mathematics within the declared domain.</w:t>
            </w:r>
          </w:p>
        </w:tc>
      </w:tr>
      <w:tr>
        <w:tc>
          <w:tcPr>
            <w:tcW w:type="dxa" w:w="2340"/>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Conditional</w:t>
            </w:r>
          </w:p>
        </w:tc>
        <w:tc>
          <w:tcPr>
            <w:tcW w:type="dxa" w:w="7020"/>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Valid only under explicitly stated assumptions.</w:t>
            </w:r>
          </w:p>
        </w:tc>
      </w:tr>
      <w:tr>
        <w:tc>
          <w:tcPr>
            <w:tcW w:type="dxa" w:w="2340"/>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Proposed</w:t>
            </w:r>
          </w:p>
        </w:tc>
        <w:tc>
          <w:tcPr>
            <w:tcW w:type="dxa" w:w="7020"/>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A definition, formalism, or research direction introduced for evaluation.</w:t>
            </w:r>
          </w:p>
        </w:tc>
      </w:tr>
      <w:tr>
        <w:tc>
          <w:tcPr>
            <w:tcW w:type="dxa" w:w="2340"/>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Open</w:t>
            </w:r>
          </w:p>
        </w:tc>
        <w:tc>
          <w:tcPr>
            <w:tcW w:type="dxa" w:w="7020"/>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Not established here, including originality, broad usefulness, and domain completeness.</w:t>
            </w:r>
          </w:p>
        </w:tc>
      </w:tr>
    </w:tbl>
    <w:p>
      <w:pPr>
        <w:spacing w:after="120"/>
      </w:pPr>
    </w:p>
    <w:p>
      <w:pPr>
        <w:pStyle w:val="Heading1"/>
      </w:pPr>
      <w:r>
        <w:t xml:space="preserve">Abstract</w:t>
      </w:r>
    </w:p>
    <w:p>
      <w:pPr>
        <w:spacing w:after="140" w:line="276"/>
        <w:jc w:val="both"/>
      </w:pPr>
      <w:r>
        <w:t xml:space="preserve">Ordinary arithmetic answers a precise question: how quantities combine under a specified operation. Real systems often require further questions. Which components are related? Which arrangement is present? Does overlap cause double counting? Does coupling create synergy or interference? What state and function result? This paper develops Burd Functional Composition Logic (BFCL), a layered formalism that keeps those questions distinct. A Burd object carries a quantitative carrier together with components, relations, state, environment, and an interpretation map. A Burd composition returns both the ordinary quantitative result and a structured record of interaction and resulting function.</w:t>
      </w:r>
    </w:p>
    <w:p>
      <w:pPr>
        <w:spacing w:after="140" w:line="276"/>
        <w:jc w:val="both"/>
      </w:pPr>
      <w:r>
        <w:t xml:space="preserve">Version 2.0.0 sharpens the framework into checkable mathematics. It proves that scalar reduction is sufficient for a target question exactly when the kernel of the scalar projection is contained in the kernel of the target; introduces the </w:t>
      </w:r>
      <w:r>
        <w:rPr>
          <w:i/>
          <w:iCs/>
        </w:rPr>
        <w:t xml:space="preserve">scalar deficit</w:t>
      </w:r>
      <w:r>
        <w:t xml:space="preserve">, a conditional-entropy measure of how much a scalar summary fails to determine a target; shows that interaction residuals of associative compositions satisfy a 2-cocycle identity; extends pairwise residuals to higher-order interactions by Möbius inversion, recovering inclusion–exclusion as a special case; and proves that the False-Addition Firewall for nested constraints follows from idempotence. Version 2.1.0 adds the main theorem: under composition, scalar deficits obey the sharp bound Δ_Z ≤ Δ_X + Δ_Y + L, where L is the aggregation loss of the quantity layer. Deficits are therefore not subadditive; composing parts whose scalars lose nothing can produce a composite whose scalar loses almost one bit per part. Each worked example now includes an explicit counterexample witness, and the network example computes a nonzero scalar deficit of 0.811 bits. BFCL does not replace arithmetic. It governs when scalar reduction is sufficient and when it loses information required for explanation, prediction, or design. Novelty relative to existing algebraic, categorical, statistical, and nonadditive frameworks remains open pending systematic literature review and independent assessment.</w:t>
      </w:r>
    </w:p>
    <w:p>
      <w:pPr>
        <w:pStyle w:val="Heading1"/>
      </w:pPr>
      <w:r>
        <w:t xml:space="preserve">1  Introduction</w:t>
      </w:r>
    </w:p>
    <w:p>
      <w:pPr>
        <w:spacing w:after="140" w:line="276"/>
        <w:jc w:val="both"/>
      </w:pPr>
      <w:r>
        <w:t xml:space="preserve">The equation 1 + 1 = 2 is true in ordinary integer arithmetic. Difficulty begins when a valid arithmetic result is treated as a complete description of a physical, causal, informational, or engineered composition. Two components may overlap, constrain one another, disable one another, form a single operational unit, or create a capability neither possesses alone. Counting the components remains useful, but the count does not retain the relation that determines what the components do.</w:t>
      </w:r>
    </w:p>
    <w:p>
      <w:pPr>
        <w:spacing w:after="140" w:line="276"/>
        <w:jc w:val="both"/>
      </w:pPr>
      <w:r>
        <w:t xml:space="preserve">BFCL begins with a simple discipline: identify the question answered by an operation before treating its output as the description of a system. If the question is how many wheels are present, one wheel plus one wheel equals two wheels. If the question is how many coupled support assemblies are formed, the answer may be one. If the question is whether a vehicle can be supported or driven in a declared configuration, the answer is a system-state judgment rather than a scalar sum. These answers do not contradict one another, because they live in different codomains and answer different questions.</w:t>
      </w:r>
    </w:p>
    <w:p>
      <w:pPr>
        <w:spacing w:after="140" w:line="276"/>
        <w:jc w:val="both"/>
      </w:pPr>
      <w:r>
        <w:t xml:space="preserve">The framework makes that distinction explicit. It retains ordinary scalar arithmetic as a projection while adding a composition record containing component identity, relation, arrangement, interaction, state transition, resulting function, assumptions, and evidence status. A scalar may be recovered when reduction is justified. When it is not, the framework refuses to pretend that the lost information was irrelevant, and it can say how much was lost.</w:t>
      </w:r>
    </w:p>
    <w:p>
      <w:pPr>
        <w:pStyle w:val="Heading2"/>
      </w:pPr>
      <w:r>
        <w:t xml:space="preserve">1.1  Research question</w:t>
      </w:r>
    </w:p>
    <w:p>
      <w:pPr>
        <w:spacing w:after="140" w:line="276"/>
        <w:jc w:val="both"/>
      </w:pPr>
      <w:r>
        <w:t xml:space="preserve">Can a compact mathematical object preserve the correctness of ordinary quantitative operations while also representing, and measuring, the structural and functional consequences of composition?</w:t>
      </w:r>
    </w:p>
    <w:p>
      <w:pPr>
        <w:pStyle w:val="Heading2"/>
      </w:pPr>
      <w:r>
        <w:t xml:space="preserve">1.2  Contributions</w:t>
      </w:r>
    </w:p>
    <w:p>
      <w:pPr>
        <w:pStyle w:val="ListParagraph"/>
        <w:numPr>
          <w:ilvl w:val="0"/>
          <w:numId w:val="2"/>
        </w:numPr>
        <w:spacing w:after="80"/>
      </w:pPr>
      <w:r>
        <w:rPr>
          <w:b/>
          <w:bCs/>
        </w:rPr>
        <w:t xml:space="preserve">A typed, layered composition object</w:t>
      </w:r>
      <w:r>
        <w:t xml:space="preserve"> separating quantity, components, relations, state, environment, and function (Section 3).</w:t>
      </w:r>
    </w:p>
    <w:p>
      <w:pPr>
        <w:pStyle w:val="ListParagraph"/>
        <w:numPr>
          <w:ilvl w:val="0"/>
          <w:numId w:val="2"/>
        </w:numPr>
        <w:spacing w:after="80"/>
      </w:pPr>
      <w:r>
        <w:rPr>
          <w:b/>
          <w:bCs/>
        </w:rPr>
        <w:t xml:space="preserve">An exact sufficiency criterion</w:t>
      </w:r>
      <w:r>
        <w:t xml:space="preserve">: scalar reduction is valid for a target exactly when the target factors through the scalar projection, equivalently when the projection’s kernel refines the target’s kernel (Proposition 2).</w:t>
      </w:r>
    </w:p>
    <w:p>
      <w:pPr>
        <w:pStyle w:val="ListParagraph"/>
        <w:numPr>
          <w:ilvl w:val="0"/>
          <w:numId w:val="2"/>
        </w:numPr>
        <w:spacing w:after="80"/>
      </w:pPr>
      <w:r>
        <w:rPr>
          <w:b/>
          <w:bCs/>
        </w:rPr>
        <w:t xml:space="preserve">A quantitative measure of insufficiency</w:t>
      </w:r>
      <w:r>
        <w:t xml:space="preserve">, the scalar deficit, which is zero exactly when reduction is safe and otherwise counts the bits lost (Section 6).</w:t>
      </w:r>
    </w:p>
    <w:p>
      <w:pPr>
        <w:pStyle w:val="ListParagraph"/>
        <w:numPr>
          <w:ilvl w:val="0"/>
          <w:numId w:val="2"/>
        </w:numPr>
        <w:spacing w:after="80"/>
      </w:pPr>
      <w:r>
        <w:rPr>
          <w:b/>
          <w:bCs/>
        </w:rPr>
        <w:t xml:space="preserve">A composition theorem for deficits</w:t>
      </w:r>
      <w:r>
        <w:t xml:space="preserve"> (Theorem 1): a sharp upper bound, a matching lower bound for faithful compositions, and a proof that deficits are not subadditive (Section 6.1).</w:t>
      </w:r>
    </w:p>
    <w:p>
      <w:pPr>
        <w:pStyle w:val="ListParagraph"/>
        <w:numPr>
          <w:ilvl w:val="0"/>
          <w:numId w:val="2"/>
        </w:numPr>
        <w:spacing w:after="80"/>
      </w:pPr>
      <w:r>
        <w:rPr>
          <w:b/>
          <w:bCs/>
        </w:rPr>
        <w:t xml:space="preserve">Algebraic structure for interaction</w:t>
      </w:r>
      <w:r>
        <w:t xml:space="preserve">: a 2-cocycle identity for residuals (Proposition 4) and a Möbius-inversion theory of higher-order interaction that contains inclusion–exclusion (Section 7).</w:t>
      </w:r>
    </w:p>
    <w:p>
      <w:pPr>
        <w:pStyle w:val="ListParagraph"/>
        <w:numPr>
          <w:ilvl w:val="0"/>
          <w:numId w:val="2"/>
        </w:numPr>
        <w:spacing w:after="80"/>
      </w:pPr>
      <w:r>
        <w:rPr>
          <w:b/>
          <w:bCs/>
        </w:rPr>
        <w:t xml:space="preserve">A proof of the False-Addition Firewall</w:t>
      </w:r>
      <w:r>
        <w:t xml:space="preserve"> from idempotence (Proposition 6).</w:t>
      </w:r>
    </w:p>
    <w:p>
      <w:pPr>
        <w:pStyle w:val="ListParagraph"/>
        <w:numPr>
          <w:ilvl w:val="0"/>
          <w:numId w:val="2"/>
        </w:numPr>
        <w:spacing w:after="80"/>
      </w:pPr>
      <w:r>
        <w:rPr>
          <w:b/>
          <w:bCs/>
        </w:rPr>
        <w:t xml:space="preserve">The Burd Reduction Firewall</w:t>
      </w:r>
      <w:r>
        <w:t xml:space="preserve">, a procedure that issues a sufficiency certificate or a counterexample witness before any scalar is used in place of a system (Section 10).</w:t>
      </w:r>
    </w:p>
    <w:p>
      <w:pPr>
        <w:pStyle w:val="Heading1"/>
      </w:pPr>
      <w:r>
        <w:t xml:space="preserve">2  Motivating Example</w:t>
      </w:r>
    </w:p>
    <w:p>
      <w:pPr>
        <w:pStyle w:val="Heading2"/>
      </w:pPr>
      <w:r>
        <w:t xml:space="preserve">2.1  Two wheels and one operating configuration</w:t>
      </w:r>
    </w:p>
    <w:p>
      <w:pPr>
        <w:spacing w:after="140" w:line="276"/>
        <w:jc w:val="both"/>
      </w:pPr>
      <w:r>
        <w:t xml:space="preserve">Let </w:t>
      </w:r>
      <w:r>
        <w:rPr>
          <w:rFonts w:ascii="Cambria Math" w:cs="Cambria Math" w:eastAsia="Cambria Math" w:hAnsi="Cambria Math"/>
        </w:rPr>
        <w:t xml:space="preserve">w₁</w:t>
      </w:r>
      <w:r>
        <w:t xml:space="preserve"> and </w:t>
      </w:r>
      <w:r>
        <w:rPr>
          <w:rFonts w:ascii="Cambria Math" w:cs="Cambria Math" w:eastAsia="Cambria Math" w:hAnsi="Cambria Math"/>
        </w:rPr>
        <w:t xml:space="preserve">w₂</w:t>
      </w:r>
      <w:r>
        <w:t xml:space="preserve"> denote two distinct wheels. Under ordinary cardinal counting, the disjoint collection has cardinality two:</w:t>
      </w:r>
    </w:p>
    <w:p>
      <w:pPr>
        <w:spacing w:after="160" w:before="80"/>
        <w:jc w:val="center"/>
      </w:pPr>
      <w:r>
        <w:rPr>
          <w:rFonts w:ascii="Cambria Math" w:cs="Cambria Math" w:eastAsia="Cambria Math" w:hAnsi="Cambria Math"/>
          <w:sz w:val="23"/>
          <w:szCs w:val="23"/>
        </w:rPr>
        <w:t xml:space="preserve">|{w₁, w₂}| = 2.</w:t>
      </w:r>
    </w:p>
    <w:p>
      <w:pPr>
        <w:spacing w:after="140" w:line="276"/>
        <w:jc w:val="both"/>
      </w:pPr>
      <w:r>
        <w:t xml:space="preserve">That statement is exact. It does not determine whether the wheels touch the ground, share an axle, align with the vehicle, rotate, carry load, or enable motion. Introduce a relation </w:t>
      </w:r>
      <w:r>
        <w:rPr>
          <w:rFonts w:ascii="Cambria Math" w:cs="Cambria Math" w:eastAsia="Cambria Math" w:hAnsi="Cambria Math"/>
        </w:rPr>
        <w:t xml:space="preserve">r</w:t>
      </w:r>
      <w:r>
        <w:t xml:space="preserve"> recording placement and coupling, a state </w:t>
      </w:r>
      <w:r>
        <w:rPr>
          <w:rFonts w:ascii="Cambria Math" w:cs="Cambria Math" w:eastAsia="Cambria Math" w:hAnsi="Cambria Math"/>
        </w:rPr>
        <w:t xml:space="preserve">s</w:t>
      </w:r>
      <w:r>
        <w:t xml:space="preserve"> recording physical conditions, an environment </w:t>
      </w:r>
      <w:r>
        <w:rPr>
          <w:rFonts w:ascii="Cambria Math" w:cs="Cambria Math" w:eastAsia="Cambria Math" w:hAnsi="Cambria Math"/>
        </w:rPr>
        <w:t xml:space="preserve">e</w:t>
      </w:r>
      <w:r>
        <w:t xml:space="preserve">, and an evaluation map </w:t>
      </w:r>
      <w:r>
        <w:rPr>
          <w:rFonts w:ascii="Cambria Math" w:cs="Cambria Math" w:eastAsia="Cambria Math" w:hAnsi="Cambria Math"/>
        </w:rPr>
        <w:t xml:space="preserve">F</w:t>
      </w:r>
      <w:r>
        <w:t xml:space="preserve"> reporting whether the arrangement performs a declared function:</w:t>
      </w:r>
    </w:p>
    <w:p>
      <w:pPr>
        <w:spacing w:after="160" w:before="80"/>
        <w:jc w:val="center"/>
      </w:pPr>
      <w:r>
        <w:rPr>
          <w:rFonts w:ascii="Cambria Math" w:cs="Cambria Math" w:eastAsia="Cambria Math" w:hAnsi="Cambria Math"/>
          <w:sz w:val="23"/>
          <w:szCs w:val="23"/>
        </w:rPr>
        <w:t xml:space="preserve">F(w₁, w₂, r, s, e) = y.</w:t>
      </w:r>
    </w:p>
    <w:p>
      <w:pPr>
        <w:spacing w:after="140" w:line="276"/>
        <w:jc w:val="both"/>
      </w:pPr>
      <w:r>
        <w:t xml:space="preserve">If </w:t>
      </w:r>
      <w:r>
        <w:rPr>
          <w:rFonts w:ascii="Cambria Math" w:cs="Cambria Math" w:eastAsia="Cambria Math" w:hAnsi="Cambria Math"/>
        </w:rPr>
        <w:t xml:space="preserve">y</w:t>
      </w:r>
      <w:r>
        <w:t xml:space="preserve"> is “vehicle supported in two-wheel motion,” the result comes from the coupled configuration. It is not obtained by adding two copies of an isolated-wheel output unless an additivity theorem has been established.</w:t>
      </w:r>
    </w:p>
    <w:p>
      <w:pPr>
        <w:pStyle w:val="Heading2"/>
      </w:pPr>
      <w:r>
        <w:t xml:space="preserve">2.2  The information lost by scalarization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7"/>
        <w:gridCol w:w="2527"/>
        <w:gridCol w:w="3276"/>
      </w:tblGrid>
      <w:tr>
        <w:trPr>
          <w:tblHeader/>
        </w:trPr>
        <w:tc>
          <w:tcPr>
            <w:tcW w:type="dxa" w:w="3557"/>
            <w:tcBorders>
              <w:top w:val="single" w:color="C9CFDB" w:sz="4"/>
              <w:left w:val="single" w:color="C9CFDB" w:sz="4"/>
              <w:bottom w:val="single" w:color="C9CFDB" w:sz="4"/>
              <w:right w:val="single" w:color="C9CFDB" w:sz="4"/>
            </w:tcBorders>
            <w:shd w:fill="1F3864" w:color="auto" w:val="clear"/>
            <w:tcMar>
              <w:top w:type="dxa" w:w="60"/>
              <w:left w:type="dxa" w:w="100"/>
              <w:bottom w:type="dxa" w:w="60"/>
              <w:right w:type="dxa" w:w="100"/>
            </w:tcMar>
          </w:tcPr>
          <w:p>
            <w:r>
              <w:rPr>
                <w:b/>
                <w:bCs/>
                <w:color w:val="FFFFFF"/>
                <w:sz w:val="19"/>
                <w:szCs w:val="19"/>
              </w:rPr>
              <w:t xml:space="preserve">Question</w:t>
            </w:r>
          </w:p>
        </w:tc>
        <w:tc>
          <w:tcPr>
            <w:tcW w:type="dxa" w:w="2527"/>
            <w:tcBorders>
              <w:top w:val="single" w:color="C9CFDB" w:sz="4"/>
              <w:left w:val="single" w:color="C9CFDB" w:sz="4"/>
              <w:bottom w:val="single" w:color="C9CFDB" w:sz="4"/>
              <w:right w:val="single" w:color="C9CFDB" w:sz="4"/>
            </w:tcBorders>
            <w:shd w:fill="1F3864" w:color="auto" w:val="clear"/>
            <w:tcMar>
              <w:top w:type="dxa" w:w="60"/>
              <w:left w:type="dxa" w:w="100"/>
              <w:bottom w:type="dxa" w:w="60"/>
              <w:right w:type="dxa" w:w="100"/>
            </w:tcMar>
          </w:tcPr>
          <w:p>
            <w:r>
              <w:rPr>
                <w:b/>
                <w:bCs/>
                <w:color w:val="FFFFFF"/>
                <w:sz w:val="19"/>
                <w:szCs w:val="19"/>
              </w:rPr>
              <w:t xml:space="preserve">Operation</w:t>
            </w:r>
          </w:p>
        </w:tc>
        <w:tc>
          <w:tcPr>
            <w:tcW w:type="dxa" w:w="3276"/>
            <w:tcBorders>
              <w:top w:val="single" w:color="C9CFDB" w:sz="4"/>
              <w:left w:val="single" w:color="C9CFDB" w:sz="4"/>
              <w:bottom w:val="single" w:color="C9CFDB" w:sz="4"/>
              <w:right w:val="single" w:color="C9CFDB" w:sz="4"/>
            </w:tcBorders>
            <w:shd w:fill="1F3864" w:color="auto" w:val="clear"/>
            <w:tcMar>
              <w:top w:type="dxa" w:w="60"/>
              <w:left w:type="dxa" w:w="100"/>
              <w:bottom w:type="dxa" w:w="60"/>
              <w:right w:type="dxa" w:w="100"/>
            </w:tcMar>
          </w:tcPr>
          <w:p>
            <w:r>
              <w:rPr>
                <w:b/>
                <w:bCs/>
                <w:color w:val="FFFFFF"/>
                <w:sz w:val="19"/>
                <w:szCs w:val="19"/>
              </w:rPr>
              <w:t xml:space="preserve">Output</w:t>
            </w:r>
          </w:p>
        </w:tc>
      </w:tr>
      <w:tr>
        <w:tc>
          <w:tcPr>
            <w:tcW w:type="dxa" w:w="3557"/>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How many wheels are counted?</w:t>
            </w:r>
          </w:p>
        </w:tc>
        <w:tc>
          <w:tcPr>
            <w:tcW w:type="dxa" w:w="2527"/>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Cardinality</w:t>
            </w:r>
          </w:p>
        </w:tc>
        <w:tc>
          <w:tcPr>
            <w:tcW w:type="dxa" w:w="3276"/>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2 wheels</w:t>
            </w:r>
          </w:p>
        </w:tc>
      </w:tr>
      <w:tr>
        <w:tc>
          <w:tcPr>
            <w:tcW w:type="dxa" w:w="3557"/>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How many coupled pairs are formed?</w:t>
            </w:r>
          </w:p>
        </w:tc>
        <w:tc>
          <w:tcPr>
            <w:tcW w:type="dxa" w:w="2527"/>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Structural grouping</w:t>
            </w:r>
          </w:p>
        </w:tc>
        <w:tc>
          <w:tcPr>
            <w:tcW w:type="dxa" w:w="3276"/>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1 pair</w:t>
            </w:r>
          </w:p>
        </w:tc>
      </w:tr>
      <w:tr>
        <w:tc>
          <w:tcPr>
            <w:tcW w:type="dxa" w:w="3557"/>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What interaction occurs?</w:t>
            </w:r>
          </w:p>
        </w:tc>
        <w:tc>
          <w:tcPr>
            <w:tcW w:type="dxa" w:w="2527"/>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Relational evaluation</w:t>
            </w:r>
          </w:p>
        </w:tc>
        <w:tc>
          <w:tcPr>
            <w:tcW w:type="dxa" w:w="3276"/>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Coupling dependent</w:t>
            </w:r>
          </w:p>
        </w:tc>
      </w:tr>
      <w:tr>
        <w:tc>
          <w:tcPr>
            <w:tcW w:type="dxa" w:w="3557"/>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What does the arrangement do?</w:t>
            </w:r>
          </w:p>
        </w:tc>
        <w:tc>
          <w:tcPr>
            <w:tcW w:type="dxa" w:w="2527"/>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Functional evaluation</w:t>
            </w:r>
          </w:p>
        </w:tc>
        <w:tc>
          <w:tcPr>
            <w:tcW w:type="dxa" w:w="3276"/>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State and environment dependent</w:t>
            </w:r>
          </w:p>
        </w:tc>
      </w:tr>
      <w:tr>
        <w:tc>
          <w:tcPr>
            <w:tcW w:type="dxa" w:w="3557"/>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Can the full record be reduced to 2?</w:t>
            </w:r>
          </w:p>
        </w:tc>
        <w:tc>
          <w:tcPr>
            <w:tcW w:type="dxa" w:w="2527"/>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Reduction test</w:t>
            </w:r>
          </w:p>
        </w:tc>
        <w:tc>
          <w:tcPr>
            <w:tcW w:type="dxa" w:w="3276"/>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Only for count-dependent questions</w:t>
            </w:r>
          </w:p>
        </w:tc>
      </w:tr>
    </w:tbl>
    <w:p>
      <w:pPr>
        <w:spacing w:after="120"/>
      </w:pPr>
    </w:p>
    <w:p>
      <w:pPr>
        <w:spacing w:after="140" w:line="276"/>
        <w:jc w:val="both"/>
      </w:pPr>
      <w:r>
        <w:t xml:space="preserve">The central observation is not that arithmetic fails. It is that the map from a structured system to a scalar count is many-to-one. Many arrangements of two wheels share the same count while behaving differently, and once the system has been replaced by the number two, those arrangements cannot be recovered from the number alone. Section 6 turns this observation into a measurement.</w:t>
      </w:r>
    </w:p>
    <w:p>
      <w:pPr>
        <w:pStyle w:val="Heading1"/>
      </w:pPr>
      <w:r>
        <w:t xml:space="preserve">3  Formal Setting</w:t>
      </w:r>
    </w:p>
    <w:p>
      <w:pPr>
        <w:pStyle w:val="Heading2"/>
      </w:pPr>
      <w:r>
        <w:t xml:space="preserve">3.1  Burd objects</w:t>
      </w:r>
    </w:p>
    <w:p>
      <w:pPr>
        <w:spacing w:after="140" w:line="276"/>
        <w:jc w:val="both"/>
      </w:pPr>
      <w:r>
        <w:t xml:space="preserve">A Burd object is a tuple</w:t>
      </w:r>
    </w:p>
    <w:p>
      <w:pPr>
        <w:tabs>
          <w:tab w:val="right" w:pos="9360"/>
        </w:tabs>
        <w:spacing w:after="160" w:before="80"/>
        <w:jc w:val="center"/>
      </w:pPr>
      <w:r>
        <w:rPr>
          <w:rFonts w:ascii="Cambria Math" w:cs="Cambria Math" w:eastAsia="Cambria Math" w:hAnsi="Cambria Math"/>
          <w:sz w:val="23"/>
          <w:szCs w:val="23"/>
        </w:rPr>
        <w:t xml:space="preserve">X = (Q, C, R, S, E, Φ)</w:t>
      </w:r>
      <w:r>
        <w:rPr>
          <w:sz w:val="20"/>
          <w:szCs w:val="20"/>
        </w:rPr>
        <w:t xml:space="preserve">	(3.1)</w:t>
      </w:r>
    </w:p>
    <w:p>
      <w:pPr>
        <w:spacing w:after="140" w:line="276"/>
        <w:jc w:val="both"/>
      </w:pPr>
      <w:r>
        <w:t xml:space="preserve">with the following typed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7956"/>
      </w:tblGrid>
      <w:tr>
        <w:trPr>
          <w:tblHeader/>
        </w:trPr>
        <w:tc>
          <w:tcPr>
            <w:tcW w:type="dxa" w:w="1404"/>
            <w:tcBorders>
              <w:top w:val="single" w:color="C9CFDB" w:sz="4"/>
              <w:left w:val="single" w:color="C9CFDB" w:sz="4"/>
              <w:bottom w:val="single" w:color="C9CFDB" w:sz="4"/>
              <w:right w:val="single" w:color="C9CFDB" w:sz="4"/>
            </w:tcBorders>
            <w:shd w:fill="1F3864" w:color="auto" w:val="clear"/>
            <w:tcMar>
              <w:top w:type="dxa" w:w="60"/>
              <w:left w:type="dxa" w:w="100"/>
              <w:bottom w:type="dxa" w:w="60"/>
              <w:right w:type="dxa" w:w="100"/>
            </w:tcMar>
          </w:tcPr>
          <w:p>
            <w:r>
              <w:rPr>
                <w:b/>
                <w:bCs/>
                <w:color w:val="FFFFFF"/>
                <w:sz w:val="19"/>
                <w:szCs w:val="19"/>
              </w:rPr>
              <w:t xml:space="preserve">Symbol</w:t>
            </w:r>
          </w:p>
        </w:tc>
        <w:tc>
          <w:tcPr>
            <w:tcW w:type="dxa" w:w="7956"/>
            <w:tcBorders>
              <w:top w:val="single" w:color="C9CFDB" w:sz="4"/>
              <w:left w:val="single" w:color="C9CFDB" w:sz="4"/>
              <w:bottom w:val="single" w:color="C9CFDB" w:sz="4"/>
              <w:right w:val="single" w:color="C9CFDB" w:sz="4"/>
            </w:tcBorders>
            <w:shd w:fill="1F3864" w:color="auto" w:val="clear"/>
            <w:tcMar>
              <w:top w:type="dxa" w:w="60"/>
              <w:left w:type="dxa" w:w="100"/>
              <w:bottom w:type="dxa" w:w="60"/>
              <w:right w:type="dxa" w:w="100"/>
            </w:tcMar>
          </w:tcPr>
          <w:p>
            <w:r>
              <w:rPr>
                <w:b/>
                <w:bCs/>
                <w:color w:val="FFFFFF"/>
                <w:sz w:val="19"/>
                <w:szCs w:val="19"/>
              </w:rPr>
              <w:t xml:space="preserve">Role</w:t>
            </w:r>
          </w:p>
        </w:tc>
      </w:tr>
      <w:tr>
        <w:tc>
          <w:tcPr>
            <w:tcW w:type="dxa" w:w="1404"/>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rFonts w:ascii="Cambria Math" w:cs="Cambria Math" w:eastAsia="Cambria Math" w:hAnsi="Cambria Math"/>
                <w:sz w:val="19"/>
                <w:szCs w:val="19"/>
              </w:rPr>
              <w:t xml:space="preserve">Q</w:t>
            </w:r>
          </w:p>
        </w:tc>
        <w:tc>
          <w:tcPr>
            <w:tcW w:type="dxa" w:w="7956"/>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Quantitative carrier: a number, vector, measure, valuation, or other element of a declared carrier set.</w:t>
            </w:r>
          </w:p>
        </w:tc>
      </w:tr>
      <w:tr>
        <w:tc>
          <w:tcPr>
            <w:tcW w:type="dxa" w:w="1404"/>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rFonts w:ascii="Cambria Math" w:cs="Cambria Math" w:eastAsia="Cambria Math" w:hAnsi="Cambria Math"/>
                <w:sz w:val="19"/>
                <w:szCs w:val="19"/>
              </w:rPr>
              <w:t xml:space="preserve">C</w:t>
            </w:r>
          </w:p>
        </w:tc>
        <w:tc>
          <w:tcPr>
            <w:tcW w:type="dxa" w:w="7956"/>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Components with identity or type information.</w:t>
            </w:r>
          </w:p>
        </w:tc>
      </w:tr>
      <w:tr>
        <w:tc>
          <w:tcPr>
            <w:tcW w:type="dxa" w:w="1404"/>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rFonts w:ascii="Cambria Math" w:cs="Cambria Math" w:eastAsia="Cambria Math" w:hAnsi="Cambria Math"/>
                <w:sz w:val="19"/>
                <w:szCs w:val="19"/>
              </w:rPr>
              <w:t xml:space="preserve">R</w:t>
            </w:r>
          </w:p>
        </w:tc>
        <w:tc>
          <w:tcPr>
            <w:tcW w:type="dxa" w:w="7956"/>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Relations among components: arrangement, adjacency, order, or coupling.</w:t>
            </w:r>
          </w:p>
        </w:tc>
      </w:tr>
      <w:tr>
        <w:tc>
          <w:tcPr>
            <w:tcW w:type="dxa" w:w="1404"/>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rFonts w:ascii="Cambria Math" w:cs="Cambria Math" w:eastAsia="Cambria Math" w:hAnsi="Cambria Math"/>
                <w:sz w:val="19"/>
                <w:szCs w:val="19"/>
              </w:rPr>
              <w:t xml:space="preserve">S</w:t>
            </w:r>
          </w:p>
        </w:tc>
        <w:tc>
          <w:tcPr>
            <w:tcW w:type="dxa" w:w="7956"/>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Internal state, constraints, and admissibility conditions.</w:t>
            </w:r>
          </w:p>
        </w:tc>
      </w:tr>
      <w:tr>
        <w:tc>
          <w:tcPr>
            <w:tcW w:type="dxa" w:w="1404"/>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rFonts w:ascii="Cambria Math" w:cs="Cambria Math" w:eastAsia="Cambria Math" w:hAnsi="Cambria Math"/>
                <w:sz w:val="19"/>
                <w:szCs w:val="19"/>
              </w:rPr>
              <w:t xml:space="preserve">E</w:t>
            </w:r>
          </w:p>
        </w:tc>
        <w:tc>
          <w:tcPr>
            <w:tcW w:type="dxa" w:w="7956"/>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Declared environment or external conditions relevant to evaluation.</w:t>
            </w:r>
          </w:p>
        </w:tc>
      </w:tr>
      <w:tr>
        <w:tc>
          <w:tcPr>
            <w:tcW w:type="dxa" w:w="1404"/>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rFonts w:ascii="Cambria Math" w:cs="Cambria Math" w:eastAsia="Cambria Math" w:hAnsi="Cambria Math"/>
                <w:sz w:val="19"/>
                <w:szCs w:val="19"/>
              </w:rPr>
              <w:t xml:space="preserve">Φ</w:t>
            </w:r>
          </w:p>
        </w:tc>
        <w:tc>
          <w:tcPr>
            <w:tcW w:type="dxa" w:w="7956"/>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Interpretation or functional evaluation map.</w:t>
            </w:r>
          </w:p>
        </w:tc>
      </w:tr>
    </w:tbl>
    <w:p>
      <w:pPr>
        <w:spacing w:after="120"/>
      </w:pPr>
    </w:p>
    <w:p>
      <w:pPr>
        <w:spacing w:after="140" w:line="276"/>
        <w:jc w:val="both"/>
      </w:pPr>
      <w:r>
        <w:t xml:space="preserve">The tuple is intentionally general. An application must instantiate each field and declare its domain. A field may be left empty only when it is shown to be irrelevant to the target question, which is exactly what the sufficiency criterion of Section 5 tests.</w:t>
      </w:r>
    </w:p>
    <w:p>
      <w:pPr>
        <w:pStyle w:val="Heading2"/>
      </w:pPr>
      <w:r>
        <w:t xml:space="preserve">3.2  Domains and admissibility</w:t>
      </w:r>
    </w:p>
    <w:p>
      <w:pPr>
        <w:spacing w:after="140" w:line="276"/>
        <w:jc w:val="both"/>
      </w:pPr>
      <w:r>
        <w:t xml:space="preserve">A </w:t>
      </w:r>
      <w:r>
        <w:rPr>
          <w:b/>
          <w:bCs/>
        </w:rPr>
        <w:t xml:space="preserve">BFCL domain</w:t>
      </w:r>
      <w:r>
        <w:t xml:space="preserve"> is a set </w:t>
      </w:r>
      <w:r>
        <w:rPr>
          <w:rFonts w:ascii="Cambria Math" w:cs="Cambria Math" w:eastAsia="Cambria Math" w:hAnsi="Cambria Math"/>
        </w:rPr>
        <w:t xml:space="preserve">𝔅</w:t>
      </w:r>
      <w:r>
        <w:t xml:space="preserve"> of Burd objects together with an admissibility predicate </w:t>
      </w:r>
      <w:r>
        <w:rPr>
          <w:rFonts w:ascii="Cambria Math" w:cs="Cambria Math" w:eastAsia="Cambria Math" w:hAnsi="Cambria Math"/>
        </w:rPr>
        <w:t xml:space="preserve">adm : 𝔅 → {true, false}</w:t>
      </w:r>
      <w:r>
        <w:t xml:space="preserve">. Admissibility encodes physical, logical, dimensional, or semantic validity: a wheel assembly that violates load limits, a probability above one, or a deadlocked program state are inadmissible. All results below quantify over admissible objects of a declared domain.</w:t>
      </w:r>
    </w:p>
    <w:p>
      <w:pPr>
        <w:pStyle w:val="Heading2"/>
      </w:pPr>
      <w:r>
        <w:t xml:space="preserve">3.3  Composition</w:t>
      </w:r>
    </w:p>
    <w:p>
      <w:pPr>
        <w:spacing w:after="140" w:line="276"/>
        <w:jc w:val="both"/>
      </w:pPr>
      <w:r>
        <w:t xml:space="preserve">For compatible Burd objects </w:t>
      </w:r>
      <w:r>
        <w:rPr>
          <w:rFonts w:ascii="Cambria Math" w:cs="Cambria Math" w:eastAsia="Cambria Math" w:hAnsi="Cambria Math"/>
        </w:rPr>
        <w:t xml:space="preserve">X</w:t>
      </w:r>
      <w:r>
        <w:t xml:space="preserve"> and </w:t>
      </w:r>
      <w:r>
        <w:rPr>
          <w:rFonts w:ascii="Cambria Math" w:cs="Cambria Math" w:eastAsia="Cambria Math" w:hAnsi="Cambria Math"/>
        </w:rPr>
        <w:t xml:space="preserve">Y</w:t>
      </w:r>
      <w:r>
        <w:t xml:space="preserve">, define a partial composition operator</w:t>
      </w:r>
    </w:p>
    <w:p>
      <w:pPr>
        <w:tabs>
          <w:tab w:val="right" w:pos="9360"/>
        </w:tabs>
        <w:spacing w:after="160" w:before="80"/>
        <w:jc w:val="center"/>
      </w:pPr>
      <w:r>
        <w:rPr>
          <w:rFonts w:ascii="Cambria Math" w:cs="Cambria Math" w:eastAsia="Cambria Math" w:hAnsi="Cambria Math"/>
          <w:sz w:val="23"/>
          <w:szCs w:val="23"/>
        </w:rPr>
        <w:t xml:space="preserve">X ⋆ₖ Y = Z</w:t>
      </w:r>
      <w:r>
        <w:rPr>
          <w:sz w:val="20"/>
          <w:szCs w:val="20"/>
        </w:rPr>
        <w:t xml:space="preserve">	(3.2)</w:t>
      </w:r>
    </w:p>
    <w:p>
      <w:pPr>
        <w:spacing w:after="140" w:line="276"/>
        <w:jc w:val="both"/>
      </w:pPr>
      <w:r>
        <w:t xml:space="preserve">where </w:t>
      </w:r>
      <w:r>
        <w:rPr>
          <w:rFonts w:ascii="Cambria Math" w:cs="Cambria Math" w:eastAsia="Cambria Math" w:hAnsi="Cambria Math"/>
        </w:rPr>
        <w:t xml:space="preserve">k</w:t>
      </w:r>
      <w:r>
        <w:t xml:space="preserve"> is a declared coupling specification. The operator is partial because not every pair of objects is composable. The resulting object records the combined carrier, component lineage, new relations, interaction terms, state, environment, and evaluation map:</w:t>
      </w:r>
    </w:p>
    <w:p>
      <w:pPr>
        <w:tabs>
          <w:tab w:val="right" w:pos="9360"/>
        </w:tabs>
        <w:spacing w:after="160" w:before="80"/>
        <w:jc w:val="center"/>
      </w:pPr>
      <w:r>
        <w:rPr>
          <w:rFonts w:ascii="Cambria Math" w:cs="Cambria Math" w:eastAsia="Cambria Math" w:hAnsi="Cambria Math"/>
          <w:sz w:val="23"/>
          <w:szCs w:val="23"/>
        </w:rPr>
        <w:t xml:space="preserve">Z = (Q_Z, C_X ⊔ C_Y, R_X ∪ R_Y ∪ R_k, S_Z, E_Z, Φ_Z).</w:t>
      </w:r>
      <w:r>
        <w:rPr>
          <w:sz w:val="20"/>
          <w:szCs w:val="20"/>
        </w:rPr>
        <w:t xml:space="preserve">	(3.3)</w:t>
      </w:r>
    </w:p>
    <w:p>
      <w:pPr>
        <w:spacing w:after="140" w:line="276"/>
        <w:jc w:val="both"/>
      </w:pPr>
      <w:r>
        <w:t xml:space="preserve">The disjoint union </w:t>
      </w:r>
      <w:r>
        <w:rPr>
          <w:rFonts w:ascii="Cambria Math" w:cs="Cambria Math" w:eastAsia="Cambria Math" w:hAnsi="Cambria Math"/>
        </w:rPr>
        <w:t xml:space="preserve">⊔</w:t>
      </w:r>
      <w:r>
        <w:t xml:space="preserve"> preserves component identity even when two components have the same scalar value. Domain-specific identification of components is permitted but must be declared explicitly. Composition may output an inadmissible object; this is how the framework represents valid parts combining into an invalid whole.</w:t>
      </w:r>
    </w:p>
    <w:p>
      <w:pPr>
        <w:pStyle w:val="Heading2"/>
      </w:pPr>
      <w:r>
        <w:t xml:space="preserve">3.4  Projections</w:t>
      </w:r>
    </w:p>
    <w:p>
      <w:pPr>
        <w:spacing w:after="140" w:line="276"/>
        <w:jc w:val="both"/>
      </w:pPr>
      <w:r>
        <w:t xml:space="preserve">Let </w:t>
      </w:r>
      <w:r>
        <w:rPr>
          <w:rFonts w:ascii="Cambria Math" w:cs="Cambria Math" w:eastAsia="Cambria Math" w:hAnsi="Cambria Math"/>
        </w:rPr>
        <w:t xml:space="preserve">π_Q(X) = Q_X</w:t>
      </w:r>
      <w:r>
        <w:t xml:space="preserve"> be the quantity projection. A </w:t>
      </w:r>
      <w:r>
        <w:rPr>
          <w:b/>
          <w:bCs/>
        </w:rPr>
        <w:t xml:space="preserve">target question</w:t>
      </w:r>
      <w:r>
        <w:t xml:space="preserve"> </w:t>
      </w:r>
      <w:r>
        <w:rPr>
          <w:rFonts w:ascii="Cambria Math" w:cs="Cambria Math" w:eastAsia="Cambria Math" w:hAnsi="Cambria Math"/>
        </w:rPr>
        <w:t xml:space="preserve">t</w:t>
      </w:r>
      <w:r>
        <w:t xml:space="preserve"> with codomain </w:t>
      </w:r>
      <w:r>
        <w:rPr>
          <w:rFonts w:ascii="Cambria Math" w:cs="Cambria Math" w:eastAsia="Cambria Math" w:hAnsi="Cambria Math"/>
        </w:rPr>
        <w:t xml:space="preserve">Y_t</w:t>
      </w:r>
      <w:r>
        <w:t xml:space="preserve"> is answered by the functional projection</w:t>
      </w:r>
    </w:p>
    <w:p>
      <w:pPr>
        <w:tabs>
          <w:tab w:val="right" w:pos="9360"/>
        </w:tabs>
        <w:spacing w:after="160" w:before="80"/>
        <w:jc w:val="center"/>
      </w:pPr>
      <w:r>
        <w:rPr>
          <w:rFonts w:ascii="Cambria Math" w:cs="Cambria Math" w:eastAsia="Cambria Math" w:hAnsi="Cambria Math"/>
          <w:sz w:val="23"/>
          <w:szCs w:val="23"/>
        </w:rPr>
        <w:t xml:space="preserve">π_F(· ; t) : 𝔅 → Y_t.</w:t>
      </w:r>
      <w:r>
        <w:rPr>
          <w:sz w:val="20"/>
          <w:szCs w:val="20"/>
        </w:rPr>
        <w:t xml:space="preserve">	(3.4)</w:t>
      </w:r>
    </w:p>
    <w:p>
      <w:pPr>
        <w:spacing w:after="140" w:line="276"/>
        <w:jc w:val="both"/>
      </w:pPr>
      <w:r>
        <w:t xml:space="preserve">Examples include component count, load capacity, reachability, probability of union, system availability, and task completion. The explicit target prevents the same symbol from silently switching between counting, grouping, causation, and function. For any map </w:t>
      </w:r>
      <w:r>
        <w:rPr>
          <w:rFonts w:ascii="Cambria Math" w:cs="Cambria Math" w:eastAsia="Cambria Math" w:hAnsi="Cambria Math"/>
        </w:rPr>
        <w:t xml:space="preserve">f</w:t>
      </w:r>
      <w:r>
        <w:t xml:space="preserve"> on </w:t>
      </w:r>
      <w:r>
        <w:rPr>
          <w:rFonts w:ascii="Cambria Math" w:cs="Cambria Math" w:eastAsia="Cambria Math" w:hAnsi="Cambria Math"/>
        </w:rPr>
        <w:t xml:space="preserve">𝔅</w:t>
      </w:r>
      <w:r>
        <w:t xml:space="preserve">, write </w:t>
      </w:r>
      <w:r>
        <w:rPr>
          <w:rFonts w:ascii="Cambria Math" w:cs="Cambria Math" w:eastAsia="Cambria Math" w:hAnsi="Cambria Math"/>
        </w:rPr>
        <w:t xml:space="preserve">ker f</w:t>
      </w:r>
      <w:r>
        <w:t xml:space="preserve"> for the equivalence relation </w:t>
      </w:r>
      <w:r>
        <w:rPr>
          <w:rFonts w:ascii="Cambria Math" w:cs="Cambria Math" w:eastAsia="Cambria Math" w:hAnsi="Cambria Math"/>
        </w:rPr>
        <w:t xml:space="preserve">X ~ Y ⟺ f(X) = f(Y)</w:t>
      </w:r>
      <w:r>
        <w:t xml:space="preserve">.</w:t>
      </w:r>
    </w:p>
    <w:p>
      <w:pPr>
        <w:pStyle w:val="Heading2"/>
      </w:pPr>
      <w:r>
        <w:t xml:space="preserve">3.5  Interaction residual</w:t>
      </w:r>
    </w:p>
    <w:p>
      <w:pPr>
        <w:spacing w:after="140" w:line="276"/>
        <w:jc w:val="both"/>
      </w:pPr>
      <w:r>
        <w:t xml:space="preserve">When the carrier is an abelian group, define the interaction residual of a composition</w:t>
      </w:r>
    </w:p>
    <w:p>
      <w:pPr>
        <w:tabs>
          <w:tab w:val="right" w:pos="9360"/>
        </w:tabs>
        <w:spacing w:after="160" w:before="80"/>
        <w:jc w:val="center"/>
      </w:pPr>
      <w:r>
        <w:rPr>
          <w:rFonts w:ascii="Cambria Math" w:cs="Cambria Math" w:eastAsia="Cambria Math" w:hAnsi="Cambria Math"/>
          <w:sz w:val="23"/>
          <w:szCs w:val="23"/>
        </w:rPr>
        <w:t xml:space="preserve">Iₖ(X, Y) = π_Q(X ⋆ₖ Y) − π_Q(X) − π_Q(Y).</w:t>
      </w:r>
      <w:r>
        <w:rPr>
          <w:sz w:val="20"/>
          <w:szCs w:val="20"/>
        </w:rPr>
        <w:t xml:space="preserve">	(3.5)</w:t>
      </w:r>
    </w:p>
    <w:p>
      <w:pPr>
        <w:spacing w:after="140" w:line="276"/>
        <w:jc w:val="both"/>
      </w:pPr>
      <w:r>
        <w:t xml:space="preserve">Positive residuals may represent amplification or synergy; negative residuals may represent interference or overlap; a zero residual indicates quantitative additivity for that projection. A zero residual does not prove structural independence, since two systems can have equal totals while differing in arrangement or function.</w:t>
      </w:r>
    </w:p>
    <w:p>
      <w:pPr>
        <w:pStyle w:val="Heading1"/>
      </w:pPr>
      <w:r>
        <w:t xml:space="preserve">4  Foundational Principles</w:t>
      </w:r>
    </w:p>
    <w:p>
      <w:pPr>
        <w:pStyle w:val="Heading2"/>
      </w:pPr>
      <w:r>
        <w:t xml:space="preserve">4.1  Typed operation principle</w:t>
      </w:r>
    </w:p>
    <w:p>
      <w:pPr>
        <w:spacing w:after="140" w:line="276"/>
        <w:jc w:val="both"/>
      </w:pPr>
      <w:r>
        <w:t xml:space="preserve">Every operation must declare its domain, codomain, object type, and intended question. Two expressions that use the same printed symbol are not thereby the same operation.</w:t>
      </w:r>
    </w:p>
    <w:p>
      <w:pPr>
        <w:pStyle w:val="Heading2"/>
      </w:pPr>
      <w:r>
        <w:t xml:space="preserve">4.2  Conservation of count</w:t>
      </w:r>
    </w:p>
    <w:p>
      <w:pPr>
        <w:spacing w:after="140" w:line="276"/>
        <w:jc w:val="both"/>
      </w:pPr>
      <w:r>
        <w:t xml:space="preserve">For components retained under disjoint composition, the count projection is additive:</w:t>
      </w:r>
    </w:p>
    <w:p>
      <w:pPr>
        <w:spacing w:after="160" w:before="80"/>
        <w:jc w:val="center"/>
      </w:pPr>
      <w:r>
        <w:rPr>
          <w:rFonts w:ascii="Cambria Math" w:cs="Cambria Math" w:eastAsia="Cambria Math" w:hAnsi="Cambria Math"/>
          <w:sz w:val="23"/>
          <w:szCs w:val="23"/>
        </w:rPr>
        <w:t xml:space="preserve">π_count(X ⋆ₖ Y) = π_count(X) + π_count(Y).</w:t>
      </w:r>
    </w:p>
    <w:p>
      <w:pPr>
        <w:spacing w:after="140" w:line="276"/>
        <w:jc w:val="both"/>
      </w:pPr>
      <w:r>
        <w:t xml:space="preserve">This preserves ordinary arithmetic at the count layer, because </w:t>
      </w:r>
      <w:r>
        <w:rPr>
          <w:rFonts w:ascii="Cambria Math" w:cs="Cambria Math" w:eastAsia="Cambria Math" w:hAnsi="Cambria Math"/>
        </w:rPr>
        <w:t xml:space="preserve">|C_X ⊔ C_Y| = |C_X| + |C_Y|</w:t>
      </w:r>
      <w:r>
        <w:t xml:space="preserve">. It fails only when the composition rule explicitly merges identities, removes components, or counts equivalence classes rather than components.</w:t>
      </w:r>
    </w:p>
    <w:p>
      <w:pPr>
        <w:pStyle w:val="Heading2"/>
      </w:pPr>
      <w:r>
        <w:t xml:space="preserve">4.3  Relation retention</w:t>
      </w:r>
    </w:p>
    <w:p>
      <w:pPr>
        <w:spacing w:after="140" w:line="276"/>
        <w:jc w:val="both"/>
      </w:pPr>
      <w:r>
        <w:t xml:space="preserve">If a target depends on </w:t>
      </w:r>
      <w:r>
        <w:rPr>
          <w:rFonts w:ascii="Cambria Math" w:cs="Cambria Math" w:eastAsia="Cambria Math" w:hAnsi="Cambria Math"/>
        </w:rPr>
        <w:t xml:space="preserve">R</w:t>
      </w:r>
      <w:r>
        <w:t xml:space="preserve">, scalarization to </w:t>
      </w:r>
      <w:r>
        <w:rPr>
          <w:rFonts w:ascii="Cambria Math" w:cs="Cambria Math" w:eastAsia="Cambria Math" w:hAnsi="Cambria Math"/>
        </w:rPr>
        <w:t xml:space="preserve">Q</w:t>
      </w:r>
      <w:r>
        <w:t xml:space="preserve"> alone is insufficient unless it is proved that </w:t>
      </w:r>
      <w:r>
        <w:rPr>
          <w:rFonts w:ascii="Cambria Math" w:cs="Cambria Math" w:eastAsia="Cambria Math" w:hAnsi="Cambria Math"/>
        </w:rPr>
        <w:t xml:space="preserve">R</w:t>
      </w:r>
      <w:r>
        <w:t xml:space="preserve"> is recoverable from </w:t>
      </w:r>
      <w:r>
        <w:rPr>
          <w:rFonts w:ascii="Cambria Math" w:cs="Cambria Math" w:eastAsia="Cambria Math" w:hAnsi="Cambria Math"/>
        </w:rPr>
        <w:t xml:space="preserve">Q</w:t>
      </w:r>
      <w:r>
        <w:t xml:space="preserve"> or irrelevant to the target.</w:t>
      </w:r>
    </w:p>
    <w:p>
      <w:pPr>
        <w:pStyle w:val="Heading2"/>
      </w:pPr>
      <w:r>
        <w:t xml:space="preserve">4.4  No blind independence</w:t>
      </w:r>
    </w:p>
    <w:p>
      <w:pPr>
        <w:spacing w:after="140" w:line="276"/>
        <w:jc w:val="both"/>
      </w:pPr>
      <w:r>
        <w:t xml:space="preserve">Separate observations or constraints must not be added or multiplied as independent contributions without an independence condition. Overlap must be represented before aggregation.</w:t>
      </w:r>
    </w:p>
    <w:p>
      <w:pPr>
        <w:pStyle w:val="Heading2"/>
      </w:pPr>
      <w:r>
        <w:t xml:space="preserve">4.5  No blind superposition</w:t>
      </w:r>
    </w:p>
    <w:p>
      <w:pPr>
        <w:spacing w:after="140" w:line="276"/>
        <w:jc w:val="both"/>
      </w:pPr>
      <w:r>
        <w:t xml:space="preserve">For a nonlinear map </w:t>
      </w:r>
      <w:r>
        <w:rPr>
          <w:rFonts w:ascii="Cambria Math" w:cs="Cambria Math" w:eastAsia="Cambria Math" w:hAnsi="Cambria Math"/>
        </w:rPr>
        <w:t xml:space="preserve">F</w:t>
      </w:r>
      <w:r>
        <w:t xml:space="preserve">, the equality </w:t>
      </w:r>
      <w:r>
        <w:rPr>
          <w:rFonts w:ascii="Cambria Math" w:cs="Cambria Math" w:eastAsia="Cambria Math" w:hAnsi="Cambria Math"/>
        </w:rPr>
        <w:t xml:space="preserve">F(x + y) = F(x) + F(y)</w:t>
      </w:r>
      <w:r>
        <w:t xml:space="preserve"> cannot be assumed. It requires linearity on the relevant domain or another valid composition theorem.</w:t>
      </w:r>
    </w:p>
    <w:p>
      <w:pPr>
        <w:pStyle w:val="Heading2"/>
      </w:pPr>
      <w:r>
        <w:t xml:space="preserve">4.6  Evidence-carrying output</w:t>
      </w:r>
    </w:p>
    <w:p>
      <w:pPr>
        <w:spacing w:after="140" w:line="276"/>
        <w:jc w:val="both"/>
      </w:pPr>
      <w:r>
        <w:t xml:space="preserve">Each asserted result should carry definitions, assumptions, derivation, evidence status, and reproducibility information sufficient for independent checking. A label, an authority, or a persuasive description does not substitute for proof.</w:t>
      </w:r>
    </w:p>
    <w:p>
      <w:pPr>
        <w:pStyle w:val="Heading1"/>
      </w:pPr>
      <w:r>
        <w:t xml:space="preserve">5  Elementary Results</w:t>
      </w:r>
    </w:p>
    <w:p>
      <w:pPr>
        <w:keepNext/>
        <w:spacing w:after="100" w:before="200"/>
      </w:pPr>
      <w:r>
        <w:rPr>
          <w:b/>
          <w:bCs/>
          <w:color w:val="1F3864"/>
        </w:rPr>
        <w:t xml:space="preserve">Proposition 1</w:t>
      </w:r>
      <w:r>
        <w:rPr>
          <w:b/>
          <w:bCs/>
        </w:rPr>
        <w:t xml:space="preserve">  Scalar projection is generally noninjective</w:t>
      </w:r>
    </w:p>
    <w:p>
      <w:pPr>
        <w:spacing w:after="140" w:line="276"/>
        <w:jc w:val="both"/>
      </w:pPr>
      <w:r>
        <w:t xml:space="preserve">If </w:t>
      </w:r>
      <w:r>
        <w:rPr>
          <w:rFonts w:ascii="Cambria Math" w:cs="Cambria Math" w:eastAsia="Cambria Math" w:hAnsi="Cambria Math"/>
        </w:rPr>
        <w:t xml:space="preserve">𝔅</w:t>
      </w:r>
      <w:r>
        <w:t xml:space="preserve"> contains admissible objects </w:t>
      </w:r>
      <w:r>
        <w:rPr>
          <w:rFonts w:ascii="Cambria Math" w:cs="Cambria Math" w:eastAsia="Cambria Math" w:hAnsi="Cambria Math"/>
        </w:rPr>
        <w:t xml:space="preserve">X ≠ Y</w:t>
      </w:r>
      <w:r>
        <w:t xml:space="preserve"> with </w:t>
      </w:r>
      <w:r>
        <w:rPr>
          <w:rFonts w:ascii="Cambria Math" w:cs="Cambria Math" w:eastAsia="Cambria Math" w:hAnsi="Cambria Math"/>
        </w:rPr>
        <w:t xml:space="preserve">Q_X = Q_Y</w:t>
      </w:r>
      <w:r>
        <w:t xml:space="preserve">, then </w:t>
      </w:r>
      <w:r>
        <w:rPr>
          <w:rFonts w:ascii="Cambria Math" w:cs="Cambria Math" w:eastAsia="Cambria Math" w:hAnsi="Cambria Math"/>
        </w:rPr>
        <w:t xml:space="preserve">π_Q</w:t>
      </w:r>
      <w:r>
        <w:t xml:space="preserve"> is noninjective on </w:t>
      </w:r>
      <w:r>
        <w:rPr>
          <w:rFonts w:ascii="Cambria Math" w:cs="Cambria Math" w:eastAsia="Cambria Math" w:hAnsi="Cambria Math"/>
        </w:rPr>
        <w:t xml:space="preserve">𝔅</w:t>
      </w:r>
      <w:r>
        <w:t xml:space="preserve">.</w:t>
      </w:r>
    </w:p>
    <w:p>
      <w:pPr>
        <w:spacing w:after="160" w:line="276"/>
        <w:jc w:val="both"/>
      </w:pPr>
      <w:r>
        <w:rPr>
          <w:b/>
          <w:bCs/>
          <w:i/>
          <w:iCs/>
        </w:rPr>
        <w:t xml:space="preserve">Proof. </w:t>
      </w:r>
      <w:r>
        <w:t xml:space="preserve">By definition </w:t>
      </w:r>
      <w:r>
        <w:rPr>
          <w:rFonts w:ascii="Cambria Math" w:cs="Cambria Math" w:eastAsia="Cambria Math" w:hAnsi="Cambria Math"/>
        </w:rPr>
        <w:t xml:space="preserve">π_Q(X) = Q_X = Q_Y = π_Q(Y)</w:t>
      </w:r>
      <w:r>
        <w:t xml:space="preserve"> while </w:t>
      </w:r>
      <w:r>
        <w:rPr>
          <w:rFonts w:ascii="Cambria Math" w:cs="Cambria Math" w:eastAsia="Cambria Math" w:hAnsi="Cambria Math"/>
        </w:rPr>
        <w:t xml:space="preserve">X ≠ Y</w:t>
      </w:r>
      <w:r>
        <w:t xml:space="preserve">.</w:t>
      </w:r>
      <w:r>
        <w:t xml:space="preserve">  ∎</w:t>
      </w:r>
    </w:p>
    <w:p>
      <w:pPr>
        <w:spacing w:after="140" w:line="276"/>
        <w:jc w:val="both"/>
      </w:pPr>
      <w:r>
        <w:t xml:space="preserve">The proposition is elementary; its role is to fix the logical starting point. In every domain where structure varies at fixed quantity, the scalar summary is a genuine compression.</w:t>
      </w:r>
    </w:p>
    <w:p>
      <w:pPr>
        <w:keepNext/>
        <w:spacing w:after="100" w:before="200"/>
      </w:pPr>
      <w:r>
        <w:rPr>
          <w:b/>
          <w:bCs/>
          <w:color w:val="1F3864"/>
        </w:rPr>
        <w:t xml:space="preserve">Proposition 2</w:t>
      </w:r>
      <w:r>
        <w:rPr>
          <w:b/>
          <w:bCs/>
        </w:rPr>
        <w:t xml:space="preserve">  Scalar sufficiency criterion</w:t>
      </w:r>
    </w:p>
    <w:p>
      <w:pPr>
        <w:spacing w:after="140" w:line="276"/>
        <w:jc w:val="both"/>
      </w:pPr>
      <w:r>
        <w:t xml:space="preserve">For a target </w:t>
      </w:r>
      <w:r>
        <w:rPr>
          <w:rFonts w:ascii="Cambria Math" w:cs="Cambria Math" w:eastAsia="Cambria Math" w:hAnsi="Cambria Math"/>
        </w:rPr>
        <w:t xml:space="preserve">t</w:t>
      </w:r>
      <w:r>
        <w:t xml:space="preserve">, the following are equivalent:</w:t>
      </w:r>
    </w:p>
    <w:p>
      <w:pPr>
        <w:pStyle w:val="ListParagraph"/>
        <w:numPr>
          <w:ilvl w:val="0"/>
          <w:numId w:val="3"/>
        </w:numPr>
        <w:spacing w:after="80"/>
      </w:pPr>
      <w:r>
        <w:t xml:space="preserve">there exists a map </w:t>
      </w:r>
      <w:r>
        <w:rPr>
          <w:rFonts w:ascii="Cambria Math" w:cs="Cambria Math" w:eastAsia="Cambria Math" w:hAnsi="Cambria Math"/>
        </w:rPr>
        <w:t xml:space="preserve">g : π_Q(𝔅) → Y_t</w:t>
      </w:r>
      <w:r>
        <w:t xml:space="preserve"> with </w:t>
      </w:r>
      <w:r>
        <w:rPr>
          <w:rFonts w:ascii="Cambria Math" w:cs="Cambria Math" w:eastAsia="Cambria Math" w:hAnsi="Cambria Math"/>
        </w:rPr>
        <w:t xml:space="preserve">π_F(X; t) = g(π_Q(X))</w:t>
      </w:r>
      <w:r>
        <w:t xml:space="preserve"> for every admissible </w:t>
      </w:r>
      <w:r>
        <w:rPr>
          <w:rFonts w:ascii="Cambria Math" w:cs="Cambria Math" w:eastAsia="Cambria Math" w:hAnsi="Cambria Math"/>
        </w:rPr>
        <w:t xml:space="preserve">X</w:t>
      </w:r>
      <w:r>
        <w:t xml:space="preserve">;</w:t>
      </w:r>
    </w:p>
    <w:p>
      <w:pPr>
        <w:pStyle w:val="ListParagraph"/>
        <w:numPr>
          <w:ilvl w:val="0"/>
          <w:numId w:val="3"/>
        </w:numPr>
        <w:spacing w:after="80"/>
      </w:pPr>
      <w:r>
        <w:rPr>
          <w:rFonts w:ascii="Cambria Math" w:cs="Cambria Math" w:eastAsia="Cambria Math" w:hAnsi="Cambria Math"/>
        </w:rPr>
        <w:t xml:space="preserve">ker π_Q ⊆ ker π_F(·; t)</w:t>
      </w:r>
      <w:r>
        <w:t xml:space="preserve"> on the admissible domain, that is, any two admissible objects with equal quantity give the same answer to </w:t>
      </w:r>
      <w:r>
        <w:rPr>
          <w:rFonts w:ascii="Cambria Math" w:cs="Cambria Math" w:eastAsia="Cambria Math" w:hAnsi="Cambria Math"/>
        </w:rPr>
        <w:t xml:space="preserve">t</w:t>
      </w:r>
      <w:r>
        <w:t xml:space="preserve">.</w:t>
      </w:r>
    </w:p>
    <w:p>
      <w:pPr>
        <w:spacing w:after="160" w:line="276"/>
        <w:jc w:val="both"/>
      </w:pPr>
      <w:r>
        <w:rPr>
          <w:b/>
          <w:bCs/>
          <w:i/>
          <w:iCs/>
        </w:rPr>
        <w:t xml:space="preserve">Proof. </w:t>
      </w:r>
      <w:r>
        <w:t xml:space="preserve">(1 ⇒ 2) If </w:t>
      </w:r>
      <w:r>
        <w:rPr>
          <w:rFonts w:ascii="Cambria Math" w:cs="Cambria Math" w:eastAsia="Cambria Math" w:hAnsi="Cambria Math"/>
        </w:rPr>
        <w:t xml:space="preserve">π_Q(X) = π_Q(Y)</w:t>
      </w:r>
      <w:r>
        <w:t xml:space="preserve"> then </w:t>
      </w:r>
      <w:r>
        <w:rPr>
          <w:rFonts w:ascii="Cambria Math" w:cs="Cambria Math" w:eastAsia="Cambria Math" w:hAnsi="Cambria Math"/>
        </w:rPr>
        <w:t xml:space="preserve">π_F(X; t) = g(π_Q(X)) = g(π_Q(Y)) = π_F(Y; t)</w:t>
      </w:r>
      <w:r>
        <w:t xml:space="preserve">. (2 ⇒ 1) For each attained value </w:t>
      </w:r>
      <w:r>
        <w:rPr>
          <w:rFonts w:ascii="Cambria Math" w:cs="Cambria Math" w:eastAsia="Cambria Math" w:hAnsi="Cambria Math"/>
        </w:rPr>
        <w:t xml:space="preserve">q</w:t>
      </w:r>
      <w:r>
        <w:t xml:space="preserve">, choose any admissible </w:t>
      </w:r>
      <w:r>
        <w:rPr>
          <w:rFonts w:ascii="Cambria Math" w:cs="Cambria Math" w:eastAsia="Cambria Math" w:hAnsi="Cambria Math"/>
        </w:rPr>
        <w:t xml:space="preserve">X</w:t>
      </w:r>
      <w:r>
        <w:t xml:space="preserve"> with </w:t>
      </w:r>
      <w:r>
        <w:rPr>
          <w:rFonts w:ascii="Cambria Math" w:cs="Cambria Math" w:eastAsia="Cambria Math" w:hAnsi="Cambria Math"/>
        </w:rPr>
        <w:t xml:space="preserve">π_Q(X) = q</w:t>
      </w:r>
      <w:r>
        <w:t xml:space="preserve"> and set </w:t>
      </w:r>
      <w:r>
        <w:rPr>
          <w:rFonts w:ascii="Cambria Math" w:cs="Cambria Math" w:eastAsia="Cambria Math" w:hAnsi="Cambria Math"/>
        </w:rPr>
        <w:t xml:space="preserve">g(q) = π_F(X; t)</w:t>
      </w:r>
      <w:r>
        <w:t xml:space="preserve">. Condition 2 makes the choice irrelevant, so </w:t>
      </w:r>
      <w:r>
        <w:rPr>
          <w:rFonts w:ascii="Cambria Math" w:cs="Cambria Math" w:eastAsia="Cambria Math" w:hAnsi="Cambria Math"/>
        </w:rPr>
        <w:t xml:space="preserve">g</w:t>
      </w:r>
      <w:r>
        <w:t xml:space="preserve"> is well defined, and by construction </w:t>
      </w:r>
      <w:r>
        <w:rPr>
          <w:rFonts w:ascii="Cambria Math" w:cs="Cambria Math" w:eastAsia="Cambria Math" w:hAnsi="Cambria Math"/>
        </w:rPr>
        <w:t xml:space="preserve">π_F(·; t) = g ∘ π_Q</w:t>
      </w:r>
      <w:r>
        <w:t xml:space="preserve">.</w:t>
      </w:r>
      <w:r>
        <w:t xml:space="preserve">  ∎</w:t>
      </w:r>
    </w:p>
    <w:p>
      <w:pPr>
        <w:spacing w:after="140" w:line="276"/>
        <w:jc w:val="both"/>
      </w:pPr>
      <w:r>
        <w:t xml:space="preserve">This is the standard factorization lemma for maps; its content within BFCL is that it converts “the sum may be incomplete” into a precise, checkable condition. The same argument works for any projection in place of </w:t>
      </w:r>
      <w:r>
        <w:rPr>
          <w:rFonts w:ascii="Cambria Math" w:cs="Cambria Math" w:eastAsia="Cambria Math" w:hAnsi="Cambria Math"/>
        </w:rPr>
        <w:t xml:space="preserve">π_Q</w:t>
      </w:r>
      <w:r>
        <w:t xml:space="preserve">, which is used in Section 6 to find the smallest sufficient record.</w:t>
      </w:r>
    </w:p>
    <w:p>
      <w:pPr>
        <w:keepNext/>
        <w:spacing w:after="100" w:before="200"/>
      </w:pPr>
      <w:r>
        <w:rPr>
          <w:b/>
          <w:bCs/>
          <w:color w:val="1F3864"/>
        </w:rPr>
        <w:t xml:space="preserve">Corollary 2.1</w:t>
      </w:r>
      <w:r>
        <w:rPr>
          <w:b/>
          <w:bCs/>
        </w:rPr>
        <w:t xml:space="preserve">  Witness of functional incompleteness</w:t>
      </w:r>
    </w:p>
    <w:p>
      <w:pPr>
        <w:spacing w:after="140" w:line="276"/>
        <w:jc w:val="both"/>
      </w:pPr>
      <w:r>
        <w:t xml:space="preserve">If admissible </w:t>
      </w:r>
      <w:r>
        <w:rPr>
          <w:rFonts w:ascii="Cambria Math" w:cs="Cambria Math" w:eastAsia="Cambria Math" w:hAnsi="Cambria Math"/>
        </w:rPr>
        <w:t xml:space="preserve">X, Y</w:t>
      </w:r>
      <w:r>
        <w:t xml:space="preserve"> satisfy </w:t>
      </w:r>
      <w:r>
        <w:rPr>
          <w:rFonts w:ascii="Cambria Math" w:cs="Cambria Math" w:eastAsia="Cambria Math" w:hAnsi="Cambria Math"/>
        </w:rPr>
        <w:t xml:space="preserve">π_Q(X) = π_Q(Y)</w:t>
      </w:r>
      <w:r>
        <w:t xml:space="preserve"> but </w:t>
      </w:r>
      <w:r>
        <w:rPr>
          <w:rFonts w:ascii="Cambria Math" w:cs="Cambria Math" w:eastAsia="Cambria Math" w:hAnsi="Cambria Math"/>
        </w:rPr>
        <w:t xml:space="preserve">π_F(X; t) ≠ π_F(Y; t)</w:t>
      </w:r>
      <w:r>
        <w:t xml:space="preserve">, then no scalar-only rule answers </w:t>
      </w:r>
      <w:r>
        <w:rPr>
          <w:rFonts w:ascii="Cambria Math" w:cs="Cambria Math" w:eastAsia="Cambria Math" w:hAnsi="Cambria Math"/>
        </w:rPr>
        <w:t xml:space="preserve">t</w:t>
      </w:r>
      <w:r>
        <w:t xml:space="preserve"> on the domain. Such a pair is called a </w:t>
      </w:r>
      <w:r>
        <w:rPr>
          <w:b/>
          <w:bCs/>
        </w:rPr>
        <w:t xml:space="preserve">counterexample witness</w:t>
      </w:r>
      <w:r>
        <w:t xml:space="preserve">. A single witness suffices to refute scalar sufficiency; no finite collection of agreeing cases suffices to establish it on an infinite domain.</w:t>
      </w:r>
    </w:p>
    <w:p>
      <w:pPr>
        <w:keepNext/>
        <w:spacing w:after="100" w:before="200"/>
      </w:pPr>
      <w:r>
        <w:rPr>
          <w:b/>
          <w:bCs/>
          <w:color w:val="1F3864"/>
        </w:rPr>
        <w:t xml:space="preserve">Proposition 3</w:t>
      </w:r>
      <w:r>
        <w:rPr>
          <w:b/>
          <w:bCs/>
        </w:rPr>
        <w:t xml:space="preserve">  Interaction decomposition</w:t>
      </w:r>
    </w:p>
    <w:p>
      <w:pPr>
        <w:spacing w:after="140" w:line="276"/>
        <w:jc w:val="both"/>
      </w:pPr>
      <w:r>
        <w:t xml:space="preserve">When the carrier is an abelian group and </w:t>
      </w:r>
      <w:r>
        <w:rPr>
          <w:rFonts w:ascii="Cambria Math" w:cs="Cambria Math" w:eastAsia="Cambria Math" w:hAnsi="Cambria Math"/>
        </w:rPr>
        <w:t xml:space="preserve">X ⋆ₖ Y</w:t>
      </w:r>
      <w:r>
        <w:t xml:space="preserve"> is defined,</w:t>
      </w:r>
    </w:p>
    <w:p>
      <w:pPr>
        <w:tabs>
          <w:tab w:val="right" w:pos="9360"/>
        </w:tabs>
        <w:spacing w:after="160" w:before="80"/>
        <w:jc w:val="center"/>
      </w:pPr>
      <w:r>
        <w:rPr>
          <w:rFonts w:ascii="Cambria Math" w:cs="Cambria Math" w:eastAsia="Cambria Math" w:hAnsi="Cambria Math"/>
          <w:sz w:val="23"/>
          <w:szCs w:val="23"/>
        </w:rPr>
        <w:t xml:space="preserve">π_Q(X ⋆ₖ Y) = π_Q(X) + π_Q(Y) + Iₖ(X, Y).</w:t>
      </w:r>
      <w:r>
        <w:rPr>
          <w:sz w:val="20"/>
          <w:szCs w:val="20"/>
        </w:rPr>
        <w:t xml:space="preserve">	(5.1)</w:t>
      </w:r>
    </w:p>
    <w:p>
      <w:pPr>
        <w:spacing w:after="160" w:line="276"/>
        <w:jc w:val="both"/>
      </w:pPr>
      <w:r>
        <w:rPr>
          <w:b/>
          <w:bCs/>
          <w:i/>
          <w:iCs/>
        </w:rPr>
        <w:t xml:space="preserve">Proof. </w:t>
      </w:r>
      <w:r>
        <w:t xml:space="preserve">Rearrange definition (3.5).</w:t>
      </w:r>
      <w:r>
        <w:t xml:space="preserve">  ∎</w:t>
      </w:r>
    </w:p>
    <w:p>
      <w:pPr>
        <w:spacing w:after="140" w:line="276"/>
        <w:jc w:val="both"/>
      </w:pPr>
      <w:r>
        <w:t xml:space="preserve">The identity is bookkeeping, not a causal claim. Causal meaning requires a domain model and an identification argument.</w:t>
      </w:r>
    </w:p>
    <w:p>
      <w:pPr>
        <w:keepNext/>
        <w:spacing w:after="100" w:before="200"/>
      </w:pPr>
      <w:r>
        <w:rPr>
          <w:b/>
          <w:bCs/>
          <w:color w:val="1F3864"/>
        </w:rPr>
        <w:t xml:space="preserve">Proposition 4</w:t>
      </w:r>
      <w:r>
        <w:rPr>
          <w:b/>
          <w:bCs/>
        </w:rPr>
        <w:t xml:space="preserve">  Cocycle identity for associative composition</w:t>
      </w:r>
    </w:p>
    <w:p>
      <w:pPr>
        <w:spacing w:after="140" w:line="276"/>
        <w:jc w:val="both"/>
      </w:pPr>
      <w:r>
        <w:t xml:space="preserve">Fix couplings for which </w:t>
      </w:r>
      <w:r>
        <w:rPr>
          <w:rFonts w:ascii="Cambria Math" w:cs="Cambria Math" w:eastAsia="Cambria Math" w:hAnsi="Cambria Math"/>
        </w:rPr>
        <w:t xml:space="preserve">X ⋆ Y</w:t>
      </w:r>
      <w:r>
        <w:t xml:space="preserve">, </w:t>
      </w:r>
      <w:r>
        <w:rPr>
          <w:rFonts w:ascii="Cambria Math" w:cs="Cambria Math" w:eastAsia="Cambria Math" w:hAnsi="Cambria Math"/>
        </w:rPr>
        <w:t xml:space="preserve">(X ⋆ Y) ⋆ W</w:t>
      </w:r>
      <w:r>
        <w:t xml:space="preserve">, </w:t>
      </w:r>
      <w:r>
        <w:rPr>
          <w:rFonts w:ascii="Cambria Math" w:cs="Cambria Math" w:eastAsia="Cambria Math" w:hAnsi="Cambria Math"/>
        </w:rPr>
        <w:t xml:space="preserve">Y ⋆ W</w:t>
      </w:r>
      <w:r>
        <w:t xml:space="preserve">, and </w:t>
      </w:r>
      <w:r>
        <w:rPr>
          <w:rFonts w:ascii="Cambria Math" w:cs="Cambria Math" w:eastAsia="Cambria Math" w:hAnsi="Cambria Math"/>
        </w:rPr>
        <w:t xml:space="preserve">X ⋆ (Y ⋆ W)</w:t>
      </w:r>
      <w:r>
        <w:t xml:space="preserve"> are defined, and suppose composition is associative at the quantity layer: </w:t>
      </w:r>
      <w:r>
        <w:rPr>
          <w:rFonts w:ascii="Cambria Math" w:cs="Cambria Math" w:eastAsia="Cambria Math" w:hAnsi="Cambria Math"/>
        </w:rPr>
        <w:t xml:space="preserve">π_Q((X ⋆ Y) ⋆ W) = π_Q(X ⋆ (Y ⋆ W))</w:t>
      </w:r>
      <w:r>
        <w:t xml:space="preserve">. Then</w:t>
      </w:r>
    </w:p>
    <w:p>
      <w:pPr>
        <w:tabs>
          <w:tab w:val="right" w:pos="9360"/>
        </w:tabs>
        <w:spacing w:after="160" w:before="80"/>
        <w:jc w:val="center"/>
      </w:pPr>
      <w:r>
        <w:rPr>
          <w:rFonts w:ascii="Cambria Math" w:cs="Cambria Math" w:eastAsia="Cambria Math" w:hAnsi="Cambria Math"/>
          <w:sz w:val="23"/>
          <w:szCs w:val="23"/>
        </w:rPr>
        <w:t xml:space="preserve">I(X, Y) + I(X ⋆ Y, W) = I(Y, W) + I(X, Y ⋆ W).</w:t>
      </w:r>
      <w:r>
        <w:rPr>
          <w:sz w:val="20"/>
          <w:szCs w:val="20"/>
        </w:rPr>
        <w:t xml:space="preserve">	(5.2)</w:t>
      </w:r>
    </w:p>
    <w:p>
      <w:pPr>
        <w:spacing w:after="160" w:line="276"/>
        <w:jc w:val="both"/>
      </w:pPr>
      <w:r>
        <w:rPr>
          <w:b/>
          <w:bCs/>
          <w:i/>
          <w:iCs/>
        </w:rPr>
        <w:t xml:space="preserve">Proof. </w:t>
      </w:r>
      <w:r>
        <w:t xml:space="preserve">Expanding both sides with (3.5), the intermediate terms </w:t>
      </w:r>
      <w:r>
        <w:rPr>
          <w:rFonts w:ascii="Cambria Math" w:cs="Cambria Math" w:eastAsia="Cambria Math" w:hAnsi="Cambria Math"/>
        </w:rPr>
        <w:t xml:space="preserve">π_Q(X ⋆ Y)</w:t>
      </w:r>
      <w:r>
        <w:t xml:space="preserve"> and </w:t>
      </w:r>
      <w:r>
        <w:rPr>
          <w:rFonts w:ascii="Cambria Math" w:cs="Cambria Math" w:eastAsia="Cambria Math" w:hAnsi="Cambria Math"/>
        </w:rPr>
        <w:t xml:space="preserve">π_Q(Y ⋆ W)</w:t>
      </w:r>
      <w:r>
        <w:t xml:space="preserve"> cancel, leaving </w:t>
      </w:r>
      <w:r>
        <w:rPr>
          <w:rFonts w:ascii="Cambria Math" w:cs="Cambria Math" w:eastAsia="Cambria Math" w:hAnsi="Cambria Math"/>
        </w:rPr>
        <w:t xml:space="preserve">π_Q((X ⋆ Y) ⋆ W) − π_Q(X) − π_Q(Y) − π_Q(W)</w:t>
      </w:r>
      <w:r>
        <w:t xml:space="preserve"> on the left and </w:t>
      </w:r>
      <w:r>
        <w:rPr>
          <w:rFonts w:ascii="Cambria Math" w:cs="Cambria Math" w:eastAsia="Cambria Math" w:hAnsi="Cambria Math"/>
        </w:rPr>
        <w:t xml:space="preserve">π_Q(X ⋆ (Y ⋆ W)) − π_Q(X) − π_Q(Y) − π_Q(W)</w:t>
      </w:r>
      <w:r>
        <w:t xml:space="preserve"> on the right. These agree by associativity.</w:t>
      </w:r>
      <w:r>
        <w:t xml:space="preserve">  ∎</w:t>
      </w:r>
    </w:p>
    <w:p>
      <w:pPr>
        <w:spacing w:after="140" w:line="276"/>
        <w:jc w:val="both"/>
      </w:pPr>
      <w:r>
        <w:t xml:space="preserve">Identity (5.2) has the same form as the 2-cocycle condition for group extensions with trivial action. Its practical consequence is that the </w:t>
      </w:r>
      <w:r>
        <w:rPr>
          <w:b/>
          <w:bCs/>
        </w:rPr>
        <w:t xml:space="preserve">total interaction</w:t>
      </w:r>
      <w:r>
        <w:t xml:space="preserve"> of a three-part assembly, </w:t>
      </w:r>
      <w:r>
        <w:rPr>
          <w:rFonts w:ascii="Cambria Math" w:cs="Cambria Math" w:eastAsia="Cambria Math" w:hAnsi="Cambria Math"/>
        </w:rPr>
        <w:t xml:space="preserve">I(X, Y, W) = π_Q(X ⋆ Y ⋆ W) − π_Q(X) − π_Q(Y) − π_Q(W)</w:t>
      </w:r>
      <w:r>
        <w:t xml:space="preserve">, is independent of assembly order whenever the quantity layer is associative, even though the pairwise residuals recorded along different assembly paths differ. Conversely, a measured violation of (5.2) is a diagnostic that the quantity layer is order dependent.</w:t>
      </w:r>
    </w:p>
    <w:p>
      <w:pPr>
        <w:keepNext/>
        <w:spacing w:after="100" w:before="200"/>
      </w:pPr>
      <w:r>
        <w:rPr>
          <w:b/>
          <w:bCs/>
          <w:color w:val="1F3864"/>
        </w:rPr>
        <w:t xml:space="preserve">Proposition 5</w:t>
      </w:r>
      <w:r>
        <w:rPr>
          <w:b/>
          <w:bCs/>
        </w:rPr>
        <w:t xml:space="preserve">  Symmetry</w:t>
      </w:r>
    </w:p>
    <w:p>
      <w:pPr>
        <w:spacing w:after="140" w:line="276"/>
        <w:jc w:val="both"/>
      </w:pPr>
      <w:r>
        <w:t xml:space="preserve">If </w:t>
      </w:r>
      <w:r>
        <w:rPr>
          <w:rFonts w:ascii="Cambria Math" w:cs="Cambria Math" w:eastAsia="Cambria Math" w:hAnsi="Cambria Math"/>
        </w:rPr>
        <w:t xml:space="preserve">π_Q(X ⋆ Y) = π_Q(Y ⋆ X)</w:t>
      </w:r>
      <w:r>
        <w:t xml:space="preserve">, then </w:t>
      </w:r>
      <w:r>
        <w:rPr>
          <w:rFonts w:ascii="Cambria Math" w:cs="Cambria Math" w:eastAsia="Cambria Math" w:hAnsi="Cambria Math"/>
        </w:rPr>
        <w:t xml:space="preserve">I(X, Y) = I(Y, X)</w:t>
      </w:r>
      <w:r>
        <w:t xml:space="preserve">.</w:t>
      </w:r>
    </w:p>
    <w:p>
      <w:pPr>
        <w:spacing w:after="160" w:line="276"/>
        <w:jc w:val="both"/>
      </w:pPr>
      <w:r>
        <w:rPr>
          <w:b/>
          <w:bCs/>
          <w:i/>
          <w:iCs/>
        </w:rPr>
        <w:t xml:space="preserve">Proof. </w:t>
      </w:r>
      <w:r>
        <w:t xml:space="preserve">The definition (3.5) is symmetric in </w:t>
      </w:r>
      <w:r>
        <w:rPr>
          <w:rFonts w:ascii="Cambria Math" w:cs="Cambria Math" w:eastAsia="Cambria Math" w:hAnsi="Cambria Math"/>
        </w:rPr>
        <w:t xml:space="preserve">π_Q(X)</w:t>
      </w:r>
      <w:r>
        <w:t xml:space="preserve"> and </w:t>
      </w:r>
      <w:r>
        <w:rPr>
          <w:rFonts w:ascii="Cambria Math" w:cs="Cambria Math" w:eastAsia="Cambria Math" w:hAnsi="Cambria Math"/>
        </w:rPr>
        <w:t xml:space="preserve">π_Q(Y)</w:t>
      </w:r>
      <w:r>
        <w:t xml:space="preserve">.</w:t>
      </w:r>
      <w:r>
        <w:t xml:space="preserve">  ∎</w:t>
      </w:r>
    </w:p>
    <w:p>
      <w:pPr>
        <w:keepNext/>
        <w:spacing w:after="100" w:before="200"/>
      </w:pPr>
      <w:r>
        <w:rPr>
          <w:b/>
          <w:bCs/>
          <w:color w:val="1F3864"/>
        </w:rPr>
        <w:t xml:space="preserve">Proposition 6</w:t>
      </w:r>
      <w:r>
        <w:rPr>
          <w:b/>
          <w:bCs/>
        </w:rPr>
        <w:t xml:space="preserve">  False-Addition Firewall</w:t>
      </w:r>
    </w:p>
    <w:p>
      <w:pPr>
        <w:spacing w:after="140" w:line="276"/>
        <w:jc w:val="both"/>
      </w:pPr>
      <w:r>
        <w:t xml:space="preserve">Let constraints of strength </w:t>
      </w:r>
      <w:r>
        <w:rPr>
          <w:rFonts w:ascii="Cambria Math" w:cs="Cambria Math" w:eastAsia="Cambria Math" w:hAnsi="Cambria Math"/>
        </w:rPr>
        <w:t xml:space="preserve">a, b ∈ ℕ</w:t>
      </w:r>
      <w:r>
        <w:t xml:space="preserve"> on the same prime </w:t>
      </w:r>
      <w:r>
        <w:rPr>
          <w:rFonts w:ascii="Cambria Math" w:cs="Cambria Math" w:eastAsia="Cambria Math" w:hAnsi="Cambria Math"/>
        </w:rPr>
        <w:t xml:space="preserve">p</w:t>
      </w:r>
      <w:r>
        <w:t xml:space="preserve"> mean divisibility by </w:t>
      </w:r>
      <w:r>
        <w:rPr>
          <w:rFonts w:ascii="Cambria Math" w:cs="Cambria Math" w:eastAsia="Cambria Math" w:hAnsi="Cambria Math"/>
        </w:rPr>
        <w:t xml:space="preserve">pᵃ</w:t>
      </w:r>
      <w:r>
        <w:t xml:space="preserve"> and </w:t>
      </w:r>
      <w:r>
        <w:rPr>
          <w:rFonts w:ascii="Cambria Math" w:cs="Cambria Math" w:eastAsia="Cambria Math" w:hAnsi="Cambria Math"/>
        </w:rPr>
        <w:t xml:space="preserve">pᵇ</w:t>
      </w:r>
      <w:r>
        <w:t xml:space="preserve">. The combined constraint is divisibility by </w:t>
      </w:r>
      <w:r>
        <w:rPr>
          <w:rFonts w:ascii="Cambria Math" w:cs="Cambria Math" w:eastAsia="Cambria Math" w:hAnsi="Cambria Math"/>
        </w:rPr>
        <w:t xml:space="preserve">p^max(a,b)</w:t>
      </w:r>
      <w:r>
        <w:t xml:space="preserve">, and no rule of the form </w:t>
      </w:r>
      <w:r>
        <w:rPr>
          <w:rFonts w:ascii="Cambria Math" w:cs="Cambria Math" w:eastAsia="Cambria Math" w:hAnsi="Cambria Math"/>
        </w:rPr>
        <w:t xml:space="preserve">a + b</w:t>
      </w:r>
      <w:r>
        <w:t xml:space="preserve"> can be correct.</w:t>
      </w:r>
    </w:p>
    <w:p>
      <w:pPr>
        <w:spacing w:after="160" w:line="276"/>
        <w:jc w:val="both"/>
      </w:pPr>
      <w:r>
        <w:rPr>
          <w:b/>
          <w:bCs/>
          <w:i/>
          <w:iCs/>
        </w:rPr>
        <w:t xml:space="preserve">Proof. </w:t>
      </w:r>
      <w:r>
        <w:rPr>
          <w:rFonts w:ascii="Cambria Math" w:cs="Cambria Math" w:eastAsia="Cambria Math" w:hAnsi="Cambria Math"/>
        </w:rPr>
        <w:t xml:space="preserve">pᵃ | n</w:t>
      </w:r>
      <w:r>
        <w:t xml:space="preserve"> and </w:t>
      </w:r>
      <w:r>
        <w:rPr>
          <w:rFonts w:ascii="Cambria Math" w:cs="Cambria Math" w:eastAsia="Cambria Math" w:hAnsi="Cambria Math"/>
        </w:rPr>
        <w:t xml:space="preserve">pᵇ | n</w:t>
      </w:r>
      <w:r>
        <w:t xml:space="preserve"> hold together iff </w:t>
      </w:r>
      <w:r>
        <w:rPr>
          <w:rFonts w:ascii="Cambria Math" w:cs="Cambria Math" w:eastAsia="Cambria Math" w:hAnsi="Cambria Math"/>
        </w:rPr>
        <w:t xml:space="preserve">p^max(a,b) | n</w:t>
      </w:r>
      <w:r>
        <w:t xml:space="preserve">, since the weaker divisibility is implied by the stronger. Any correct combination rule must therefore be idempotent: combining a constraint with itself adds no information, so the rule must return </w:t>
      </w:r>
      <w:r>
        <w:rPr>
          <w:rFonts w:ascii="Cambria Math" w:cs="Cambria Math" w:eastAsia="Cambria Math" w:hAnsi="Cambria Math"/>
        </w:rPr>
        <w:t xml:space="preserve">a</w:t>
      </w:r>
      <w:r>
        <w:t xml:space="preserve"> on input </w:t>
      </w:r>
      <w:r>
        <w:rPr>
          <w:rFonts w:ascii="Cambria Math" w:cs="Cambria Math" w:eastAsia="Cambria Math" w:hAnsi="Cambria Math"/>
        </w:rPr>
        <w:t xml:space="preserve">(a, a)</w:t>
      </w:r>
      <w:r>
        <w:t xml:space="preserve">. Addition returns </w:t>
      </w:r>
      <w:r>
        <w:rPr>
          <w:rFonts w:ascii="Cambria Math" w:cs="Cambria Math" w:eastAsia="Cambria Math" w:hAnsi="Cambria Math"/>
        </w:rPr>
        <w:t xml:space="preserve">2a ≠ a</w:t>
      </w:r>
      <w:r>
        <w:t xml:space="preserve"> for every </w:t>
      </w:r>
      <w:r>
        <w:rPr>
          <w:rFonts w:ascii="Cambria Math" w:cs="Cambria Math" w:eastAsia="Cambria Math" w:hAnsi="Cambria Math"/>
        </w:rPr>
        <w:t xml:space="preserve">a &gt; 0</w:t>
      </w:r>
      <w:r>
        <w:t xml:space="preserve">, so addition double counts. </w:t>
      </w:r>
      <w:r>
        <w:rPr>
          <w:rFonts w:ascii="Cambria Math" w:cs="Cambria Math" w:eastAsia="Cambria Math" w:hAnsi="Cambria Math"/>
        </w:rPr>
        <w:t xml:space="preserve">max</w:t>
      </w:r>
      <w:r>
        <w:t xml:space="preserve"> is idempotent, commutative, and associative, making it the join of the lattice </w:t>
      </w:r>
      <w:r>
        <w:rPr>
          <w:rFonts w:ascii="Cambria Math" w:cs="Cambria Math" w:eastAsia="Cambria Math" w:hAnsi="Cambria Math"/>
        </w:rPr>
        <w:t xml:space="preserve">(ℕ, ≤)</w:t>
      </w:r>
      <w:r>
        <w:t xml:space="preserve">, which is the correct algebra for nested constraints.</w:t>
      </w:r>
      <w:r>
        <w:t xml:space="preserve">  ∎</w:t>
      </w:r>
    </w:p>
    <w:p>
      <w:pPr>
        <w:spacing w:after="140" w:line="276"/>
        <w:jc w:val="both"/>
      </w:pPr>
      <w:r>
        <w:t xml:space="preserve">In valuation notation this is </w:t>
      </w:r>
      <w:r>
        <w:rPr>
          <w:rFonts w:ascii="Cambria Math" w:cs="Cambria Math" w:eastAsia="Cambria Math" w:hAnsi="Cambria Math"/>
        </w:rPr>
        <w:t xml:space="preserve">v_p(lcm(M, N)) = max(v_p(M), v_p(N))</w:t>
      </w:r>
      <w:r>
        <w:t xml:space="preserve">. Across distinct primes the constraints are independent, the moduli multiply, and their logarithms add. The algebra is selected by the relation between information sources, not by the printed symbols.</w:t>
      </w:r>
    </w:p>
    <w:p>
      <w:pPr>
        <w:pStyle w:val="Heading1"/>
      </w:pPr>
      <w:r>
        <w:t xml:space="preserve">6  Measuring Scalar Insufficiency</w:t>
      </w:r>
    </w:p>
    <w:p>
      <w:pPr>
        <w:spacing w:after="140" w:line="276"/>
        <w:jc w:val="both"/>
      </w:pPr>
      <w:r>
        <w:t xml:space="preserve">Proposition 2 decides whether a scalar is sufficient. In practice it is also useful to know </w:t>
      </w:r>
      <w:r>
        <w:rPr>
          <w:i/>
          <w:iCs/>
        </w:rPr>
        <w:t xml:space="preserve">how far</w:t>
      </w:r>
      <w:r>
        <w:t xml:space="preserve"> a scalar falls short. Following Shannon, place a probability distribution </w:t>
      </w:r>
      <w:r>
        <w:rPr>
          <w:rFonts w:ascii="Cambria Math" w:cs="Cambria Math" w:eastAsia="Cambria Math" w:hAnsi="Cambria Math"/>
        </w:rPr>
        <w:t xml:space="preserve">μ</w:t>
      </w:r>
      <w:r>
        <w:t xml:space="preserve"> on the admissible objects of a finite domain (for instance uniform over designs under consideration, or empirical over observed systems), and treat </w:t>
      </w:r>
      <w:r>
        <w:rPr>
          <w:rFonts w:ascii="Cambria Math" w:cs="Cambria Math" w:eastAsia="Cambria Math" w:hAnsi="Cambria Math"/>
        </w:rPr>
        <w:t xml:space="preserve">Q = π_Q(X)</w:t>
      </w:r>
      <w:r>
        <w:t xml:space="preserve"> and </w:t>
      </w:r>
      <w:r>
        <w:rPr>
          <w:rFonts w:ascii="Cambria Math" w:cs="Cambria Math" w:eastAsia="Cambria Math" w:hAnsi="Cambria Math"/>
        </w:rPr>
        <w:t xml:space="preserve">T = π_F(X; t)</w:t>
      </w:r>
      <w:r>
        <w:t xml:space="preserve"> as random variables.</w:t>
      </w:r>
    </w:p>
    <w:p>
      <w:pPr>
        <w:keepNext/>
        <w:spacing w:after="100" w:before="200"/>
      </w:pPr>
      <w:r>
        <w:rPr>
          <w:b/>
          <w:bCs/>
          <w:color w:val="1F3864"/>
        </w:rPr>
        <w:t xml:space="preserve">Definition 1</w:t>
      </w:r>
      <w:r>
        <w:rPr>
          <w:b/>
          <w:bCs/>
        </w:rPr>
        <w:t xml:space="preserve">  Scalar deficit</w:t>
      </w:r>
    </w:p>
    <w:p>
      <w:pPr>
        <w:tabs>
          <w:tab w:val="right" w:pos="9360"/>
        </w:tabs>
        <w:spacing w:after="160" w:before="80"/>
        <w:jc w:val="center"/>
      </w:pPr>
      <w:r>
        <w:rPr>
          <w:rFonts w:ascii="Cambria Math" w:cs="Cambria Math" w:eastAsia="Cambria Math" w:hAnsi="Cambria Math"/>
          <w:sz w:val="23"/>
          <w:szCs w:val="23"/>
        </w:rPr>
        <w:t xml:space="preserve">Δ_t(Q) = H(T | Q)  bits.</w:t>
      </w:r>
      <w:r>
        <w:rPr>
          <w:sz w:val="20"/>
          <w:szCs w:val="20"/>
        </w:rPr>
        <w:t xml:space="preserve">	(6.1)</w:t>
      </w:r>
    </w:p>
    <w:p>
      <w:pPr>
        <w:spacing w:after="140" w:line="276"/>
        <w:jc w:val="both"/>
      </w:pPr>
      <w:r>
        <w:t xml:space="preserve">The deficit is the expected number of bits still needed to answer </w:t>
      </w:r>
      <w:r>
        <w:rPr>
          <w:rFonts w:ascii="Cambria Math" w:cs="Cambria Math" w:eastAsia="Cambria Math" w:hAnsi="Cambria Math"/>
        </w:rPr>
        <w:t xml:space="preserve">t</w:t>
      </w:r>
      <w:r>
        <w:t xml:space="preserve"> after the scalar summary is known. </w:t>
      </w:r>
      <w:r>
        <w:rPr>
          <w:b/>
          <w:bCs/>
        </w:rPr>
        <w:t xml:space="preserve">Prior work.</w:t>
      </w:r>
      <w:r>
        <w:t xml:space="preserve"> Because </w:t>
      </w:r>
      <w:r>
        <w:rPr>
          <w:rFonts w:ascii="Cambria Math" w:cs="Cambria Math" w:eastAsia="Cambria Math" w:hAnsi="Cambria Math"/>
        </w:rPr>
        <w:t xml:space="preserve">T</w:t>
      </w:r>
      <w:r>
        <w:t xml:space="preserve"> is a function of the object </w:t>
      </w:r>
      <w:r>
        <w:rPr>
          <w:rFonts w:ascii="Cambria Math" w:cs="Cambria Math" w:eastAsia="Cambria Math" w:hAnsi="Cambria Math"/>
        </w:rPr>
        <w:t xml:space="preserve">X</w:t>
      </w:r>
      <w:r>
        <w:t xml:space="preserve">, the deficit coincides with the </w:t>
      </w:r>
      <w:r>
        <w:rPr>
          <w:i/>
          <w:iCs/>
        </w:rPr>
        <w:t xml:space="preserve">relevant information loss</w:t>
      </w:r>
      <w:r>
        <w:t xml:space="preserve"> </w:t>
      </w:r>
      <w:r>
        <w:rPr>
          <w:rFonts w:ascii="Cambria Math" w:cs="Cambria Math" w:eastAsia="Cambria Math" w:hAnsi="Cambria Math"/>
        </w:rPr>
        <w:t xml:space="preserve">L_T(X → Q) = I(X; T | Q) = H(T | Q)</w:t>
      </w:r>
      <w:r>
        <w:t xml:space="preserve"> of the map </w:t>
      </w:r>
      <w:r>
        <w:rPr>
          <w:rFonts w:ascii="Cambria Math" w:cs="Cambria Math" w:eastAsia="Cambria Math" w:hAnsi="Cambria Math"/>
        </w:rPr>
        <w:t xml:space="preserve">X ↦ π_Q(X)</w:t>
      </w:r>
      <w:r>
        <w:t xml:space="preserve"> defined by Geiger and Kubin (2012), whose framework also supplies a data-processing inequality and additivity over cascades. BFCL adopts their quantity and contributes its use as a reduction criterion for composed systems.</w:t>
      </w:r>
    </w:p>
    <w:p>
      <w:pPr>
        <w:keepNext/>
        <w:spacing w:after="100" w:before="200"/>
      </w:pPr>
      <w:r>
        <w:rPr>
          <w:b/>
          <w:bCs/>
          <w:color w:val="1F3864"/>
        </w:rPr>
        <w:t xml:space="preserve">Proposition 7</w:t>
      </w:r>
      <w:r>
        <w:rPr>
          <w:b/>
          <w:bCs/>
        </w:rPr>
        <w:t xml:space="preserve">  Zero deficit characterizes sufficiency</w:t>
      </w:r>
    </w:p>
    <w:p>
      <w:pPr>
        <w:spacing w:after="140" w:line="276"/>
        <w:jc w:val="both"/>
      </w:pPr>
      <w:r>
        <w:t xml:space="preserve">On a finite domain with </w:t>
      </w:r>
      <w:r>
        <w:rPr>
          <w:rFonts w:ascii="Cambria Math" w:cs="Cambria Math" w:eastAsia="Cambria Math" w:hAnsi="Cambria Math"/>
        </w:rPr>
        <w:t xml:space="preserve">μ</w:t>
      </w:r>
      <w:r>
        <w:t xml:space="preserve"> of full support, </w:t>
      </w:r>
      <w:r>
        <w:rPr>
          <w:rFonts w:ascii="Cambria Math" w:cs="Cambria Math" w:eastAsia="Cambria Math" w:hAnsi="Cambria Math"/>
        </w:rPr>
        <w:t xml:space="preserve">Δ_t(Q) = 0</w:t>
      </w:r>
      <w:r>
        <w:t xml:space="preserve"> if and only if scalar reduction is sufficient for </w:t>
      </w:r>
      <w:r>
        <w:rPr>
          <w:rFonts w:ascii="Cambria Math" w:cs="Cambria Math" w:eastAsia="Cambria Math" w:hAnsi="Cambria Math"/>
        </w:rPr>
        <w:t xml:space="preserve">t</w:t>
      </w:r>
      <w:r>
        <w:t xml:space="preserve"> in the sense of Proposition 2.</w:t>
      </w:r>
    </w:p>
    <w:p>
      <w:pPr>
        <w:spacing w:after="160" w:line="276"/>
        <w:jc w:val="both"/>
      </w:pPr>
      <w:r>
        <w:rPr>
          <w:b/>
          <w:bCs/>
          <w:i/>
          <w:iCs/>
        </w:rPr>
        <w:t xml:space="preserve">Proof. </w:t>
      </w:r>
      <w:r>
        <w:rPr>
          <w:rFonts w:ascii="Cambria Math" w:cs="Cambria Math" w:eastAsia="Cambria Math" w:hAnsi="Cambria Math"/>
        </w:rPr>
        <w:t xml:space="preserve">H(T | Q) = 0</w:t>
      </w:r>
      <w:r>
        <w:t xml:space="preserve"> iff </w:t>
      </w:r>
      <w:r>
        <w:rPr>
          <w:rFonts w:ascii="Cambria Math" w:cs="Cambria Math" w:eastAsia="Cambria Math" w:hAnsi="Cambria Math"/>
        </w:rPr>
        <w:t xml:space="preserve">T</w:t>
      </w:r>
      <w:r>
        <w:t xml:space="preserve"> is almost surely a function of </w:t>
      </w:r>
      <w:r>
        <w:rPr>
          <w:rFonts w:ascii="Cambria Math" w:cs="Cambria Math" w:eastAsia="Cambria Math" w:hAnsi="Cambria Math"/>
        </w:rPr>
        <w:t xml:space="preserve">Q</w:t>
      </w:r>
      <w:r>
        <w:t xml:space="preserve"> (Cover and Thomas, 2006). With full support, “almost surely” means for every admissible object, which is condition 1 of Proposition 2.</w:t>
      </w:r>
      <w:r>
        <w:t xml:space="preserve">  ∎</w:t>
      </w:r>
    </w:p>
    <w:p>
      <w:pPr>
        <w:keepNext/>
        <w:spacing w:after="100" w:before="200"/>
      </w:pPr>
      <w:r>
        <w:rPr>
          <w:b/>
          <w:bCs/>
          <w:color w:val="1F3864"/>
        </w:rPr>
        <w:t xml:space="preserve">Proposition 8</w:t>
      </w:r>
      <w:r>
        <w:rPr>
          <w:b/>
          <w:bCs/>
        </w:rPr>
        <w:t xml:space="preserve">  Retaining structure never increases the deficit</w:t>
      </w:r>
    </w:p>
    <w:p>
      <w:pPr>
        <w:spacing w:after="140" w:line="276"/>
        <w:jc w:val="both"/>
      </w:pPr>
      <w:r>
        <w:t xml:space="preserve">For any further projection </w:t>
      </w:r>
      <w:r>
        <w:rPr>
          <w:rFonts w:ascii="Cambria Math" w:cs="Cambria Math" w:eastAsia="Cambria Math" w:hAnsi="Cambria Math"/>
        </w:rPr>
        <w:t xml:space="preserve">ρ</w:t>
      </w:r>
      <w:r>
        <w:t xml:space="preserve"> (for example </w:t>
      </w:r>
      <w:r>
        <w:rPr>
          <w:rFonts w:ascii="Cambria Math" w:cs="Cambria Math" w:eastAsia="Cambria Math" w:hAnsi="Cambria Math"/>
        </w:rPr>
        <w:t xml:space="preserve">π_R</w:t>
      </w:r>
      <w:r>
        <w:t xml:space="preserve">), </w:t>
      </w:r>
      <w:r>
        <w:rPr>
          <w:rFonts w:ascii="Cambria Math" w:cs="Cambria Math" w:eastAsia="Cambria Math" w:hAnsi="Cambria Math"/>
        </w:rPr>
        <w:t xml:space="preserve">H(T | Q, ρ) ≤ H(T | Q)</w:t>
      </w:r>
      <w:r>
        <w:t xml:space="preserve">.</w:t>
      </w:r>
    </w:p>
    <w:p>
      <w:pPr>
        <w:spacing w:after="160" w:line="276"/>
        <w:jc w:val="both"/>
      </w:pPr>
      <w:r>
        <w:rPr>
          <w:b/>
          <w:bCs/>
          <w:i/>
          <w:iCs/>
        </w:rPr>
        <w:t xml:space="preserve">Proof. </w:t>
      </w:r>
      <w:r>
        <w:t xml:space="preserve">Conditioning does not increase entropy.</w:t>
      </w:r>
      <w:r>
        <w:t xml:space="preserve">  ∎</w:t>
      </w:r>
    </w:p>
    <w:p>
      <w:pPr>
        <w:keepNext/>
        <w:spacing w:after="100" w:before="200"/>
      </w:pPr>
      <w:r>
        <w:rPr>
          <w:b/>
          <w:bCs/>
          <w:color w:val="1F3864"/>
        </w:rPr>
        <w:t xml:space="preserve">Definition 2</w:t>
      </w:r>
      <w:r>
        <w:rPr>
          <w:b/>
          <w:bCs/>
        </w:rPr>
        <w:t xml:space="preserve">  Minimal sufficient record</w:t>
      </w:r>
    </w:p>
    <w:p>
      <w:pPr>
        <w:spacing w:after="140" w:line="276"/>
        <w:jc w:val="both"/>
      </w:pPr>
      <w:r>
        <w:t xml:space="preserve">Given candidate fields </w:t>
      </w:r>
      <w:r>
        <w:rPr>
          <w:rFonts w:ascii="Cambria Math" w:cs="Cambria Math" w:eastAsia="Cambria Math" w:hAnsi="Cambria Math"/>
        </w:rPr>
        <w:t xml:space="preserve">{Q, C, R, S, E}</w:t>
      </w:r>
      <w:r>
        <w:t xml:space="preserve">, a </w:t>
      </w:r>
      <w:r>
        <w:rPr>
          <w:b/>
          <w:bCs/>
        </w:rPr>
        <w:t xml:space="preserve">minimal sufficient record</w:t>
      </w:r>
      <w:r>
        <w:t xml:space="preserve"> for </w:t>
      </w:r>
      <w:r>
        <w:rPr>
          <w:rFonts w:ascii="Cambria Math" w:cs="Cambria Math" w:eastAsia="Cambria Math" w:hAnsi="Cambria Math"/>
        </w:rPr>
        <w:t xml:space="preserve">t</w:t>
      </w:r>
      <w:r>
        <w:t xml:space="preserve"> is a subset </w:t>
      </w:r>
      <w:r>
        <w:rPr>
          <w:rFonts w:ascii="Cambria Math" w:cs="Cambria Math" w:eastAsia="Cambria Math" w:hAnsi="Cambria Math"/>
        </w:rPr>
        <w:t xml:space="preserve">A</w:t>
      </w:r>
      <w:r>
        <w:t xml:space="preserve"> of fields such that </w:t>
      </w:r>
      <w:r>
        <w:rPr>
          <w:rFonts w:ascii="Cambria Math" w:cs="Cambria Math" w:eastAsia="Cambria Math" w:hAnsi="Cambria Math"/>
        </w:rPr>
        <w:t xml:space="preserve">H(T | π_A) = 0</w:t>
      </w:r>
      <w:r>
        <w:t xml:space="preserve"> and no proper subset of </w:t>
      </w:r>
      <w:r>
        <w:rPr>
          <w:rFonts w:ascii="Cambria Math" w:cs="Cambria Math" w:eastAsia="Cambria Math" w:hAnsi="Cambria Math"/>
        </w:rPr>
        <w:t xml:space="preserve">A</w:t>
      </w:r>
      <w:r>
        <w:t xml:space="preserve"> has this property. Because a Burd object has only five structural fields, all 32 subsets can be checked directly. This is the BFCL analogue of a minimal sufficient statistic in the sense of Fisher: keep exactly what the question needs and nothing more.</w:t>
      </w:r>
    </w:p>
    <w:p>
      <w:pPr>
        <w:spacing w:after="140" w:line="276"/>
        <w:jc w:val="both"/>
      </w:pPr>
      <w:r>
        <w:t xml:space="preserve">The deficit makes the reduction decision graded rather than binary. A designer may accept a small positive deficit when the cost of retaining structure is high, but the loss is then stated rather than hidden.</w:t>
      </w:r>
    </w:p>
    <w:p>
      <w:pPr>
        <w:pStyle w:val="Heading2"/>
      </w:pPr>
      <w:r>
        <w:t xml:space="preserve">6.1  How deficits combine under composition</w:t>
      </w:r>
    </w:p>
    <w:p>
      <w:pPr>
        <w:spacing w:after="140" w:line="276"/>
        <w:jc w:val="both"/>
      </w:pPr>
      <w:r>
        <w:t xml:space="preserve">The central question left open in version 2.0.0 is whether scalar deficits behave well under composition: if each part is summarized almost losslessly by its scalar, is the composite? The answer is no in general, and the theorem below says exactly how much worse the composite can be.</w:t>
      </w:r>
    </w:p>
    <w:p>
      <w:pPr>
        <w:spacing w:after="140" w:line="276"/>
        <w:jc w:val="both"/>
      </w:pPr>
      <w:r>
        <w:t xml:space="preserve">Let </w:t>
      </w:r>
      <w:r>
        <w:rPr>
          <w:rFonts w:ascii="Cambria Math" w:cs="Cambria Math" w:eastAsia="Cambria Math" w:hAnsi="Cambria Math"/>
        </w:rPr>
        <w:t xml:space="preserve">X</w:t>
      </w:r>
      <w:r>
        <w:t xml:space="preserve"> and </w:t>
      </w:r>
      <w:r>
        <w:rPr>
          <w:rFonts w:ascii="Cambria Math" w:cs="Cambria Math" w:eastAsia="Cambria Math" w:hAnsi="Cambria Math"/>
        </w:rPr>
        <w:t xml:space="preserve">Y</w:t>
      </w:r>
      <w:r>
        <w:t xml:space="preserve"> be random admissible objects with some joint distribution, and let </w:t>
      </w:r>
      <w:r>
        <w:rPr>
          <w:rFonts w:ascii="Cambria Math" w:cs="Cambria Math" w:eastAsia="Cambria Math" w:hAnsi="Cambria Math"/>
        </w:rPr>
        <w:t xml:space="preserve">Z = X ⋆ Y</w:t>
      </w:r>
      <w:r>
        <w:t xml:space="preserve"> be defined almost surely. Write </w:t>
      </w:r>
      <w:r>
        <w:rPr>
          <w:rFonts w:ascii="Cambria Math" w:cs="Cambria Math" w:eastAsia="Cambria Math" w:hAnsi="Cambria Math"/>
        </w:rPr>
        <w:t xml:space="preserve">Q_X = π_Q(X)</w:t>
      </w:r>
      <w:r>
        <w:t xml:space="preserve">, </w:t>
      </w:r>
      <w:r>
        <w:rPr>
          <w:rFonts w:ascii="Cambria Math" w:cs="Cambria Math" w:eastAsia="Cambria Math" w:hAnsi="Cambria Math"/>
        </w:rPr>
        <w:t xml:space="preserve">Q_Y</w:t>
      </w:r>
      <w:r>
        <w:t xml:space="preserve">, </w:t>
      </w:r>
      <w:r>
        <w:rPr>
          <w:rFonts w:ascii="Cambria Math" w:cs="Cambria Math" w:eastAsia="Cambria Math" w:hAnsi="Cambria Math"/>
        </w:rPr>
        <w:t xml:space="preserve">Q_Z</w:t>
      </w:r>
      <w:r>
        <w:t xml:space="preserve"> for the scalars. Let </w:t>
      </w:r>
      <w:r>
        <w:rPr>
          <w:rFonts w:ascii="Cambria Math" w:cs="Cambria Math" w:eastAsia="Cambria Math" w:hAnsi="Cambria Math"/>
        </w:rPr>
        <w:t xml:space="preserve">t_X</w:t>
      </w:r>
      <w:r>
        <w:t xml:space="preserve"> and </w:t>
      </w:r>
      <w:r>
        <w:rPr>
          <w:rFonts w:ascii="Cambria Math" w:cs="Cambria Math" w:eastAsia="Cambria Math" w:hAnsi="Cambria Math"/>
        </w:rPr>
        <w:t xml:space="preserve">t_Y</w:t>
      </w:r>
      <w:r>
        <w:t xml:space="preserve"> be targets on the parts with values </w:t>
      </w:r>
      <w:r>
        <w:rPr>
          <w:rFonts w:ascii="Cambria Math" w:cs="Cambria Math" w:eastAsia="Cambria Math" w:hAnsi="Cambria Math"/>
        </w:rPr>
        <w:t xml:space="preserve">T_X</w:t>
      </w:r>
      <w:r>
        <w:t xml:space="preserve">, </w:t>
      </w:r>
      <w:r>
        <w:rPr>
          <w:rFonts w:ascii="Cambria Math" w:cs="Cambria Math" w:eastAsia="Cambria Math" w:hAnsi="Cambria Math"/>
        </w:rPr>
        <w:t xml:space="preserve">T_Y</w:t>
      </w:r>
      <w:r>
        <w:t xml:space="preserve">. A composite target </w:t>
      </w:r>
      <w:r>
        <w:rPr>
          <w:rFonts w:ascii="Cambria Math" w:cs="Cambria Math" w:eastAsia="Cambria Math" w:hAnsi="Cambria Math"/>
        </w:rPr>
        <w:t xml:space="preserve">t</w:t>
      </w:r>
      <w:r>
        <w:t xml:space="preserve"> is </w:t>
      </w:r>
      <w:r>
        <w:rPr>
          <w:b/>
          <w:bCs/>
        </w:rPr>
        <w:t xml:space="preserve">compositional</w:t>
      </w:r>
      <w:r>
        <w:t xml:space="preserve"> if there is a map </w:t>
      </w:r>
      <w:r>
        <w:rPr>
          <w:rFonts w:ascii="Cambria Math" w:cs="Cambria Math" w:eastAsia="Cambria Math" w:hAnsi="Cambria Math"/>
        </w:rPr>
        <w:t xml:space="preserve">h</w:t>
      </w:r>
      <w:r>
        <w:t xml:space="preserve"> with</w:t>
      </w:r>
    </w:p>
    <w:p>
      <w:pPr>
        <w:tabs>
          <w:tab w:val="right" w:pos="9360"/>
        </w:tabs>
        <w:spacing w:after="160" w:before="80"/>
        <w:jc w:val="center"/>
      </w:pPr>
      <w:r>
        <w:rPr>
          <w:rFonts w:ascii="Cambria Math" w:cs="Cambria Math" w:eastAsia="Cambria Math" w:hAnsi="Cambria Math"/>
          <w:sz w:val="23"/>
          <w:szCs w:val="23"/>
        </w:rPr>
        <w:t xml:space="preserve">t(X ⋆ Y) = h(t_X(X), t_Y(Y)),</w:t>
      </w:r>
      <w:r>
        <w:rPr>
          <w:sz w:val="20"/>
          <w:szCs w:val="20"/>
        </w:rPr>
        <w:t xml:space="preserve">	(6.2)</w:t>
      </w:r>
    </w:p>
    <w:p>
      <w:pPr>
        <w:spacing w:after="140" w:line="276"/>
        <w:jc w:val="both"/>
      </w:pPr>
      <w:r>
        <w:t xml:space="preserve">so that </w:t>
      </w:r>
      <w:r>
        <w:rPr>
          <w:rFonts w:ascii="Cambria Math" w:cs="Cambria Math" w:eastAsia="Cambria Math" w:hAnsi="Cambria Math"/>
        </w:rPr>
        <w:t xml:space="preserve">T_Z = h(T_X, T_Y)</w:t>
      </w:r>
      <w:r>
        <w:t xml:space="preserve">. Reliability of series and parallel systems, joint feasibility of constraints, and conjunction of software contracts are all compositional in this sense. Write </w:t>
      </w:r>
      <w:r>
        <w:rPr>
          <w:rFonts w:ascii="Cambria Math" w:cs="Cambria Math" w:eastAsia="Cambria Math" w:hAnsi="Cambria Math"/>
        </w:rPr>
        <w:t xml:space="preserve">Δ_X = H(T_X | Q_X)</w:t>
      </w:r>
      <w:r>
        <w:t xml:space="preserve">, </w:t>
      </w:r>
      <w:r>
        <w:rPr>
          <w:rFonts w:ascii="Cambria Math" w:cs="Cambria Math" w:eastAsia="Cambria Math" w:hAnsi="Cambria Math"/>
        </w:rPr>
        <w:t xml:space="preserve">Δ_Y = H(T_Y | Q_Y)</w:t>
      </w:r>
      <w:r>
        <w:t xml:space="preserve">, and </w:t>
      </w:r>
      <w:r>
        <w:rPr>
          <w:rFonts w:ascii="Cambria Math" w:cs="Cambria Math" w:eastAsia="Cambria Math" w:hAnsi="Cambria Math"/>
        </w:rPr>
        <w:t xml:space="preserve">Δ_Z = H(T_Z | Q_Z)</w:t>
      </w:r>
      <w:r>
        <w:t xml:space="preserve">, each computed under the corresponding marginal distribution.</w:t>
      </w:r>
    </w:p>
    <w:p>
      <w:pPr>
        <w:keepNext/>
        <w:spacing w:after="100" w:before="200"/>
      </w:pPr>
      <w:r>
        <w:rPr>
          <w:b/>
          <w:bCs/>
          <w:color w:val="1F3864"/>
        </w:rPr>
        <w:t xml:space="preserve">Definition 3</w:t>
      </w:r>
      <w:r>
        <w:rPr>
          <w:b/>
          <w:bCs/>
        </w:rPr>
        <w:t xml:space="preserve">  Aggregation loss</w:t>
      </w:r>
    </w:p>
    <w:p>
      <w:pPr>
        <w:tabs>
          <w:tab w:val="right" w:pos="9360"/>
        </w:tabs>
        <w:spacing w:after="160" w:before="80"/>
        <w:jc w:val="center"/>
      </w:pPr>
      <w:r>
        <w:rPr>
          <w:rFonts w:ascii="Cambria Math" w:cs="Cambria Math" w:eastAsia="Cambria Math" w:hAnsi="Cambria Math"/>
          <w:sz w:val="23"/>
          <w:szCs w:val="23"/>
        </w:rPr>
        <w:t xml:space="preserve">L = H(Q_X, Q_Y | Q_Z)  bits.</w:t>
      </w:r>
      <w:r>
        <w:rPr>
          <w:sz w:val="20"/>
          <w:szCs w:val="20"/>
        </w:rPr>
        <w:t xml:space="preserve">	(6.3)</w:t>
      </w:r>
    </w:p>
    <w:p>
      <w:pPr>
        <w:spacing w:after="140" w:line="276"/>
        <w:jc w:val="both"/>
      </w:pPr>
      <w:r>
        <w:rPr>
          <w:rFonts w:ascii="Cambria Math" w:cs="Cambria Math" w:eastAsia="Cambria Math" w:hAnsi="Cambria Math"/>
        </w:rPr>
        <w:t xml:space="preserve">L</w:t>
      </w:r>
      <w:r>
        <w:t xml:space="preserve"> is the information about how the composite scalar splits into part scalars that is destroyed by forming the composite scalar. It depends only on the quantity layer, not on any target. When </w:t>
      </w:r>
      <w:r>
        <w:rPr>
          <w:rFonts w:ascii="Cambria Math" w:cs="Cambria Math" w:eastAsia="Cambria Math" w:hAnsi="Cambria Math"/>
        </w:rPr>
        <w:t xml:space="preserve">Q_Z</w:t>
      </w:r>
      <w:r>
        <w:t xml:space="preserve"> is a function of </w:t>
      </w:r>
      <w:r>
        <w:rPr>
          <w:rFonts w:ascii="Cambria Math" w:cs="Cambria Math" w:eastAsia="Cambria Math" w:hAnsi="Cambria Math"/>
        </w:rPr>
        <w:t xml:space="preserve">(Q_X, Q_Y)</w:t>
      </w:r>
      <w:r>
        <w:t xml:space="preserve">, as for additive carriers, </w:t>
      </w:r>
      <w:r>
        <w:rPr>
          <w:rFonts w:ascii="Cambria Math" w:cs="Cambria Math" w:eastAsia="Cambria Math" w:hAnsi="Cambria Math"/>
        </w:rPr>
        <w:t xml:space="preserve">L = H(Q_X, Q_Y) − H(Q_Z)</w:t>
      </w:r>
      <w:r>
        <w:t xml:space="preserve">.</w:t>
      </w:r>
    </w:p>
    <w:p>
      <w:pPr>
        <w:keepNext/>
        <w:spacing w:after="100" w:before="200"/>
      </w:pPr>
      <w:r>
        <w:rPr>
          <w:b/>
          <w:bCs/>
          <w:color w:val="1F3864"/>
        </w:rPr>
        <w:t xml:space="preserve">Theorem 1</w:t>
      </w:r>
      <w:r>
        <w:rPr>
          <w:b/>
          <w:bCs/>
        </w:rPr>
        <w:t xml:space="preserve">  Deficit composition bounds</w:t>
      </w:r>
    </w:p>
    <w:p>
      <w:pPr>
        <w:spacing w:after="140" w:line="276"/>
        <w:jc w:val="both"/>
      </w:pPr>
      <w:r>
        <w:t xml:space="preserve">(a) </w:t>
      </w:r>
      <w:r>
        <w:rPr>
          <w:b/>
          <w:bCs/>
        </w:rPr>
        <w:t xml:space="preserve">Upper bound.</w:t>
      </w:r>
      <w:r>
        <w:t xml:space="preserve"> For any joint distribution of </w:t>
      </w:r>
      <w:r>
        <w:rPr>
          <w:rFonts w:ascii="Cambria Math" w:cs="Cambria Math" w:eastAsia="Cambria Math" w:hAnsi="Cambria Math"/>
        </w:rPr>
        <w:t xml:space="preserve">(X, Y)</w:t>
      </w:r>
      <w:r>
        <w:t xml:space="preserve"> and any compositional target,</w:t>
      </w:r>
    </w:p>
    <w:p>
      <w:pPr>
        <w:tabs>
          <w:tab w:val="right" w:pos="9360"/>
        </w:tabs>
        <w:spacing w:after="160" w:before="80"/>
        <w:jc w:val="center"/>
      </w:pPr>
      <w:r>
        <w:rPr>
          <w:rFonts w:ascii="Cambria Math" w:cs="Cambria Math" w:eastAsia="Cambria Math" w:hAnsi="Cambria Math"/>
          <w:sz w:val="23"/>
          <w:szCs w:val="23"/>
        </w:rPr>
        <w:t xml:space="preserve">Δ_Z ≤ Δ_X + Δ_Y + L.</w:t>
      </w:r>
      <w:r>
        <w:rPr>
          <w:sz w:val="20"/>
          <w:szCs w:val="20"/>
        </w:rPr>
        <w:t xml:space="preserve">	(6.4)</w:t>
      </w:r>
    </w:p>
    <w:p>
      <w:pPr>
        <w:spacing w:after="140" w:line="276"/>
        <w:jc w:val="both"/>
      </w:pPr>
      <w:r>
        <w:t xml:space="preserve">(b) </w:t>
      </w:r>
      <w:r>
        <w:rPr>
          <w:b/>
          <w:bCs/>
        </w:rPr>
        <w:t xml:space="preserve">Lower bound.</w:t>
      </w:r>
      <w:r>
        <w:t xml:space="preserve"> If, in addition, </w:t>
      </w:r>
      <w:r>
        <w:rPr>
          <w:rFonts w:ascii="Cambria Math" w:cs="Cambria Math" w:eastAsia="Cambria Math" w:hAnsi="Cambria Math"/>
        </w:rPr>
        <w:t xml:space="preserve">X</w:t>
      </w:r>
      <w:r>
        <w:t xml:space="preserve"> and </w:t>
      </w:r>
      <w:r>
        <w:rPr>
          <w:rFonts w:ascii="Cambria Math" w:cs="Cambria Math" w:eastAsia="Cambria Math" w:hAnsi="Cambria Math"/>
        </w:rPr>
        <w:t xml:space="preserve">Y</w:t>
      </w:r>
      <w:r>
        <w:t xml:space="preserve"> are independent, </w:t>
      </w:r>
      <w:r>
        <w:rPr>
          <w:rFonts w:ascii="Cambria Math" w:cs="Cambria Math" w:eastAsia="Cambria Math" w:hAnsi="Cambria Math"/>
        </w:rPr>
        <w:t xml:space="preserve">h</w:t>
      </w:r>
      <w:r>
        <w:t xml:space="preserve"> is injective on the support of </w:t>
      </w:r>
      <w:r>
        <w:rPr>
          <w:rFonts w:ascii="Cambria Math" w:cs="Cambria Math" w:eastAsia="Cambria Math" w:hAnsi="Cambria Math"/>
        </w:rPr>
        <w:t xml:space="preserve">(T_X, T_Y)</w:t>
      </w:r>
      <w:r>
        <w:t xml:space="preserve">, and </w:t>
      </w:r>
      <w:r>
        <w:rPr>
          <w:rFonts w:ascii="Cambria Math" w:cs="Cambria Math" w:eastAsia="Cambria Math" w:hAnsi="Cambria Math"/>
        </w:rPr>
        <w:t xml:space="preserve">Q_Z</w:t>
      </w:r>
      <w:r>
        <w:t xml:space="preserve"> is a function of </w:t>
      </w:r>
      <w:r>
        <w:rPr>
          <w:rFonts w:ascii="Cambria Math" w:cs="Cambria Math" w:eastAsia="Cambria Math" w:hAnsi="Cambria Math"/>
        </w:rPr>
        <w:t xml:space="preserve">(Q_X, Q_Y)</w:t>
      </w:r>
      <w:r>
        <w:t xml:space="preserve">, then</w:t>
      </w:r>
    </w:p>
    <w:p>
      <w:pPr>
        <w:tabs>
          <w:tab w:val="right" w:pos="9360"/>
        </w:tabs>
        <w:spacing w:after="160" w:before="80"/>
        <w:jc w:val="center"/>
      </w:pPr>
      <w:r>
        <w:rPr>
          <w:rFonts w:ascii="Cambria Math" w:cs="Cambria Math" w:eastAsia="Cambria Math" w:hAnsi="Cambria Math"/>
          <w:sz w:val="23"/>
          <w:szCs w:val="23"/>
        </w:rPr>
        <w:t xml:space="preserve">Δ_X + Δ_Y ≤ Δ_Z.</w:t>
      </w:r>
      <w:r>
        <w:rPr>
          <w:sz w:val="20"/>
          <w:szCs w:val="20"/>
        </w:rPr>
        <w:t xml:space="preserve">	(6.5)</w:t>
      </w:r>
    </w:p>
    <w:p>
      <w:pPr>
        <w:spacing w:after="140" w:line="276"/>
        <w:jc w:val="both"/>
      </w:pPr>
      <w:r>
        <w:t xml:space="preserve">(c) </w:t>
      </w:r>
      <w:r>
        <w:rPr>
          <w:b/>
          <w:bCs/>
        </w:rPr>
        <w:t xml:space="preserve">Sharpness.</w:t>
      </w:r>
      <w:r>
        <w:t xml:space="preserve"> Both inequalities are attained, and </w:t>
      </w:r>
      <w:r>
        <w:rPr>
          <w:rFonts w:ascii="Cambria Math" w:cs="Cambria Math" w:eastAsia="Cambria Math" w:hAnsi="Cambria Math"/>
        </w:rPr>
        <w:t xml:space="preserve">L</w:t>
      </w:r>
      <w:r>
        <w:t xml:space="preserve"> cannot be removed from (6.4).</w:t>
      </w:r>
    </w:p>
    <w:p>
      <w:pPr>
        <w:spacing w:after="160" w:line="276"/>
        <w:jc w:val="both"/>
      </w:pPr>
      <w:r>
        <w:rPr>
          <w:b/>
          <w:bCs/>
          <w:i/>
          <w:iCs/>
        </w:rPr>
        <w:t xml:space="preserve">Proof. </w:t>
      </w:r>
      <w:r>
        <w:t xml:space="preserve">(a) Since </w:t>
      </w:r>
      <w:r>
        <w:rPr>
          <w:rFonts w:ascii="Cambria Math" w:cs="Cambria Math" w:eastAsia="Cambria Math" w:hAnsi="Cambria Math"/>
        </w:rPr>
        <w:t xml:space="preserve">T_Z</w:t>
      </w:r>
      <w:r>
        <w:t xml:space="preserve"> is a function of </w:t>
      </w:r>
      <w:r>
        <w:rPr>
          <w:rFonts w:ascii="Cambria Math" w:cs="Cambria Math" w:eastAsia="Cambria Math" w:hAnsi="Cambria Math"/>
        </w:rPr>
        <w:t xml:space="preserve">(T_X, T_Y)</w:t>
      </w:r>
      <w:r>
        <w:t xml:space="preserve">, </w:t>
      </w:r>
      <w:r>
        <w:rPr>
          <w:rFonts w:ascii="Cambria Math" w:cs="Cambria Math" w:eastAsia="Cambria Math" w:hAnsi="Cambria Math"/>
        </w:rPr>
        <w:t xml:space="preserve">H(T_Z | Q_Z) ≤ H(T_X, T_Y | Q_Z)</w:t>
      </w:r>
      <w:r>
        <w:t xml:space="preserve">. Adding variables cannot decrease entropy, so this is at most </w:t>
      </w:r>
      <w:r>
        <w:rPr>
          <w:rFonts w:ascii="Cambria Math" w:cs="Cambria Math" w:eastAsia="Cambria Math" w:hAnsi="Cambria Math"/>
        </w:rPr>
        <w:t xml:space="preserve">H(T_X, T_Y, Q_X, Q_Y | Q_Z)</w:t>
      </w:r>
      <w:r>
        <w:t xml:space="preserve">, which by the chain rule equals </w:t>
      </w:r>
      <w:r>
        <w:rPr>
          <w:rFonts w:ascii="Cambria Math" w:cs="Cambria Math" w:eastAsia="Cambria Math" w:hAnsi="Cambria Math"/>
        </w:rPr>
        <w:t xml:space="preserve">H(Q_X, Q_Y | Q_Z) + H(T_X, T_Y | Q_X, Q_Y, Q_Z)</w:t>
      </w:r>
      <w:r>
        <w:t xml:space="preserve">. The first term is </w:t>
      </w:r>
      <w:r>
        <w:rPr>
          <w:rFonts w:ascii="Cambria Math" w:cs="Cambria Math" w:eastAsia="Cambria Math" w:hAnsi="Cambria Math"/>
        </w:rPr>
        <w:t xml:space="preserve">L</w:t>
      </w:r>
      <w:r>
        <w:t xml:space="preserve">. In the second, dropping </w:t>
      </w:r>
      <w:r>
        <w:rPr>
          <w:rFonts w:ascii="Cambria Math" w:cs="Cambria Math" w:eastAsia="Cambria Math" w:hAnsi="Cambria Math"/>
        </w:rPr>
        <w:t xml:space="preserve">Q_Z</w:t>
      </w:r>
      <w:r>
        <w:t xml:space="preserve"> from the conditioning cannot decrease entropy, and subadditivity of joint entropy gives </w:t>
      </w:r>
      <w:r>
        <w:rPr>
          <w:rFonts w:ascii="Cambria Math" w:cs="Cambria Math" w:eastAsia="Cambria Math" w:hAnsi="Cambria Math"/>
        </w:rPr>
        <w:t xml:space="preserve">H(T_X, T_Y | Q_X, Q_Y) ≤ H(T_X | Q_X, Q_Y) + H(T_Y | Q_X, Q_Y)</w:t>
      </w:r>
      <w:r>
        <w:t xml:space="preserve">. Finally, conditioning does not increase entropy, so </w:t>
      </w:r>
      <w:r>
        <w:rPr>
          <w:rFonts w:ascii="Cambria Math" w:cs="Cambria Math" w:eastAsia="Cambria Math" w:hAnsi="Cambria Math"/>
        </w:rPr>
        <w:t xml:space="preserve">H(T_X | Q_X, Q_Y) ≤ Δ_X</w:t>
      </w:r>
      <w:r>
        <w:t xml:space="preserve"> and </w:t>
      </w:r>
      <w:r>
        <w:rPr>
          <w:rFonts w:ascii="Cambria Math" w:cs="Cambria Math" w:eastAsia="Cambria Math" w:hAnsi="Cambria Math"/>
        </w:rPr>
        <w:t xml:space="preserve">H(T_Y | Q_X, Q_Y) ≤ Δ_Y</w:t>
      </w:r>
      <w:r>
        <w:t xml:space="preserve">. No independence was used. (b) Injectivity of </w:t>
      </w:r>
      <w:r>
        <w:rPr>
          <w:rFonts w:ascii="Cambria Math" w:cs="Cambria Math" w:eastAsia="Cambria Math" w:hAnsi="Cambria Math"/>
        </w:rPr>
        <w:t xml:space="preserve">h</w:t>
      </w:r>
      <w:r>
        <w:t xml:space="preserve"> gives </w:t>
      </w:r>
      <w:r>
        <w:rPr>
          <w:rFonts w:ascii="Cambria Math" w:cs="Cambria Math" w:eastAsia="Cambria Math" w:hAnsi="Cambria Math"/>
        </w:rPr>
        <w:t xml:space="preserve">Δ_Z = H(T_X, T_Y | Q_Z)</w:t>
      </w:r>
      <w:r>
        <w:t xml:space="preserve">. Because </w:t>
      </w:r>
      <w:r>
        <w:rPr>
          <w:rFonts w:ascii="Cambria Math" w:cs="Cambria Math" w:eastAsia="Cambria Math" w:hAnsi="Cambria Math"/>
        </w:rPr>
        <w:t xml:space="preserve">Q_Z</w:t>
      </w:r>
      <w:r>
        <w:t xml:space="preserve"> is a function of </w:t>
      </w:r>
      <w:r>
        <w:rPr>
          <w:rFonts w:ascii="Cambria Math" w:cs="Cambria Math" w:eastAsia="Cambria Math" w:hAnsi="Cambria Math"/>
        </w:rPr>
        <w:t xml:space="preserve">(Q_X, Q_Y)</w:t>
      </w:r>
      <w:r>
        <w:t xml:space="preserve">, conditioning on the finer variable cannot increase entropy: </w:t>
      </w:r>
      <w:r>
        <w:rPr>
          <w:rFonts w:ascii="Cambria Math" w:cs="Cambria Math" w:eastAsia="Cambria Math" w:hAnsi="Cambria Math"/>
        </w:rPr>
        <w:t xml:space="preserve">H(T_X, T_Y | Q_Z) ≥ H(T_X, T_Y | Q_X, Q_Y)</w:t>
      </w:r>
      <w:r>
        <w:t xml:space="preserve">. Independence of the pairs </w:t>
      </w:r>
      <w:r>
        <w:rPr>
          <w:rFonts w:ascii="Cambria Math" w:cs="Cambria Math" w:eastAsia="Cambria Math" w:hAnsi="Cambria Math"/>
        </w:rPr>
        <w:t xml:space="preserve">(T_X, Q_X)</w:t>
      </w:r>
      <w:r>
        <w:t xml:space="preserve"> and </w:t>
      </w:r>
      <w:r>
        <w:rPr>
          <w:rFonts w:ascii="Cambria Math" w:cs="Cambria Math" w:eastAsia="Cambria Math" w:hAnsi="Cambria Math"/>
        </w:rPr>
        <w:t xml:space="preserve">(T_Y, Q_Y)</w:t>
      </w:r>
      <w:r>
        <w:t xml:space="preserve"> makes the right side </w:t>
      </w:r>
      <w:r>
        <w:rPr>
          <w:rFonts w:ascii="Cambria Math" w:cs="Cambria Math" w:eastAsia="Cambria Math" w:hAnsi="Cambria Math"/>
        </w:rPr>
        <w:t xml:space="preserve">Δ_X + Δ_Y</w:t>
      </w:r>
      <w:r>
        <w:t xml:space="preserve">. (c) Equality in (6.5) holds whenever </w:t>
      </w:r>
      <w:r>
        <w:rPr>
          <w:rFonts w:ascii="Cambria Math" w:cs="Cambria Math" w:eastAsia="Cambria Math" w:hAnsi="Cambria Math"/>
        </w:rPr>
        <w:t xml:space="preserve">L = 0</w:t>
      </w:r>
      <w:r>
        <w:t xml:space="preserve"> and </w:t>
      </w:r>
      <w:r>
        <w:rPr>
          <w:rFonts w:ascii="Cambria Math" w:cs="Cambria Math" w:eastAsia="Cambria Math" w:hAnsi="Cambria Math"/>
        </w:rPr>
        <w:t xml:space="preserve">T_X, T_Y</w:t>
      </w:r>
      <w:r>
        <w:t xml:space="preserve"> are functions of </w:t>
      </w:r>
      <w:r>
        <w:rPr>
          <w:rFonts w:ascii="Cambria Math" w:cs="Cambria Math" w:eastAsia="Cambria Math" w:hAnsi="Cambria Math"/>
        </w:rPr>
        <w:t xml:space="preserve">Q_X, Q_Y</w:t>
      </w:r>
      <w:r>
        <w:t xml:space="preserve">, both sides then being zero. For (6.4) and the necessity of </w:t>
      </w:r>
      <w:r>
        <w:rPr>
          <w:rFonts w:ascii="Cambria Math" w:cs="Cambria Math" w:eastAsia="Cambria Math" w:hAnsi="Cambria Math"/>
        </w:rPr>
        <w:t xml:space="preserve">L</w:t>
      </w:r>
      <w:r>
        <w:t xml:space="preserve">, see the example that follows.</w:t>
      </w:r>
      <w:r>
        <w:t xml:space="preserve">  ∎</w:t>
      </w:r>
    </w:p>
    <w:p>
      <w:pPr>
        <w:spacing w:after="140" w:line="276"/>
        <w:jc w:val="both"/>
      </w:pPr>
      <w:r>
        <w:rPr>
          <w:b/>
          <w:bCs/>
        </w:rPr>
        <w:t xml:space="preserve">Example: deficit created from nothing.</w:t>
      </w:r>
      <w:r>
        <w:t xml:space="preserve"> Let </w:t>
      </w:r>
      <w:r>
        <w:rPr>
          <w:rFonts w:ascii="Cambria Math" w:cs="Cambria Math" w:eastAsia="Cambria Math" w:hAnsi="Cambria Math"/>
        </w:rPr>
        <w:t xml:space="preserve">Q_X</w:t>
      </w:r>
      <w:r>
        <w:t xml:space="preserve"> and </w:t>
      </w:r>
      <w:r>
        <w:rPr>
          <w:rFonts w:ascii="Cambria Math" w:cs="Cambria Math" w:eastAsia="Cambria Math" w:hAnsi="Cambria Math"/>
        </w:rPr>
        <w:t xml:space="preserve">Q_Y</w:t>
      </w:r>
      <w:r>
        <w:t xml:space="preserve"> be independent fair bits, let each part’s target be its own scalar (</w:t>
      </w:r>
      <w:r>
        <w:rPr>
          <w:rFonts w:ascii="Cambria Math" w:cs="Cambria Math" w:eastAsia="Cambria Math" w:hAnsi="Cambria Math"/>
        </w:rPr>
        <w:t xml:space="preserve">T_X = Q_X</w:t>
      </w:r>
      <w:r>
        <w:t xml:space="preserve">, </w:t>
      </w:r>
      <w:r>
        <w:rPr>
          <w:rFonts w:ascii="Cambria Math" w:cs="Cambria Math" w:eastAsia="Cambria Math" w:hAnsi="Cambria Math"/>
        </w:rPr>
        <w:t xml:space="preserve">T_Y = Q_Y</w:t>
      </w:r>
      <w:r>
        <w:t xml:space="preserve">), let the composite target record both (</w:t>
      </w:r>
      <w:r>
        <w:rPr>
          <w:rFonts w:ascii="Cambria Math" w:cs="Cambria Math" w:eastAsia="Cambria Math" w:hAnsi="Cambria Math"/>
        </w:rPr>
        <w:t xml:space="preserve">h(a, b) = (a, b)</w:t>
      </w:r>
      <w:r>
        <w:t xml:space="preserve">), and let the carrier be additive, </w:t>
      </w:r>
      <w:r>
        <w:rPr>
          <w:rFonts w:ascii="Cambria Math" w:cs="Cambria Math" w:eastAsia="Cambria Math" w:hAnsi="Cambria Math"/>
        </w:rPr>
        <w:t xml:space="preserve">Q_Z = Q_X + Q_Y</w:t>
      </w:r>
      <w:r>
        <w:t xml:space="preserve">. Each part has deficit zero. But </w:t>
      </w:r>
      <w:r>
        <w:rPr>
          <w:rFonts w:ascii="Cambria Math" w:cs="Cambria Math" w:eastAsia="Cambria Math" w:hAnsi="Cambria Math"/>
        </w:rPr>
        <w:t xml:space="preserve">Q_Z = 1</w:t>
      </w:r>
      <w:r>
        <w:t xml:space="preserve"> does not reveal which part contributed, so</w:t>
      </w:r>
    </w:p>
    <w:p>
      <w:pPr>
        <w:tabs>
          <w:tab w:val="right" w:pos="9360"/>
        </w:tabs>
        <w:spacing w:after="160" w:before="80"/>
        <w:jc w:val="center"/>
      </w:pPr>
      <w:r>
        <w:rPr>
          <w:rFonts w:ascii="Cambria Math" w:cs="Cambria Math" w:eastAsia="Cambria Math" w:hAnsi="Cambria Math"/>
          <w:sz w:val="23"/>
          <w:szCs w:val="23"/>
        </w:rPr>
        <w:t xml:space="preserve">Δ_Z = H(Q_X, Q_Y | Q_Z) = 2 − H(¼, ½, ¼) = 0.5 bits = Δ_X + Δ_Y + L.</w:t>
      </w:r>
      <w:r>
        <w:rPr>
          <w:sz w:val="20"/>
          <w:szCs w:val="20"/>
        </w:rPr>
        <w:t xml:space="preserve">	(6.6)</w:t>
      </w:r>
    </w:p>
    <w:p>
      <w:pPr>
        <w:spacing w:after="140" w:line="276"/>
        <w:jc w:val="both"/>
      </w:pPr>
      <w:r>
        <w:t xml:space="preserve">Equality holds in (6.4), and since </w:t>
      </w:r>
      <w:r>
        <w:rPr>
          <w:rFonts w:ascii="Cambria Math" w:cs="Cambria Math" w:eastAsia="Cambria Math" w:hAnsi="Cambria Math"/>
        </w:rPr>
        <w:t xml:space="preserve">Δ_X + Δ_Y = 0 &lt; Δ_Z</w:t>
      </w:r>
      <w:r>
        <w:t xml:space="preserve">, no bound of the form </w:t>
      </w:r>
      <w:r>
        <w:rPr>
          <w:rFonts w:ascii="Cambria Math" w:cs="Cambria Math" w:eastAsia="Cambria Math" w:hAnsi="Cambria Math"/>
        </w:rPr>
        <w:t xml:space="preserve">Δ_Z ≤ Δ_X + Δ_Y</w:t>
      </w:r>
      <w:r>
        <w:t xml:space="preserve"> can hold. </w:t>
      </w:r>
      <w:r>
        <w:rPr>
          <w:b/>
          <w:bCs/>
        </w:rPr>
        <w:t xml:space="preserve">Scalar deficits are not subadditive.</w:t>
      </w:r>
    </w:p>
    <w:p>
      <w:pPr>
        <w:keepNext/>
        <w:spacing w:after="100" w:before="200"/>
      </w:pPr>
      <w:r>
        <w:rPr>
          <w:b/>
          <w:bCs/>
          <w:color w:val="1F3864"/>
        </w:rPr>
        <w:t xml:space="preserve">Corollary 1</w:t>
      </w:r>
      <w:r>
        <w:rPr>
          <w:b/>
          <w:bCs/>
        </w:rPr>
        <w:t xml:space="preserve">  Many parts</w:t>
      </w:r>
    </w:p>
    <w:p>
      <w:pPr>
        <w:spacing w:after="140" w:line="276"/>
        <w:jc w:val="both"/>
      </w:pPr>
      <w:r>
        <w:t xml:space="preserve">For parts </w:t>
      </w:r>
      <w:r>
        <w:rPr>
          <w:rFonts w:ascii="Cambria Math" w:cs="Cambria Math" w:eastAsia="Cambria Math" w:hAnsi="Cambria Math"/>
        </w:rPr>
        <w:t xml:space="preserve">X₁, …, Xₙ</w:t>
      </w:r>
      <w:r>
        <w:t xml:space="preserve"> with compositional composite target and composite scalar </w:t>
      </w:r>
      <w:r>
        <w:rPr>
          <w:rFonts w:ascii="Cambria Math" w:cs="Cambria Math" w:eastAsia="Cambria Math" w:hAnsi="Cambria Math"/>
        </w:rPr>
        <w:t xml:space="preserve">Q_N</w:t>
      </w:r>
      <w:r>
        <w:t xml:space="preserve">,</w:t>
      </w:r>
    </w:p>
    <w:p>
      <w:pPr>
        <w:tabs>
          <w:tab w:val="right" w:pos="9360"/>
        </w:tabs>
        <w:spacing w:after="160" w:before="80"/>
        <w:jc w:val="center"/>
      </w:pPr>
      <w:r>
        <w:rPr>
          <w:rFonts w:ascii="Cambria Math" w:cs="Cambria Math" w:eastAsia="Cambria Math" w:hAnsi="Cambria Math"/>
          <w:sz w:val="23"/>
          <w:szCs w:val="23"/>
        </w:rPr>
        <w:t xml:space="preserve">Δ_N ≤ Σᵢ Δᵢ + H(Q₁, …, Qₙ | Q_N),</w:t>
      </w:r>
      <w:r>
        <w:rPr>
          <w:sz w:val="20"/>
          <w:szCs w:val="20"/>
        </w:rPr>
        <w:t xml:space="preserve">	(6.7)</w:t>
      </w:r>
    </w:p>
    <w:p>
      <w:pPr>
        <w:spacing w:after="140" w:line="276"/>
        <w:jc w:val="both"/>
      </w:pPr>
      <w:r>
        <w:t xml:space="preserve">with </w:t>
      </w:r>
      <w:r>
        <w:rPr>
          <w:rFonts w:ascii="Cambria Math" w:cs="Cambria Math" w:eastAsia="Cambria Math" w:hAnsi="Cambria Math"/>
        </w:rPr>
        <w:t xml:space="preserve">Σᵢ Δᵢ ≤ Δ_N</w:t>
      </w:r>
      <w:r>
        <w:t xml:space="preserve"> under independence, injective </w:t>
      </w:r>
      <w:r>
        <w:rPr>
          <w:rFonts w:ascii="Cambria Math" w:cs="Cambria Math" w:eastAsia="Cambria Math" w:hAnsi="Cambria Math"/>
        </w:rPr>
        <w:t xml:space="preserve">h</w:t>
      </w:r>
      <w:r>
        <w:t xml:space="preserve">, and </w:t>
      </w:r>
      <w:r>
        <w:rPr>
          <w:rFonts w:ascii="Cambria Math" w:cs="Cambria Math" w:eastAsia="Cambria Math" w:hAnsi="Cambria Math"/>
        </w:rPr>
        <w:t xml:space="preserve">Q_N</w:t>
      </w:r>
      <w:r>
        <w:t xml:space="preserve"> a function of the part scalars. The proof is that of Theorem 1 with vectors in place of pairs. For </w:t>
      </w:r>
      <w:r>
        <w:rPr>
          <w:rFonts w:ascii="Cambria Math" w:cs="Cambria Math" w:eastAsia="Cambria Math" w:hAnsi="Cambria Math"/>
        </w:rPr>
        <w:t xml:space="preserve">n</w:t>
      </w:r>
      <w:r>
        <w:t xml:space="preserve"> independent fair-bit parts as in the example, every part has deficit zero, yet</w:t>
      </w:r>
    </w:p>
    <w:p>
      <w:pPr>
        <w:tabs>
          <w:tab w:val="right" w:pos="9360"/>
        </w:tabs>
        <w:spacing w:after="160" w:before="80"/>
        <w:jc w:val="center"/>
      </w:pPr>
      <w:r>
        <w:rPr>
          <w:rFonts w:ascii="Cambria Math" w:cs="Cambria Math" w:eastAsia="Cambria Math" w:hAnsi="Cambria Math"/>
          <w:sz w:val="23"/>
          <w:szCs w:val="23"/>
        </w:rPr>
        <w:t xml:space="preserve">Δ_N = n − H(Binomial(n, ½)) = n − ½ log₂(πen/2) + o(1).</w:t>
      </w:r>
      <w:r>
        <w:rPr>
          <w:sz w:val="20"/>
          <w:szCs w:val="20"/>
        </w:rPr>
        <w:t xml:space="preserve">	(6.8)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2246"/>
        <w:gridCol w:w="2995"/>
        <w:gridCol w:w="2434"/>
      </w:tblGrid>
      <w:tr>
        <w:trPr>
          <w:tblHeader/>
        </w:trPr>
        <w:tc>
          <w:tcPr>
            <w:tcW w:type="dxa" w:w="1685"/>
            <w:tcBorders>
              <w:top w:val="single" w:color="C9CFDB" w:sz="4"/>
              <w:left w:val="single" w:color="C9CFDB" w:sz="4"/>
              <w:bottom w:val="single" w:color="C9CFDB" w:sz="4"/>
              <w:right w:val="single" w:color="C9CFDB" w:sz="4"/>
            </w:tcBorders>
            <w:shd w:fill="1F3864" w:color="auto" w:val="clear"/>
            <w:tcMar>
              <w:top w:type="dxa" w:w="60"/>
              <w:left w:type="dxa" w:w="100"/>
              <w:bottom w:type="dxa" w:w="60"/>
              <w:right w:type="dxa" w:w="100"/>
            </w:tcMar>
          </w:tcPr>
          <w:p>
            <w:r>
              <w:rPr>
                <w:b/>
                <w:bCs/>
                <w:color w:val="FFFFFF"/>
                <w:sz w:val="19"/>
                <w:szCs w:val="19"/>
              </w:rPr>
              <w:t xml:space="preserve">Parts n</w:t>
            </w:r>
          </w:p>
        </w:tc>
        <w:tc>
          <w:tcPr>
            <w:tcW w:type="dxa" w:w="2246"/>
            <w:tcBorders>
              <w:top w:val="single" w:color="C9CFDB" w:sz="4"/>
              <w:left w:val="single" w:color="C9CFDB" w:sz="4"/>
              <w:bottom w:val="single" w:color="C9CFDB" w:sz="4"/>
              <w:right w:val="single" w:color="C9CFDB" w:sz="4"/>
            </w:tcBorders>
            <w:shd w:fill="1F3864" w:color="auto" w:val="clear"/>
            <w:tcMar>
              <w:top w:type="dxa" w:w="60"/>
              <w:left w:type="dxa" w:w="100"/>
              <w:bottom w:type="dxa" w:w="60"/>
              <w:right w:type="dxa" w:w="100"/>
            </w:tcMar>
          </w:tcPr>
          <w:p>
            <w:r>
              <w:rPr>
                <w:b/>
                <w:bCs/>
                <w:color w:val="FFFFFF"/>
                <w:sz w:val="19"/>
                <w:szCs w:val="19"/>
              </w:rPr>
              <w:t xml:space="preserve">Σ part deficits</w:t>
            </w:r>
          </w:p>
        </w:tc>
        <w:tc>
          <w:tcPr>
            <w:tcW w:type="dxa" w:w="2995"/>
            <w:tcBorders>
              <w:top w:val="single" w:color="C9CFDB" w:sz="4"/>
              <w:left w:val="single" w:color="C9CFDB" w:sz="4"/>
              <w:bottom w:val="single" w:color="C9CFDB" w:sz="4"/>
              <w:right w:val="single" w:color="C9CFDB" w:sz="4"/>
            </w:tcBorders>
            <w:shd w:fill="1F3864" w:color="auto" w:val="clear"/>
            <w:tcMar>
              <w:top w:type="dxa" w:w="60"/>
              <w:left w:type="dxa" w:w="100"/>
              <w:bottom w:type="dxa" w:w="60"/>
              <w:right w:type="dxa" w:w="100"/>
            </w:tcMar>
          </w:tcPr>
          <w:p>
            <w:r>
              <w:rPr>
                <w:b/>
                <w:bCs/>
                <w:color w:val="FFFFFF"/>
                <w:sz w:val="19"/>
                <w:szCs w:val="19"/>
              </w:rPr>
              <w:t xml:space="preserve">Composite deficit Δ_N</w:t>
            </w:r>
          </w:p>
        </w:tc>
        <w:tc>
          <w:tcPr>
            <w:tcW w:type="dxa" w:w="2434"/>
            <w:tcBorders>
              <w:top w:val="single" w:color="C9CFDB" w:sz="4"/>
              <w:left w:val="single" w:color="C9CFDB" w:sz="4"/>
              <w:bottom w:val="single" w:color="C9CFDB" w:sz="4"/>
              <w:right w:val="single" w:color="C9CFDB" w:sz="4"/>
            </w:tcBorders>
            <w:shd w:fill="1F3864" w:color="auto" w:val="clear"/>
            <w:tcMar>
              <w:top w:type="dxa" w:w="60"/>
              <w:left w:type="dxa" w:w="100"/>
              <w:bottom w:type="dxa" w:w="60"/>
              <w:right w:type="dxa" w:w="100"/>
            </w:tcMar>
          </w:tcPr>
          <w:p>
            <w:r>
              <w:rPr>
                <w:b/>
                <w:bCs/>
                <w:color w:val="FFFFFF"/>
                <w:sz w:val="19"/>
                <w:szCs w:val="19"/>
              </w:rPr>
              <w:t xml:space="preserve">Δ_N per part</w:t>
            </w:r>
          </w:p>
        </w:tc>
      </w:tr>
      <w:tr>
        <w:tc>
          <w:tcPr>
            <w:tcW w:type="dxa" w:w="1685"/>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1</w:t>
            </w:r>
          </w:p>
        </w:tc>
        <w:tc>
          <w:tcPr>
            <w:tcW w:type="dxa" w:w="2246"/>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0</w:t>
            </w:r>
          </w:p>
        </w:tc>
        <w:tc>
          <w:tcPr>
            <w:tcW w:type="dxa" w:w="2995"/>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0.000</w:t>
            </w:r>
          </w:p>
        </w:tc>
        <w:tc>
          <w:tcPr>
            <w:tcW w:type="dxa" w:w="2434"/>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0.000</w:t>
            </w:r>
          </w:p>
        </w:tc>
      </w:tr>
      <w:tr>
        <w:tc>
          <w:tcPr>
            <w:tcW w:type="dxa" w:w="1685"/>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2</w:t>
            </w:r>
          </w:p>
        </w:tc>
        <w:tc>
          <w:tcPr>
            <w:tcW w:type="dxa" w:w="2246"/>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0</w:t>
            </w:r>
          </w:p>
        </w:tc>
        <w:tc>
          <w:tcPr>
            <w:tcW w:type="dxa" w:w="2995"/>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0.500</w:t>
            </w:r>
          </w:p>
        </w:tc>
        <w:tc>
          <w:tcPr>
            <w:tcW w:type="dxa" w:w="2434"/>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0.250</w:t>
            </w:r>
          </w:p>
        </w:tc>
      </w:tr>
      <w:tr>
        <w:tc>
          <w:tcPr>
            <w:tcW w:type="dxa" w:w="1685"/>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4</w:t>
            </w:r>
          </w:p>
        </w:tc>
        <w:tc>
          <w:tcPr>
            <w:tcW w:type="dxa" w:w="2246"/>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0</w:t>
            </w:r>
          </w:p>
        </w:tc>
        <w:tc>
          <w:tcPr>
            <w:tcW w:type="dxa" w:w="2995"/>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1.969</w:t>
            </w:r>
          </w:p>
        </w:tc>
        <w:tc>
          <w:tcPr>
            <w:tcW w:type="dxa" w:w="2434"/>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0.492</w:t>
            </w:r>
          </w:p>
        </w:tc>
      </w:tr>
      <w:tr>
        <w:tc>
          <w:tcPr>
            <w:tcW w:type="dxa" w:w="1685"/>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10</w:t>
            </w:r>
          </w:p>
        </w:tc>
        <w:tc>
          <w:tcPr>
            <w:tcW w:type="dxa" w:w="2246"/>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0</w:t>
            </w:r>
          </w:p>
        </w:tc>
        <w:tc>
          <w:tcPr>
            <w:tcW w:type="dxa" w:w="2995"/>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7.294</w:t>
            </w:r>
          </w:p>
        </w:tc>
        <w:tc>
          <w:tcPr>
            <w:tcW w:type="dxa" w:w="2434"/>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0.729</w:t>
            </w:r>
          </w:p>
        </w:tc>
      </w:tr>
      <w:tr>
        <w:tc>
          <w:tcPr>
            <w:tcW w:type="dxa" w:w="1685"/>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100</w:t>
            </w:r>
          </w:p>
        </w:tc>
        <w:tc>
          <w:tcPr>
            <w:tcW w:type="dxa" w:w="2246"/>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0</w:t>
            </w:r>
          </w:p>
        </w:tc>
        <w:tc>
          <w:tcPr>
            <w:tcW w:type="dxa" w:w="2995"/>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95.631</w:t>
            </w:r>
          </w:p>
        </w:tc>
        <w:tc>
          <w:tcPr>
            <w:tcW w:type="dxa" w:w="2434"/>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0.956</w:t>
            </w:r>
          </w:p>
        </w:tc>
      </w:tr>
      <w:tr>
        <w:tc>
          <w:tcPr>
            <w:tcW w:type="dxa" w:w="1685"/>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1000</w:t>
            </w:r>
          </w:p>
        </w:tc>
        <w:tc>
          <w:tcPr>
            <w:tcW w:type="dxa" w:w="2246"/>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0</w:t>
            </w:r>
          </w:p>
        </w:tc>
        <w:tc>
          <w:tcPr>
            <w:tcW w:type="dxa" w:w="2995"/>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993.970</w:t>
            </w:r>
          </w:p>
        </w:tc>
        <w:tc>
          <w:tcPr>
            <w:tcW w:type="dxa" w:w="2434"/>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0.994</w:t>
            </w:r>
          </w:p>
        </w:tc>
      </w:tr>
    </w:tbl>
    <w:p>
      <w:pPr>
        <w:spacing w:after="120"/>
      </w:pPr>
    </w:p>
    <w:p>
      <w:pPr>
        <w:spacing w:after="140" w:line="276"/>
        <w:jc w:val="both"/>
      </w:pPr>
      <w:r>
        <w:t xml:space="preserve">The per-part deficit tends to one bit, the full information content of each part. Although no part alone loses anything to its scalar, the composite sum discards almost all part-level information as the system grows. This is the quantitative form of the paper’s opening claim: the count is exact, and it is not the whole system.</w:t>
      </w:r>
    </w:p>
    <w:p>
      <w:pPr>
        <w:keepNext/>
        <w:spacing w:after="100" w:before="200"/>
      </w:pPr>
      <w:r>
        <w:rPr>
          <w:b/>
          <w:bCs/>
          <w:color w:val="1F3864"/>
        </w:rPr>
        <w:t xml:space="preserve">Corollary 2</w:t>
      </w:r>
      <w:r>
        <w:rPr>
          <w:b/>
          <w:bCs/>
        </w:rPr>
        <w:t xml:space="preserve">  When subadditivity returns</w:t>
      </w:r>
    </w:p>
    <w:p>
      <w:pPr>
        <w:spacing w:after="140" w:line="276"/>
        <w:jc w:val="both"/>
      </w:pPr>
      <w:r>
        <w:t xml:space="preserve">If </w:t>
      </w:r>
      <w:r>
        <w:rPr>
          <w:rFonts w:ascii="Cambria Math" w:cs="Cambria Math" w:eastAsia="Cambria Math" w:hAnsi="Cambria Math"/>
        </w:rPr>
        <w:t xml:space="preserve">Q_Z</w:t>
      </w:r>
      <w:r>
        <w:t xml:space="preserve"> determines </w:t>
      </w:r>
      <w:r>
        <w:rPr>
          <w:rFonts w:ascii="Cambria Math" w:cs="Cambria Math" w:eastAsia="Cambria Math" w:hAnsi="Cambria Math"/>
        </w:rPr>
        <w:t xml:space="preserve">(Q_X, Q_Y)</w:t>
      </w:r>
      <w:r>
        <w:t xml:space="preserve">, then </w:t>
      </w:r>
      <w:r>
        <w:rPr>
          <w:rFonts w:ascii="Cambria Math" w:cs="Cambria Math" w:eastAsia="Cambria Math" w:hAnsi="Cambria Math"/>
        </w:rPr>
        <w:t xml:space="preserve">L = 0</w:t>
      </w:r>
      <w:r>
        <w:t xml:space="preserve"> and </w:t>
      </w:r>
      <w:r>
        <w:rPr>
          <w:rFonts w:ascii="Cambria Math" w:cs="Cambria Math" w:eastAsia="Cambria Math" w:hAnsi="Cambria Math"/>
        </w:rPr>
        <w:t xml:space="preserve">Δ_Z ≤ Δ_X + Δ_Y</w:t>
      </w:r>
      <w:r>
        <w:t xml:space="preserve">. In particular, a vector-valued carrier </w:t>
      </w:r>
      <w:r>
        <w:rPr>
          <w:rFonts w:ascii="Cambria Math" w:cs="Cambria Math" w:eastAsia="Cambria Math" w:hAnsi="Cambria Math"/>
        </w:rPr>
        <w:t xml:space="preserve">Q_Z = (Q_X, Q_Y)</w:t>
      </w:r>
      <w:r>
        <w:t xml:space="preserve"> never creates deficit under compositional targets. The design rule is: </w:t>
      </w:r>
      <w:r>
        <w:rPr>
          <w:b/>
          <w:bCs/>
        </w:rPr>
        <w:t xml:space="preserve">when the target is compositional, carry the vector, not the sum</w:t>
      </w:r>
      <w:r>
        <w:t xml:space="preserve">, or certify that the aggregation loss is acceptable.</w:t>
      </w:r>
    </w:p>
    <w:p>
      <w:pPr>
        <w:spacing w:after="140" w:line="276"/>
        <w:jc w:val="both"/>
      </w:pPr>
      <w:r>
        <w:rPr>
          <w:b/>
          <w:bCs/>
        </w:rPr>
        <w:t xml:space="preserve">Remarks.</w:t>
      </w:r>
      <w:r>
        <w:t xml:space="preserve"> First, (6.4) gives a target-independent warning: because </w:t>
      </w:r>
      <w:r>
        <w:rPr>
          <w:rFonts w:ascii="Cambria Math" w:cs="Cambria Math" w:eastAsia="Cambria Math" w:hAnsi="Cambria Math"/>
        </w:rPr>
        <w:t xml:space="preserve">L</w:t>
      </w:r>
      <w:r>
        <w:t xml:space="preserve"> is computed from scalars alone, it bounds the extra deficit that composition can introduce for </w:t>
      </w:r>
      <w:r>
        <w:rPr>
          <w:i/>
          <w:iCs/>
        </w:rPr>
        <w:t xml:space="preserve">every</w:t>
      </w:r>
      <w:r>
        <w:t xml:space="preserve"> compositional target before any target is specified. Second, relation to prior work: when </w:t>
      </w:r>
      <w:r>
        <w:rPr>
          <w:rFonts w:ascii="Cambria Math" w:cs="Cambria Math" w:eastAsia="Cambria Math" w:hAnsi="Cambria Math"/>
        </w:rPr>
        <w:t xml:space="preserve">Q_Z</w:t>
      </w:r>
      <w:r>
        <w:t xml:space="preserve"> is a function of </w:t>
      </w:r>
      <w:r>
        <w:rPr>
          <w:rFonts w:ascii="Cambria Math" w:cs="Cambria Math" w:eastAsia="Cambria Math" w:hAnsi="Cambria Math"/>
        </w:rPr>
        <w:t xml:space="preserve">(Q_X, Q_Y)</w:t>
      </w:r>
      <w:r>
        <w:t xml:space="preserve">, the map </w:t>
      </w:r>
      <w:r>
        <w:rPr>
          <w:rFonts w:ascii="Cambria Math" w:cs="Cambria Math" w:eastAsia="Cambria Math" w:hAnsi="Cambria Math"/>
        </w:rPr>
        <w:t xml:space="preserve">(X, Y) ↦ Q_Z</w:t>
      </w:r>
      <w:r>
        <w:t xml:space="preserve"> is a cascade through </w:t>
      </w:r>
      <w:r>
        <w:rPr>
          <w:rFonts w:ascii="Cambria Math" w:cs="Cambria Math" w:eastAsia="Cambria Math" w:hAnsi="Cambria Math"/>
        </w:rPr>
        <w:t xml:space="preserve">(Q_X, Q_Y)</w:t>
      </w:r>
      <w:r>
        <w:t xml:space="preserve">, and part (a) then follows from Geiger and Kubin’s cascade additivity for relevant information loss, giving the slightly sharper </w:t>
      </w:r>
      <w:r>
        <w:rPr>
          <w:rFonts w:ascii="Cambria Math" w:cs="Cambria Math" w:eastAsia="Cambria Math" w:hAnsi="Cambria Math"/>
        </w:rPr>
        <w:t xml:space="preserve">Δ_Z ≤ H(T_X, T_Y | Q_X, Q_Y) + I(T_X, T_Y; Q_X, Q_Y | Q_Z)</w:t>
      </w:r>
      <w:r>
        <w:t xml:space="preserve">. What the present theorem adds is the case where </w:t>
      </w:r>
      <w:r>
        <w:rPr>
          <w:rFonts w:ascii="Cambria Math" w:cs="Cambria Math" w:eastAsia="Cambria Math" w:hAnsi="Cambria Math"/>
        </w:rPr>
        <w:t xml:space="preserve">Q_Z</w:t>
      </w:r>
      <w:r>
        <w:t xml:space="preserve"> depends on structure beyond the part scalars (interaction residuals that are not scalar-determined), the matching lower bound for independent parts, the target-free aggregation-loss term, and the n-part sharpness result. These are modest extensions of known machinery; the proof uses only the chain rule and monotonicity of conditional entropy (Cover and Thomas, 2006). The phenomenon that a whole carries information about a joint target not visible in parts or in a sum is also studied as synergy in partial information decomposition (Williams and Beer, 2010). Third, both bounds were checked numerically on 20,000 random finite instances, half with dependent parts and half with noninjective </w:t>
      </w:r>
      <w:r>
        <w:rPr>
          <w:rFonts w:ascii="Cambria Math" w:cs="Cambria Math" w:eastAsia="Cambria Math" w:hAnsi="Cambria Math"/>
        </w:rPr>
        <w:t xml:space="preserve">h</w:t>
      </w:r>
      <w:r>
        <w:t xml:space="preserve">, with no violation beyond floating-point rounding; the script is part of the reproduction package.</w:t>
      </w:r>
    </w:p>
    <w:p>
      <w:pPr>
        <w:pStyle w:val="Heading1"/>
      </w:pPr>
      <w:r>
        <w:t xml:space="preserve">7  Higher-Order Interaction</w:t>
      </w:r>
    </w:p>
    <w:p>
      <w:pPr>
        <w:spacing w:after="140" w:line="276"/>
        <w:jc w:val="both"/>
      </w:pPr>
      <w:r>
        <w:t xml:space="preserve">Pairwise residuals do not describe assemblies of many parts. Let </w:t>
      </w:r>
      <w:r>
        <w:rPr>
          <w:rFonts w:ascii="Cambria Math" w:cs="Cambria Math" w:eastAsia="Cambria Math" w:hAnsi="Cambria Math"/>
        </w:rPr>
        <w:t xml:space="preserve">N = {1, …, n}</w:t>
      </w:r>
      <w:r>
        <w:t xml:space="preserve"> index components and, for each subset </w:t>
      </w:r>
      <w:r>
        <w:rPr>
          <w:rFonts w:ascii="Cambria Math" w:cs="Cambria Math" w:eastAsia="Cambria Math" w:hAnsi="Cambria Math"/>
        </w:rPr>
        <w:t xml:space="preserve">A ⊆ N</w:t>
      </w:r>
      <w:r>
        <w:t xml:space="preserve">, let </w:t>
      </w:r>
      <w:r>
        <w:rPr>
          <w:rFonts w:ascii="Cambria Math" w:cs="Cambria Math" w:eastAsia="Cambria Math" w:hAnsi="Cambria Math"/>
        </w:rPr>
        <w:t xml:space="preserve">v(A)</w:t>
      </w:r>
      <w:r>
        <w:t xml:space="preserve"> be the quantity projection of the composition of the components in </w:t>
      </w:r>
      <w:r>
        <w:rPr>
          <w:rFonts w:ascii="Cambria Math" w:cs="Cambria Math" w:eastAsia="Cambria Math" w:hAnsi="Cambria Math"/>
        </w:rPr>
        <w:t xml:space="preserve">A</w:t>
      </w:r>
      <w:r>
        <w:t xml:space="preserve"> under the declared coupling, with </w:t>
      </w:r>
      <w:r>
        <w:rPr>
          <w:rFonts w:ascii="Cambria Math" w:cs="Cambria Math" w:eastAsia="Cambria Math" w:hAnsi="Cambria Math"/>
        </w:rPr>
        <w:t xml:space="preserve">v(∅) = 0</w:t>
      </w:r>
      <w:r>
        <w:t xml:space="preserve">. Define the </w:t>
      </w:r>
      <w:r>
        <w:rPr>
          <w:b/>
          <w:bCs/>
        </w:rPr>
        <w:t xml:space="preserve">interaction function</w:t>
      </w:r>
      <w:r>
        <w:t xml:space="preserve"> by Möbius inversion on the subset lattice:</w:t>
      </w:r>
    </w:p>
    <w:p>
      <w:pPr>
        <w:tabs>
          <w:tab w:val="right" w:pos="9360"/>
        </w:tabs>
        <w:spacing w:after="160" w:before="80"/>
        <w:jc w:val="center"/>
      </w:pPr>
      <w:r>
        <w:rPr>
          <w:rFonts w:ascii="Cambria Math" w:cs="Cambria Math" w:eastAsia="Cambria Math" w:hAnsi="Cambria Math"/>
          <w:sz w:val="23"/>
          <w:szCs w:val="23"/>
        </w:rPr>
        <w:t xml:space="preserve">m(A) = Σ_{B ⊆ A} (−1)^{|A∖B|} v(B).</w:t>
      </w:r>
      <w:r>
        <w:rPr>
          <w:sz w:val="20"/>
          <w:szCs w:val="20"/>
        </w:rPr>
        <w:t xml:space="preserve">	(7.1)</w:t>
      </w:r>
    </w:p>
    <w:p>
      <w:pPr>
        <w:keepNext/>
        <w:spacing w:after="100" w:before="200"/>
      </w:pPr>
      <w:r>
        <w:rPr>
          <w:b/>
          <w:bCs/>
          <w:color w:val="1F3864"/>
        </w:rPr>
        <w:t xml:space="preserve">Proposition 9</w:t>
      </w:r>
      <w:r>
        <w:rPr>
          <w:b/>
          <w:bCs/>
        </w:rPr>
        <w:t xml:space="preserve">  Interaction expansion</w:t>
      </w:r>
    </w:p>
    <w:p>
      <w:pPr>
        <w:spacing w:after="140" w:line="276"/>
        <w:jc w:val="both"/>
      </w:pPr>
      <w:r>
        <w:t xml:space="preserve">(a) </w:t>
      </w:r>
      <w:r>
        <w:rPr>
          <w:rFonts w:ascii="Cambria Math" w:cs="Cambria Math" w:eastAsia="Cambria Math" w:hAnsi="Cambria Math"/>
        </w:rPr>
        <w:t xml:space="preserve">v(A) = Σ_{B ⊆ A} m(B)</w:t>
      </w:r>
      <w:r>
        <w:t xml:space="preserve"> for every </w:t>
      </w:r>
      <w:r>
        <w:rPr>
          <w:rFonts w:ascii="Cambria Math" w:cs="Cambria Math" w:eastAsia="Cambria Math" w:hAnsi="Cambria Math"/>
        </w:rPr>
        <w:t xml:space="preserve">A</w:t>
      </w:r>
      <w:r>
        <w:t xml:space="preserve">. (b) </w:t>
      </w:r>
      <w:r>
        <w:rPr>
          <w:rFonts w:ascii="Cambria Math" w:cs="Cambria Math" w:eastAsia="Cambria Math" w:hAnsi="Cambria Math"/>
        </w:rPr>
        <w:t xml:space="preserve">m({i}) = v({i})</w:t>
      </w:r>
      <w:r>
        <w:t xml:space="preserve"> and </w:t>
      </w:r>
      <w:r>
        <w:rPr>
          <w:rFonts w:ascii="Cambria Math" w:cs="Cambria Math" w:eastAsia="Cambria Math" w:hAnsi="Cambria Math"/>
        </w:rPr>
        <w:t xml:space="preserve">m({i, j}) = I(i, j)</w:t>
      </w:r>
      <w:r>
        <w:t xml:space="preserve">. (c) </w:t>
      </w:r>
      <w:r>
        <w:rPr>
          <w:rFonts w:ascii="Cambria Math" w:cs="Cambria Math" w:eastAsia="Cambria Math" w:hAnsi="Cambria Math"/>
        </w:rPr>
        <w:t xml:space="preserve">v</w:t>
      </w:r>
      <w:r>
        <w:t xml:space="preserve"> is additive, </w:t>
      </w:r>
      <w:r>
        <w:rPr>
          <w:rFonts w:ascii="Cambria Math" w:cs="Cambria Math" w:eastAsia="Cambria Math" w:hAnsi="Cambria Math"/>
        </w:rPr>
        <w:t xml:space="preserve">v(A) = Σ_{i ∈ A} v({i})</w:t>
      </w:r>
      <w:r>
        <w:t xml:space="preserve">, if and only if </w:t>
      </w:r>
      <w:r>
        <w:rPr>
          <w:rFonts w:ascii="Cambria Math" w:cs="Cambria Math" w:eastAsia="Cambria Math" w:hAnsi="Cambria Math"/>
        </w:rPr>
        <w:t xml:space="preserve">m(A) = 0</w:t>
      </w:r>
      <w:r>
        <w:t xml:space="preserve"> for every </w:t>
      </w:r>
      <w:r>
        <w:rPr>
          <w:rFonts w:ascii="Cambria Math" w:cs="Cambria Math" w:eastAsia="Cambria Math" w:hAnsi="Cambria Math"/>
        </w:rPr>
        <w:t xml:space="preserve">|A| ≥ 2</w:t>
      </w:r>
      <w:r>
        <w:t xml:space="preserve">.</w:t>
      </w:r>
    </w:p>
    <w:p>
      <w:pPr>
        <w:spacing w:after="160" w:line="276"/>
        <w:jc w:val="both"/>
      </w:pPr>
      <w:r>
        <w:rPr>
          <w:b/>
          <w:bCs/>
          <w:i/>
          <w:iCs/>
        </w:rPr>
        <w:t xml:space="preserve">Proof. </w:t>
      </w:r>
      <w:r>
        <w:t xml:space="preserve">(a) is the Möbius inversion theorem for the Boolean lattice (Rota, 1964). (b) follows by evaluating (7.1) on singletons and pairs and comparing with (3.5). (c) If all higher terms vanish, (a) gives additivity. Conversely, if </w:t>
      </w:r>
      <w:r>
        <w:rPr>
          <w:rFonts w:ascii="Cambria Math" w:cs="Cambria Math" w:eastAsia="Cambria Math" w:hAnsi="Cambria Math"/>
        </w:rPr>
        <w:t xml:space="preserve">v</w:t>
      </w:r>
      <w:r>
        <w:t xml:space="preserve"> is additive, the function equal to </w:t>
      </w:r>
      <w:r>
        <w:rPr>
          <w:rFonts w:ascii="Cambria Math" w:cs="Cambria Math" w:eastAsia="Cambria Math" w:hAnsi="Cambria Math"/>
        </w:rPr>
        <w:t xml:space="preserve">v({i})</w:t>
      </w:r>
      <w:r>
        <w:t xml:space="preserve"> on singletons and zero elsewhere satisfies (a), and Möbius inversion is unique.</w:t>
      </w:r>
      <w:r>
        <w:t xml:space="preserve">  ∎</w:t>
      </w:r>
    </w:p>
    <w:p>
      <w:pPr>
        <w:spacing w:after="140" w:line="276"/>
        <w:jc w:val="both"/>
      </w:pPr>
      <w:r>
        <w:rPr>
          <w:b/>
          <w:bCs/>
        </w:rPr>
        <w:t xml:space="preserve">Inclusion–exclusion as a special case.</w:t>
      </w:r>
      <w:r>
        <w:t xml:space="preserve"> Take events </w:t>
      </w:r>
      <w:r>
        <w:rPr>
          <w:rFonts w:ascii="Cambria Math" w:cs="Cambria Math" w:eastAsia="Cambria Math" w:hAnsi="Cambria Math"/>
        </w:rPr>
        <w:t xml:space="preserve">E₁, …, Eₙ</w:t>
      </w:r>
      <w:r>
        <w:t xml:space="preserve"> and </w:t>
      </w:r>
      <w:r>
        <w:rPr>
          <w:rFonts w:ascii="Cambria Math" w:cs="Cambria Math" w:eastAsia="Cambria Math" w:hAnsi="Cambria Math"/>
        </w:rPr>
        <w:t xml:space="preserve">v(A) = P(⋃_{i∈A} Eᵢ)</w:t>
      </w:r>
      <w:r>
        <w:t xml:space="preserve">. Then </w:t>
      </w:r>
      <w:r>
        <w:rPr>
          <w:rFonts w:ascii="Cambria Math" w:cs="Cambria Math" w:eastAsia="Cambria Math" w:hAnsi="Cambria Math"/>
        </w:rPr>
        <w:t xml:space="preserve">m(A) = (−1)^{|A|+1} P(⋂_{i∈A} Eᵢ)</w:t>
      </w:r>
      <w:r>
        <w:t xml:space="preserve"> for nonempty </w:t>
      </w:r>
      <w:r>
        <w:rPr>
          <w:rFonts w:ascii="Cambria Math" w:cs="Cambria Math" w:eastAsia="Cambria Math" w:hAnsi="Cambria Math"/>
        </w:rPr>
        <w:t xml:space="preserve">A</w:t>
      </w:r>
      <w:r>
        <w:t xml:space="preserve">, so (a) is exactly the inclusion–exclusion formula. The overlap correction of probability is therefore the interaction function of the union composition. The same object appears as Harsanyi dividends in cooperative game theory and as the Möbius representation of capacities in nonadditive measure theory (Grabisch, 2016), which supports BFCL’s claim to be an organizing interface rather than a new phenomenon.</w:t>
      </w:r>
    </w:p>
    <w:p>
      <w:pPr>
        <w:pStyle w:val="Heading1"/>
      </w:pPr>
      <w:r>
        <w:t xml:space="preserve">8  Composition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3"/>
        <w:gridCol w:w="3463"/>
        <w:gridCol w:w="3744"/>
      </w:tblGrid>
      <w:tr>
        <w:trPr>
          <w:tblHeader/>
        </w:trPr>
        <w:tc>
          <w:tcPr>
            <w:tcW w:type="dxa" w:w="2153"/>
            <w:tcBorders>
              <w:top w:val="single" w:color="C9CFDB" w:sz="4"/>
              <w:left w:val="single" w:color="C9CFDB" w:sz="4"/>
              <w:bottom w:val="single" w:color="C9CFDB" w:sz="4"/>
              <w:right w:val="single" w:color="C9CFDB" w:sz="4"/>
            </w:tcBorders>
            <w:shd w:fill="1F3864" w:color="auto" w:val="clear"/>
            <w:tcMar>
              <w:top w:type="dxa" w:w="60"/>
              <w:left w:type="dxa" w:w="100"/>
              <w:bottom w:type="dxa" w:w="60"/>
              <w:right w:type="dxa" w:w="100"/>
            </w:tcMar>
          </w:tcPr>
          <w:p>
            <w:r>
              <w:rPr>
                <w:b/>
                <w:bCs/>
                <w:color w:val="FFFFFF"/>
                <w:sz w:val="19"/>
                <w:szCs w:val="19"/>
              </w:rPr>
              <w:t xml:space="preserve">Class</w:t>
            </w:r>
          </w:p>
        </w:tc>
        <w:tc>
          <w:tcPr>
            <w:tcW w:type="dxa" w:w="3463"/>
            <w:tcBorders>
              <w:top w:val="single" w:color="C9CFDB" w:sz="4"/>
              <w:left w:val="single" w:color="C9CFDB" w:sz="4"/>
              <w:bottom w:val="single" w:color="C9CFDB" w:sz="4"/>
              <w:right w:val="single" w:color="C9CFDB" w:sz="4"/>
            </w:tcBorders>
            <w:shd w:fill="1F3864" w:color="auto" w:val="clear"/>
            <w:tcMar>
              <w:top w:type="dxa" w:w="60"/>
              <w:left w:type="dxa" w:w="100"/>
              <w:bottom w:type="dxa" w:w="60"/>
              <w:right w:type="dxa" w:w="100"/>
            </w:tcMar>
          </w:tcPr>
          <w:p>
            <w:r>
              <w:rPr>
                <w:b/>
                <w:bCs/>
                <w:color w:val="FFFFFF"/>
                <w:sz w:val="19"/>
                <w:szCs w:val="19"/>
              </w:rPr>
              <w:t xml:space="preserve">Diagnostic</w:t>
            </w:r>
          </w:p>
        </w:tc>
        <w:tc>
          <w:tcPr>
            <w:tcW w:type="dxa" w:w="3744"/>
            <w:tcBorders>
              <w:top w:val="single" w:color="C9CFDB" w:sz="4"/>
              <w:left w:val="single" w:color="C9CFDB" w:sz="4"/>
              <w:bottom w:val="single" w:color="C9CFDB" w:sz="4"/>
              <w:right w:val="single" w:color="C9CFDB" w:sz="4"/>
            </w:tcBorders>
            <w:shd w:fill="1F3864" w:color="auto" w:val="clear"/>
            <w:tcMar>
              <w:top w:type="dxa" w:w="60"/>
              <w:left w:type="dxa" w:w="100"/>
              <w:bottom w:type="dxa" w:w="60"/>
              <w:right w:type="dxa" w:w="100"/>
            </w:tcMar>
          </w:tcPr>
          <w:p>
            <w:r>
              <w:rPr>
                <w:b/>
                <w:bCs/>
                <w:color w:val="FFFFFF"/>
                <w:sz w:val="19"/>
                <w:szCs w:val="19"/>
              </w:rPr>
              <w:t xml:space="preserve">Interpretation</w:t>
            </w:r>
          </w:p>
        </w:tc>
      </w:tr>
      <w:tr>
        <w:tc>
          <w:tcPr>
            <w:tcW w:type="dxa" w:w="2153"/>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Additive</w:t>
            </w:r>
          </w:p>
        </w:tc>
        <w:tc>
          <w:tcPr>
            <w:tcW w:type="dxa" w:w="3463"/>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rFonts w:ascii="Cambria Math" w:cs="Cambria Math" w:eastAsia="Cambria Math" w:hAnsi="Cambria Math"/>
                <w:sz w:val="19"/>
                <w:szCs w:val="19"/>
              </w:rPr>
              <w:t xml:space="preserve">I = 0</w:t>
            </w:r>
            <w:r>
              <w:rPr>
                <w:sz w:val="19"/>
                <w:szCs w:val="19"/>
              </w:rPr>
              <w:t xml:space="preserve"> and </w:t>
            </w:r>
            <w:r>
              <w:rPr>
                <w:rFonts w:ascii="Cambria Math" w:cs="Cambria Math" w:eastAsia="Cambria Math" w:hAnsi="Cambria Math"/>
                <w:sz w:val="19"/>
                <w:szCs w:val="19"/>
              </w:rPr>
              <w:t xml:space="preserve">Δ_t(Q) = 0</w:t>
            </w:r>
          </w:p>
        </w:tc>
        <w:tc>
          <w:tcPr>
            <w:tcW w:type="dxa" w:w="3744"/>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Scalar addition is sufficient for the declared question.</w:t>
            </w:r>
          </w:p>
        </w:tc>
      </w:tr>
      <w:tr>
        <w:tc>
          <w:tcPr>
            <w:tcW w:type="dxa" w:w="2153"/>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Structurally nonadditive</w:t>
            </w:r>
          </w:p>
        </w:tc>
        <w:tc>
          <w:tcPr>
            <w:tcW w:type="dxa" w:w="3463"/>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rFonts w:ascii="Cambria Math" w:cs="Cambria Math" w:eastAsia="Cambria Math" w:hAnsi="Cambria Math"/>
                <w:sz w:val="19"/>
                <w:szCs w:val="19"/>
              </w:rPr>
              <w:t xml:space="preserve">I = 0</w:t>
            </w:r>
            <w:r>
              <w:rPr>
                <w:sz w:val="19"/>
                <w:szCs w:val="19"/>
              </w:rPr>
              <w:t xml:space="preserve"> but </w:t>
            </w:r>
            <w:r>
              <w:rPr>
                <w:rFonts w:ascii="Cambria Math" w:cs="Cambria Math" w:eastAsia="Cambria Math" w:hAnsi="Cambria Math"/>
                <w:sz w:val="19"/>
                <w:szCs w:val="19"/>
              </w:rPr>
              <w:t xml:space="preserve">Δ_t(Q) &gt; 0</w:t>
            </w:r>
          </w:p>
        </w:tc>
        <w:tc>
          <w:tcPr>
            <w:tcW w:type="dxa" w:w="3744"/>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Quantity agrees while behavior differs.</w:t>
            </w:r>
          </w:p>
        </w:tc>
      </w:tr>
      <w:tr>
        <w:tc>
          <w:tcPr>
            <w:tcW w:type="dxa" w:w="2153"/>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Synergistic</w:t>
            </w:r>
          </w:p>
        </w:tc>
        <w:tc>
          <w:tcPr>
            <w:tcW w:type="dxa" w:w="3463"/>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rFonts w:ascii="Cambria Math" w:cs="Cambria Math" w:eastAsia="Cambria Math" w:hAnsi="Cambria Math"/>
                <w:sz w:val="19"/>
                <w:szCs w:val="19"/>
              </w:rPr>
              <w:t xml:space="preserve">I &gt; 0</w:t>
            </w:r>
            <w:r>
              <w:rPr>
                <w:sz w:val="19"/>
                <w:szCs w:val="19"/>
              </w:rPr>
              <w:t xml:space="preserve"> on a declared scale</w:t>
            </w:r>
          </w:p>
        </w:tc>
        <w:tc>
          <w:tcPr>
            <w:tcW w:type="dxa" w:w="3744"/>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Combined output exceeds separate projected outputs.</w:t>
            </w:r>
          </w:p>
        </w:tc>
      </w:tr>
      <w:tr>
        <w:tc>
          <w:tcPr>
            <w:tcW w:type="dxa" w:w="2153"/>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Interfering</w:t>
            </w:r>
          </w:p>
        </w:tc>
        <w:tc>
          <w:tcPr>
            <w:tcW w:type="dxa" w:w="3463"/>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rFonts w:ascii="Cambria Math" w:cs="Cambria Math" w:eastAsia="Cambria Math" w:hAnsi="Cambria Math"/>
                <w:sz w:val="19"/>
                <w:szCs w:val="19"/>
              </w:rPr>
              <w:t xml:space="preserve">I &lt; 0</w:t>
            </w:r>
            <w:r>
              <w:rPr>
                <w:sz w:val="19"/>
                <w:szCs w:val="19"/>
              </w:rPr>
              <w:t xml:space="preserve"> on a declared scale</w:t>
            </w:r>
          </w:p>
        </w:tc>
        <w:tc>
          <w:tcPr>
            <w:tcW w:type="dxa" w:w="3744"/>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Coupling reduces the combined projected output.</w:t>
            </w:r>
          </w:p>
        </w:tc>
      </w:tr>
      <w:tr>
        <w:tc>
          <w:tcPr>
            <w:tcW w:type="dxa" w:w="2153"/>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Overlapping</w:t>
            </w:r>
          </w:p>
        </w:tc>
        <w:tc>
          <w:tcPr>
            <w:tcW w:type="dxa" w:w="3463"/>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Nonzero higher-order </w:t>
            </w:r>
            <w:r>
              <w:rPr>
                <w:rFonts w:ascii="Cambria Math" w:cs="Cambria Math" w:eastAsia="Cambria Math" w:hAnsi="Cambria Math"/>
                <w:sz w:val="19"/>
                <w:szCs w:val="19"/>
              </w:rPr>
              <w:t xml:space="preserve">m(A)</w:t>
            </w:r>
            <w:r>
              <w:rPr>
                <w:sz w:val="19"/>
                <w:szCs w:val="19"/>
              </w:rPr>
              <w:t xml:space="preserve"> from shared contribution</w:t>
            </w:r>
          </w:p>
        </w:tc>
        <w:tc>
          <w:tcPr>
            <w:tcW w:type="dxa" w:w="3744"/>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Naive addition double counts common structure.</w:t>
            </w:r>
          </w:p>
        </w:tc>
      </w:tr>
      <w:tr>
        <w:tc>
          <w:tcPr>
            <w:tcW w:type="dxa" w:w="2153"/>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Transformative</w:t>
            </w:r>
          </w:p>
        </w:tc>
        <w:tc>
          <w:tcPr>
            <w:tcW w:type="dxa" w:w="3463"/>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Output type differs from input type</w:t>
            </w:r>
          </w:p>
        </w:tc>
        <w:tc>
          <w:tcPr>
            <w:tcW w:type="dxa" w:w="3744"/>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Composition creates a higher-level object or function.</w:t>
            </w:r>
          </w:p>
        </w:tc>
      </w:tr>
      <w:tr>
        <w:tc>
          <w:tcPr>
            <w:tcW w:type="dxa" w:w="2153"/>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Failure producing</w:t>
            </w:r>
          </w:p>
        </w:tc>
        <w:tc>
          <w:tcPr>
            <w:tcW w:type="dxa" w:w="3463"/>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Admissible inputs, inadmissible output</w:t>
            </w:r>
          </w:p>
        </w:tc>
        <w:tc>
          <w:tcPr>
            <w:tcW w:type="dxa" w:w="3744"/>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Valid components combine into an invalid system.</w:t>
            </w:r>
          </w:p>
        </w:tc>
      </w:tr>
    </w:tbl>
    <w:p>
      <w:pPr>
        <w:spacing w:after="120"/>
      </w:pPr>
    </w:p>
    <w:p>
      <w:pPr>
        <w:spacing w:after="140" w:line="276"/>
        <w:jc w:val="both"/>
      </w:pPr>
      <w:r>
        <w:t xml:space="preserve">These labels are a classification interface, not physical laws. Each application must specify its scale, projection, baseline, distribution </w:t>
      </w:r>
      <w:r>
        <w:rPr>
          <w:rFonts w:ascii="Cambria Math" w:cs="Cambria Math" w:eastAsia="Cambria Math" w:hAnsi="Cambria Math"/>
        </w:rPr>
        <w:t xml:space="preserve">μ</w:t>
      </w:r>
      <w:r>
        <w:t xml:space="preserve">, and evidence.</w:t>
      </w:r>
    </w:p>
    <w:p>
      <w:pPr>
        <w:pStyle w:val="Heading1"/>
      </w:pPr>
      <w:r>
        <w:t xml:space="preserve">9  Worked Examples</w:t>
      </w:r>
    </w:p>
    <w:p>
      <w:pPr>
        <w:pStyle w:val="Heading2"/>
      </w:pPr>
      <w:r>
        <w:t xml:space="preserve">9.1  Probability with overlap</w:t>
      </w:r>
    </w:p>
    <w:p>
      <w:pPr>
        <w:spacing w:after="140" w:line="276"/>
        <w:jc w:val="both"/>
      </w:pPr>
      <w:r>
        <w:t xml:space="preserve">Let </w:t>
      </w:r>
      <w:r>
        <w:rPr>
          <w:rFonts w:ascii="Cambria Math" w:cs="Cambria Math" w:eastAsia="Cambria Math" w:hAnsi="Cambria Math"/>
        </w:rPr>
        <w:t xml:space="preserve">P(A) = 0.5</w:t>
      </w:r>
      <w:r>
        <w:t xml:space="preserve">, </w:t>
      </w:r>
      <w:r>
        <w:rPr>
          <w:rFonts w:ascii="Cambria Math" w:cs="Cambria Math" w:eastAsia="Cambria Math" w:hAnsi="Cambria Math"/>
        </w:rPr>
        <w:t xml:space="preserve">P(B) = 0.4</w:t>
      </w:r>
      <w:r>
        <w:t xml:space="preserve">, </w:t>
      </w:r>
      <w:r>
        <w:rPr>
          <w:rFonts w:ascii="Cambria Math" w:cs="Cambria Math" w:eastAsia="Cambria Math" w:hAnsi="Cambria Math"/>
        </w:rPr>
        <w:t xml:space="preserve">P(A ∩ B) = 0.2</w:t>
      </w:r>
      <w:r>
        <w:t xml:space="preserve">. Then</w:t>
      </w:r>
    </w:p>
    <w:p>
      <w:pPr>
        <w:spacing w:after="160" w:before="80"/>
        <w:jc w:val="center"/>
      </w:pPr>
      <w:r>
        <w:rPr>
          <w:rFonts w:ascii="Cambria Math" w:cs="Cambria Math" w:eastAsia="Cambria Math" w:hAnsi="Cambria Math"/>
          <w:sz w:val="23"/>
          <w:szCs w:val="23"/>
        </w:rPr>
        <w:t xml:space="preserve">P(A ∪ B) = 0.5 + 0.4 − 0.2 = 0.7,  I(A, B) = −0.2.</w:t>
      </w:r>
    </w:p>
    <w:p>
      <w:pPr>
        <w:spacing w:after="140" w:line="276"/>
        <w:jc w:val="both"/>
      </w:pPr>
      <w:r>
        <w:t xml:space="preserve">The residual relative to naive addition is exactly the negative overlap, as Proposition 9 predicts. The correction does not modify arithmetic; it selects the correct operation for overlapping sets.</w:t>
      </w:r>
    </w:p>
    <w:p>
      <w:pPr>
        <w:pStyle w:val="Heading2"/>
      </w:pPr>
      <w:r>
        <w:t xml:space="preserve">9.2  Prime valuation constraints</w:t>
      </w:r>
    </w:p>
    <w:p>
      <w:pPr>
        <w:spacing w:after="140" w:line="276"/>
        <w:jc w:val="both"/>
      </w:pPr>
      <w:r>
        <w:t xml:space="preserve">Take </w:t>
      </w:r>
      <w:r>
        <w:rPr>
          <w:rFonts w:ascii="Cambria Math" w:cs="Cambria Math" w:eastAsia="Cambria Math" w:hAnsi="Cambria Math"/>
        </w:rPr>
        <w:t xml:space="preserve">M = 24 = 2³ · 3</w:t>
      </w:r>
      <w:r>
        <w:t xml:space="preserve"> and </w:t>
      </w:r>
      <w:r>
        <w:rPr>
          <w:rFonts w:ascii="Cambria Math" w:cs="Cambria Math" w:eastAsia="Cambria Math" w:hAnsi="Cambria Math"/>
        </w:rPr>
        <w:t xml:space="preserve">N = 160 = 2⁵ · 5</w:t>
      </w:r>
      <w:r>
        <w:t xml:space="preserve">. Requiring divisibility by both gives </w:t>
      </w:r>
      <w:r>
        <w:rPr>
          <w:rFonts w:ascii="Cambria Math" w:cs="Cambria Math" w:eastAsia="Cambria Math" w:hAnsi="Cambria Math"/>
        </w:rPr>
        <w:t xml:space="preserve">lcm(24, 160) = 480 = 2⁵ · 3 · 5</w:t>
      </w:r>
      <w:r>
        <w:t xml:space="preserve">. The power of two is </w:t>
      </w:r>
      <w:r>
        <w:rPr>
          <w:rFonts w:ascii="Cambria Math" w:cs="Cambria Math" w:eastAsia="Cambria Math" w:hAnsi="Cambria Math"/>
        </w:rPr>
        <w:t xml:space="preserve">2^max(3,5) = 2⁵</w:t>
      </w:r>
      <w:r>
        <w:t xml:space="preserve">, not </w:t>
      </w:r>
      <w:r>
        <w:rPr>
          <w:rFonts w:ascii="Cambria Math" w:cs="Cambria Math" w:eastAsia="Cambria Math" w:hAnsi="Cambria Math"/>
        </w:rPr>
        <w:t xml:space="preserve">2^(3+5) = 2⁸</w:t>
      </w:r>
      <w:r>
        <w:t xml:space="preserve">. Naive exponent addition would demand divisibility by 256, rejecting the valid common multiple 480. The distinct primes 3 and 5, by contrast, combine multiplicatively, as independent constraints should.</w:t>
      </w:r>
    </w:p>
    <w:p>
      <w:pPr>
        <w:pStyle w:val="Heading2"/>
      </w:pPr>
      <w:r>
        <w:t xml:space="preserve">9.3  Two wheels: an explicit witness</w:t>
      </w:r>
    </w:p>
    <w:p>
      <w:pPr>
        <w:spacing w:after="140" w:line="276"/>
        <w:jc w:val="both"/>
      </w:pPr>
      <w:r>
        <w:t xml:space="preserve">Let </w:t>
      </w:r>
      <w:r>
        <w:rPr>
          <w:rFonts w:ascii="Cambria Math" w:cs="Cambria Math" w:eastAsia="Cambria Math" w:hAnsi="Cambria Math"/>
        </w:rPr>
        <w:t xml:space="preserve">t_count</w:t>
      </w:r>
      <w:r>
        <w:t xml:space="preserve"> ask for the component count and </w:t>
      </w:r>
      <w:r>
        <w:rPr>
          <w:rFonts w:ascii="Cambria Math" w:cs="Cambria Math" w:eastAsia="Cambria Math" w:hAnsi="Cambria Math"/>
        </w:rPr>
        <w:t xml:space="preserve">t_drive</w:t>
      </w:r>
      <w:r>
        <w:t xml:space="preserve"> ask whether the configuration supports a two-wheel vehicle in motion on level ground under declared load. Consider two admissible configurations of the same wheels: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4867"/>
        <w:gridCol w:w="1123"/>
        <w:gridCol w:w="1685"/>
      </w:tblGrid>
      <w:tr>
        <w:trPr>
          <w:tblHeader/>
        </w:trPr>
        <w:tc>
          <w:tcPr>
            <w:tcW w:type="dxa" w:w="1685"/>
            <w:tcBorders>
              <w:top w:val="single" w:color="C9CFDB" w:sz="4"/>
              <w:left w:val="single" w:color="C9CFDB" w:sz="4"/>
              <w:bottom w:val="single" w:color="C9CFDB" w:sz="4"/>
              <w:right w:val="single" w:color="C9CFDB" w:sz="4"/>
            </w:tcBorders>
            <w:shd w:fill="1F3864" w:color="auto" w:val="clear"/>
            <w:tcMar>
              <w:top w:type="dxa" w:w="60"/>
              <w:left w:type="dxa" w:w="100"/>
              <w:bottom w:type="dxa" w:w="60"/>
              <w:right w:type="dxa" w:w="100"/>
            </w:tcMar>
          </w:tcPr>
          <w:p>
            <w:r>
              <w:rPr>
                <w:b/>
                <w:bCs/>
                <w:color w:val="FFFFFF"/>
                <w:sz w:val="19"/>
                <w:szCs w:val="19"/>
              </w:rPr>
              <w:t xml:space="preserve">Configuration</w:t>
            </w:r>
          </w:p>
        </w:tc>
        <w:tc>
          <w:tcPr>
            <w:tcW w:type="dxa" w:w="4867"/>
            <w:tcBorders>
              <w:top w:val="single" w:color="C9CFDB" w:sz="4"/>
              <w:left w:val="single" w:color="C9CFDB" w:sz="4"/>
              <w:bottom w:val="single" w:color="C9CFDB" w:sz="4"/>
              <w:right w:val="single" w:color="C9CFDB" w:sz="4"/>
            </w:tcBorders>
            <w:shd w:fill="1F3864" w:color="auto" w:val="clear"/>
            <w:tcMar>
              <w:top w:type="dxa" w:w="60"/>
              <w:left w:type="dxa" w:w="100"/>
              <w:bottom w:type="dxa" w:w="60"/>
              <w:right w:type="dxa" w:w="100"/>
            </w:tcMar>
          </w:tcPr>
          <w:p>
            <w:r>
              <w:rPr>
                <w:b/>
                <w:bCs/>
                <w:color w:val="FFFFFF"/>
                <w:sz w:val="19"/>
                <w:szCs w:val="19"/>
              </w:rPr>
              <w:t xml:space="preserve">Relation R</w:t>
            </w:r>
          </w:p>
        </w:tc>
        <w:tc>
          <w:tcPr>
            <w:tcW w:type="dxa" w:w="1123"/>
            <w:tcBorders>
              <w:top w:val="single" w:color="C9CFDB" w:sz="4"/>
              <w:left w:val="single" w:color="C9CFDB" w:sz="4"/>
              <w:bottom w:val="single" w:color="C9CFDB" w:sz="4"/>
              <w:right w:val="single" w:color="C9CFDB" w:sz="4"/>
            </w:tcBorders>
            <w:shd w:fill="1F3864" w:color="auto" w:val="clear"/>
            <w:tcMar>
              <w:top w:type="dxa" w:w="60"/>
              <w:left w:type="dxa" w:w="100"/>
              <w:bottom w:type="dxa" w:w="60"/>
              <w:right w:type="dxa" w:w="100"/>
            </w:tcMar>
          </w:tcPr>
          <w:p>
            <w:r>
              <w:rPr>
                <w:b/>
                <w:bCs/>
                <w:color w:val="FFFFFF"/>
                <w:sz w:val="19"/>
                <w:szCs w:val="19"/>
              </w:rPr>
              <w:t xml:space="preserve">t_count</w:t>
            </w:r>
          </w:p>
        </w:tc>
        <w:tc>
          <w:tcPr>
            <w:tcW w:type="dxa" w:w="1685"/>
            <w:tcBorders>
              <w:top w:val="single" w:color="C9CFDB" w:sz="4"/>
              <w:left w:val="single" w:color="C9CFDB" w:sz="4"/>
              <w:bottom w:val="single" w:color="C9CFDB" w:sz="4"/>
              <w:right w:val="single" w:color="C9CFDB" w:sz="4"/>
            </w:tcBorders>
            <w:shd w:fill="1F3864" w:color="auto" w:val="clear"/>
            <w:tcMar>
              <w:top w:type="dxa" w:w="60"/>
              <w:left w:type="dxa" w:w="100"/>
              <w:bottom w:type="dxa" w:w="60"/>
              <w:right w:type="dxa" w:w="100"/>
            </w:tcMar>
          </w:tcPr>
          <w:p>
            <w:r>
              <w:rPr>
                <w:b/>
                <w:bCs/>
                <w:color w:val="FFFFFF"/>
                <w:sz w:val="19"/>
                <w:szCs w:val="19"/>
              </w:rPr>
              <w:t xml:space="preserve">t_drive</w:t>
            </w:r>
          </w:p>
        </w:tc>
      </w:tr>
      <w:tr>
        <w:tc>
          <w:tcPr>
            <w:tcW w:type="dxa" w:w="1685"/>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rFonts w:ascii="Cambria Math" w:cs="Cambria Math" w:eastAsia="Cambria Math" w:hAnsi="Cambria Math"/>
                <w:sz w:val="19"/>
                <w:szCs w:val="19"/>
              </w:rPr>
              <w:t xml:space="preserve">X₁</w:t>
            </w:r>
          </w:p>
        </w:tc>
        <w:tc>
          <w:tcPr>
            <w:tcW w:type="dxa" w:w="4867"/>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Wheels mounted in line on frame, ground contact, steering coupled</w:t>
            </w:r>
          </w:p>
        </w:tc>
        <w:tc>
          <w:tcPr>
            <w:tcW w:type="dxa" w:w="1123"/>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2</w:t>
            </w:r>
          </w:p>
        </w:tc>
        <w:tc>
          <w:tcPr>
            <w:tcW w:type="dxa" w:w="1685"/>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enabled</w:t>
            </w:r>
          </w:p>
        </w:tc>
      </w:tr>
      <w:tr>
        <w:tc>
          <w:tcPr>
            <w:tcW w:type="dxa" w:w="1685"/>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rFonts w:ascii="Cambria Math" w:cs="Cambria Math" w:eastAsia="Cambria Math" w:hAnsi="Cambria Math"/>
                <w:sz w:val="19"/>
                <w:szCs w:val="19"/>
              </w:rPr>
              <w:t xml:space="preserve">X₂</w:t>
            </w:r>
          </w:p>
        </w:tc>
        <w:tc>
          <w:tcPr>
            <w:tcW w:type="dxa" w:w="4867"/>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Wheels stacked flat in a storage rack, no ground contact</w:t>
            </w:r>
          </w:p>
        </w:tc>
        <w:tc>
          <w:tcPr>
            <w:tcW w:type="dxa" w:w="1123"/>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2</w:t>
            </w:r>
          </w:p>
        </w:tc>
        <w:tc>
          <w:tcPr>
            <w:tcW w:type="dxa" w:w="1685"/>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disabled</w:t>
            </w:r>
          </w:p>
        </w:tc>
      </w:tr>
    </w:tbl>
    <w:p>
      <w:pPr>
        <w:spacing w:after="120"/>
      </w:pPr>
    </w:p>
    <w:p>
      <w:pPr>
        <w:spacing w:after="140" w:line="276"/>
        <w:jc w:val="both"/>
      </w:pPr>
      <w:r>
        <w:rPr>
          <w:rFonts w:ascii="Cambria Math" w:cs="Cambria Math" w:eastAsia="Cambria Math" w:hAnsi="Cambria Math"/>
        </w:rPr>
        <w:t xml:space="preserve">(X₁, X₂)</w:t>
      </w:r>
      <w:r>
        <w:t xml:space="preserve"> is a counterexample witness in the sense of Corollary 2.1. The count is necessary information but is not sufficient for the functional question; the relation field is.</w:t>
      </w:r>
    </w:p>
    <w:p>
      <w:pPr>
        <w:pStyle w:val="Heading2"/>
      </w:pPr>
      <w:r>
        <w:t xml:space="preserve">9.4  Redundant reliability</w:t>
      </w:r>
    </w:p>
    <w:p>
      <w:pPr>
        <w:spacing w:after="140" w:line="276"/>
        <w:jc w:val="both"/>
      </w:pPr>
      <w:r>
        <w:t xml:space="preserve">Two components each with reliability </w:t>
      </w:r>
      <w:r>
        <w:rPr>
          <w:rFonts w:ascii="Cambria Math" w:cs="Cambria Math" w:eastAsia="Cambria Math" w:hAnsi="Cambria Math"/>
        </w:rPr>
        <w:t xml:space="preserve">r = 0.9</w:t>
      </w:r>
      <w:r>
        <w:t xml:space="preserve"> and independent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059"/>
        <w:gridCol w:w="2434"/>
        <w:gridCol w:w="2808"/>
      </w:tblGrid>
      <w:tr>
        <w:trPr>
          <w:tblHeader/>
        </w:trPr>
        <w:tc>
          <w:tcPr>
            <w:tcW w:type="dxa" w:w="2059"/>
            <w:tcBorders>
              <w:top w:val="single" w:color="C9CFDB" w:sz="4"/>
              <w:left w:val="single" w:color="C9CFDB" w:sz="4"/>
              <w:bottom w:val="single" w:color="C9CFDB" w:sz="4"/>
              <w:right w:val="single" w:color="C9CFDB" w:sz="4"/>
            </w:tcBorders>
            <w:shd w:fill="1F3864" w:color="auto" w:val="clear"/>
            <w:tcMar>
              <w:top w:type="dxa" w:w="60"/>
              <w:left w:type="dxa" w:w="100"/>
              <w:bottom w:type="dxa" w:w="60"/>
              <w:right w:type="dxa" w:w="100"/>
            </w:tcMar>
          </w:tcPr>
          <w:p>
            <w:r>
              <w:rPr>
                <w:b/>
                <w:bCs/>
                <w:color w:val="FFFFFF"/>
                <w:sz w:val="19"/>
                <w:szCs w:val="19"/>
              </w:rPr>
              <w:t xml:space="preserve">Arrangement</w:t>
            </w:r>
          </w:p>
        </w:tc>
        <w:tc>
          <w:tcPr>
            <w:tcW w:type="dxa" w:w="2059"/>
            <w:tcBorders>
              <w:top w:val="single" w:color="C9CFDB" w:sz="4"/>
              <w:left w:val="single" w:color="C9CFDB" w:sz="4"/>
              <w:bottom w:val="single" w:color="C9CFDB" w:sz="4"/>
              <w:right w:val="single" w:color="C9CFDB" w:sz="4"/>
            </w:tcBorders>
            <w:shd w:fill="1F3864" w:color="auto" w:val="clear"/>
            <w:tcMar>
              <w:top w:type="dxa" w:w="60"/>
              <w:left w:type="dxa" w:w="100"/>
              <w:bottom w:type="dxa" w:w="60"/>
              <w:right w:type="dxa" w:w="100"/>
            </w:tcMar>
          </w:tcPr>
          <w:p>
            <w:r>
              <w:rPr>
                <w:b/>
                <w:bCs/>
                <w:color w:val="FFFFFF"/>
                <w:sz w:val="19"/>
                <w:szCs w:val="19"/>
              </w:rPr>
              <w:t xml:space="preserve">Rule</w:t>
            </w:r>
          </w:p>
        </w:tc>
        <w:tc>
          <w:tcPr>
            <w:tcW w:type="dxa" w:w="2434"/>
            <w:tcBorders>
              <w:top w:val="single" w:color="C9CFDB" w:sz="4"/>
              <w:left w:val="single" w:color="C9CFDB" w:sz="4"/>
              <w:bottom w:val="single" w:color="C9CFDB" w:sz="4"/>
              <w:right w:val="single" w:color="C9CFDB" w:sz="4"/>
            </w:tcBorders>
            <w:shd w:fill="1F3864" w:color="auto" w:val="clear"/>
            <w:tcMar>
              <w:top w:type="dxa" w:w="60"/>
              <w:left w:type="dxa" w:w="100"/>
              <w:bottom w:type="dxa" w:w="60"/>
              <w:right w:type="dxa" w:w="100"/>
            </w:tcMar>
          </w:tcPr>
          <w:p>
            <w:r>
              <w:rPr>
                <w:b/>
                <w:bCs/>
                <w:color w:val="FFFFFF"/>
                <w:sz w:val="19"/>
                <w:szCs w:val="19"/>
              </w:rPr>
              <w:t xml:space="preserve">System reliability</w:t>
            </w:r>
          </w:p>
        </w:tc>
        <w:tc>
          <w:tcPr>
            <w:tcW w:type="dxa" w:w="2808"/>
            <w:tcBorders>
              <w:top w:val="single" w:color="C9CFDB" w:sz="4"/>
              <w:left w:val="single" w:color="C9CFDB" w:sz="4"/>
              <w:bottom w:val="single" w:color="C9CFDB" w:sz="4"/>
              <w:right w:val="single" w:color="C9CFDB" w:sz="4"/>
            </w:tcBorders>
            <w:shd w:fill="1F3864" w:color="auto" w:val="clear"/>
            <w:tcMar>
              <w:top w:type="dxa" w:w="60"/>
              <w:left w:type="dxa" w:w="100"/>
              <w:bottom w:type="dxa" w:w="60"/>
              <w:right w:type="dxa" w:w="100"/>
            </w:tcMar>
          </w:tcPr>
          <w:p>
            <w:r>
              <w:rPr>
                <w:b/>
                <w:bCs/>
                <w:color w:val="FFFFFF"/>
                <w:sz w:val="19"/>
                <w:szCs w:val="19"/>
              </w:rPr>
              <w:t xml:space="preserve">Residual vs. naive sum 1.8</w:t>
            </w:r>
          </w:p>
        </w:tc>
      </w:tr>
      <w:tr>
        <w:tc>
          <w:tcPr>
            <w:tcW w:type="dxa" w:w="2059"/>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Naive addition</w:t>
            </w:r>
          </w:p>
        </w:tc>
        <w:tc>
          <w:tcPr>
            <w:tcW w:type="dxa" w:w="2059"/>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rFonts w:ascii="Cambria Math" w:cs="Cambria Math" w:eastAsia="Cambria Math" w:hAnsi="Cambria Math"/>
                <w:sz w:val="19"/>
                <w:szCs w:val="19"/>
              </w:rPr>
              <w:t xml:space="preserve">2r</w:t>
            </w:r>
          </w:p>
        </w:tc>
        <w:tc>
          <w:tcPr>
            <w:tcW w:type="dxa" w:w="2434"/>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1.8 (inadmissible)</w:t>
            </w:r>
          </w:p>
        </w:tc>
        <w:tc>
          <w:tcPr>
            <w:tcW w:type="dxa" w:w="2808"/>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w:t>
            </w:r>
          </w:p>
        </w:tc>
      </w:tr>
      <w:tr>
        <w:tc>
          <w:tcPr>
            <w:tcW w:type="dxa" w:w="2059"/>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Parallel</w:t>
            </w:r>
          </w:p>
        </w:tc>
        <w:tc>
          <w:tcPr>
            <w:tcW w:type="dxa" w:w="2059"/>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rFonts w:ascii="Cambria Math" w:cs="Cambria Math" w:eastAsia="Cambria Math" w:hAnsi="Cambria Math"/>
                <w:sz w:val="19"/>
                <w:szCs w:val="19"/>
              </w:rPr>
              <w:t xml:space="preserve">1 − (1 − r)²</w:t>
            </w:r>
          </w:p>
        </w:tc>
        <w:tc>
          <w:tcPr>
            <w:tcW w:type="dxa" w:w="2434"/>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0.99</w:t>
            </w:r>
          </w:p>
        </w:tc>
        <w:tc>
          <w:tcPr>
            <w:tcW w:type="dxa" w:w="2808"/>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−0.81</w:t>
            </w:r>
          </w:p>
        </w:tc>
      </w:tr>
      <w:tr>
        <w:tc>
          <w:tcPr>
            <w:tcW w:type="dxa" w:w="2059"/>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Series</w:t>
            </w:r>
          </w:p>
        </w:tc>
        <w:tc>
          <w:tcPr>
            <w:tcW w:type="dxa" w:w="2059"/>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rFonts w:ascii="Cambria Math" w:cs="Cambria Math" w:eastAsia="Cambria Math" w:hAnsi="Cambria Math"/>
                <w:sz w:val="19"/>
                <w:szCs w:val="19"/>
              </w:rPr>
              <w:t xml:space="preserve">r²</w:t>
            </w:r>
          </w:p>
        </w:tc>
        <w:tc>
          <w:tcPr>
            <w:tcW w:type="dxa" w:w="2434"/>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0.81</w:t>
            </w:r>
          </w:p>
        </w:tc>
        <w:tc>
          <w:tcPr>
            <w:tcW w:type="dxa" w:w="2808"/>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−0.99</w:t>
            </w:r>
          </w:p>
        </w:tc>
      </w:tr>
    </w:tbl>
    <w:p>
      <w:pPr>
        <w:spacing w:after="120"/>
      </w:pPr>
    </w:p>
    <w:p>
      <w:pPr>
        <w:spacing w:after="140" w:line="276"/>
        <w:jc w:val="both"/>
      </w:pPr>
      <w:r>
        <w:t xml:space="preserve">The component count is two in every row. Naive addition produces a number above one, which fails admissibility, a failure-producing composition at the projection layer. The relation and success rule, not the count, select the result.</w:t>
      </w:r>
    </w:p>
    <w:p>
      <w:pPr>
        <w:pStyle w:val="Heading2"/>
      </w:pPr>
      <w:r>
        <w:t xml:space="preserve">9.5  Network reachability: computing a scalar deficit</w:t>
      </w:r>
    </w:p>
    <w:p>
      <w:pPr>
        <w:spacing w:after="140" w:line="276"/>
        <w:jc w:val="both"/>
      </w:pPr>
      <w:r>
        <w:t xml:space="preserve">Consider all labeled trees on four vertices. By Cayley’s formula there are </w:t>
      </w:r>
      <w:r>
        <w:rPr>
          <w:rFonts w:ascii="Cambria Math" w:cs="Cambria Math" w:eastAsia="Cambria Math" w:hAnsi="Cambria Math"/>
        </w:rPr>
        <w:t xml:space="preserve">4² = 16</w:t>
      </w:r>
      <w:r>
        <w:t xml:space="preserve">: twelve are paths </w:t>
      </w:r>
      <w:r>
        <w:rPr>
          <w:rFonts w:ascii="Cambria Math" w:cs="Cambria Math" w:eastAsia="Cambria Math" w:hAnsi="Cambria Math"/>
        </w:rPr>
        <w:t xml:space="preserve">P₄</w:t>
      </w:r>
      <w:r>
        <w:t xml:space="preserve"> and four are stars </w:t>
      </w:r>
      <w:r>
        <w:rPr>
          <w:rFonts w:ascii="Cambria Math" w:cs="Cambria Math" w:eastAsia="Cambria Math" w:hAnsi="Cambria Math"/>
        </w:rPr>
        <w:t xml:space="preserve">K₁,₃</w:t>
      </w:r>
      <w:r>
        <w:t xml:space="preserve">. Every one has the same scalar inventory </w:t>
      </w:r>
      <w:r>
        <w:rPr>
          <w:rFonts w:ascii="Cambria Math" w:cs="Cambria Math" w:eastAsia="Cambria Math" w:hAnsi="Cambria Math"/>
        </w:rPr>
        <w:t xml:space="preserve">Q = (4 vertices, 3 edges)</w:t>
      </w:r>
      <w:r>
        <w:t xml:space="preserve">. Let </w:t>
      </w:r>
      <w:r>
        <w:rPr>
          <w:rFonts w:ascii="Cambria Math" w:cs="Cambria Math" w:eastAsia="Cambria Math" w:hAnsi="Cambria Math"/>
        </w:rPr>
        <w:t xml:space="preserve">t</w:t>
      </w:r>
      <w:r>
        <w:t xml:space="preserve"> ask for the diameter, which is 3 for a path and 2 for a star. Under the uniform distribution,</w:t>
      </w:r>
    </w:p>
    <w:p>
      <w:pPr>
        <w:tabs>
          <w:tab w:val="right" w:pos="9360"/>
        </w:tabs>
        <w:spacing w:after="160" w:before="80"/>
        <w:jc w:val="center"/>
      </w:pPr>
      <w:r>
        <w:rPr>
          <w:rFonts w:ascii="Cambria Math" w:cs="Cambria Math" w:eastAsia="Cambria Math" w:hAnsi="Cambria Math"/>
          <w:sz w:val="23"/>
          <w:szCs w:val="23"/>
        </w:rPr>
        <w:t xml:space="preserve">Δ_t(Q) = H(3/4, 1/4) = −¾ log₂ ¾ − ¼ log₂ ¼ ≈ 0.811 bits.</w:t>
      </w:r>
      <w:r>
        <w:rPr>
          <w:sz w:val="20"/>
          <w:szCs w:val="20"/>
        </w:rPr>
        <w:t xml:space="preserve">	(9.1)</w:t>
      </w:r>
    </w:p>
    <w:p>
      <w:pPr>
        <w:spacing w:after="140" w:line="276"/>
        <w:jc w:val="both"/>
      </w:pPr>
      <w:r>
        <w:t xml:space="preserve">The scalar inventory leaves most of a bit of uncertainty about a basic functional property. Retaining the degree sequence, </w:t>
      </w:r>
      <w:r>
        <w:rPr>
          <w:rFonts w:ascii="Cambria Math" w:cs="Cambria Math" w:eastAsia="Cambria Math" w:hAnsi="Cambria Math"/>
        </w:rPr>
        <w:t xml:space="preserve">(1,1,2,2)</w:t>
      </w:r>
      <w:r>
        <w:t xml:space="preserve"> versus </w:t>
      </w:r>
      <w:r>
        <w:rPr>
          <w:rFonts w:ascii="Cambria Math" w:cs="Cambria Math" w:eastAsia="Cambria Math" w:hAnsi="Cambria Math"/>
        </w:rPr>
        <w:t xml:space="preserve">(1,1,1,3)</w:t>
      </w:r>
      <w:r>
        <w:t xml:space="preserve">, reduces the deficit to zero, so the degree sequence is a sufficient record for this target while the full edge list is not needed. The same pair also differs in robustness: deleting a maximum-degree vertex leaves two components of the path but three of the star.</w:t>
      </w:r>
    </w:p>
    <w:p>
      <w:pPr>
        <w:pStyle w:val="Heading2"/>
      </w:pPr>
      <w:r>
        <w:t xml:space="preserve">9.6  Software composition</w:t>
      </w:r>
    </w:p>
    <w:p>
      <w:pPr>
        <w:spacing w:after="140" w:line="276"/>
        <w:jc w:val="both"/>
      </w:pPr>
      <w:r>
        <w:t xml:space="preserve">Module A acquires lock </w:t>
      </w:r>
      <w:r>
        <w:rPr>
          <w:rFonts w:ascii="Cambria Math" w:cs="Cambria Math" w:eastAsia="Cambria Math" w:hAnsi="Cambria Math"/>
        </w:rPr>
        <w:t xml:space="preserve">L₁</w:t>
      </w:r>
      <w:r>
        <w:t xml:space="preserve"> then </w:t>
      </w:r>
      <w:r>
        <w:rPr>
          <w:rFonts w:ascii="Cambria Math" w:cs="Cambria Math" w:eastAsia="Cambria Math" w:hAnsi="Cambria Math"/>
        </w:rPr>
        <w:t xml:space="preserve">L₂</w:t>
      </w:r>
      <w:r>
        <w:t xml:space="preserve">; module B acquires </w:t>
      </w:r>
      <w:r>
        <w:rPr>
          <w:rFonts w:ascii="Cambria Math" w:cs="Cambria Math" w:eastAsia="Cambria Math" w:hAnsi="Cambria Math"/>
        </w:rPr>
        <w:t xml:space="preserve">L₂</w:t>
      </w:r>
      <w:r>
        <w:t xml:space="preserve"> then </w:t>
      </w:r>
      <w:r>
        <w:rPr>
          <w:rFonts w:ascii="Cambria Math" w:cs="Cambria Math" w:eastAsia="Cambria Math" w:hAnsi="Cambria Math"/>
        </w:rPr>
        <w:t xml:space="preserve">L₁</w:t>
      </w:r>
      <w:r>
        <w:t xml:space="preserve">. Each module is correct in isolation. Composed concurrently, the system admits an interleaving in which each holds one lock and waits for the other: a deadlock. Both inputs are admissible and the composition is not, the defining pattern of a failure-producing composition. A Burd record for software therefore carries interface contracts, ordering assumptions, shared state, and the evidence supporting the composition, since component correctness does not imply composite correctness.</w:t>
      </w:r>
    </w:p>
    <w:p>
      <w:pPr>
        <w:pStyle w:val="Heading1"/>
      </w:pPr>
      <w:r>
        <w:t xml:space="preserve">10  The Burd Reduction Firewall</w:t>
      </w:r>
    </w:p>
    <w:p>
      <w:pPr>
        <w:spacing w:after="140" w:line="276"/>
        <w:jc w:val="both"/>
      </w:pPr>
      <w:r>
        <w:t xml:space="preserve">BFCL does not ask that maximal structure be kept forever. Its value comes from reducing only after the target question and sufficiency conditions are known. The procedure is:</w:t>
      </w:r>
    </w:p>
    <w:p>
      <w:pPr>
        <w:pStyle w:val="ListParagraph"/>
        <w:numPr>
          <w:ilvl w:val="0"/>
          <w:numId w:val="4"/>
        </w:numPr>
        <w:spacing w:after="80"/>
      </w:pPr>
      <w:r>
        <w:t xml:space="preserve">Declare the objects and preserve component identity.</w:t>
      </w:r>
    </w:p>
    <w:p>
      <w:pPr>
        <w:pStyle w:val="ListParagraph"/>
        <w:numPr>
          <w:ilvl w:val="0"/>
          <w:numId w:val="4"/>
        </w:numPr>
        <w:spacing w:after="80"/>
      </w:pPr>
      <w:r>
        <w:t xml:space="preserve">Declare the operation, coupling, environment, admissibility predicate, and target question.</w:t>
      </w:r>
    </w:p>
    <w:p>
      <w:pPr>
        <w:pStyle w:val="ListParagraph"/>
        <w:numPr>
          <w:ilvl w:val="0"/>
          <w:numId w:val="4"/>
        </w:numPr>
        <w:spacing w:after="80"/>
      </w:pPr>
      <w:r>
        <w:t xml:space="preserve">Compute the ordinary quantitative projection.</w:t>
      </w:r>
    </w:p>
    <w:p>
      <w:pPr>
        <w:pStyle w:val="ListParagraph"/>
        <w:numPr>
          <w:ilvl w:val="0"/>
          <w:numId w:val="4"/>
        </w:numPr>
        <w:spacing w:after="80"/>
      </w:pPr>
      <w:r>
        <w:t xml:space="preserve">Identify overlap, dependence, ordering, and state constraints.</w:t>
      </w:r>
    </w:p>
    <w:p>
      <w:pPr>
        <w:pStyle w:val="ListParagraph"/>
        <w:numPr>
          <w:ilvl w:val="0"/>
          <w:numId w:val="4"/>
        </w:numPr>
        <w:spacing w:after="80"/>
      </w:pPr>
      <w:r>
        <w:t xml:space="preserve">Evaluate interaction and functional outputs using a domain-valid model.</w:t>
      </w:r>
    </w:p>
    <w:p>
      <w:pPr>
        <w:pStyle w:val="ListParagraph"/>
        <w:numPr>
          <w:ilvl w:val="0"/>
          <w:numId w:val="4"/>
        </w:numPr>
        <w:spacing w:after="80"/>
      </w:pPr>
      <w:r>
        <w:t xml:space="preserve">Test whether the target factors through the scalar projection (Proposition 2), or compute the deficit (Section 6).</w:t>
      </w:r>
    </w:p>
    <w:p>
      <w:pPr>
        <w:pStyle w:val="ListParagraph"/>
        <w:numPr>
          <w:ilvl w:val="0"/>
          <w:numId w:val="4"/>
        </w:numPr>
        <w:spacing w:after="80"/>
      </w:pPr>
      <w:r>
        <w:t xml:space="preserve">If it does, reduce to the scalar and issue a sufficiency certificate.</w:t>
      </w:r>
    </w:p>
    <w:p>
      <w:pPr>
        <w:pStyle w:val="ListParagraph"/>
        <w:numPr>
          <w:ilvl w:val="0"/>
          <w:numId w:val="4"/>
        </w:numPr>
        <w:spacing w:after="80"/>
      </w:pPr>
      <w:r>
        <w:t xml:space="preserve">If it does not, issue a counterexample witness and retain a minimal sufficient record.</w:t>
      </w:r>
    </w:p>
    <w:p>
      <w:pPr>
        <w:spacing w:after="140" w:line="276"/>
        <w:jc w:val="both"/>
      </w:pPr>
      <w:r>
        <w:t xml:space="preserve">A </w:t>
      </w:r>
      <w:r>
        <w:rPr>
          <w:b/>
          <w:bCs/>
        </w:rPr>
        <w:t xml:space="preserve">sufficiency certificate</w:t>
      </w:r>
      <w:r>
        <w:t xml:space="preserve"> is a short, checkable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9CFDB" w:sz="4"/>
              <w:left w:val="single" w:color="C9CFDB" w:sz="4"/>
              <w:bottom w:val="single" w:color="C9CFDB" w:sz="4"/>
              <w:right w:val="single" w:color="C9CFDB" w:sz="4"/>
            </w:tcBorders>
            <w:shd w:fill="1F3864" w:color="auto" w:val="clear"/>
            <w:tcMar>
              <w:top w:type="dxa" w:w="60"/>
              <w:left w:type="dxa" w:w="100"/>
              <w:bottom w:type="dxa" w:w="60"/>
              <w:right w:type="dxa" w:w="100"/>
            </w:tcMar>
          </w:tcPr>
          <w:p>
            <w:r>
              <w:rPr>
                <w:b/>
                <w:bCs/>
                <w:color w:val="FFFFFF"/>
                <w:sz w:val="19"/>
                <w:szCs w:val="19"/>
              </w:rPr>
              <w:t xml:space="preserve">Field</w:t>
            </w:r>
          </w:p>
        </w:tc>
        <w:tc>
          <w:tcPr>
            <w:tcW w:type="dxa" w:w="7020"/>
            <w:tcBorders>
              <w:top w:val="single" w:color="C9CFDB" w:sz="4"/>
              <w:left w:val="single" w:color="C9CFDB" w:sz="4"/>
              <w:bottom w:val="single" w:color="C9CFDB" w:sz="4"/>
              <w:right w:val="single" w:color="C9CFDB" w:sz="4"/>
            </w:tcBorders>
            <w:shd w:fill="1F3864" w:color="auto" w:val="clear"/>
            <w:tcMar>
              <w:top w:type="dxa" w:w="60"/>
              <w:left w:type="dxa" w:w="100"/>
              <w:bottom w:type="dxa" w:w="60"/>
              <w:right w:type="dxa" w:w="100"/>
            </w:tcMar>
          </w:tcPr>
          <w:p>
            <w:r>
              <w:rPr>
                <w:b/>
                <w:bCs/>
                <w:color w:val="FFFFFF"/>
                <w:sz w:val="19"/>
                <w:szCs w:val="19"/>
              </w:rPr>
              <w:t xml:space="preserve">Content</w:t>
            </w:r>
          </w:p>
        </w:tc>
      </w:tr>
      <w:tr>
        <w:tc>
          <w:tcPr>
            <w:tcW w:type="dxa" w:w="2340"/>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Domain</w:t>
            </w:r>
          </w:p>
        </w:tc>
        <w:tc>
          <w:tcPr>
            <w:tcW w:type="dxa" w:w="7020"/>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The admissible set </w:t>
            </w:r>
            <w:r>
              <w:rPr>
                <w:rFonts w:ascii="Cambria Math" w:cs="Cambria Math" w:eastAsia="Cambria Math" w:hAnsi="Cambria Math"/>
                <w:sz w:val="19"/>
                <w:szCs w:val="19"/>
              </w:rPr>
              <w:t xml:space="preserve">𝔅</w:t>
            </w:r>
            <w:r>
              <w:rPr>
                <w:sz w:val="19"/>
                <w:szCs w:val="19"/>
              </w:rPr>
              <w:t xml:space="preserve"> and its declared assumptions.</w:t>
            </w:r>
          </w:p>
        </w:tc>
      </w:tr>
      <w:tr>
        <w:tc>
          <w:tcPr>
            <w:tcW w:type="dxa" w:w="2340"/>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Target</w:t>
            </w:r>
          </w:p>
        </w:tc>
        <w:tc>
          <w:tcPr>
            <w:tcW w:type="dxa" w:w="7020"/>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The question </w:t>
            </w:r>
            <w:r>
              <w:rPr>
                <w:rFonts w:ascii="Cambria Math" w:cs="Cambria Math" w:eastAsia="Cambria Math" w:hAnsi="Cambria Math"/>
                <w:sz w:val="19"/>
                <w:szCs w:val="19"/>
              </w:rPr>
              <w:t xml:space="preserve">t</w:t>
            </w:r>
            <w:r>
              <w:rPr>
                <w:sz w:val="19"/>
                <w:szCs w:val="19"/>
              </w:rPr>
              <w:t xml:space="preserve"> and codomain </w:t>
            </w:r>
            <w:r>
              <w:rPr>
                <w:rFonts w:ascii="Cambria Math" w:cs="Cambria Math" w:eastAsia="Cambria Math" w:hAnsi="Cambria Math"/>
                <w:sz w:val="19"/>
                <w:szCs w:val="19"/>
              </w:rPr>
              <w:t xml:space="preserve">Y_t</w:t>
            </w:r>
            <w:r>
              <w:rPr>
                <w:sz w:val="19"/>
                <w:szCs w:val="19"/>
              </w:rPr>
              <w:t xml:space="preserve">.</w:t>
            </w:r>
          </w:p>
        </w:tc>
      </w:tr>
      <w:tr>
        <w:tc>
          <w:tcPr>
            <w:tcW w:type="dxa" w:w="2340"/>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Reduction</w:t>
            </w:r>
          </w:p>
        </w:tc>
        <w:tc>
          <w:tcPr>
            <w:tcW w:type="dxa" w:w="7020"/>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The projection used, normally </w:t>
            </w:r>
            <w:r>
              <w:rPr>
                <w:rFonts w:ascii="Cambria Math" w:cs="Cambria Math" w:eastAsia="Cambria Math" w:hAnsi="Cambria Math"/>
                <w:sz w:val="19"/>
                <w:szCs w:val="19"/>
              </w:rPr>
              <w:t xml:space="preserve">π_Q</w:t>
            </w:r>
            <w:r>
              <w:rPr>
                <w:sz w:val="19"/>
                <w:szCs w:val="19"/>
              </w:rPr>
              <w:t xml:space="preserve">.</w:t>
            </w:r>
          </w:p>
        </w:tc>
      </w:tr>
      <w:tr>
        <w:tc>
          <w:tcPr>
            <w:tcW w:type="dxa" w:w="2340"/>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Factoring map</w:t>
            </w:r>
          </w:p>
        </w:tc>
        <w:tc>
          <w:tcPr>
            <w:tcW w:type="dxa" w:w="7020"/>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An explicit </w:t>
            </w:r>
            <w:r>
              <w:rPr>
                <w:rFonts w:ascii="Cambria Math" w:cs="Cambria Math" w:eastAsia="Cambria Math" w:hAnsi="Cambria Math"/>
                <w:sz w:val="19"/>
                <w:szCs w:val="19"/>
              </w:rPr>
              <w:t xml:space="preserve">g</w:t>
            </w:r>
            <w:r>
              <w:rPr>
                <w:sz w:val="19"/>
                <w:szCs w:val="19"/>
              </w:rPr>
              <w:t xml:space="preserve"> with </w:t>
            </w:r>
            <w:r>
              <w:rPr>
                <w:rFonts w:ascii="Cambria Math" w:cs="Cambria Math" w:eastAsia="Cambria Math" w:hAnsi="Cambria Math"/>
                <w:sz w:val="19"/>
                <w:szCs w:val="19"/>
              </w:rPr>
              <w:t xml:space="preserve">π_F(·; t) = g ∘ π_Q</w:t>
            </w:r>
            <w:r>
              <w:rPr>
                <w:sz w:val="19"/>
                <w:szCs w:val="19"/>
              </w:rPr>
              <w:t xml:space="preserve">, or a proof that one exists.</w:t>
            </w:r>
          </w:p>
        </w:tc>
      </w:tr>
      <w:tr>
        <w:tc>
          <w:tcPr>
            <w:tcW w:type="dxa" w:w="2340"/>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Evidence</w:t>
            </w:r>
          </w:p>
        </w:tc>
        <w:tc>
          <w:tcPr>
            <w:tcW w:type="dxa" w:w="7020"/>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Proof, exhaustive check, or measured deficit with sample size and distribution.</w:t>
            </w:r>
          </w:p>
        </w:tc>
      </w:tr>
      <w:tr>
        <w:tc>
          <w:tcPr>
            <w:tcW w:type="dxa" w:w="2340"/>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Reproduction</w:t>
            </w:r>
          </w:p>
        </w:tc>
        <w:tc>
          <w:tcPr>
            <w:tcW w:type="dxa" w:w="7020"/>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Data, code, and hashes sufficient for independent verification.</w:t>
            </w:r>
          </w:p>
        </w:tc>
      </w:tr>
    </w:tbl>
    <w:p>
      <w:pPr>
        <w:spacing w:after="120"/>
      </w:pPr>
    </w:p>
    <w:p>
      <w:pPr>
        <w:spacing w:after="140" w:line="276"/>
        <w:jc w:val="both"/>
      </w:pPr>
      <w:r>
        <w:t xml:space="preserve">This makes compression a theorem-dependent act. Abstraction is not forbidden; it is required to preserve the information the declared task needs.</w:t>
      </w:r>
    </w:p>
    <w:p>
      <w:pPr>
        <w:pStyle w:val="Heading1"/>
      </w:pPr>
      <w:r>
        <w:t xml:space="preserve">11  Relation to Existing Mathematics</w:t>
      </w:r>
    </w:p>
    <w:p>
      <w:pPr>
        <w:spacing w:after="140" w:line="276"/>
        <w:jc w:val="both"/>
      </w:pPr>
      <w:r>
        <w:t xml:space="preserve">Several established areas already reject indiscriminate scalar addition. Inclusion–exclusion corrects overlap; valuation theory uses </w:t>
      </w:r>
      <w:r>
        <w:rPr>
          <w:rFonts w:ascii="Cambria Math" w:cs="Cambria Math" w:eastAsia="Cambria Math" w:hAnsi="Cambria Math"/>
        </w:rPr>
        <w:t xml:space="preserve">min</w:t>
      </w:r>
      <w:r>
        <w:t xml:space="preserve"> and </w:t>
      </w:r>
      <w:r>
        <w:rPr>
          <w:rFonts w:ascii="Cambria Math" w:cs="Cambria Math" w:eastAsia="Cambria Math" w:hAnsi="Cambria Math"/>
        </w:rPr>
        <w:t xml:space="preserve">max</w:t>
      </w:r>
      <w:r>
        <w:t xml:space="preserve"> for gcd and lcm exponents; nonlinear analysis refuses superposition without linearity; graph theory separates topology from vertex and edge counts; reliability theory changes the system rule between series and parallel arrangements; nonadditive measure theory and cooperative game theory represent interaction through Möbius transforms; statistics formalizes lossless compression as sufficiency; category theory studies composition itself.</w:t>
      </w:r>
    </w:p>
    <w:p>
      <w:pPr>
        <w:spacing w:after="140" w:line="276"/>
        <w:jc w:val="both"/>
      </w:pPr>
      <w:r>
        <w:t xml:space="preserve">BFCL should therefore not be presented as the discovery that interaction or structure exists. Its proposed contribution is a cross-domain discipline: keep quantity, structure, relation, state, interaction, function, and evidence status in one record, measure what a reduction loses, and require a certificate before a scalar stands in for a system. Whether this packaging produces new theorems, a useful unifying language, or a restatement of existing machinery remains 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2995"/>
        <w:gridCol w:w="3744"/>
      </w:tblGrid>
      <w:tr>
        <w:trPr>
          <w:tblHeader/>
        </w:trPr>
        <w:tc>
          <w:tcPr>
            <w:tcW w:type="dxa" w:w="2621"/>
            <w:tcBorders>
              <w:top w:val="single" w:color="C9CFDB" w:sz="4"/>
              <w:left w:val="single" w:color="C9CFDB" w:sz="4"/>
              <w:bottom w:val="single" w:color="C9CFDB" w:sz="4"/>
              <w:right w:val="single" w:color="C9CFDB" w:sz="4"/>
            </w:tcBorders>
            <w:shd w:fill="1F3864" w:color="auto" w:val="clear"/>
            <w:tcMar>
              <w:top w:type="dxa" w:w="60"/>
              <w:left w:type="dxa" w:w="100"/>
              <w:bottom w:type="dxa" w:w="60"/>
              <w:right w:type="dxa" w:w="100"/>
            </w:tcMar>
          </w:tcPr>
          <w:p>
            <w:r>
              <w:rPr>
                <w:b/>
                <w:bCs/>
                <w:color w:val="FFFFFF"/>
                <w:sz w:val="19"/>
                <w:szCs w:val="19"/>
              </w:rPr>
              <w:t xml:space="preserve">Established area</w:t>
            </w:r>
          </w:p>
        </w:tc>
        <w:tc>
          <w:tcPr>
            <w:tcW w:type="dxa" w:w="2995"/>
            <w:tcBorders>
              <w:top w:val="single" w:color="C9CFDB" w:sz="4"/>
              <w:left w:val="single" w:color="C9CFDB" w:sz="4"/>
              <w:bottom w:val="single" w:color="C9CFDB" w:sz="4"/>
              <w:right w:val="single" w:color="C9CFDB" w:sz="4"/>
            </w:tcBorders>
            <w:shd w:fill="1F3864" w:color="auto" w:val="clear"/>
            <w:tcMar>
              <w:top w:type="dxa" w:w="60"/>
              <w:left w:type="dxa" w:w="100"/>
              <w:bottom w:type="dxa" w:w="60"/>
              <w:right w:type="dxa" w:w="100"/>
            </w:tcMar>
          </w:tcPr>
          <w:p>
            <w:r>
              <w:rPr>
                <w:b/>
                <w:bCs/>
                <w:color w:val="FFFFFF"/>
                <w:sz w:val="19"/>
                <w:szCs w:val="19"/>
              </w:rPr>
              <w:t xml:space="preserve">Shared concern</w:t>
            </w:r>
          </w:p>
        </w:tc>
        <w:tc>
          <w:tcPr>
            <w:tcW w:type="dxa" w:w="3744"/>
            <w:tcBorders>
              <w:top w:val="single" w:color="C9CFDB" w:sz="4"/>
              <w:left w:val="single" w:color="C9CFDB" w:sz="4"/>
              <w:bottom w:val="single" w:color="C9CFDB" w:sz="4"/>
              <w:right w:val="single" w:color="C9CFDB" w:sz="4"/>
            </w:tcBorders>
            <w:shd w:fill="1F3864" w:color="auto" w:val="clear"/>
            <w:tcMar>
              <w:top w:type="dxa" w:w="60"/>
              <w:left w:type="dxa" w:w="100"/>
              <w:bottom w:type="dxa" w:w="60"/>
              <w:right w:type="dxa" w:w="100"/>
            </w:tcMar>
          </w:tcPr>
          <w:p>
            <w:r>
              <w:rPr>
                <w:b/>
                <w:bCs/>
                <w:color w:val="FFFFFF"/>
                <w:sz w:val="19"/>
                <w:szCs w:val="19"/>
              </w:rPr>
              <w:t xml:space="preserve">BFCL research question</w:t>
            </w:r>
          </w:p>
        </w:tc>
      </w:tr>
      <w:tr>
        <w:tc>
          <w:tcPr>
            <w:tcW w:type="dxa" w:w="2621"/>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Information loss in deterministic systems</w:t>
            </w:r>
          </w:p>
        </w:tc>
        <w:tc>
          <w:tcPr>
            <w:tcW w:type="dxa" w:w="2995"/>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Relevant information loss </w:t>
            </w:r>
            <w:r>
              <w:rPr>
                <w:rFonts w:ascii="Cambria Math" w:cs="Cambria Math" w:eastAsia="Cambria Math" w:hAnsi="Cambria Math"/>
                <w:sz w:val="19"/>
                <w:szCs w:val="19"/>
              </w:rPr>
              <w:t xml:space="preserve">H(T | Q)</w:t>
            </w:r>
            <w:r>
              <w:rPr>
                <w:sz w:val="19"/>
                <w:szCs w:val="19"/>
              </w:rPr>
              <w:t xml:space="preserve"> and cascades</w:t>
            </w:r>
          </w:p>
        </w:tc>
        <w:tc>
          <w:tcPr>
            <w:tcW w:type="dxa" w:w="3744"/>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Do multi-input compositions admit a cascade-style calculus beyond Theorem 1?</w:t>
            </w:r>
          </w:p>
        </w:tc>
      </w:tr>
      <w:tr>
        <w:tc>
          <w:tcPr>
            <w:tcW w:type="dxa" w:w="2621"/>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Statistics (sufficiency)</w:t>
            </w:r>
          </w:p>
        </w:tc>
        <w:tc>
          <w:tcPr>
            <w:tcW w:type="dxa" w:w="2995"/>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Lossless compression relative to a target</w:t>
            </w:r>
          </w:p>
        </w:tc>
        <w:tc>
          <w:tcPr>
            <w:tcW w:type="dxa" w:w="3744"/>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Is scalar sufficiency a special case of sufficient statistics, and what does BFCL add?</w:t>
            </w:r>
          </w:p>
        </w:tc>
      </w:tr>
      <w:tr>
        <w:tc>
          <w:tcPr>
            <w:tcW w:type="dxa" w:w="2621"/>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Nonadditive measures, game theory</w:t>
            </w:r>
          </w:p>
        </w:tc>
        <w:tc>
          <w:tcPr>
            <w:tcW w:type="dxa" w:w="2995"/>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Möbius interaction and dividends</w:t>
            </w:r>
          </w:p>
        </w:tc>
        <w:tc>
          <w:tcPr>
            <w:tcW w:type="dxa" w:w="3744"/>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Does the Burd record clarify which aggregation rule applies?</w:t>
            </w:r>
          </w:p>
        </w:tc>
      </w:tr>
      <w:tr>
        <w:tc>
          <w:tcPr>
            <w:tcW w:type="dxa" w:w="2621"/>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Group cohomology</w:t>
            </w:r>
          </w:p>
        </w:tc>
        <w:tc>
          <w:tcPr>
            <w:tcW w:type="dxa" w:w="2995"/>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Cocycle conditions on composition</w:t>
            </w:r>
          </w:p>
        </w:tc>
        <w:tc>
          <w:tcPr>
            <w:tcW w:type="dxa" w:w="3744"/>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Do residual cocycles classify useful families of compositions?</w:t>
            </w:r>
          </w:p>
        </w:tc>
      </w:tr>
      <w:tr>
        <w:tc>
          <w:tcPr>
            <w:tcW w:type="dxa" w:w="2621"/>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Category theory, applied compositionality</w:t>
            </w:r>
          </w:p>
        </w:tc>
        <w:tc>
          <w:tcPr>
            <w:tcW w:type="dxa" w:w="2995"/>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Objects, morphisms, composition</w:t>
            </w:r>
          </w:p>
        </w:tc>
        <w:tc>
          <w:tcPr>
            <w:tcW w:type="dxa" w:w="3744"/>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Is BFCL a practical typed interface or a known categorical construction?</w:t>
            </w:r>
          </w:p>
        </w:tc>
      </w:tr>
      <w:tr>
        <w:tc>
          <w:tcPr>
            <w:tcW w:type="dxa" w:w="2621"/>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Systems, reliability, networks</w:t>
            </w:r>
          </w:p>
        </w:tc>
        <w:tc>
          <w:tcPr>
            <w:tcW w:type="dxa" w:w="2995"/>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Relations drive behavior</w:t>
            </w:r>
          </w:p>
        </w:tc>
        <w:tc>
          <w:tcPr>
            <w:tcW w:type="dxa" w:w="3744"/>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Can scalar sufficiency be certified uniformly across these domains?</w:t>
            </w:r>
          </w:p>
        </w:tc>
      </w:tr>
      <w:tr>
        <w:tc>
          <w:tcPr>
            <w:tcW w:type="dxa" w:w="2621"/>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Causal interaction models</w:t>
            </w:r>
          </w:p>
        </w:tc>
        <w:tc>
          <w:tcPr>
            <w:tcW w:type="dxa" w:w="2995"/>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Joint effects differ from separate effects</w:t>
            </w:r>
          </w:p>
        </w:tc>
        <w:tc>
          <w:tcPr>
            <w:tcW w:type="dxa" w:w="3744"/>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Can evidence status prevent causal overinterpretation of residuals?</w:t>
            </w:r>
          </w:p>
        </w:tc>
      </w:tr>
    </w:tbl>
    <w:p>
      <w:pPr>
        <w:spacing w:after="120"/>
      </w:pPr>
    </w:p>
    <w:p>
      <w:pPr>
        <w:pStyle w:val="Heading1"/>
      </w:pPr>
      <w:r>
        <w:t xml:space="preserve">12  Falsifiability and Evaluation</w:t>
      </w:r>
    </w:p>
    <w:p>
      <w:pPr>
        <w:spacing w:after="140" w:line="276"/>
        <w:jc w:val="both"/>
      </w:pPr>
      <w:r>
        <w:t xml:space="preserve">A useful mathematical framework must permit failure. BFCL should be rejected, narrowed, or absorbed into existing theory if any of the following is established:</w:t>
      </w:r>
    </w:p>
    <w:p>
      <w:pPr>
        <w:pStyle w:val="ListParagraph"/>
        <w:numPr>
          <w:ilvl w:val="0"/>
          <w:numId w:val="5"/>
        </w:numPr>
        <w:spacing w:after="80"/>
      </w:pPr>
      <w:r>
        <w:t xml:space="preserve">its objects and operators cannot be defined consistently on meaningful domains;</w:t>
      </w:r>
    </w:p>
    <w:p>
      <w:pPr>
        <w:pStyle w:val="ListParagraph"/>
        <w:numPr>
          <w:ilvl w:val="0"/>
          <w:numId w:val="5"/>
        </w:numPr>
        <w:spacing w:after="80"/>
      </w:pPr>
      <w:r>
        <w:t xml:space="preserve">its distinctions reduce without loss to existing standard notation in every tested case;</w:t>
      </w:r>
    </w:p>
    <w:p>
      <w:pPr>
        <w:pStyle w:val="ListParagraph"/>
        <w:numPr>
          <w:ilvl w:val="0"/>
          <w:numId w:val="5"/>
        </w:numPr>
        <w:spacing w:after="80"/>
      </w:pPr>
      <w:r>
        <w:t xml:space="preserve">it yields no theorem, prediction, diagnostic, or design advantage over simpler models;</w:t>
      </w:r>
    </w:p>
    <w:p>
      <w:pPr>
        <w:pStyle w:val="ListParagraph"/>
        <w:numPr>
          <w:ilvl w:val="0"/>
          <w:numId w:val="5"/>
        </w:numPr>
        <w:spacing w:after="80"/>
      </w:pPr>
      <w:r>
        <w:t xml:space="preserve">its interaction terms or deficits cannot be measured or bounded where operational value is claimed;</w:t>
      </w:r>
    </w:p>
    <w:p>
      <w:pPr>
        <w:pStyle w:val="ListParagraph"/>
        <w:numPr>
          <w:ilvl w:val="0"/>
          <w:numId w:val="5"/>
        </w:numPr>
        <w:spacing w:after="80"/>
      </w:pPr>
      <w:r>
        <w:t xml:space="preserve">its firewall rejects valid scalar models without identifying a target-relevant loss.</w:t>
      </w:r>
    </w:p>
    <w:p>
      <w:pPr>
        <w:spacing w:after="140" w:line="276"/>
        <w:jc w:val="both"/>
      </w:pPr>
      <w:r>
        <w:t xml:space="preserve">Evidence for utility would include a reproducible case in which systems share a scalar description, differ in a target property, and the retained BFCL structure predicts or explains the difference with less ambiguity than the comparison method.</w:t>
      </w:r>
    </w:p>
    <w:p>
      <w:pPr>
        <w:pStyle w:val="Heading2"/>
      </w:pPr>
      <w:r>
        <w:t xml:space="preserve">12.1  Minimum decisive experiment</w:t>
      </w:r>
    </w:p>
    <w:p>
      <w:pPr>
        <w:spacing w:after="140" w:line="276"/>
        <w:jc w:val="both"/>
      </w:pPr>
      <w:r>
        <w:t xml:space="preserve">Select a finite family of systems with equal component counts but controlled differences in arrangement. Define one measurable target before observing outcomes. Encode each system both as a scalar and as a BFCL object. Compute the scalar deficit and the minimal sufficient record. Fit or derive predictions from each representation under the same data budget and compare out-of-sample error, calibration, complexity, and failure localization. Preserve dataset, encoding, executable evaluator, and hashes. A positive result establishes usefulness only for that domain; broader claims require replication.</w:t>
      </w:r>
    </w:p>
    <w:p>
      <w:pPr>
        <w:pStyle w:val="Heading1"/>
      </w:pPr>
      <w:r>
        <w:t xml:space="preserve">13  Research Programme</w:t>
      </w:r>
    </w:p>
    <w:p>
      <w:pPr>
        <w:pStyle w:val="Heading2"/>
      </w:pPr>
      <w:r>
        <w:t xml:space="preserve">13.1  Formal algebra</w:t>
      </w:r>
    </w:p>
    <w:p>
      <w:pPr>
        <w:pStyle w:val="ListParagraph"/>
        <w:numPr>
          <w:ilvl w:val="0"/>
          <w:numId w:val="5"/>
        </w:numPr>
        <w:spacing w:after="80"/>
      </w:pPr>
      <w:r>
        <w:t xml:space="preserve">Specify identity objects, associativity conditions, equivalence relations, and partial-composition domains.</w:t>
      </w:r>
    </w:p>
    <w:p>
      <w:pPr>
        <w:pStyle w:val="ListParagraph"/>
        <w:numPr>
          <w:ilvl w:val="0"/>
          <w:numId w:val="5"/>
        </w:numPr>
        <w:spacing w:after="80"/>
      </w:pPr>
      <w:r>
        <w:t xml:space="preserve">Classify residual cocycles up to coboundaries: when is an interaction pattern removable by re-baselining the carrier?</w:t>
      </w:r>
    </w:p>
    <w:p>
      <w:pPr>
        <w:pStyle w:val="ListParagraph"/>
        <w:numPr>
          <w:ilvl w:val="0"/>
          <w:numId w:val="5"/>
        </w:numPr>
        <w:spacing w:after="80"/>
      </w:pPr>
      <w:r>
        <w:t xml:space="preserve">Characterize the quotient obtained by forgetting </w:t>
      </w:r>
      <w:r>
        <w:rPr>
          <w:rFonts w:ascii="Cambria Math" w:cs="Cambria Math" w:eastAsia="Cambria Math" w:hAnsi="Cambria Math"/>
        </w:rPr>
        <w:t xml:space="preserve">R</w:t>
      </w:r>
      <w:r>
        <w:t xml:space="preserve">, </w:t>
      </w:r>
      <w:r>
        <w:rPr>
          <w:rFonts w:ascii="Cambria Math" w:cs="Cambria Math" w:eastAsia="Cambria Math" w:hAnsi="Cambria Math"/>
        </w:rPr>
        <w:t xml:space="preserve">S</w:t>
      </w:r>
      <w:r>
        <w:t xml:space="preserve">, </w:t>
      </w:r>
      <w:r>
        <w:rPr>
          <w:rFonts w:ascii="Cambria Math" w:cs="Cambria Math" w:eastAsia="Cambria Math" w:hAnsi="Cambria Math"/>
        </w:rPr>
        <w:t xml:space="preserve">E</w:t>
      </w:r>
      <w:r>
        <w:t xml:space="preserve">, and </w:t>
      </w:r>
      <w:r>
        <w:rPr>
          <w:rFonts w:ascii="Cambria Math" w:cs="Cambria Math" w:eastAsia="Cambria Math" w:hAnsi="Cambria Math"/>
        </w:rPr>
        <w:t xml:space="preserve">Φ</w:t>
      </w:r>
      <w:r>
        <w:t xml:space="preserve">, and describe it categorically.</w:t>
      </w:r>
    </w:p>
    <w:p>
      <w:pPr>
        <w:pStyle w:val="ListParagraph"/>
        <w:numPr>
          <w:ilvl w:val="0"/>
          <w:numId w:val="5"/>
        </w:numPr>
        <w:spacing w:after="80"/>
      </w:pPr>
      <w:r>
        <w:t xml:space="preserve">Prove conditions under which sequential composition is order dependent or path independent.</w:t>
      </w:r>
    </w:p>
    <w:p>
      <w:pPr>
        <w:pStyle w:val="Heading2"/>
      </w:pPr>
      <w:r>
        <w:t xml:space="preserve">13.2  Information and sufficiency</w:t>
      </w:r>
    </w:p>
    <w:p>
      <w:pPr>
        <w:pStyle w:val="ListParagraph"/>
        <w:numPr>
          <w:ilvl w:val="0"/>
          <w:numId w:val="5"/>
        </w:numPr>
        <w:spacing w:after="80"/>
      </w:pPr>
      <w:r>
        <w:t xml:space="preserve">Extend Theorem 1 to targets that are only approximately compositional, and to structure-dependent residuals where </w:t>
      </w:r>
      <w:r>
        <w:rPr>
          <w:rFonts w:ascii="Cambria Math" w:cs="Cambria Math" w:eastAsia="Cambria Math" w:hAnsi="Cambria Math"/>
        </w:rPr>
        <w:t xml:space="preserve">Q_Z</w:t>
      </w:r>
      <w:r>
        <w:t xml:space="preserve"> is not a function of the part scalars.</w:t>
      </w:r>
    </w:p>
    <w:p>
      <w:pPr>
        <w:pStyle w:val="ListParagraph"/>
        <w:numPr>
          <w:ilvl w:val="0"/>
          <w:numId w:val="5"/>
        </w:numPr>
        <w:spacing w:after="80"/>
      </w:pPr>
      <w:r>
        <w:t xml:space="preserve">Develop estimators and confidence bounds for </w:t>
      </w:r>
      <w:r>
        <w:rPr>
          <w:rFonts w:ascii="Cambria Math" w:cs="Cambria Math" w:eastAsia="Cambria Math" w:hAnsi="Cambria Math"/>
        </w:rPr>
        <w:t xml:space="preserve">Δ_t</w:t>
      </w:r>
      <w:r>
        <w:t xml:space="preserve"> from finite samples.</w:t>
      </w:r>
    </w:p>
    <w:p>
      <w:pPr>
        <w:pStyle w:val="ListParagraph"/>
        <w:numPr>
          <w:ilvl w:val="0"/>
          <w:numId w:val="5"/>
        </w:numPr>
        <w:spacing w:after="80"/>
      </w:pPr>
      <w:r>
        <w:t xml:space="preserve">Relate minimal sufficient records to minimal sufficient statistics and to information bottleneck methods.</w:t>
      </w:r>
    </w:p>
    <w:p>
      <w:pPr>
        <w:pStyle w:val="Heading2"/>
      </w:pPr>
      <w:r>
        <w:t xml:space="preserve">13.3  Number-theoretic application</w:t>
      </w:r>
    </w:p>
    <w:p>
      <w:pPr>
        <w:pStyle w:val="ListParagraph"/>
        <w:numPr>
          <w:ilvl w:val="0"/>
          <w:numId w:val="5"/>
        </w:numPr>
        <w:spacing w:after="80"/>
      </w:pPr>
      <w:r>
        <w:t xml:space="preserve">Represent residue restrictions with explicit lineage and dependence relations.</w:t>
      </w:r>
    </w:p>
    <w:p>
      <w:pPr>
        <w:pStyle w:val="ListParagraph"/>
        <w:numPr>
          <w:ilvl w:val="0"/>
          <w:numId w:val="5"/>
        </w:numPr>
        <w:spacing w:after="80"/>
      </w:pPr>
      <w:r>
        <w:t xml:space="preserve">Use the False-Addition Firewall to prevent repeated valuation information from being counted as independent.</w:t>
      </w:r>
    </w:p>
    <w:p>
      <w:pPr>
        <w:pStyle w:val="ListParagraph"/>
        <w:numPr>
          <w:ilvl w:val="0"/>
          <w:numId w:val="5"/>
        </w:numPr>
        <w:spacing w:after="80"/>
      </w:pPr>
      <w:r>
        <w:t xml:space="preserve">Construct finite examples in which modulus size hides different coverage structures, and compute their deficits.</w:t>
      </w:r>
    </w:p>
    <w:p>
      <w:pPr>
        <w:pStyle w:val="ListParagraph"/>
        <w:numPr>
          <w:ilvl w:val="0"/>
          <w:numId w:val="5"/>
        </w:numPr>
        <w:spacing w:after="80"/>
      </w:pPr>
      <w:r>
        <w:t xml:space="preserve">Test whether the structured representation yields new verified lemmas rather than improved bookkeeping alone.</w:t>
      </w:r>
    </w:p>
    <w:p>
      <w:pPr>
        <w:pStyle w:val="Heading2"/>
      </w:pPr>
      <w:r>
        <w:t xml:space="preserve">13.4  Computational implementation</w:t>
      </w:r>
    </w:p>
    <w:p>
      <w:pPr>
        <w:pStyle w:val="ListParagraph"/>
        <w:numPr>
          <w:ilvl w:val="0"/>
          <w:numId w:val="5"/>
        </w:numPr>
        <w:spacing w:after="80"/>
      </w:pPr>
      <w:r>
        <w:t xml:space="preserve">Build a typed reference implementation with immutable component identifiers.</w:t>
      </w:r>
    </w:p>
    <w:p>
      <w:pPr>
        <w:pStyle w:val="ListParagraph"/>
        <w:numPr>
          <w:ilvl w:val="0"/>
          <w:numId w:val="5"/>
        </w:numPr>
        <w:spacing w:after="80"/>
      </w:pPr>
      <w:r>
        <w:t xml:space="preserve">Require every composition to declare operator, assumptions, admissibility, and target projection.</w:t>
      </w:r>
    </w:p>
    <w:p>
      <w:pPr>
        <w:pStyle w:val="ListParagraph"/>
        <w:numPr>
          <w:ilvl w:val="0"/>
          <w:numId w:val="5"/>
        </w:numPr>
        <w:spacing w:after="80"/>
      </w:pPr>
      <w:r>
        <w:t xml:space="preserve">Generate sufficiency certificates, counterexample witnesses, and deficit estimates automatically.</w:t>
      </w:r>
    </w:p>
    <w:p>
      <w:pPr>
        <w:pStyle w:val="ListParagraph"/>
        <w:numPr>
          <w:ilvl w:val="0"/>
          <w:numId w:val="5"/>
        </w:numPr>
        <w:spacing w:after="80"/>
      </w:pPr>
      <w:r>
        <w:t xml:space="preserve">Maintain reproducible tests distinguishing count equality from functional equivalence.</w:t>
      </w:r>
    </w:p>
    <w:p>
      <w:pPr>
        <w:pStyle w:val="Heading2"/>
      </w:pPr>
      <w:r>
        <w:t xml:space="preserve">13.5  Independent review</w:t>
      </w:r>
    </w:p>
    <w:p>
      <w:pPr>
        <w:spacing w:after="140" w:line="276"/>
        <w:jc w:val="both"/>
      </w:pPr>
      <w:r>
        <w:t xml:space="preserve">The framework should be reviewed separately by specialists in algebra, number theory, category theory, probability and statistics, systems engineering, and causal inference. Reviewers should be asked precise questions: which definitions reproduce known constructions, which are ill posed, which distinctions are useful, and which propositions could become nontrivial theorems. Agreement should not be requested in advance.</w:t>
      </w:r>
    </w:p>
    <w:p>
      <w:pPr>
        <w:pStyle w:val="Heading1"/>
      </w:pPr>
      <w:r>
        <w:t xml:space="preserve">14  Limitations</w:t>
      </w:r>
    </w:p>
    <w:p>
      <w:pPr>
        <w:spacing w:after="140" w:line="276"/>
        <w:jc w:val="both"/>
      </w:pPr>
      <w:r>
        <w:t xml:space="preserve">BFCL is a proposed formalization, not a completed field. Its definitions are broad and may need domain-specific restriction. Interaction residuals depend on the chosen projection and baseline. Scalar deficits depend on the chosen distribution over systems, so a deficit is a property of a domain and a modelling choice, not of a system alone. Functional outputs depend on declared environments and targets. A rich representation can be needlessly expensive when a scalar is sufficient, which is why the framework pairs a retention rule with a reduction rule.</w:t>
      </w:r>
    </w:p>
    <w:p>
      <w:pPr>
        <w:spacing w:after="140" w:line="276"/>
        <w:jc w:val="both"/>
      </w:pPr>
      <w:r>
        <w:t xml:space="preserve">The propositions proved here are elementary, and several are known results placed in a new frame; their value lies in organization and checkability, not depth. No originality claim follows from internal coherence. No physical causation follows from an interaction residual alone. No empirical success follows from a worked analogy. No universal result follows from finitely many examples. These are permanent boundaries, not rhetorical cautions.</w:t>
      </w:r>
    </w:p>
    <w:p>
      <w:pPr>
        <w:pStyle w:val="Heading1"/>
      </w:pPr>
      <w:r>
        <w:t xml:space="preserve">15  Conclusion</w:t>
      </w:r>
    </w:p>
    <w:p>
      <w:pPr>
        <w:spacing w:after="140" w:line="276"/>
        <w:jc w:val="both"/>
      </w:pPr>
      <w:r>
        <w:t xml:space="preserve">One wheel plus one wheel equals two wheels when the task is counting wheels. The same two wheels can also form one coupled support configuration and participate in a vehicle state that neither isolated wheel describes. The count is correct; it is not the whole system.</w:t>
      </w:r>
    </w:p>
    <w:p>
      <w:pPr>
        <w:spacing w:after="140" w:line="276"/>
        <w:jc w:val="both"/>
      </w:pPr>
      <w:r>
        <w:t xml:space="preserve">BFCL formalizes that distinction and makes it testable. A scalar is sufficient exactly when the target factors through it; when it does not, a single witness proves it, the scalar deficit measures the loss, and the minimal sufficient record says what to keep. Interaction obeys algebra of its own, from the cocycle identity to the Möbius expansion that contains inclusion–exclusion. The analytical question changes from “What does the sum equal?” to “Which operation answers the target question, what does it preserve, and what is lost if the result is reduced to a scalar?” That change requires no departure from arithmetic. Its value will be established only if independently checked proofs and reproducible applications show that the retained structure yields results that scalar treatment misses or obscures.</w:t>
      </w:r>
    </w:p>
    <w:p>
      <w:r>
        <w:br w:type="page"/>
      </w:r>
    </w:p>
    <w:p>
      <w:pPr>
        <w:pStyle w:val="Heading1"/>
      </w:pPr>
      <w:r>
        <w:t xml:space="preserve">Appendix A  Compact Definition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rPr>
          <w:tblHeader/>
        </w:trPr>
        <w:tc>
          <w:tcPr>
            <w:tcW w:type="dxa" w:w="2995"/>
            <w:tcBorders>
              <w:top w:val="single" w:color="C9CFDB" w:sz="4"/>
              <w:left w:val="single" w:color="C9CFDB" w:sz="4"/>
              <w:bottom w:val="single" w:color="C9CFDB" w:sz="4"/>
              <w:right w:val="single" w:color="C9CFDB" w:sz="4"/>
            </w:tcBorders>
            <w:shd w:fill="1F3864" w:color="auto" w:val="clear"/>
            <w:tcMar>
              <w:top w:type="dxa" w:w="60"/>
              <w:left w:type="dxa" w:w="100"/>
              <w:bottom w:type="dxa" w:w="60"/>
              <w:right w:type="dxa" w:w="100"/>
            </w:tcMar>
          </w:tcPr>
          <w:p>
            <w:r>
              <w:rPr>
                <w:b/>
                <w:bCs/>
                <w:color w:val="FFFFFF"/>
                <w:sz w:val="19"/>
                <w:szCs w:val="19"/>
              </w:rPr>
              <w:t xml:space="preserve">Item</w:t>
            </w:r>
          </w:p>
        </w:tc>
        <w:tc>
          <w:tcPr>
            <w:tcW w:type="dxa" w:w="6365"/>
            <w:tcBorders>
              <w:top w:val="single" w:color="C9CFDB" w:sz="4"/>
              <w:left w:val="single" w:color="C9CFDB" w:sz="4"/>
              <w:bottom w:val="single" w:color="C9CFDB" w:sz="4"/>
              <w:right w:val="single" w:color="C9CFDB" w:sz="4"/>
            </w:tcBorders>
            <w:shd w:fill="1F3864" w:color="auto" w:val="clear"/>
            <w:tcMar>
              <w:top w:type="dxa" w:w="60"/>
              <w:left w:type="dxa" w:w="100"/>
              <w:bottom w:type="dxa" w:w="60"/>
              <w:right w:type="dxa" w:w="100"/>
            </w:tcMar>
          </w:tcPr>
          <w:p>
            <w:r>
              <w:rPr>
                <w:b/>
                <w:bCs/>
                <w:color w:val="FFFFFF"/>
                <w:sz w:val="19"/>
                <w:szCs w:val="19"/>
              </w:rPr>
              <w:t xml:space="preserve">Definition</w:t>
            </w:r>
          </w:p>
        </w:tc>
      </w:tr>
      <w:tr>
        <w:tc>
          <w:tcPr>
            <w:tcW w:type="dxa" w:w="2995"/>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Burd object</w:t>
            </w:r>
          </w:p>
        </w:tc>
        <w:tc>
          <w:tcPr>
            <w:tcW w:type="dxa" w:w="6365"/>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rFonts w:ascii="Cambria Math" w:cs="Cambria Math" w:eastAsia="Cambria Math" w:hAnsi="Cambria Math"/>
                <w:sz w:val="19"/>
                <w:szCs w:val="19"/>
              </w:rPr>
              <w:t xml:space="preserve">X = (Q, C, R, S, E, Φ)</w:t>
            </w:r>
          </w:p>
        </w:tc>
      </w:tr>
      <w:tr>
        <w:tc>
          <w:tcPr>
            <w:tcW w:type="dxa" w:w="2995"/>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Domain</w:t>
            </w:r>
          </w:p>
        </w:tc>
        <w:tc>
          <w:tcPr>
            <w:tcW w:type="dxa" w:w="6365"/>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Set </w:t>
            </w:r>
            <w:r>
              <w:rPr>
                <w:rFonts w:ascii="Cambria Math" w:cs="Cambria Math" w:eastAsia="Cambria Math" w:hAnsi="Cambria Math"/>
                <w:sz w:val="19"/>
                <w:szCs w:val="19"/>
              </w:rPr>
              <w:t xml:space="preserve">𝔅</w:t>
            </w:r>
            <w:r>
              <w:rPr>
                <w:sz w:val="19"/>
                <w:szCs w:val="19"/>
              </w:rPr>
              <w:t xml:space="preserve"> of Burd objects with admissibility predicate </w:t>
            </w:r>
            <w:r>
              <w:rPr>
                <w:rFonts w:ascii="Cambria Math" w:cs="Cambria Math" w:eastAsia="Cambria Math" w:hAnsi="Cambria Math"/>
                <w:sz w:val="19"/>
                <w:szCs w:val="19"/>
              </w:rPr>
              <w:t xml:space="preserve">adm</w:t>
            </w:r>
          </w:p>
        </w:tc>
      </w:tr>
      <w:tr>
        <w:tc>
          <w:tcPr>
            <w:tcW w:type="dxa" w:w="2995"/>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Composition</w:t>
            </w:r>
          </w:p>
        </w:tc>
        <w:tc>
          <w:tcPr>
            <w:tcW w:type="dxa" w:w="6365"/>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rFonts w:ascii="Cambria Math" w:cs="Cambria Math" w:eastAsia="Cambria Math" w:hAnsi="Cambria Math"/>
                <w:sz w:val="19"/>
                <w:szCs w:val="19"/>
              </w:rPr>
              <w:t xml:space="preserve">X ⋆ₖ Y = Z</w:t>
            </w:r>
            <w:r>
              <w:rPr>
                <w:sz w:val="19"/>
                <w:szCs w:val="19"/>
              </w:rPr>
              <w:t xml:space="preserve"> for compatible objects and declared coupling </w:t>
            </w:r>
            <w:r>
              <w:rPr>
                <w:rFonts w:ascii="Cambria Math" w:cs="Cambria Math" w:eastAsia="Cambria Math" w:hAnsi="Cambria Math"/>
                <w:sz w:val="19"/>
                <w:szCs w:val="19"/>
              </w:rPr>
              <w:t xml:space="preserve">k</w:t>
            </w:r>
          </w:p>
        </w:tc>
      </w:tr>
      <w:tr>
        <w:tc>
          <w:tcPr>
            <w:tcW w:type="dxa" w:w="2995"/>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Quantity projection</w:t>
            </w:r>
          </w:p>
        </w:tc>
        <w:tc>
          <w:tcPr>
            <w:tcW w:type="dxa" w:w="6365"/>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rFonts w:ascii="Cambria Math" w:cs="Cambria Math" w:eastAsia="Cambria Math" w:hAnsi="Cambria Math"/>
                <w:sz w:val="19"/>
                <w:szCs w:val="19"/>
              </w:rPr>
              <w:t xml:space="preserve">π_Q(X) = Q_X</w:t>
            </w:r>
          </w:p>
        </w:tc>
      </w:tr>
      <w:tr>
        <w:tc>
          <w:tcPr>
            <w:tcW w:type="dxa" w:w="2995"/>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Functional projection</w:t>
            </w:r>
          </w:p>
        </w:tc>
        <w:tc>
          <w:tcPr>
            <w:tcW w:type="dxa" w:w="6365"/>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rFonts w:ascii="Cambria Math" w:cs="Cambria Math" w:eastAsia="Cambria Math" w:hAnsi="Cambria Math"/>
                <w:sz w:val="19"/>
                <w:szCs w:val="19"/>
              </w:rPr>
              <w:t xml:space="preserve">π_F(X; t)</w:t>
            </w:r>
            <w:r>
              <w:rPr>
                <w:sz w:val="19"/>
                <w:szCs w:val="19"/>
              </w:rPr>
              <w:t xml:space="preserve"> answers declared target </w:t>
            </w:r>
            <w:r>
              <w:rPr>
                <w:rFonts w:ascii="Cambria Math" w:cs="Cambria Math" w:eastAsia="Cambria Math" w:hAnsi="Cambria Math"/>
                <w:sz w:val="19"/>
                <w:szCs w:val="19"/>
              </w:rPr>
              <w:t xml:space="preserve">t</w:t>
            </w:r>
          </w:p>
        </w:tc>
      </w:tr>
      <w:tr>
        <w:tc>
          <w:tcPr>
            <w:tcW w:type="dxa" w:w="2995"/>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Interaction residual</w:t>
            </w:r>
          </w:p>
        </w:tc>
        <w:tc>
          <w:tcPr>
            <w:tcW w:type="dxa" w:w="6365"/>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rFonts w:ascii="Cambria Math" w:cs="Cambria Math" w:eastAsia="Cambria Math" w:hAnsi="Cambria Math"/>
                <w:sz w:val="19"/>
                <w:szCs w:val="19"/>
              </w:rPr>
              <w:t xml:space="preserve">Iₖ(X, Y) = π_Q(X ⋆ₖ Y) − π_Q(X) − π_Q(Y)</w:t>
            </w:r>
          </w:p>
        </w:tc>
      </w:tr>
      <w:tr>
        <w:tc>
          <w:tcPr>
            <w:tcW w:type="dxa" w:w="2995"/>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Scalar sufficiency</w:t>
            </w:r>
          </w:p>
        </w:tc>
        <w:tc>
          <w:tcPr>
            <w:tcW w:type="dxa" w:w="6365"/>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rFonts w:ascii="Cambria Math" w:cs="Cambria Math" w:eastAsia="Cambria Math" w:hAnsi="Cambria Math"/>
                <w:sz w:val="19"/>
                <w:szCs w:val="19"/>
              </w:rPr>
              <w:t xml:space="preserve">π_F(·; t) = g ∘ π_Q</w:t>
            </w:r>
            <w:r>
              <w:rPr>
                <w:sz w:val="19"/>
                <w:szCs w:val="19"/>
              </w:rPr>
              <w:t xml:space="preserve">, equivalently </w:t>
            </w:r>
            <w:r>
              <w:rPr>
                <w:rFonts w:ascii="Cambria Math" w:cs="Cambria Math" w:eastAsia="Cambria Math" w:hAnsi="Cambria Math"/>
                <w:sz w:val="19"/>
                <w:szCs w:val="19"/>
              </w:rPr>
              <w:t xml:space="preserve">ker π_Q ⊆ ker π_F(·; t)</w:t>
            </w:r>
          </w:p>
        </w:tc>
      </w:tr>
      <w:tr>
        <w:tc>
          <w:tcPr>
            <w:tcW w:type="dxa" w:w="2995"/>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Counterexample witness</w:t>
            </w:r>
          </w:p>
        </w:tc>
        <w:tc>
          <w:tcPr>
            <w:tcW w:type="dxa" w:w="6365"/>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Admissible </w:t>
            </w:r>
            <w:r>
              <w:rPr>
                <w:rFonts w:ascii="Cambria Math" w:cs="Cambria Math" w:eastAsia="Cambria Math" w:hAnsi="Cambria Math"/>
                <w:sz w:val="19"/>
                <w:szCs w:val="19"/>
              </w:rPr>
              <w:t xml:space="preserve">X, Y</w:t>
            </w:r>
            <w:r>
              <w:rPr>
                <w:sz w:val="19"/>
                <w:szCs w:val="19"/>
              </w:rPr>
              <w:t xml:space="preserve"> with equal </w:t>
            </w:r>
            <w:r>
              <w:rPr>
                <w:rFonts w:ascii="Cambria Math" w:cs="Cambria Math" w:eastAsia="Cambria Math" w:hAnsi="Cambria Math"/>
                <w:sz w:val="19"/>
                <w:szCs w:val="19"/>
              </w:rPr>
              <w:t xml:space="preserve">π_Q</w:t>
            </w:r>
            <w:r>
              <w:rPr>
                <w:sz w:val="19"/>
                <w:szCs w:val="19"/>
              </w:rPr>
              <w:t xml:space="preserve"> and unequal </w:t>
            </w:r>
            <w:r>
              <w:rPr>
                <w:rFonts w:ascii="Cambria Math" w:cs="Cambria Math" w:eastAsia="Cambria Math" w:hAnsi="Cambria Math"/>
                <w:sz w:val="19"/>
                <w:szCs w:val="19"/>
              </w:rPr>
              <w:t xml:space="preserve">π_F(·; t)</w:t>
            </w:r>
          </w:p>
        </w:tc>
      </w:tr>
      <w:tr>
        <w:tc>
          <w:tcPr>
            <w:tcW w:type="dxa" w:w="2995"/>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Scalar deficit</w:t>
            </w:r>
          </w:p>
        </w:tc>
        <w:tc>
          <w:tcPr>
            <w:tcW w:type="dxa" w:w="6365"/>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rFonts w:ascii="Cambria Math" w:cs="Cambria Math" w:eastAsia="Cambria Math" w:hAnsi="Cambria Math"/>
                <w:sz w:val="19"/>
                <w:szCs w:val="19"/>
              </w:rPr>
              <w:t xml:space="preserve">Δ_t(Q) = H(T | Q)</w:t>
            </w:r>
            <w:r>
              <w:rPr>
                <w:sz w:val="19"/>
                <w:szCs w:val="19"/>
              </w:rPr>
              <w:t xml:space="preserve"> under a declared distribution </w:t>
            </w:r>
            <w:r>
              <w:rPr>
                <w:rFonts w:ascii="Cambria Math" w:cs="Cambria Math" w:eastAsia="Cambria Math" w:hAnsi="Cambria Math"/>
                <w:sz w:val="19"/>
                <w:szCs w:val="19"/>
              </w:rPr>
              <w:t xml:space="preserve">μ</w:t>
            </w:r>
          </w:p>
        </w:tc>
      </w:tr>
      <w:tr>
        <w:tc>
          <w:tcPr>
            <w:tcW w:type="dxa" w:w="2995"/>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Minimal sufficient record</w:t>
            </w:r>
          </w:p>
        </w:tc>
        <w:tc>
          <w:tcPr>
            <w:tcW w:type="dxa" w:w="6365"/>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Smallest field subset </w:t>
            </w:r>
            <w:r>
              <w:rPr>
                <w:rFonts w:ascii="Cambria Math" w:cs="Cambria Math" w:eastAsia="Cambria Math" w:hAnsi="Cambria Math"/>
                <w:sz w:val="19"/>
                <w:szCs w:val="19"/>
              </w:rPr>
              <w:t xml:space="preserve">A</w:t>
            </w:r>
            <w:r>
              <w:rPr>
                <w:sz w:val="19"/>
                <w:szCs w:val="19"/>
              </w:rPr>
              <w:t xml:space="preserve"> with </w:t>
            </w:r>
            <w:r>
              <w:rPr>
                <w:rFonts w:ascii="Cambria Math" w:cs="Cambria Math" w:eastAsia="Cambria Math" w:hAnsi="Cambria Math"/>
                <w:sz w:val="19"/>
                <w:szCs w:val="19"/>
              </w:rPr>
              <w:t xml:space="preserve">H(T | π_A) = 0</w:t>
            </w:r>
          </w:p>
        </w:tc>
      </w:tr>
      <w:tr>
        <w:tc>
          <w:tcPr>
            <w:tcW w:type="dxa" w:w="2995"/>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Aggregation loss</w:t>
            </w:r>
          </w:p>
        </w:tc>
        <w:tc>
          <w:tcPr>
            <w:tcW w:type="dxa" w:w="6365"/>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rFonts w:ascii="Cambria Math" w:cs="Cambria Math" w:eastAsia="Cambria Math" w:hAnsi="Cambria Math"/>
                <w:sz w:val="19"/>
                <w:szCs w:val="19"/>
              </w:rPr>
              <w:t xml:space="preserve">L = H(Q_X, Q_Y | Q_Z)</w:t>
            </w:r>
          </w:p>
        </w:tc>
      </w:tr>
      <w:tr>
        <w:tc>
          <w:tcPr>
            <w:tcW w:type="dxa" w:w="2995"/>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Deficit composition</w:t>
            </w:r>
          </w:p>
        </w:tc>
        <w:tc>
          <w:tcPr>
            <w:tcW w:type="dxa" w:w="6365"/>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rFonts w:ascii="Cambria Math" w:cs="Cambria Math" w:eastAsia="Cambria Math" w:hAnsi="Cambria Math"/>
                <w:sz w:val="19"/>
                <w:szCs w:val="19"/>
              </w:rPr>
              <w:t xml:space="preserve">Δ_Z ≤ Δ_X + Δ_Y + L</w:t>
            </w:r>
            <w:r>
              <w:rPr>
                <w:sz w:val="19"/>
                <w:szCs w:val="19"/>
              </w:rPr>
              <w:t xml:space="preserve"> (Theorem 1)</w:t>
            </w:r>
          </w:p>
        </w:tc>
      </w:tr>
      <w:tr>
        <w:tc>
          <w:tcPr>
            <w:tcW w:type="dxa" w:w="2995"/>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Interaction function</w:t>
            </w:r>
          </w:p>
        </w:tc>
        <w:tc>
          <w:tcPr>
            <w:tcW w:type="dxa" w:w="6365"/>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rFonts w:ascii="Cambria Math" w:cs="Cambria Math" w:eastAsia="Cambria Math" w:hAnsi="Cambria Math"/>
                <w:sz w:val="19"/>
                <w:szCs w:val="19"/>
              </w:rPr>
              <w:t xml:space="preserve">m(A) = Σ_{B⊆A} (−1)^{|A∖B|} v(B)</w:t>
            </w:r>
          </w:p>
        </w:tc>
      </w:tr>
      <w:tr>
        <w:tc>
          <w:tcPr>
            <w:tcW w:type="dxa" w:w="2995"/>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Reduction certificate</w:t>
            </w:r>
          </w:p>
        </w:tc>
        <w:tc>
          <w:tcPr>
            <w:tcW w:type="dxa" w:w="6365"/>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Domain, target, reduction, factoring map, evidence, reproduction</w:t>
            </w:r>
          </w:p>
        </w:tc>
      </w:tr>
    </w:tbl>
    <w:p>
      <w:pPr>
        <w:spacing w:after="120"/>
      </w:pPr>
    </w:p>
    <w:p>
      <w:pPr>
        <w:pStyle w:val="Heading1"/>
      </w:pPr>
      <w:r>
        <w:t xml:space="preserve">Appendix B  Claim Ledger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685"/>
        <w:gridCol w:w="2995"/>
      </w:tblGrid>
      <w:tr>
        <w:trPr>
          <w:tblHeader/>
        </w:trPr>
        <w:tc>
          <w:tcPr>
            <w:tcW w:type="dxa" w:w="4680"/>
            <w:tcBorders>
              <w:top w:val="single" w:color="C9CFDB" w:sz="4"/>
              <w:left w:val="single" w:color="C9CFDB" w:sz="4"/>
              <w:bottom w:val="single" w:color="C9CFDB" w:sz="4"/>
              <w:right w:val="single" w:color="C9CFDB" w:sz="4"/>
            </w:tcBorders>
            <w:shd w:fill="1F3864" w:color="auto" w:val="clear"/>
            <w:tcMar>
              <w:top w:type="dxa" w:w="60"/>
              <w:left w:type="dxa" w:w="100"/>
              <w:bottom w:type="dxa" w:w="60"/>
              <w:right w:type="dxa" w:w="100"/>
            </w:tcMar>
          </w:tcPr>
          <w:p>
            <w:r>
              <w:rPr>
                <w:b/>
                <w:bCs/>
                <w:color w:val="FFFFFF"/>
                <w:sz w:val="19"/>
                <w:szCs w:val="19"/>
              </w:rPr>
              <w:t xml:space="preserve">Claim</w:t>
            </w:r>
          </w:p>
        </w:tc>
        <w:tc>
          <w:tcPr>
            <w:tcW w:type="dxa" w:w="1685"/>
            <w:tcBorders>
              <w:top w:val="single" w:color="C9CFDB" w:sz="4"/>
              <w:left w:val="single" w:color="C9CFDB" w:sz="4"/>
              <w:bottom w:val="single" w:color="C9CFDB" w:sz="4"/>
              <w:right w:val="single" w:color="C9CFDB" w:sz="4"/>
            </w:tcBorders>
            <w:shd w:fill="1F3864" w:color="auto" w:val="clear"/>
            <w:tcMar>
              <w:top w:type="dxa" w:w="60"/>
              <w:left w:type="dxa" w:w="100"/>
              <w:bottom w:type="dxa" w:w="60"/>
              <w:right w:type="dxa" w:w="100"/>
            </w:tcMar>
          </w:tcPr>
          <w:p>
            <w:r>
              <w:rPr>
                <w:b/>
                <w:bCs/>
                <w:color w:val="FFFFFF"/>
                <w:sz w:val="19"/>
                <w:szCs w:val="19"/>
              </w:rPr>
              <w:t xml:space="preserve">Status</w:t>
            </w:r>
          </w:p>
        </w:tc>
        <w:tc>
          <w:tcPr>
            <w:tcW w:type="dxa" w:w="2995"/>
            <w:tcBorders>
              <w:top w:val="single" w:color="C9CFDB" w:sz="4"/>
              <w:left w:val="single" w:color="C9CFDB" w:sz="4"/>
              <w:bottom w:val="single" w:color="C9CFDB" w:sz="4"/>
              <w:right w:val="single" w:color="C9CFDB" w:sz="4"/>
            </w:tcBorders>
            <w:shd w:fill="1F3864" w:color="auto" w:val="clear"/>
            <w:tcMar>
              <w:top w:type="dxa" w:w="60"/>
              <w:left w:type="dxa" w:w="100"/>
              <w:bottom w:type="dxa" w:w="60"/>
              <w:right w:type="dxa" w:w="100"/>
            </w:tcMar>
          </w:tcPr>
          <w:p>
            <w:r>
              <w:rPr>
                <w:b/>
                <w:bCs/>
                <w:color w:val="FFFFFF"/>
                <w:sz w:val="19"/>
                <w:szCs w:val="19"/>
              </w:rPr>
              <w:t xml:space="preserve">Basis</w:t>
            </w:r>
          </w:p>
        </w:tc>
      </w:tr>
      <w:tr>
        <w:tc>
          <w:tcPr>
            <w:tcW w:type="dxa" w:w="4680"/>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1 + 1 = 2 in integer arithmetic</w:t>
            </w:r>
          </w:p>
        </w:tc>
        <w:tc>
          <w:tcPr>
            <w:tcW w:type="dxa" w:w="1685"/>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Proved</w:t>
            </w:r>
          </w:p>
        </w:tc>
        <w:tc>
          <w:tcPr>
            <w:tcW w:type="dxa" w:w="2995"/>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Standard arithmetic</w:t>
            </w:r>
          </w:p>
        </w:tc>
      </w:tr>
      <w:tr>
        <w:tc>
          <w:tcPr>
            <w:tcW w:type="dxa" w:w="4680"/>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Equal counts can represent different structures</w:t>
            </w:r>
          </w:p>
        </w:tc>
        <w:tc>
          <w:tcPr>
            <w:tcW w:type="dxa" w:w="1685"/>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Proved</w:t>
            </w:r>
          </w:p>
        </w:tc>
        <w:tc>
          <w:tcPr>
            <w:tcW w:type="dxa" w:w="2995"/>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Proposition 1</w:t>
            </w:r>
          </w:p>
        </w:tc>
      </w:tr>
      <w:tr>
        <w:tc>
          <w:tcPr>
            <w:tcW w:type="dxa" w:w="4680"/>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A scalar is sufficient exactly when the target factors through it</w:t>
            </w:r>
          </w:p>
        </w:tc>
        <w:tc>
          <w:tcPr>
            <w:tcW w:type="dxa" w:w="1685"/>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Proved</w:t>
            </w:r>
          </w:p>
        </w:tc>
        <w:tc>
          <w:tcPr>
            <w:tcW w:type="dxa" w:w="2995"/>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Proposition 2</w:t>
            </w:r>
          </w:p>
        </w:tc>
      </w:tr>
      <w:tr>
        <w:tc>
          <w:tcPr>
            <w:tcW w:type="dxa" w:w="4680"/>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Zero scalar deficit is equivalent to sufficiency on a finite full-support domain</w:t>
            </w:r>
          </w:p>
        </w:tc>
        <w:tc>
          <w:tcPr>
            <w:tcW w:type="dxa" w:w="1685"/>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Proved</w:t>
            </w:r>
          </w:p>
        </w:tc>
        <w:tc>
          <w:tcPr>
            <w:tcW w:type="dxa" w:w="2995"/>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Proposition 7</w:t>
            </w:r>
          </w:p>
        </w:tc>
      </w:tr>
      <w:tr>
        <w:tc>
          <w:tcPr>
            <w:tcW w:type="dxa" w:w="4680"/>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Residuals of associative compositions satisfy a 2-cocycle identity</w:t>
            </w:r>
          </w:p>
        </w:tc>
        <w:tc>
          <w:tcPr>
            <w:tcW w:type="dxa" w:w="1685"/>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Proved</w:t>
            </w:r>
          </w:p>
        </w:tc>
        <w:tc>
          <w:tcPr>
            <w:tcW w:type="dxa" w:w="2995"/>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Proposition 4</w:t>
            </w:r>
          </w:p>
        </w:tc>
      </w:tr>
      <w:tr>
        <w:tc>
          <w:tcPr>
            <w:tcW w:type="dxa" w:w="4680"/>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Pairwise and higher interactions arise from Möbius inversion; inclusion–exclusion is a special case</w:t>
            </w:r>
          </w:p>
        </w:tc>
        <w:tc>
          <w:tcPr>
            <w:tcW w:type="dxa" w:w="1685"/>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Proved</w:t>
            </w:r>
          </w:p>
        </w:tc>
        <w:tc>
          <w:tcPr>
            <w:tcW w:type="dxa" w:w="2995"/>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Proposition 9; Rota (1964)</w:t>
            </w:r>
          </w:p>
        </w:tc>
      </w:tr>
      <w:tr>
        <w:tc>
          <w:tcPr>
            <w:tcW w:type="dxa" w:w="4680"/>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Nested same-prime constraints combine by max, never by addition</w:t>
            </w:r>
          </w:p>
        </w:tc>
        <w:tc>
          <w:tcPr>
            <w:tcW w:type="dxa" w:w="1685"/>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Proved</w:t>
            </w:r>
          </w:p>
        </w:tc>
        <w:tc>
          <w:tcPr>
            <w:tcW w:type="dxa" w:w="2995"/>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Proposition 6</w:t>
            </w:r>
          </w:p>
        </w:tc>
      </w:tr>
      <w:tr>
        <w:tc>
          <w:tcPr>
            <w:tcW w:type="dxa" w:w="4680"/>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Different structures can produce different functions</w:t>
            </w:r>
          </w:p>
        </w:tc>
        <w:tc>
          <w:tcPr>
            <w:tcW w:type="dxa" w:w="1685"/>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Proved for stated witnesses</w:t>
            </w:r>
          </w:p>
        </w:tc>
        <w:tc>
          <w:tcPr>
            <w:tcW w:type="dxa" w:w="2995"/>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Sections 9.3–9.6</w:t>
            </w:r>
          </w:p>
        </w:tc>
      </w:tr>
      <w:tr>
        <w:tc>
          <w:tcPr>
            <w:tcW w:type="dxa" w:w="4680"/>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Scalar deficit of tree inventory for diameter is 0.811 bits</w:t>
            </w:r>
          </w:p>
        </w:tc>
        <w:tc>
          <w:tcPr>
            <w:tcW w:type="dxa" w:w="1685"/>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Proved (exhaustive)</w:t>
            </w:r>
          </w:p>
        </w:tc>
        <w:tc>
          <w:tcPr>
            <w:tcW w:type="dxa" w:w="2995"/>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Section 9.5</w:t>
            </w:r>
          </w:p>
        </w:tc>
      </w:tr>
      <w:tr>
        <w:tc>
          <w:tcPr>
            <w:tcW w:type="dxa" w:w="4680"/>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Under composition, Δ_Z ≤ Δ_X + Δ_Y + L, sharply</w:t>
            </w:r>
          </w:p>
        </w:tc>
        <w:tc>
          <w:tcPr>
            <w:tcW w:type="dxa" w:w="1685"/>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Proved</w:t>
            </w:r>
          </w:p>
        </w:tc>
        <w:tc>
          <w:tcPr>
            <w:tcW w:type="dxa" w:w="2995"/>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Theorem 1; for scalar-determined Q_Z, follows from Geiger–Kubin cascade additivity</w:t>
            </w:r>
          </w:p>
        </w:tc>
      </w:tr>
      <w:tr>
        <w:tc>
          <w:tcPr>
            <w:tcW w:type="dxa" w:w="4680"/>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Scalar deficits are not subadditive</w:t>
            </w:r>
          </w:p>
        </w:tc>
        <w:tc>
          <w:tcPr>
            <w:tcW w:type="dxa" w:w="1685"/>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Proved</w:t>
            </w:r>
          </w:p>
        </w:tc>
        <w:tc>
          <w:tcPr>
            <w:tcW w:type="dxa" w:w="2995"/>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Example (6.6)</w:t>
            </w:r>
          </w:p>
        </w:tc>
      </w:tr>
      <w:tr>
        <w:tc>
          <w:tcPr>
            <w:tcW w:type="dxa" w:w="4680"/>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For n independent fair-bit parts, Δ_N = n − H(Binomial(n, ½))</w:t>
            </w:r>
          </w:p>
        </w:tc>
        <w:tc>
          <w:tcPr>
            <w:tcW w:type="dxa" w:w="1685"/>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Proved</w:t>
            </w:r>
          </w:p>
        </w:tc>
        <w:tc>
          <w:tcPr>
            <w:tcW w:type="dxa" w:w="2995"/>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Corollary 1</w:t>
            </w:r>
          </w:p>
        </w:tc>
      </w:tr>
      <w:tr>
        <w:tc>
          <w:tcPr>
            <w:tcW w:type="dxa" w:w="4680"/>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The scalar deficit is a new quantity</w:t>
            </w:r>
          </w:p>
        </w:tc>
        <w:tc>
          <w:tcPr>
            <w:tcW w:type="dxa" w:w="1685"/>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Refuted</w:t>
            </w:r>
          </w:p>
        </w:tc>
        <w:tc>
          <w:tcPr>
            <w:tcW w:type="dxa" w:w="2995"/>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Equals relevant information loss (Geiger and Kubin, 2012)</w:t>
            </w:r>
          </w:p>
        </w:tc>
      </w:tr>
      <w:tr>
        <w:tc>
          <w:tcPr>
            <w:tcW w:type="dxa" w:w="4680"/>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The framework is mathematically original</w:t>
            </w:r>
          </w:p>
        </w:tc>
        <w:tc>
          <w:tcPr>
            <w:tcW w:type="dxa" w:w="1685"/>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Open</w:t>
            </w:r>
          </w:p>
        </w:tc>
        <w:tc>
          <w:tcPr>
            <w:tcW w:type="dxa" w:w="2995"/>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Requires systematic literature and priority review</w:t>
            </w:r>
          </w:p>
        </w:tc>
      </w:tr>
      <w:tr>
        <w:tc>
          <w:tcPr>
            <w:tcW w:type="dxa" w:w="4680"/>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The framework benefits number theory</w:t>
            </w:r>
          </w:p>
        </w:tc>
        <w:tc>
          <w:tcPr>
            <w:tcW w:type="dxa" w:w="1685"/>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Open</w:t>
            </w:r>
          </w:p>
        </w:tc>
        <w:tc>
          <w:tcPr>
            <w:tcW w:type="dxa" w:w="2995"/>
            <w:tcBorders>
              <w:top w:val="single" w:color="C9CFDB" w:sz="4"/>
              <w:left w:val="single" w:color="C9CFDB" w:sz="4"/>
              <w:bottom w:val="single" w:color="C9CFDB" w:sz="4"/>
              <w:right w:val="single" w:color="C9CFDB" w:sz="4"/>
            </w:tcBorders>
            <w:tcMar>
              <w:top w:type="dxa" w:w="60"/>
              <w:left w:type="dxa" w:w="100"/>
              <w:bottom w:type="dxa" w:w="60"/>
              <w:right w:type="dxa" w:w="100"/>
            </w:tcMar>
          </w:tcPr>
          <w:p>
            <w:r>
              <w:rPr>
                <w:sz w:val="19"/>
                <w:szCs w:val="19"/>
              </w:rPr>
              <w:t xml:space="preserve">Requires a verified nontrivial application</w:t>
            </w:r>
          </w:p>
        </w:tc>
      </w:tr>
      <w:tr>
        <w:tc>
          <w:tcPr>
            <w:tcW w:type="dxa" w:w="4680"/>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The framework changes expert practice</w:t>
            </w:r>
          </w:p>
        </w:tc>
        <w:tc>
          <w:tcPr>
            <w:tcW w:type="dxa" w:w="1685"/>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Open</w:t>
            </w:r>
          </w:p>
        </w:tc>
        <w:tc>
          <w:tcPr>
            <w:tcW w:type="dxa" w:w="2995"/>
            <w:tcBorders>
              <w:top w:val="single" w:color="C9CFDB" w:sz="4"/>
              <w:left w:val="single" w:color="C9CFDB" w:sz="4"/>
              <w:bottom w:val="single" w:color="C9CFDB" w:sz="4"/>
              <w:right w:val="single" w:color="C9CFDB" w:sz="4"/>
            </w:tcBorders>
            <w:shd w:fill="F2F4F8" w:color="auto" w:val="clear"/>
            <w:tcMar>
              <w:top w:type="dxa" w:w="60"/>
              <w:left w:type="dxa" w:w="100"/>
              <w:bottom w:type="dxa" w:w="60"/>
              <w:right w:type="dxa" w:w="100"/>
            </w:tcMar>
          </w:tcPr>
          <w:p>
            <w:r>
              <w:rPr>
                <w:sz w:val="19"/>
                <w:szCs w:val="19"/>
              </w:rPr>
              <w:t xml:space="preserve">Requires adoption and independently observed use</w:t>
            </w:r>
          </w:p>
        </w:tc>
      </w:tr>
    </w:tbl>
    <w:p>
      <w:pPr>
        <w:spacing w:after="120"/>
      </w:pPr>
    </w:p>
    <w:p>
      <w:pPr>
        <w:pStyle w:val="Heading1"/>
      </w:pPr>
      <w:r>
        <w:t xml:space="preserve">Appendix C  Revision Notes</w:t>
      </w:r>
    </w:p>
    <w:p>
      <w:pPr>
        <w:spacing w:after="140" w:line="276"/>
        <w:jc w:val="both"/>
      </w:pPr>
      <w:r>
        <w:rPr>
          <w:b/>
          <w:bCs/>
        </w:rPr>
        <w:t xml:space="preserve">v2.1.0 to v2.2.0.</w:t>
      </w:r>
      <w:r>
        <w:t xml:space="preserve"> Literature check: identified the scalar deficit with Geiger–Kubin relevant information loss, recorded that Theorem 1(a) follows from their cascade additivity when the composite scalar is scalar-determined, cited partial information decomposition, and corrected the claim ledger.</w:t>
      </w:r>
    </w:p>
    <w:p>
      <w:pPr>
        <w:spacing w:after="140" w:line="276"/>
        <w:jc w:val="both"/>
      </w:pPr>
      <w:r>
        <w:rPr>
          <w:b/>
          <w:bCs/>
        </w:rPr>
        <w:t xml:space="preserve">v2.0.0 to v2.1.0.</w:t>
      </w:r>
      <w:r>
        <w:t xml:space="preserve"> Added Section 6.1 and Theorem 1 (deficit composition bounds), the aggregation loss, Corollaries 1 and 2, and corresponding ledger entries. This resolves the subadditivity question listed as open in v2.0.0, negatively.</w:t>
      </w:r>
    </w:p>
    <w:p>
      <w:pPr>
        <w:spacing w:after="140" w:line="276"/>
        <w:jc w:val="both"/>
      </w:pPr>
      <w:r>
        <w:rPr>
          <w:b/>
          <w:bCs/>
        </w:rPr>
        <w:t xml:space="preserve">v1.0.0 to v2.0.0.</w:t>
      </w:r>
    </w:p>
    <w:p>
      <w:pPr>
        <w:pStyle w:val="ListParagraph"/>
        <w:numPr>
          <w:ilvl w:val="0"/>
          <w:numId w:val="5"/>
        </w:numPr>
        <w:spacing w:after="80"/>
      </w:pPr>
      <w:r>
        <w:t xml:space="preserve">Added admissibility predicate and explicit domains (Section 3.2).</w:t>
      </w:r>
    </w:p>
    <w:p>
      <w:pPr>
        <w:pStyle w:val="ListParagraph"/>
        <w:numPr>
          <w:ilvl w:val="0"/>
          <w:numId w:val="5"/>
        </w:numPr>
        <w:spacing w:after="80"/>
      </w:pPr>
      <w:r>
        <w:t xml:space="preserve">Restated scalar sufficiency as kernel inclusion and identified it as the factorization lemma.</w:t>
      </w:r>
    </w:p>
    <w:p>
      <w:pPr>
        <w:pStyle w:val="ListParagraph"/>
        <w:numPr>
          <w:ilvl w:val="0"/>
          <w:numId w:val="5"/>
        </w:numPr>
        <w:spacing w:after="80"/>
      </w:pPr>
      <w:r>
        <w:t xml:space="preserve">New: cocycle identity (Proposition 4), symmetry (Proposition 5), idempotence proof of the False-Addition Firewall (Proposition 6).</w:t>
      </w:r>
    </w:p>
    <w:p>
      <w:pPr>
        <w:pStyle w:val="ListParagraph"/>
        <w:numPr>
          <w:ilvl w:val="0"/>
          <w:numId w:val="5"/>
        </w:numPr>
        <w:spacing w:after="80"/>
      </w:pPr>
      <w:r>
        <w:t xml:space="preserve">New Section 6: scalar deficit, its characterization, monotonicity, and minimal sufficient records.</w:t>
      </w:r>
    </w:p>
    <w:p>
      <w:pPr>
        <w:pStyle w:val="ListParagraph"/>
        <w:numPr>
          <w:ilvl w:val="0"/>
          <w:numId w:val="5"/>
        </w:numPr>
        <w:spacing w:after="80"/>
      </w:pPr>
      <w:r>
        <w:t xml:space="preserve">New Section 7: higher-order interaction by Möbius inversion, with inclusion–exclusion derived.</w:t>
      </w:r>
    </w:p>
    <w:p>
      <w:pPr>
        <w:pStyle w:val="ListParagraph"/>
        <w:numPr>
          <w:ilvl w:val="0"/>
          <w:numId w:val="5"/>
        </w:numPr>
        <w:spacing w:after="80"/>
      </w:pPr>
      <w:r>
        <w:t xml:space="preserve">Every worked example now carries numbers or an explicit witness; Section 9.5 computes a deficit exhaustively.</w:t>
      </w:r>
    </w:p>
    <w:p>
      <w:pPr>
        <w:pStyle w:val="ListParagraph"/>
        <w:numPr>
          <w:ilvl w:val="0"/>
          <w:numId w:val="5"/>
        </w:numPr>
        <w:spacing w:after="80"/>
      </w:pPr>
      <w:r>
        <w:t xml:space="preserve">Added sufficiency-certificate format, expanded literature comparison and references, and an updated claim ledger.</w:t>
      </w:r>
    </w:p>
    <w:p>
      <w:pPr>
        <w:pStyle w:val="Heading1"/>
      </w:pPr>
      <w:r>
        <w:t xml:space="preserve">References</w:t>
      </w:r>
    </w:p>
    <w:p>
      <w:pPr>
        <w:spacing w:after="100"/>
        <w:ind w:left="360" w:hanging="360"/>
      </w:pPr>
      <w:r>
        <w:rPr>
          <w:sz w:val="20"/>
          <w:szCs w:val="20"/>
        </w:rPr>
        <w:t xml:space="preserve">Barlow, R. E., and Proschan, F. (1975). </w:t>
      </w:r>
      <w:r>
        <w:rPr>
          <w:i/>
          <w:iCs/>
          <w:sz w:val="20"/>
          <w:szCs w:val="20"/>
        </w:rPr>
        <w:t xml:space="preserve">Statistical Theory of Reliability and Life Testing: Probability Models.</w:t>
      </w:r>
      <w:r>
        <w:rPr>
          <w:sz w:val="20"/>
          <w:szCs w:val="20"/>
        </w:rPr>
        <w:t xml:space="preserve"> Holt, Rinehart and Winston.</w:t>
      </w:r>
    </w:p>
    <w:p>
      <w:pPr>
        <w:spacing w:after="100"/>
        <w:ind w:left="360" w:hanging="360"/>
      </w:pPr>
      <w:r>
        <w:rPr>
          <w:sz w:val="20"/>
          <w:szCs w:val="20"/>
        </w:rPr>
        <w:t xml:space="preserve">Bergman, G. M. (2015). </w:t>
      </w:r>
      <w:r>
        <w:rPr>
          <w:i/>
          <w:iCs/>
          <w:sz w:val="20"/>
          <w:szCs w:val="20"/>
        </w:rPr>
        <w:t xml:space="preserve">An Invitation to General Algebra and Universal Constructions.</w:t>
      </w:r>
      <w:r>
        <w:rPr>
          <w:sz w:val="20"/>
          <w:szCs w:val="20"/>
        </w:rPr>
        <w:t xml:space="preserve"> Springer. https://doi.org/10.1007/978-3-319-11478-1</w:t>
      </w:r>
    </w:p>
    <w:p>
      <w:pPr>
        <w:spacing w:after="100"/>
        <w:ind w:left="360" w:hanging="360"/>
      </w:pPr>
      <w:r>
        <w:rPr>
          <w:sz w:val="20"/>
          <w:szCs w:val="20"/>
        </w:rPr>
        <w:t xml:space="preserve">Burd, L. (2026). Causal Mathematics. Unpublished field notes.</w:t>
      </w:r>
    </w:p>
    <w:p>
      <w:pPr>
        <w:spacing w:after="100"/>
        <w:ind w:left="360" w:hanging="360"/>
      </w:pPr>
      <w:r>
        <w:rPr>
          <w:sz w:val="20"/>
          <w:szCs w:val="20"/>
        </w:rPr>
        <w:t xml:space="preserve">Burd, L. (2026). Number Theoretic Mathematics. Unpublished field notes.</w:t>
      </w:r>
    </w:p>
    <w:p>
      <w:pPr>
        <w:spacing w:after="100"/>
        <w:ind w:left="360" w:hanging="360"/>
      </w:pPr>
      <w:r>
        <w:rPr>
          <w:sz w:val="20"/>
          <w:szCs w:val="20"/>
        </w:rPr>
        <w:t xml:space="preserve">Burd, L. (2026). Operator Mathematics. Unpublished field notes.</w:t>
      </w:r>
    </w:p>
    <w:p>
      <w:pPr>
        <w:spacing w:after="100"/>
        <w:ind w:left="360" w:hanging="360"/>
      </w:pPr>
      <w:r>
        <w:rPr>
          <w:sz w:val="20"/>
          <w:szCs w:val="20"/>
        </w:rPr>
        <w:t xml:space="preserve">Burd, L. (2026). Synthesis Mathematics. Unpublished field notes.</w:t>
      </w:r>
    </w:p>
    <w:p>
      <w:pPr>
        <w:spacing w:after="100"/>
        <w:ind w:left="360" w:hanging="360"/>
      </w:pPr>
      <w:r>
        <w:rPr>
          <w:sz w:val="20"/>
          <w:szCs w:val="20"/>
        </w:rPr>
        <w:t xml:space="preserve">Cover, T. M., and Thomas, J. A. (2006). </w:t>
      </w:r>
      <w:r>
        <w:rPr>
          <w:i/>
          <w:iCs/>
          <w:sz w:val="20"/>
          <w:szCs w:val="20"/>
        </w:rPr>
        <w:t xml:space="preserve">Elements of Information Theory</w:t>
      </w:r>
      <w:r>
        <w:rPr>
          <w:sz w:val="20"/>
          <w:szCs w:val="20"/>
        </w:rPr>
        <w:t xml:space="preserve">, 2nd ed. Wiley.</w:t>
      </w:r>
    </w:p>
    <w:p>
      <w:pPr>
        <w:spacing w:after="100"/>
        <w:ind w:left="360" w:hanging="360"/>
      </w:pPr>
      <w:r>
        <w:rPr>
          <w:sz w:val="20"/>
          <w:szCs w:val="20"/>
        </w:rPr>
        <w:t xml:space="preserve">Fisher, R. A. (1922). On the mathematical foundations of theoretical statistics. </w:t>
      </w:r>
      <w:r>
        <w:rPr>
          <w:i/>
          <w:iCs/>
          <w:sz w:val="20"/>
          <w:szCs w:val="20"/>
        </w:rPr>
        <w:t xml:space="preserve">Philosophical Transactions of the Royal Society A</w:t>
      </w:r>
      <w:r>
        <w:rPr>
          <w:sz w:val="20"/>
          <w:szCs w:val="20"/>
        </w:rPr>
        <w:t xml:space="preserve">, 222, 309–368.</w:t>
      </w:r>
    </w:p>
    <w:p>
      <w:pPr>
        <w:spacing w:after="100"/>
        <w:ind w:left="360" w:hanging="360"/>
      </w:pPr>
      <w:r>
        <w:rPr>
          <w:sz w:val="20"/>
          <w:szCs w:val="20"/>
        </w:rPr>
        <w:t xml:space="preserve">Fong, B., and Spivak, D. I. (2019). </w:t>
      </w:r>
      <w:r>
        <w:rPr>
          <w:i/>
          <w:iCs/>
          <w:sz w:val="20"/>
          <w:szCs w:val="20"/>
        </w:rPr>
        <w:t xml:space="preserve">An Invitation to Applied Category Theory: Seven Sketches in Compositionality.</w:t>
      </w:r>
      <w:r>
        <w:rPr>
          <w:sz w:val="20"/>
          <w:szCs w:val="20"/>
        </w:rPr>
        <w:t xml:space="preserve"> Cambridge University Press.</w:t>
      </w:r>
    </w:p>
    <w:p>
      <w:pPr>
        <w:spacing w:after="100"/>
        <w:ind w:left="360" w:hanging="360"/>
      </w:pPr>
      <w:r>
        <w:rPr>
          <w:sz w:val="20"/>
          <w:szCs w:val="20"/>
        </w:rPr>
        <w:t xml:space="preserve">Geiger, B. C., and Kubin, G. (2012). Signal enhancement as minimization of relevant information loss. arXiv:1205.6935.</w:t>
      </w:r>
    </w:p>
    <w:p>
      <w:pPr>
        <w:spacing w:after="100"/>
        <w:ind w:left="360" w:hanging="360"/>
      </w:pPr>
      <w:r>
        <w:rPr>
          <w:sz w:val="20"/>
          <w:szCs w:val="20"/>
        </w:rPr>
        <w:t xml:space="preserve">Geiger, B. C., and Kubin, G. (2018). </w:t>
      </w:r>
      <w:r>
        <w:rPr>
          <w:i/>
          <w:iCs/>
          <w:sz w:val="20"/>
          <w:szCs w:val="20"/>
        </w:rPr>
        <w:t xml:space="preserve">Information Loss in Deterministic Signal Processing Systems.</w:t>
      </w:r>
      <w:r>
        <w:rPr>
          <w:sz w:val="20"/>
          <w:szCs w:val="20"/>
        </w:rPr>
        <w:t xml:space="preserve"> Springer.</w:t>
      </w:r>
    </w:p>
    <w:p>
      <w:pPr>
        <w:spacing w:after="100"/>
        <w:ind w:left="360" w:hanging="360"/>
      </w:pPr>
      <w:r>
        <w:rPr>
          <w:sz w:val="20"/>
          <w:szCs w:val="20"/>
        </w:rPr>
        <w:t xml:space="preserve">Grabisch, M. (2016). </w:t>
      </w:r>
      <w:r>
        <w:rPr>
          <w:i/>
          <w:iCs/>
          <w:sz w:val="20"/>
          <w:szCs w:val="20"/>
        </w:rPr>
        <w:t xml:space="preserve">Set Functions, Games and Capacities in Decision Making.</w:t>
      </w:r>
      <w:r>
        <w:rPr>
          <w:sz w:val="20"/>
          <w:szCs w:val="20"/>
        </w:rPr>
        <w:t xml:space="preserve"> Springer.</w:t>
      </w:r>
    </w:p>
    <w:p>
      <w:pPr>
        <w:spacing w:after="100"/>
        <w:ind w:left="360" w:hanging="360"/>
      </w:pPr>
      <w:r>
        <w:rPr>
          <w:sz w:val="20"/>
          <w:szCs w:val="20"/>
        </w:rPr>
        <w:t xml:space="preserve">Harsanyi, J. C. (1963). A simplified bargaining model for the n-person cooperative game. </w:t>
      </w:r>
      <w:r>
        <w:rPr>
          <w:i/>
          <w:iCs/>
          <w:sz w:val="20"/>
          <w:szCs w:val="20"/>
        </w:rPr>
        <w:t xml:space="preserve">International Economic Review</w:t>
      </w:r>
      <w:r>
        <w:rPr>
          <w:sz w:val="20"/>
          <w:szCs w:val="20"/>
        </w:rPr>
        <w:t xml:space="preserve">, 4, 194–220.</w:t>
      </w:r>
    </w:p>
    <w:p>
      <w:pPr>
        <w:spacing w:after="100"/>
        <w:ind w:left="360" w:hanging="360"/>
      </w:pPr>
      <w:r>
        <w:rPr>
          <w:sz w:val="20"/>
          <w:szCs w:val="20"/>
        </w:rPr>
        <w:t xml:space="preserve">Kroemer, R. (2007). </w:t>
      </w:r>
      <w:r>
        <w:rPr>
          <w:i/>
          <w:iCs/>
          <w:sz w:val="20"/>
          <w:szCs w:val="20"/>
        </w:rPr>
        <w:t xml:space="preserve">Tool and Object: A History and Philosophy of Category Theory.</w:t>
      </w:r>
      <w:r>
        <w:rPr>
          <w:sz w:val="20"/>
          <w:szCs w:val="20"/>
        </w:rPr>
        <w:t xml:space="preserve"> Birkhäuser. https://doi.org/10.1007/978-3-7643-7524-9</w:t>
      </w:r>
    </w:p>
    <w:p>
      <w:pPr>
        <w:spacing w:after="100"/>
        <w:ind w:left="360" w:hanging="360"/>
      </w:pPr>
      <w:r>
        <w:rPr>
          <w:sz w:val="20"/>
          <w:szCs w:val="20"/>
        </w:rPr>
        <w:t xml:space="preserve">Mac Lane, S. (1998). </w:t>
      </w:r>
      <w:r>
        <w:rPr>
          <w:i/>
          <w:iCs/>
          <w:sz w:val="20"/>
          <w:szCs w:val="20"/>
        </w:rPr>
        <w:t xml:space="preserve">Categories for the Working Mathematician</w:t>
      </w:r>
      <w:r>
        <w:rPr>
          <w:sz w:val="20"/>
          <w:szCs w:val="20"/>
        </w:rPr>
        <w:t xml:space="preserve">, 2nd ed. Springer.</w:t>
      </w:r>
    </w:p>
    <w:p>
      <w:pPr>
        <w:spacing w:after="100"/>
        <w:ind w:left="360" w:hanging="360"/>
      </w:pPr>
      <w:r>
        <w:rPr>
          <w:sz w:val="20"/>
          <w:szCs w:val="20"/>
        </w:rPr>
        <w:t xml:space="preserve">Meyers, R. A., ed. (2011). </w:t>
      </w:r>
      <w:r>
        <w:rPr>
          <w:i/>
          <w:iCs/>
          <w:sz w:val="20"/>
          <w:szCs w:val="20"/>
        </w:rPr>
        <w:t xml:space="preserve">Mathematics of Complexity and Dynamical Systems.</w:t>
      </w:r>
      <w:r>
        <w:rPr>
          <w:sz w:val="20"/>
          <w:szCs w:val="20"/>
        </w:rPr>
        <w:t xml:space="preserve"> Springer. https://doi.org/10.1007/978-1-4614-1806-1</w:t>
      </w:r>
    </w:p>
    <w:p>
      <w:pPr>
        <w:spacing w:after="100"/>
        <w:ind w:left="360" w:hanging="360"/>
      </w:pPr>
      <w:r>
        <w:rPr>
          <w:sz w:val="20"/>
          <w:szCs w:val="20"/>
        </w:rPr>
        <w:t xml:space="preserve">Rota, G.-C. (1964). On the foundations of combinatorial theory I: Theory of Möbius functions. </w:t>
      </w:r>
      <w:r>
        <w:rPr>
          <w:i/>
          <w:iCs/>
          <w:sz w:val="20"/>
          <w:szCs w:val="20"/>
        </w:rPr>
        <w:t xml:space="preserve">Zeitschrift für Wahrscheinlichkeitstheorie und verwandte Gebiete</w:t>
      </w:r>
      <w:r>
        <w:rPr>
          <w:sz w:val="20"/>
          <w:szCs w:val="20"/>
        </w:rPr>
        <w:t xml:space="preserve">, 2, 340–368.</w:t>
      </w:r>
    </w:p>
    <w:p>
      <w:pPr>
        <w:spacing w:after="100"/>
        <w:ind w:left="360" w:hanging="360"/>
      </w:pPr>
      <w:r>
        <w:rPr>
          <w:sz w:val="20"/>
          <w:szCs w:val="20"/>
        </w:rPr>
        <w:t xml:space="preserve">Shannon, C. E. (1948). A mathematical theory of communication. </w:t>
      </w:r>
      <w:r>
        <w:rPr>
          <w:i/>
          <w:iCs/>
          <w:sz w:val="20"/>
          <w:szCs w:val="20"/>
        </w:rPr>
        <w:t xml:space="preserve">Bell System Technical Journal</w:t>
      </w:r>
      <w:r>
        <w:rPr>
          <w:sz w:val="20"/>
          <w:szCs w:val="20"/>
        </w:rPr>
        <w:t xml:space="preserve">, 27, 379–423 and 623–656.</w:t>
      </w:r>
    </w:p>
    <w:p>
      <w:pPr>
        <w:spacing w:after="100"/>
        <w:ind w:left="360" w:hanging="360"/>
      </w:pPr>
      <w:r>
        <w:rPr>
          <w:sz w:val="20"/>
          <w:szCs w:val="20"/>
        </w:rPr>
        <w:t xml:space="preserve">Williams, P. L., and Beer, R. D. (2010). Nonnegative decomposition of multivariate information. arXiv:1004.2515.</w:t>
      </w:r>
    </w:p>
    <w:p>
      <w:pPr>
        <w:spacing w:after="100"/>
        <w:ind w:left="360" w:hanging="360"/>
      </w:pPr>
      <w:r>
        <w:rPr>
          <w:sz w:val="20"/>
          <w:szCs w:val="20"/>
        </w:rPr>
        <w:t xml:space="preserve">VanderWeele, T. J. (2015). </w:t>
      </w:r>
      <w:r>
        <w:rPr>
          <w:i/>
          <w:iCs/>
          <w:sz w:val="20"/>
          <w:szCs w:val="20"/>
        </w:rPr>
        <w:t xml:space="preserve">Explanation in Causal Inference: Methods for Mediation and Interaction.</w:t>
      </w:r>
      <w:r>
        <w:rPr>
          <w:sz w:val="20"/>
          <w:szCs w:val="20"/>
        </w:rPr>
        <w:t xml:space="preserve"> Oxford University Press.</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Burd Functional Composition Logic  v2.2.0</w:t>
    </w:r>
    <w:r>
      <w:rPr>
        <w:sz w:val="18"/>
        <w:szCs w:val="18"/>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color w:val="1F3864"/>
      <w:sz w:val="30"/>
      <w:szCs w:val="30"/>
    </w:rPr>
  </w:style>
  <w:style w:type="paragraph" w:styleId="Heading2">
    <w:name w:val="Heading 2"/>
    <w:basedOn w:val="Normal"/>
    <w:next w:val="Normal"/>
    <w:qFormat/>
    <w:pPr>
      <w:keepNext/>
      <w:spacing w:after="120" w:before="240"/>
      <w:outlineLvl w:val="1"/>
    </w:pPr>
    <w:rPr>
      <w:rFonts w:ascii="Arial" w:cs="Arial" w:eastAsia="Arial" w:hAnsi="Arial"/>
      <w:b/>
      <w:bCs/>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Burd Functional Composition Logic v2.2.0</dc:title>
  <dc:creator>Levi Burd</dc:creator>
  <cp:lastModifiedBy>Un-named</cp:lastModifiedBy>
  <cp:revision>1</cp:revision>
  <dcterms:created xsi:type="dcterms:W3CDTF">2026-10-27T11:27:24.960Z</dcterms:created>
  <dcterms:modified xsi:type="dcterms:W3CDTF">2026-10-27T11:27:24.967Z</dcterms:modified>
</cp:coreProperties>
</file>

<file path=docProps/custom.xml><?xml version="1.0" encoding="utf-8"?>
<Properties xmlns="http://schemas.openxmlformats.org/officeDocument/2006/custom-properties" xmlns:vt="http://schemas.openxmlformats.org/officeDocument/2006/docPropsVTypes"/>
</file>