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[LANE-A]</w:t>
              <w:br/>
              <w:t>[lane-a]-v1.2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[LANE-B]</w:t>
              <w:br/>
              <w:t>[lane-b]-v1.2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[MISSION]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[CORE PRINCIPLE]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[BOUNDARY / OUT OF SCOPE]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LAW-TRACE-001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binding clauses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carry stable FORM-SCOPE-NNN identifiers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map to observable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LAW-VERSION-001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FSL template version and governed project version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conflated.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LAW-PROOF-001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conformance claim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generalized beyond the scope and environment actually proven.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LAW-SNAPSHOT-001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An accepted Four-Square release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the exact reviewed commits for SPEC, lane A, lane B and MEMORY.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or amend law unless promoted into SPEC. MEMORY may remember law; MEMORY cannot make law.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2 — GOVERNANCE / DEVELOPMENT / EXCEPTIONS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when project complexity requires more than the one-page constitutional identity.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LAW-TRACE-001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binding clauses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carry stable FORM-SCOPE-NNN identifiers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map to observable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LAW-VERSION-001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FSL template version and governed project version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conflated.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LAW-PROOF-001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conformance claim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generalized beyond the scope and environment actually proven.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LAW-SNAPSHOT-001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An accepted Four-Square release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the exact reviewed commits for SPEC, lane A, lane B and MEMORY.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or amend law unless promoted into SPEC. MEMORY may remember law; MEMORY cannot make law.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DEVELOPMENT GOVERNANCE — RECOMMENDED CHECKLIST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Material work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use a checklist or equivalent visible plan.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Each material binding clause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have a stable clause ID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map to a verification item and observable evidence.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perform Discover → Plan → Execute → Observe → Verify → Record with defined responsibilities.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LAW-AI-001 — When normative intent is ambiguous, 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silently choose a stronger or weaker interpretation; they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surface the ambiguity for review.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Existing assets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classified explicitly as REUSE, INHERIT or REFERENCE when project-boundary assumptions could otherwise leak.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EXCEPTION / WAIVER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SCOPE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OWNER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RATIONALE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REVIEW / 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3 — AMENDMENT LAW / EVIDENCE LEDGER / CERTIFICATION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only for complex projects. Three pages is the maximum.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AMENDMENT LAW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Binding constitutional changes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made in SPEC and versioned. MEMORY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amend the constitution.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breaking constitutional change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migration impact.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Changing a project-selected middle lane token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a reviewed migration, not an incidental rename.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Non-normative examples and mnemonics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evolve without changing constitutional force.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EVIDENCE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115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 ID</w:t>
            </w:r>
          </w:p>
        </w:tc>
        <w:tc>
          <w:tcPr>
            <w:tcW w:type="dxa" w:w="28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CLAIM / SCOPE</w:t>
            </w:r>
          </w:p>
        </w:tc>
        <w:tc>
          <w:tcPr>
            <w:tcW w:type="dxa" w:w="144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ENVIRONMENT</w:t>
            </w:r>
          </w:p>
        </w:tc>
        <w:tc>
          <w:tcPr>
            <w:tcW w:type="dxa" w:w="259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244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RESULT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[LAW-001]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[CLAIM / ARTIFACT / WORKFLOW]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[HOST / VERSION]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LOG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[LAW-002]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[CLAIM / ARTIFACT / WORKFLOW]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[HOST / VERSION]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LOG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[LAW-003]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[CLAIM / ARTIFACT / WORKFLOW]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[HOST / VERSION]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LOG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  <w:tr>
        <w:tc>
          <w:tcPr>
            <w:tcW w:type="dxa" w:w="115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[LAW-004]</w:t>
            </w:r>
          </w:p>
        </w:tc>
        <w:tc>
          <w:tcPr>
            <w:tcW w:type="dxa" w:w="288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[CLAIM / ARTIFACT / WORKFLOW]</w:t>
            </w:r>
          </w:p>
        </w:tc>
        <w:tc>
          <w:tcPr>
            <w:tcW w:type="dxa" w:w="1440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[HOST / VERSION]</w:t>
            </w:r>
          </w:p>
        </w:tc>
        <w:tc>
          <w:tcPr>
            <w:tcW w:type="dxa" w:w="2592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[TEST / LOG / HASH]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b w:val="0"/>
                <w:i w:val="0"/>
                <w:color w:val="222222"/>
                <w:sz w:val="10"/>
                <w:u w:val="none"/>
              </w:rPr>
              <w:t>[STATE]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CERTIFICATION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The exact SPEC / lane A / lane B / MEMORY commit IDs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the reviewed release snapshot.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The release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replace Git; Git commit identity remains authoritative.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active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attached to scoped release evidence using CLAIM / SCOPE / ENVIRONMENT / EVIDENCE / RESULT.</w:t>
      </w:r>
    </w:p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generated page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show Four-Square Template v1.3 separately from the governed project version; the two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conflated.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v1.3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[PROJECT / PRODUCT]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[PROJECT VERSION]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