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/>
        <w:spacing w:before="0" w:after="60" w:line="257" w:lineRule="auto"/>
      </w:pPr>
      <w:r>
        <w:rPr>
          <w:rFonts w:ascii="Arial" w:hAnsi="Arial" w:eastAsia="Arial"/>
          <w:b w:val="0"/>
          <w:color w:val="172B3A"/>
          <w:sz w:val="18"/>
          <w:u w:val="none"/>
        </w:rPr>
        <w:t>PURPOSE  [Who this serves, the outcome it promises, and its distinguishing principle.]</w:t>
      </w:r>
    </w:p>
    <w:p>
      <w:pPr>
        <w:keepNext w:val="0"/>
        <w:keepLines/>
        <w:spacing w:before="0" w:after="60" w:line="257" w:lineRule="auto"/>
      </w:pPr>
      <w:r>
        <w:rPr>
          <w:rFonts w:ascii="Arial" w:hAnsi="Arial" w:eastAsia="Arial"/>
          <w:b w:val="0"/>
          <w:color w:val="172B3A"/>
          <w:sz w:val="18"/>
          <w:u w:val="none"/>
        </w:rPr>
        <w:t>BOUNDARY  [What this contract includes; what it deliberately does not own.]</w:t>
      </w:r>
    </w:p>
    <w:p>
      <w:pPr>
        <w:pStyle w:val="Heading2"/>
        <w:keepNext/>
        <w:keepLines/>
        <w:spacing w:before="140" w:after="80" w:line="257" w:lineRule="auto"/>
      </w:pPr>
      <w:r>
        <w:rPr>
          <w:rFonts w:ascii="Arial" w:hAnsi="Arial" w:eastAsia="Arial"/>
          <w:b/>
          <w:color w:val="183B54"/>
          <w:sz w:val="19"/>
          <w:u w:val="none"/>
        </w:rPr>
        <w:t>FOUR SQUARES</w:t>
      </w:r>
    </w:p>
    <w:tbl>
      <w:tblPr>
        <w:tblW w:type="dxa" w:w="10200"/>
        <w:jc w:val="center"/>
        <w:tblLayout w:type="fixed"/>
        <w:tblLook w:firstColumn="1" w:firstRow="1" w:lastColumn="0" w:lastRow="0" w:noHBand="0" w:noVBand="1" w:val="04A0"/>
        <w:tblBorders>
          <w:top w:val="single" w:sz="5" w:color="C9D3DB"/>
          <w:left w:val="nil" w:sz="5" w:color="C9D3DB"/>
          <w:bottom w:val="single" w:sz="5" w:color="C9D3DB"/>
          <w:right w:val="nil" w:sz="5" w:color="C9D3DB"/>
          <w:insideH w:val="single" w:sz="5" w:color="C9D3DB"/>
          <w:insideV w:val="nil" w:sz="5" w:color="C9D3DB"/>
        </w:tblBorders>
        <w:tblBorders>
          <w:top w:val="single" w:sz="5" w:color="C9D3DB"/>
          <w:left w:val="single" w:sz="5" w:color="C9D3DB"/>
          <w:bottom w:val="single" w:sz="5" w:color="C9D3DB"/>
          <w:right w:val="single" w:sz="5" w:color="C9D3DB"/>
          <w:insideH w:val="single" w:sz="5" w:color="C9D3DB"/>
          <w:insideV w:val="single" w:sz="5" w:color="C9D3DB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10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keepLines/>
              <w:spacing w:after="80" w:line="252" w:lineRule="auto"/>
            </w:pPr>
            <w:r>
              <w:rPr>
                <w:rFonts w:ascii="Arial" w:hAnsi="Arial" w:eastAsia="Arial"/>
                <w:b/>
                <w:color w:val="183B54"/>
                <w:sz w:val="20"/>
                <w:u w:val="none"/>
              </w:rPr>
              <w:t>01  SPEC</w:t>
            </w:r>
            <w:r>
              <w:rPr>
                <w:rFonts w:ascii="Arial" w:hAnsi="Arial" w:eastAsia="Arial"/>
                <w:b w:val="0"/>
                <w:color w:val="526474"/>
                <w:sz w:val="16"/>
                <w:u w:val="none"/>
              </w:rPr>
              <w:t xml:space="preserve">  /  spec-vN</w:t>
            </w:r>
          </w:p>
          <w:p>
            <w:pPr>
              <w:keepNext w:val="0"/>
              <w:keepLines/>
              <w:spacing w:before="0" w:after="60" w:line="257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>Owns binding intent, scope and contracts.</w:t>
            </w:r>
          </w:p>
          <w:p>
            <w:pPr>
              <w:keepNext w:val="0"/>
              <w:keepLines/>
              <w:spacing w:before="0" w:after="20" w:line="257" w:lineRule="auto"/>
            </w:pPr>
            <w:r>
              <w:rPr>
                <w:rFonts w:ascii="Arial" w:hAnsi="Arial" w:eastAsia="Arial"/>
                <w:b w:val="0"/>
                <w:color w:val="526474"/>
                <w:sz w:val="16"/>
                <w:u w:val="none"/>
              </w:rPr>
              <w:t>Gate: stable clauses + scoped acceptance criteria.</w:t>
            </w:r>
          </w:p>
        </w:tc>
        <w:tc>
          <w:tcPr>
            <w:tcW w:type="dxa" w:w="510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FFFFF"/>
          </w:tcPr>
          <w:p>
            <w:pPr>
              <w:keepLines/>
              <w:spacing w:after="80" w:line="252" w:lineRule="auto"/>
            </w:pPr>
            <w:r>
              <w:rPr>
                <w:rFonts w:ascii="Arial" w:hAnsi="Arial" w:eastAsia="Arial"/>
                <w:b/>
                <w:color w:val="183B54"/>
                <w:sz w:val="20"/>
                <w:u w:val="none"/>
              </w:rPr>
              <w:t>02  [LANE A]</w:t>
            </w:r>
            <w:r>
              <w:rPr>
                <w:rFonts w:ascii="Arial" w:hAnsi="Arial" w:eastAsia="Arial"/>
                <w:b w:val="0"/>
                <w:color w:val="526474"/>
                <w:sz w:val="16"/>
                <w:u w:val="none"/>
              </w:rPr>
              <w:t xml:space="preserve">  /  lane-a-vN</w:t>
            </w:r>
          </w:p>
          <w:p>
            <w:pPr>
              <w:keepNext w:val="0"/>
              <w:keepLines/>
              <w:spacing w:before="0" w:after="60" w:line="257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>Owns the primary implementation or deliverable.</w:t>
            </w:r>
          </w:p>
          <w:p>
            <w:pPr>
              <w:keepNext w:val="0"/>
              <w:keepLines/>
              <w:spacing w:before="0" w:after="20" w:line="257" w:lineRule="auto"/>
            </w:pPr>
            <w:r>
              <w:rPr>
                <w:rFonts w:ascii="Arial" w:hAnsi="Arial" w:eastAsia="Arial"/>
                <w:b w:val="0"/>
                <w:color w:val="526474"/>
                <w:sz w:val="16"/>
                <w:u w:val="none"/>
              </w:rPr>
              <w:t>Gate: the declared deliverable passes its checks.</w:t>
            </w:r>
          </w:p>
        </w:tc>
      </w:tr>
      <w:tr>
        <w:trPr>
          <w:cantSplit/>
        </w:trPr>
        <w:tc>
          <w:tcPr>
            <w:tcW w:type="dxa" w:w="510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FFFFF"/>
          </w:tcPr>
          <w:p>
            <w:pPr>
              <w:keepLines/>
              <w:spacing w:after="80" w:line="252" w:lineRule="auto"/>
            </w:pPr>
            <w:r>
              <w:rPr>
                <w:rFonts w:ascii="Arial" w:hAnsi="Arial" w:eastAsia="Arial"/>
                <w:b/>
                <w:color w:val="183B54"/>
                <w:sz w:val="20"/>
                <w:u w:val="none"/>
              </w:rPr>
              <w:t>03  [LANE B]</w:t>
            </w:r>
            <w:r>
              <w:rPr>
                <w:rFonts w:ascii="Arial" w:hAnsi="Arial" w:eastAsia="Arial"/>
                <w:b w:val="0"/>
                <w:color w:val="526474"/>
                <w:sz w:val="16"/>
                <w:u w:val="none"/>
              </w:rPr>
              <w:t xml:space="preserve">  /  lane-b-vN</w:t>
            </w:r>
          </w:p>
          <w:p>
            <w:pPr>
              <w:keepNext w:val="0"/>
              <w:keepLines/>
              <w:spacing w:before="0" w:after="60" w:line="257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>Owns the second durable project concern.</w:t>
            </w:r>
          </w:p>
          <w:p>
            <w:pPr>
              <w:keepNext w:val="0"/>
              <w:keepLines/>
              <w:spacing w:before="0" w:after="20" w:line="257" w:lineRule="auto"/>
            </w:pPr>
            <w:r>
              <w:rPr>
                <w:rFonts w:ascii="Arial" w:hAnsi="Arial" w:eastAsia="Arial"/>
                <w:b w:val="0"/>
                <w:color w:val="526474"/>
                <w:sz w:val="16"/>
                <w:u w:val="none"/>
              </w:rPr>
              <w:t>Gate: usable, aligned and independently checked.</w:t>
            </w:r>
          </w:p>
        </w:tc>
        <w:tc>
          <w:tcPr>
            <w:tcW w:type="dxa" w:w="510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keepLines/>
              <w:spacing w:after="80" w:line="252" w:lineRule="auto"/>
            </w:pPr>
            <w:r>
              <w:rPr>
                <w:rFonts w:ascii="Arial" w:hAnsi="Arial" w:eastAsia="Arial"/>
                <w:b/>
                <w:color w:val="183B54"/>
                <w:sz w:val="20"/>
                <w:u w:val="none"/>
              </w:rPr>
              <w:t>04  MEMORY</w:t>
            </w:r>
            <w:r>
              <w:rPr>
                <w:rFonts w:ascii="Arial" w:hAnsi="Arial" w:eastAsia="Arial"/>
                <w:b w:val="0"/>
                <w:color w:val="526474"/>
                <w:sz w:val="16"/>
                <w:u w:val="none"/>
              </w:rPr>
              <w:t xml:space="preserve">  /  memory-vN</w:t>
            </w:r>
          </w:p>
          <w:p>
            <w:pPr>
              <w:keepNext w:val="0"/>
              <w:keepLines/>
              <w:spacing w:before="0" w:after="60" w:line="257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>Owns recall, decisions, examples and evidence links.</w:t>
            </w:r>
          </w:p>
          <w:p>
            <w:pPr>
              <w:keepNext w:val="0"/>
              <w:keepLines/>
              <w:spacing w:before="0" w:after="20" w:line="257" w:lineRule="auto"/>
            </w:pPr>
            <w:r>
              <w:rPr>
                <w:rFonts w:ascii="Arial" w:hAnsi="Arial" w:eastAsia="Arial"/>
                <w:b w:val="0"/>
                <w:color w:val="526474"/>
                <w:sz w:val="16"/>
                <w:u w:val="none"/>
              </w:rPr>
              <w:t>Gate: understandable; no new law outside SPEC.</w:t>
            </w:r>
          </w:p>
        </w:tc>
      </w:tr>
    </w:tbl>
    <w:p>
      <w:pPr>
        <w:keepNext w:val="0"/>
        <w:keepLines/>
        <w:spacing w:before="60" w:after="20" w:line="257" w:lineRule="auto"/>
      </w:pPr>
      <w:r>
        <w:rPr>
          <w:rFonts w:ascii="Arial" w:hAnsi="Arial" w:eastAsia="Arial"/>
          <w:b w:val="0"/>
          <w:color w:val="526474"/>
          <w:sz w:val="15"/>
          <w:u w:val="none"/>
        </w:rPr>
        <w:t>SPEC + MEMORY are fixed; the two middle lanes are project-defined. Branch suffix vN follows the project, not the FSL template version.</w:t>
      </w:r>
    </w:p>
    <w:p>
      <w:pPr>
        <w:pStyle w:val="Heading2"/>
        <w:keepNext/>
        <w:keepLines/>
        <w:spacing w:before="140" w:after="80" w:line="257" w:lineRule="auto"/>
      </w:pPr>
      <w:r>
        <w:rPr>
          <w:rFonts w:ascii="Arial" w:hAnsi="Arial" w:eastAsia="Arial"/>
          <w:b/>
          <w:color w:val="183B54"/>
          <w:sz w:val="19"/>
          <w:u w:val="none"/>
        </w:rPr>
        <w:t>BINDING CONTRACT</w:t>
      </w:r>
    </w:p>
    <w:p>
      <w:pPr>
        <w:keepNext w:val="0"/>
        <w:keepLines/>
        <w:spacing w:before="0" w:after="80" w:line="257" w:lineRule="auto"/>
      </w:pPr>
      <w:r>
        <w:rPr>
          <w:rFonts w:ascii="Arial" w:hAnsi="Arial" w:eastAsia="Arial"/>
          <w:b/>
          <w:color w:val="172B3A"/>
          <w:sz w:val="15"/>
          <w:u w:val="single"/>
        </w:rPr>
        <w:t>MUST</w:t>
      </w:r>
      <w:r>
        <w:rPr>
          <w:rFonts w:ascii="Arial" w:hAnsi="Arial" w:eastAsia="Arial"/>
          <w:b w:val="0"/>
          <w:color w:val="172B3A"/>
          <w:sz w:val="15"/>
          <w:u w:val="none"/>
        </w:rPr>
        <w:t xml:space="preserve"> / </w:t>
      </w:r>
      <w:r>
        <w:rPr>
          <w:rFonts w:ascii="Arial" w:hAnsi="Arial" w:eastAsia="Arial"/>
          <w:b/>
          <w:color w:val="172B3A"/>
          <w:sz w:val="15"/>
          <w:u w:val="single"/>
        </w:rPr>
        <w:t>MUST NOT</w:t>
      </w:r>
      <w:r>
        <w:rPr>
          <w:rFonts w:ascii="Arial" w:hAnsi="Arial" w:eastAsia="Arial"/>
          <w:b w:val="0"/>
          <w:color w:val="172B3A"/>
          <w:sz w:val="15"/>
          <w:u w:val="none"/>
        </w:rPr>
        <w:t xml:space="preserve"> = binding   •   </w:t>
      </w:r>
      <w:r>
        <w:rPr>
          <w:rFonts w:ascii="Arial" w:hAnsi="Arial" w:eastAsia="Arial"/>
          <w:b/>
          <w:color w:val="172B3A"/>
          <w:sz w:val="15"/>
          <w:u w:val="single"/>
        </w:rPr>
        <w:t>SHOULD</w:t>
      </w:r>
      <w:r>
        <w:rPr>
          <w:rFonts w:ascii="Arial" w:hAnsi="Arial" w:eastAsia="Arial"/>
          <w:b w:val="0"/>
          <w:color w:val="172B3A"/>
          <w:sz w:val="15"/>
          <w:u w:val="none"/>
        </w:rPr>
        <w:t xml:space="preserve"> / </w:t>
      </w:r>
      <w:r>
        <w:rPr>
          <w:rFonts w:ascii="Arial" w:hAnsi="Arial" w:eastAsia="Arial"/>
          <w:b/>
          <w:color w:val="172B3A"/>
          <w:sz w:val="15"/>
          <w:u w:val="single"/>
        </w:rPr>
        <w:t>SHOULD NOT</w:t>
      </w:r>
      <w:r>
        <w:rPr>
          <w:rFonts w:ascii="Arial" w:hAnsi="Arial" w:eastAsia="Arial"/>
          <w:b w:val="0"/>
          <w:color w:val="172B3A"/>
          <w:sz w:val="15"/>
          <w:u w:val="none"/>
        </w:rPr>
        <w:t xml:space="preserve"> = guidance   •   </w:t>
      </w:r>
      <w:r>
        <w:rPr>
          <w:rFonts w:ascii="Arial" w:hAnsi="Arial" w:eastAsia="Arial"/>
          <w:b/>
          <w:color w:val="172B3A"/>
          <w:sz w:val="15"/>
          <w:u w:val="single"/>
        </w:rPr>
        <w:t>MAY</w:t>
      </w:r>
      <w:r>
        <w:rPr>
          <w:rFonts w:ascii="Arial" w:hAnsi="Arial" w:eastAsia="Arial"/>
          <w:b w:val="0"/>
          <w:color w:val="172B3A"/>
          <w:sz w:val="15"/>
          <w:u w:val="none"/>
        </w:rPr>
        <w:t xml:space="preserve"> = permission</w:t>
      </w:r>
    </w:p>
    <w:tbl>
      <w:tblPr>
        <w:tblW w:type="dxa" w:w="10200"/>
        <w:jc w:val="center"/>
        <w:tblLayout w:type="fixed"/>
        <w:tblLook w:firstColumn="1" w:firstRow="1" w:lastColumn="0" w:lastRow="0" w:noHBand="0" w:noVBand="1" w:val="04A0"/>
        <w:tblBorders>
          <w:top w:val="single" w:sz="5" w:color="C9D3DB"/>
          <w:left w:val="nil" w:sz="5" w:color="C9D3DB"/>
          <w:bottom w:val="single" w:sz="5" w:color="C9D3DB"/>
          <w:right w:val="nil" w:sz="5" w:color="C9D3DB"/>
          <w:insideH w:val="single" w:sz="5" w:color="C9D3DB"/>
          <w:insideV w:val="nil" w:sz="5" w:color="C9D3DB"/>
        </w:tblBorders>
      </w:tblPr>
      <w:tblGrid>
        <w:gridCol w:w="2380"/>
        <w:gridCol w:w="5540"/>
        <w:gridCol w:w="2280"/>
      </w:tblGrid>
      <w:tr>
        <w:trPr>
          <w:cantSplit/>
          <w:tblHeader/>
        </w:trPr>
        <w:tc>
          <w:tcPr>
            <w:tcW w:type="dxa" w:w="23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/>
                <w:color w:val="183B54"/>
                <w:sz w:val="15"/>
                <w:u w:val="none"/>
              </w:rPr>
              <w:t>STABLE CLAUSE ID</w:t>
            </w:r>
          </w:p>
        </w:tc>
        <w:tc>
          <w:tcPr>
            <w:tcW w:type="dxa" w:w="55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/>
                <w:color w:val="183B54"/>
                <w:sz w:val="15"/>
                <w:u w:val="none"/>
              </w:rPr>
              <w:t>REQUIREMENT / PROMISE</w:t>
            </w:r>
          </w:p>
        </w:tc>
        <w:tc>
          <w:tcPr>
            <w:tcW w:type="dxa" w:w="22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/>
                <w:color w:val="183B54"/>
                <w:sz w:val="15"/>
                <w:u w:val="none"/>
              </w:rPr>
              <w:t>VERIFICATION</w:t>
            </w:r>
          </w:p>
        </w:tc>
      </w:tr>
      <w:tr>
        <w:trPr>
          <w:cantSplit/>
        </w:trPr>
        <w:tc>
          <w:tcPr>
            <w:tcW w:type="dxa" w:w="23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>LAW-[SCOPE]-001</w:t>
            </w:r>
          </w:p>
        </w:tc>
        <w:tc>
          <w:tcPr>
            <w:tcW w:type="dxa" w:w="55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 xml:space="preserve">[Subject] </w:t>
            </w:r>
            <w:r>
              <w:rPr>
                <w:rFonts w:ascii="Arial" w:hAnsi="Arial" w:eastAsia="Arial"/>
                <w:b/>
                <w:color w:val="172B3A"/>
                <w:sz w:val="17"/>
                <w:u w:val="single"/>
              </w:rPr>
              <w:t>MUST</w:t>
            </w: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 xml:space="preserve"> [observable requirement].</w:t>
            </w:r>
          </w:p>
        </w:tc>
        <w:tc>
          <w:tcPr>
            <w:tcW w:type="dxa" w:w="22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>[Check / evidence path]</w:t>
            </w:r>
          </w:p>
        </w:tc>
      </w:tr>
      <w:tr>
        <w:trPr>
          <w:cantSplit/>
        </w:trPr>
        <w:tc>
          <w:tcPr>
            <w:tcW w:type="dxa" w:w="23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>CONTRACT-[SCOPE]-002</w:t>
            </w:r>
          </w:p>
        </w:tc>
        <w:tc>
          <w:tcPr>
            <w:tcW w:type="dxa" w:w="55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 xml:space="preserve">[Interface] </w:t>
            </w:r>
            <w:r>
              <w:rPr>
                <w:rFonts w:ascii="Arial" w:hAnsi="Arial" w:eastAsia="Arial"/>
                <w:b/>
                <w:color w:val="172B3A"/>
                <w:sz w:val="17"/>
                <w:u w:val="single"/>
              </w:rPr>
              <w:t>MUST</w:t>
            </w: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 xml:space="preserve"> [observable promise].</w:t>
            </w:r>
          </w:p>
        </w:tc>
        <w:tc>
          <w:tcPr>
            <w:tcW w:type="dxa" w:w="22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>[Acceptance evidence]</w:t>
            </w:r>
          </w:p>
        </w:tc>
      </w:tr>
      <w:tr>
        <w:trPr>
          <w:cantSplit/>
        </w:trPr>
        <w:tc>
          <w:tcPr>
            <w:tcW w:type="dxa" w:w="23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>GUARD-[SCOPE]-003</w:t>
            </w:r>
          </w:p>
        </w:tc>
        <w:tc>
          <w:tcPr>
            <w:tcW w:type="dxa" w:w="55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 xml:space="preserve">[Operation] </w:t>
            </w:r>
            <w:r>
              <w:rPr>
                <w:rFonts w:ascii="Arial" w:hAnsi="Arial" w:eastAsia="Arial"/>
                <w:b/>
                <w:color w:val="172B3A"/>
                <w:sz w:val="17"/>
                <w:u w:val="single"/>
              </w:rPr>
              <w:t>MUST NOT</w:t>
            </w: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 xml:space="preserve"> [forbidden effect].</w:t>
            </w:r>
          </w:p>
        </w:tc>
        <w:tc>
          <w:tcPr>
            <w:tcW w:type="dxa" w:w="22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>[Negative / boundary test]</w:t>
            </w:r>
          </w:p>
        </w:tc>
      </w:tr>
    </w:tbl>
    <w:p>
      <w:pPr>
        <w:keepNext w:val="0"/>
        <w:keepLines/>
        <w:spacing w:before="60" w:after="20" w:line="257" w:lineRule="auto"/>
      </w:pPr>
      <w:r>
        <w:rPr>
          <w:rFonts w:ascii="Arial" w:hAnsi="Arial" w:eastAsia="Arial"/>
          <w:b w:val="0"/>
          <w:color w:val="172B3A"/>
          <w:sz w:val="16"/>
          <w:u w:val="none"/>
        </w:rPr>
        <w:t xml:space="preserve">SPEC governs. Binding requirements </w:t>
      </w:r>
      <w:r>
        <w:rPr>
          <w:rFonts w:ascii="Arial" w:hAnsi="Arial" w:eastAsia="Arial"/>
          <w:b/>
          <w:color w:val="172B3A"/>
          <w:sz w:val="16"/>
          <w:u w:val="single"/>
        </w:rPr>
        <w:t>MUST NOT</w:t>
      </w:r>
      <w:r>
        <w:rPr>
          <w:rFonts w:ascii="Arial" w:hAnsi="Arial" w:eastAsia="Arial"/>
          <w:b w:val="0"/>
          <w:color w:val="172B3A"/>
          <w:sz w:val="16"/>
          <w:u w:val="none"/>
        </w:rPr>
        <w:t xml:space="preserve"> be silently weakened; missing evidence is </w:t>
      </w:r>
      <w:r>
        <w:rPr>
          <w:rFonts w:ascii="Arial" w:hAnsi="Arial" w:eastAsia="Arial"/>
          <w:b/>
          <w:color w:val="172B3A"/>
          <w:sz w:val="16"/>
          <w:u w:val="single"/>
        </w:rPr>
        <w:t>NOT YET PROVEN</w:t>
      </w:r>
      <w:r>
        <w:rPr>
          <w:rFonts w:ascii="Arial" w:hAnsi="Arial" w:eastAsia="Arial"/>
          <w:b w:val="0"/>
          <w:color w:val="172B3A"/>
          <w:sz w:val="16"/>
          <w:u w:val="none"/>
        </w:rPr>
        <w:t>.</w:t>
      </w:r>
    </w:p>
    <w:p>
      <w:pPr>
        <w:pStyle w:val="Heading2"/>
        <w:keepNext/>
        <w:keepLines/>
        <w:spacing w:before="140" w:after="80" w:line="257" w:lineRule="auto"/>
      </w:pPr>
      <w:r>
        <w:rPr>
          <w:rFonts w:ascii="Arial" w:hAnsi="Arial" w:eastAsia="Arial"/>
          <w:b/>
          <w:color w:val="183B54"/>
          <w:sz w:val="19"/>
          <w:u w:val="none"/>
        </w:rPr>
        <w:t>DEV STRATEGY  /  INITIAL ITERATION</w:t>
      </w:r>
    </w:p>
    <w:p>
      <w:pPr>
        <w:keepNext w:val="0"/>
        <w:keepLines/>
        <w:spacing w:before="0" w:after="60" w:line="257" w:lineRule="auto"/>
      </w:pPr>
      <w:r>
        <w:rPr>
          <w:rFonts w:ascii="Arial" w:hAnsi="Arial" w:eastAsia="Arial"/>
          <w:b/>
          <w:color w:val="172B3A"/>
          <w:sz w:val="17"/>
          <w:u w:val="none"/>
        </w:rPr>
        <w:t>I-001: tiny [input] → [required touchpoints] → [observable output] → prove → grow.</w:t>
      </w:r>
    </w:p>
    <w:p>
      <w:pPr>
        <w:keepNext w:val="0"/>
        <w:keepLines/>
        <w:spacing w:before="0" w:after="20" w:line="257" w:lineRule="auto"/>
      </w:pPr>
      <w:r>
        <w:rPr>
          <w:rFonts w:ascii="Arial" w:hAnsi="Arial" w:eastAsia="Arial"/>
          <w:b w:val="0"/>
          <w:color w:val="526474"/>
          <w:sz w:val="16"/>
          <w:u w:val="none"/>
        </w:rPr>
        <w:t xml:space="preserve">Parallel E2E / E2M / M2E </w:t>
      </w:r>
      <w:r>
        <w:rPr>
          <w:rFonts w:ascii="Arial" w:hAnsi="Arial" w:eastAsia="Arial"/>
          <w:b/>
          <w:color w:val="526474"/>
          <w:sz w:val="16"/>
          <w:u w:val="single"/>
        </w:rPr>
        <w:t>MAY</w:t>
      </w:r>
      <w:r>
        <w:rPr>
          <w:rFonts w:ascii="Arial" w:hAnsi="Arial" w:eastAsia="Arial"/>
          <w:b w:val="0"/>
          <w:color w:val="526474"/>
          <w:sz w:val="16"/>
          <w:u w:val="none"/>
        </w:rPr>
        <w:t xml:space="preserve"> be used. M = named midpoint contract. Partial or component proof is not E2E. No full iteration plan is required.</w:t>
      </w:r>
    </w:p>
    <w:p>
      <w:pPr>
        <w:pStyle w:val="Heading2"/>
        <w:keepNext/>
        <w:keepLines/>
        <w:spacing w:before="140" w:after="80" w:line="257" w:lineRule="auto"/>
      </w:pPr>
      <w:r>
        <w:rPr>
          <w:rFonts w:ascii="Arial" w:hAnsi="Arial" w:eastAsia="Arial"/>
          <w:b/>
          <w:color w:val="183B54"/>
          <w:sz w:val="19"/>
          <w:u w:val="none"/>
        </w:rPr>
        <w:t>TECHNOLOGIES, LIBRARIES &amp; REFERENCES</w:t>
      </w:r>
    </w:p>
    <w:tbl>
      <w:tblPr>
        <w:tblW w:type="dxa" w:w="10200"/>
        <w:jc w:val="center"/>
        <w:tblLayout w:type="fixed"/>
        <w:tblLook w:firstColumn="1" w:firstRow="1" w:lastColumn="0" w:lastRow="0" w:noHBand="0" w:noVBand="1" w:val="04A0"/>
        <w:tblBorders>
          <w:top w:val="single" w:sz="5" w:color="C9D3DB"/>
          <w:left w:val="nil" w:sz="5" w:color="C9D3DB"/>
          <w:bottom w:val="single" w:sz="5" w:color="C9D3DB"/>
          <w:right w:val="nil" w:sz="5" w:color="C9D3DB"/>
          <w:insideH w:val="single" w:sz="5" w:color="C9D3DB"/>
          <w:insideV w:val="nil" w:sz="5" w:color="C9D3DB"/>
        </w:tblBorders>
      </w:tblPr>
      <w:tblGrid>
        <w:gridCol w:w="2520"/>
        <w:gridCol w:w="4840"/>
        <w:gridCol w:w="2840"/>
      </w:tblGrid>
      <w:tr>
        <w:trPr>
          <w:cantSplit/>
          <w:tblHeader/>
        </w:trPr>
        <w:tc>
          <w:tcPr>
            <w:tcW w:type="dxa" w:w="252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/>
                <w:color w:val="183B54"/>
                <w:sz w:val="15"/>
                <w:u w:val="none"/>
              </w:rPr>
              <w:t>ITEM</w:t>
            </w:r>
          </w:p>
        </w:tc>
        <w:tc>
          <w:tcPr>
            <w:tcW w:type="dxa" w:w="48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/>
                <w:color w:val="183B54"/>
                <w:sz w:val="15"/>
                <w:u w:val="none"/>
              </w:rPr>
              <w:t>INTENT / USE</w:t>
            </w:r>
          </w:p>
        </w:tc>
        <w:tc>
          <w:tcPr>
            <w:tcW w:type="dxa" w:w="28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/>
                <w:color w:val="183B54"/>
                <w:sz w:val="15"/>
                <w:u w:val="none"/>
              </w:rPr>
              <w:t>SOURCE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6"/>
                <w:u w:val="none"/>
              </w:rPr>
              <w:t>[Technology / library]</w:t>
            </w:r>
          </w:p>
        </w:tc>
        <w:tc>
          <w:tcPr>
            <w:tcW w:type="dxa" w:w="48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6"/>
                <w:u w:val="none"/>
              </w:rPr>
              <w:t>[</w:t>
            </w:r>
            <w:r>
              <w:rPr>
                <w:rFonts w:ascii="Arial" w:hAnsi="Arial" w:eastAsia="Arial"/>
                <w:b/>
                <w:color w:val="172B3A"/>
                <w:sz w:val="16"/>
                <w:u w:val="single"/>
              </w:rPr>
              <w:t>MUST</w:t>
            </w:r>
            <w:r>
              <w:rPr>
                <w:rFonts w:ascii="Arial" w:hAnsi="Arial" w:eastAsia="Arial"/>
                <w:b w:val="0"/>
                <w:color w:val="172B3A"/>
                <w:sz w:val="16"/>
                <w:u w:val="none"/>
              </w:rPr>
              <w:t xml:space="preserve"> / </w:t>
            </w:r>
            <w:r>
              <w:rPr>
                <w:rFonts w:ascii="Arial" w:hAnsi="Arial" w:eastAsia="Arial"/>
                <w:b/>
                <w:color w:val="172B3A"/>
                <w:sz w:val="16"/>
                <w:u w:val="single"/>
              </w:rPr>
              <w:t>SHOULD</w:t>
            </w:r>
            <w:r>
              <w:rPr>
                <w:rFonts w:ascii="Arial" w:hAnsi="Arial" w:eastAsia="Arial"/>
                <w:b w:val="0"/>
                <w:color w:val="172B3A"/>
                <w:sz w:val="16"/>
                <w:u w:val="none"/>
              </w:rPr>
              <w:t xml:space="preserve"> / </w:t>
            </w:r>
            <w:r>
              <w:rPr>
                <w:rFonts w:ascii="Arial" w:hAnsi="Arial" w:eastAsia="Arial"/>
                <w:b/>
                <w:color w:val="172B3A"/>
                <w:sz w:val="16"/>
                <w:u w:val="single"/>
              </w:rPr>
              <w:t>MAY</w:t>
            </w:r>
            <w:r>
              <w:rPr>
                <w:rFonts w:ascii="Arial" w:hAnsi="Arial" w:eastAsia="Arial"/>
                <w:b w:val="0"/>
                <w:color w:val="172B3A"/>
                <w:sz w:val="16"/>
                <w:u w:val="none"/>
              </w:rPr>
              <w:t>] [purpose]</w:t>
            </w:r>
          </w:p>
        </w:tc>
        <w:tc>
          <w:tcPr>
            <w:tcW w:type="dxa" w:w="28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6"/>
                <w:u w:val="none"/>
              </w:rPr>
              <w:t>[Canonical link / source ID]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6"/>
                <w:u w:val="none"/>
              </w:rPr>
              <w:t>[Existing capability]</w:t>
            </w:r>
          </w:p>
        </w:tc>
        <w:tc>
          <w:tcPr>
            <w:tcW w:type="dxa" w:w="48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6"/>
                <w:u w:val="none"/>
              </w:rPr>
              <w:t>[REUSE / INHERIT / REFERENCE]</w:t>
            </w:r>
          </w:p>
        </w:tc>
        <w:tc>
          <w:tcPr>
            <w:tcW w:type="dxa" w:w="28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6"/>
                <w:u w:val="none"/>
              </w:rPr>
              <w:t>[Source; pin only if needed]</w:t>
            </w:r>
          </w:p>
        </w:tc>
      </w:tr>
    </w:tbl>
    <w:p>
      <w:pPr>
        <w:keepNext w:val="0"/>
        <w:keepLines/>
        <w:spacing w:before="60" w:after="20" w:line="257" w:lineRule="auto"/>
      </w:pPr>
      <w:r>
        <w:rPr>
          <w:rFonts w:ascii="Arial" w:hAnsi="Arial" w:eastAsia="Arial"/>
          <w:b w:val="0"/>
          <w:color w:val="526474"/>
          <w:sz w:val="15"/>
          <w:u w:val="none"/>
        </w:rPr>
        <w:t>Only essential choices belong here. A category or link alone creates no obligation; a binding choice needs a SPEC clause ID.</w:t>
      </w:r>
    </w:p>
    <w:p>
      <w:pPr>
        <w:pStyle w:val="Heading2"/>
        <w:keepNext/>
        <w:keepLines/>
        <w:spacing w:before="140" w:after="80" w:line="257" w:lineRule="auto"/>
      </w:pPr>
      <w:r>
        <w:rPr>
          <w:rFonts w:ascii="Arial" w:hAnsi="Arial" w:eastAsia="Arial"/>
          <w:b/>
          <w:color w:val="183B54"/>
          <w:sz w:val="19"/>
          <w:u w:val="none"/>
        </w:rPr>
        <w:t>LIFECYCLE  /  RELEASE CHECK</w:t>
      </w:r>
    </w:p>
    <w:p>
      <w:pPr>
        <w:keepNext w:val="0"/>
        <w:keepLines/>
        <w:spacing w:before="0" w:after="40" w:line="257" w:lineRule="auto"/>
      </w:pPr>
      <w:r>
        <w:rPr>
          <w:rFonts w:ascii="Arial" w:hAnsi="Arial" w:eastAsia="Arial"/>
          <w:b/>
          <w:color w:val="172B3A"/>
          <w:sz w:val="15"/>
          <w:u w:val="none"/>
        </w:rPr>
        <w:t>Draft → Prove → Release → Appendix / Errata / Amendment → Next Release.</w:t>
      </w:r>
    </w:p>
    <w:p>
      <w:pPr>
        <w:keepNext w:val="0"/>
        <w:keepLines/>
        <w:spacing w:before="0" w:after="60" w:line="257" w:lineRule="auto"/>
      </w:pPr>
      <w:r>
        <w:rPr>
          <w:rFonts w:ascii="Arial" w:hAnsi="Arial" w:eastAsia="Arial"/>
          <w:b w:val="0"/>
          <w:color w:val="172B3A"/>
          <w:sz w:val="16"/>
          <w:u w:val="none"/>
        </w:rPr>
        <w:t>[ ] SPEC stable     [ ] LANE A verified     [ ] LANE B usable and aligned     [ ] MEMORY understandable</w:t>
      </w:r>
    </w:p>
    <w:p>
      <w:pPr>
        <w:keepNext w:val="0"/>
        <w:keepLines/>
        <w:spacing w:before="0" w:after="60" w:line="257" w:lineRule="auto"/>
      </w:pPr>
      <w:r>
        <w:rPr>
          <w:rFonts w:ascii="Arial" w:hAnsi="Arial" w:eastAsia="Arial"/>
          <w:b w:val="0"/>
          <w:color w:val="172B3A"/>
          <w:sz w:val="16"/>
          <w:u w:val="none"/>
        </w:rPr>
        <w:t xml:space="preserve">Status: </w:t>
      </w:r>
      <w:r>
        <w:rPr>
          <w:rFonts w:ascii="Arial" w:hAnsi="Arial" w:eastAsia="Arial"/>
          <w:b/>
          <w:color w:val="172B3A"/>
          <w:sz w:val="16"/>
          <w:u w:val="single"/>
        </w:rPr>
        <w:t>NOT YET PROVEN</w:t>
      </w:r>
      <w:r>
        <w:rPr>
          <w:rFonts w:ascii="Arial" w:hAnsi="Arial" w:eastAsia="Arial"/>
          <w:b w:val="0"/>
          <w:color w:val="172B3A"/>
          <w:sz w:val="16"/>
          <w:u w:val="none"/>
        </w:rPr>
        <w:t xml:space="preserve">  |  Evidence / exact four-commit snapshot: [project-local path].</w:t>
      </w:r>
    </w:p>
    <w:p>
      <w:pPr>
        <w:keepNext w:val="0"/>
        <w:keepLines/>
        <w:spacing w:before="40" w:after="0" w:line="257" w:lineRule="auto"/>
      </w:pPr>
      <w:r>
        <w:rPr>
          <w:rFonts w:ascii="Arial" w:hAnsi="Arial" w:eastAsia="Arial"/>
          <w:b w:val="0"/>
          <w:color w:val="526474"/>
          <w:sz w:val="15"/>
          <w:u w:val="none"/>
        </w:rPr>
        <w:t>main1 = this repository's first commit, fixed. Four lane branches vN → matching lanes vN+1. main = accepted integration after gates.</w:t>
      </w:r>
    </w:p>
    <w:p>
      <w:r>
        <w:br w:type="page"/>
      </w:r>
    </w:p>
    <w:p>
      <w:pPr>
        <w:pStyle w:val="Heading1"/>
        <w:keepNext w:val="0"/>
        <w:keepLines/>
        <w:spacing w:before="0" w:after="120" w:line="257" w:lineRule="auto"/>
      </w:pPr>
      <w:r>
        <w:rPr>
          <w:rFonts w:ascii="Arial" w:hAnsi="Arial" w:eastAsia="Arial"/>
          <w:b/>
          <w:color w:val="183B54"/>
          <w:sz w:val="32"/>
          <w:u w:val="none"/>
        </w:rPr>
        <w:t>CONTRACTS &amp; IMPLEMENTATION NOTES</w:t>
      </w:r>
    </w:p>
    <w:p>
      <w:pPr>
        <w:keepNext w:val="0"/>
        <w:keepLines/>
        <w:spacing w:before="0" w:after="180" w:line="257" w:lineRule="auto"/>
      </w:pPr>
      <w:r>
        <w:rPr>
          <w:rFonts w:ascii="Arial" w:hAnsi="Arial" w:eastAsia="Arial"/>
          <w:b w:val="0"/>
          <w:color w:val="526474"/>
          <w:sz w:val="18"/>
          <w:u w:val="none"/>
        </w:rPr>
        <w:t>Use this page only when essential detail will not fit on Page 1. Delete unused sections.</w:t>
      </w:r>
    </w:p>
    <w:p>
      <w:pPr>
        <w:pStyle w:val="Heading2"/>
        <w:keepNext/>
        <w:keepLines/>
        <w:spacing w:before="60" w:after="80" w:line="257" w:lineRule="auto"/>
      </w:pPr>
      <w:r>
        <w:rPr>
          <w:rFonts w:ascii="Arial" w:hAnsi="Arial" w:eastAsia="Arial"/>
          <w:b/>
          <w:color w:val="183B54"/>
          <w:sz w:val="19"/>
          <w:u w:val="none"/>
        </w:rPr>
        <w:t>INTERFACES &amp; OBSERVABLE OUTCOMES</w:t>
      </w:r>
    </w:p>
    <w:tbl>
      <w:tblPr>
        <w:tblW w:type="dxa" w:w="10200"/>
        <w:jc w:val="center"/>
        <w:tblLayout w:type="fixed"/>
        <w:tblLook w:firstColumn="1" w:firstRow="1" w:lastColumn="0" w:lastRow="0" w:noHBand="0" w:noVBand="1" w:val="04A0"/>
        <w:tblBorders>
          <w:top w:val="single" w:sz="5" w:color="C9D3DB"/>
          <w:left w:val="nil" w:sz="5" w:color="C9D3DB"/>
          <w:bottom w:val="single" w:sz="5" w:color="C9D3DB"/>
          <w:right w:val="nil" w:sz="5" w:color="C9D3DB"/>
          <w:insideH w:val="single" w:sz="5" w:color="C9D3DB"/>
          <w:insideV w:val="nil" w:sz="5" w:color="C9D3DB"/>
        </w:tblBorders>
      </w:tblPr>
      <w:tblGrid>
        <w:gridCol w:w="2260"/>
        <w:gridCol w:w="4480"/>
        <w:gridCol w:w="3460"/>
      </w:tblGrid>
      <w:tr>
        <w:trPr>
          <w:cantSplit/>
          <w:tblHeader/>
        </w:trPr>
        <w:tc>
          <w:tcPr>
            <w:tcW w:type="dxa" w:w="226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/>
                <w:color w:val="183B54"/>
                <w:sz w:val="15"/>
                <w:u w:val="none"/>
              </w:rPr>
              <w:t>CLAUSE</w:t>
            </w:r>
          </w:p>
        </w:tc>
        <w:tc>
          <w:tcPr>
            <w:tcW w:type="dxa" w:w="44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/>
                <w:color w:val="183B54"/>
                <w:sz w:val="15"/>
                <w:u w:val="none"/>
              </w:rPr>
              <w:t>BOUNDARY / INTERFACE</w:t>
            </w:r>
          </w:p>
        </w:tc>
        <w:tc>
          <w:tcPr>
            <w:tcW w:type="dxa" w:w="346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/>
                <w:color w:val="183B54"/>
                <w:sz w:val="15"/>
                <w:u w:val="none"/>
              </w:rPr>
              <w:t>OBSERVABLE PROMISE</w:t>
            </w:r>
          </w:p>
        </w:tc>
      </w:tr>
      <w:tr>
        <w:trPr>
          <w:cantSplit/>
        </w:trPr>
        <w:tc>
          <w:tcPr>
            <w:tcW w:type="dxa" w:w="226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[CONTRACT-ID]</w:t>
            </w:r>
          </w:p>
        </w:tc>
        <w:tc>
          <w:tcPr>
            <w:tcW w:type="dxa" w:w="44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[Input / caller → interface → consumer]</w:t>
            </w:r>
          </w:p>
        </w:tc>
        <w:tc>
          <w:tcPr>
            <w:tcW w:type="dxa" w:w="346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[Result and how it is checked]</w:t>
            </w:r>
          </w:p>
        </w:tc>
      </w:tr>
      <w:tr>
        <w:trPr>
          <w:cantSplit/>
        </w:trPr>
        <w:tc>
          <w:tcPr>
            <w:tcW w:type="dxa" w:w="226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[CONTRACT-ID]</w:t>
            </w:r>
          </w:p>
        </w:tc>
        <w:tc>
          <w:tcPr>
            <w:tcW w:type="dxa" w:w="44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[State, event or artifact exchanged]</w:t>
            </w:r>
          </w:p>
        </w:tc>
        <w:tc>
          <w:tcPr>
            <w:tcW w:type="dxa" w:w="346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[Failure response / recovery promise]</w:t>
            </w:r>
          </w:p>
        </w:tc>
      </w:tr>
      <w:tr>
        <w:trPr>
          <w:cantSplit/>
        </w:trPr>
        <w:tc>
          <w:tcPr>
            <w:tcW w:type="dxa" w:w="226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[GUARD-ID]</w:t>
            </w:r>
          </w:p>
        </w:tc>
        <w:tc>
          <w:tcPr>
            <w:tcW w:type="dxa" w:w="44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[Permission or destructive boundary]</w:t>
            </w:r>
          </w:p>
        </w:tc>
        <w:tc>
          <w:tcPr>
            <w:tcW w:type="dxa" w:w="346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[Check that the boundary holds]</w:t>
            </w:r>
          </w:p>
        </w:tc>
      </w:tr>
    </w:tbl>
    <w:p>
      <w:pPr>
        <w:keepNext w:val="0"/>
        <w:keepLines/>
        <w:spacing w:before="100" w:after="100" w:line="257" w:lineRule="auto"/>
      </w:pPr>
      <w:r>
        <w:rPr>
          <w:rFonts w:ascii="Arial" w:hAnsi="Arial" w:eastAsia="Arial"/>
          <w:b w:val="0"/>
          <w:color w:val="172B3A"/>
          <w:sz w:val="18"/>
          <w:u w:val="none"/>
        </w:rPr>
        <w:t>Use a named interface or observable contract for a midpoint. E2M and M2E are partial paths until their integrated E2E outcome is demonstrated.</w:t>
      </w:r>
    </w:p>
    <w:p>
      <w:pPr>
        <w:pStyle w:val="Heading2"/>
        <w:keepNext/>
        <w:keepLines/>
        <w:spacing w:before="160" w:after="80" w:line="257" w:lineRule="auto"/>
      </w:pPr>
      <w:r>
        <w:rPr>
          <w:rFonts w:ascii="Arial" w:hAnsi="Arial" w:eastAsia="Arial"/>
          <w:b/>
          <w:color w:val="183B54"/>
          <w:sz w:val="19"/>
          <w:u w:val="none"/>
        </w:rPr>
        <w:t>REUSE WHAT IS ALREADY PROVEN</w:t>
      </w:r>
    </w:p>
    <w:tbl>
      <w:tblPr>
        <w:tblW w:type="dxa" w:w="10200"/>
        <w:jc w:val="center"/>
        <w:tblLayout w:type="fixed"/>
        <w:tblLook w:firstColumn="1" w:firstRow="1" w:lastColumn="0" w:lastRow="0" w:noHBand="0" w:noVBand="1" w:val="04A0"/>
        <w:tblBorders>
          <w:top w:val="single" w:sz="5" w:color="C9D3DB"/>
          <w:left w:val="nil" w:sz="5" w:color="C9D3DB"/>
          <w:bottom w:val="single" w:sz="5" w:color="C9D3DB"/>
          <w:right w:val="nil" w:sz="5" w:color="C9D3DB"/>
          <w:insideH w:val="single" w:sz="5" w:color="C9D3DB"/>
          <w:insideV w:val="nil" w:sz="5" w:color="C9D3DB"/>
        </w:tblBorders>
      </w:tblPr>
      <w:tblGrid>
        <w:gridCol w:w="1820"/>
        <w:gridCol w:w="8380"/>
      </w:tblGrid>
      <w:tr>
        <w:trPr>
          <w:cantSplit/>
        </w:trPr>
        <w:tc>
          <w:tcPr>
            <w:tcW w:type="dxa" w:w="182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REUSE</w:t>
            </w:r>
          </w:p>
        </w:tc>
        <w:tc>
          <w:tcPr>
            <w:tcW w:type="dxa" w:w="83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Use a capability. Do not automatically adopt the source project's rules or assumptions.</w:t>
            </w:r>
          </w:p>
        </w:tc>
      </w:tr>
      <w:tr>
        <w:trPr>
          <w:cantSplit/>
        </w:trPr>
        <w:tc>
          <w:tcPr>
            <w:tcW w:type="dxa" w:w="182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INHERIT</w:t>
            </w:r>
          </w:p>
        </w:tc>
        <w:tc>
          <w:tcPr>
            <w:tcW w:type="dxa" w:w="83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Explicitly adopt a requirement or contract into project SPEC; identify its source and scope.</w:t>
            </w:r>
          </w:p>
        </w:tc>
      </w:tr>
      <w:tr>
        <w:trPr>
          <w:cantSplit/>
        </w:trPr>
        <w:tc>
          <w:tcPr>
            <w:tcW w:type="dxa" w:w="182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REFERENCE</w:t>
            </w:r>
          </w:p>
        </w:tc>
        <w:tc>
          <w:tcPr>
            <w:tcW w:type="dxa" w:w="83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Consult knowledge or evidence without adopting its normative authority.</w:t>
            </w:r>
          </w:p>
        </w:tc>
      </w:tr>
    </w:tbl>
    <w:p>
      <w:pPr>
        <w:pStyle w:val="Heading2"/>
        <w:keepNext/>
        <w:keepLines/>
        <w:spacing w:before="160" w:after="80" w:line="257" w:lineRule="auto"/>
      </w:pPr>
      <w:r>
        <w:rPr>
          <w:rFonts w:ascii="Arial" w:hAnsi="Arial" w:eastAsia="Arial"/>
          <w:b/>
          <w:color w:val="183B54"/>
          <w:sz w:val="19"/>
          <w:u w:val="none"/>
        </w:rPr>
        <w:t>ESSENTIAL IMPLEMENTATION REFERENCES</w:t>
      </w:r>
    </w:p>
    <w:tbl>
      <w:tblPr>
        <w:tblW w:type="dxa" w:w="10200"/>
        <w:jc w:val="center"/>
        <w:tblLayout w:type="fixed"/>
        <w:tblLook w:firstColumn="1" w:firstRow="1" w:lastColumn="0" w:lastRow="0" w:noHBand="0" w:noVBand="1" w:val="04A0"/>
        <w:tblBorders>
          <w:top w:val="single" w:sz="5" w:color="C9D3DB"/>
          <w:left w:val="nil" w:sz="5" w:color="C9D3DB"/>
          <w:bottom w:val="single" w:sz="5" w:color="C9D3DB"/>
          <w:right w:val="nil" w:sz="5" w:color="C9D3DB"/>
          <w:insideH w:val="single" w:sz="5" w:color="C9D3DB"/>
          <w:insideV w:val="nil" w:sz="5" w:color="C9D3DB"/>
        </w:tblBorders>
      </w:tblPr>
      <w:tblGrid>
        <w:gridCol w:w="2360"/>
        <w:gridCol w:w="4580"/>
        <w:gridCol w:w="3260"/>
      </w:tblGrid>
      <w:tr>
        <w:trPr>
          <w:cantSplit/>
          <w:tblHeader/>
        </w:trPr>
        <w:tc>
          <w:tcPr>
            <w:tcW w:type="dxa" w:w="236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/>
                <w:color w:val="183B54"/>
                <w:sz w:val="15"/>
                <w:u w:val="none"/>
              </w:rPr>
              <w:t>ITEM</w:t>
            </w:r>
          </w:p>
        </w:tc>
        <w:tc>
          <w:tcPr>
            <w:tcW w:type="dxa" w:w="45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/>
                <w:color w:val="183B54"/>
                <w:sz w:val="15"/>
                <w:u w:val="none"/>
              </w:rPr>
              <w:t>INTENT / PURPOSE</w:t>
            </w:r>
          </w:p>
        </w:tc>
        <w:tc>
          <w:tcPr>
            <w:tcW w:type="dxa" w:w="326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/>
                <w:color w:val="183B54"/>
                <w:sz w:val="15"/>
                <w:u w:val="none"/>
              </w:rPr>
              <w:t>SOURCE / OPTIONAL PIN</w:t>
            </w:r>
          </w:p>
        </w:tc>
      </w:tr>
      <w:tr>
        <w:trPr>
          <w:cantSplit/>
        </w:trPr>
        <w:tc>
          <w:tcPr>
            <w:tcW w:type="dxa" w:w="236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[Runtime / library]</w:t>
            </w:r>
          </w:p>
        </w:tc>
        <w:tc>
          <w:tcPr>
            <w:tcW w:type="dxa" w:w="45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 xml:space="preserve">[Use + reason + </w:t>
            </w:r>
            <w:r>
              <w:rPr>
                <w:rFonts w:ascii="Arial" w:hAnsi="Arial" w:eastAsia="Arial"/>
                <w:b/>
                <w:color w:val="172B3A"/>
                <w:sz w:val="18"/>
                <w:u w:val="single"/>
              </w:rPr>
              <w:t>MUST</w:t>
            </w: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/</w:t>
            </w:r>
            <w:r>
              <w:rPr>
                <w:rFonts w:ascii="Arial" w:hAnsi="Arial" w:eastAsia="Arial"/>
                <w:b/>
                <w:color w:val="172B3A"/>
                <w:sz w:val="18"/>
                <w:u w:val="single"/>
              </w:rPr>
              <w:t>SHOULD</w:t>
            </w: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/</w:t>
            </w:r>
            <w:r>
              <w:rPr>
                <w:rFonts w:ascii="Arial" w:hAnsi="Arial" w:eastAsia="Arial"/>
                <w:b/>
                <w:color w:val="172B3A"/>
                <w:sz w:val="18"/>
                <w:u w:val="single"/>
              </w:rPr>
              <w:t>MAY</w:t>
            </w: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]</w:t>
            </w:r>
          </w:p>
        </w:tc>
        <w:tc>
          <w:tcPr>
            <w:tcW w:type="dxa" w:w="326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[Canonical source / clause ID]</w:t>
            </w:r>
          </w:p>
        </w:tc>
      </w:tr>
      <w:tr>
        <w:trPr>
          <w:cantSplit/>
        </w:trPr>
        <w:tc>
          <w:tcPr>
            <w:tcW w:type="dxa" w:w="236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[Existing implementation]</w:t>
            </w:r>
          </w:p>
        </w:tc>
        <w:tc>
          <w:tcPr>
            <w:tcW w:type="dxa" w:w="45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[REUSE + scope of the capability]</w:t>
            </w:r>
          </w:p>
        </w:tc>
        <w:tc>
          <w:tcPr>
            <w:tcW w:type="dxa" w:w="326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[Repository / commit, if material]</w:t>
            </w:r>
          </w:p>
        </w:tc>
      </w:tr>
      <w:tr>
        <w:trPr>
          <w:cantSplit/>
        </w:trPr>
        <w:tc>
          <w:tcPr>
            <w:tcW w:type="dxa" w:w="236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[External contract]</w:t>
            </w:r>
          </w:p>
        </w:tc>
        <w:tc>
          <w:tcPr>
            <w:tcW w:type="dxa" w:w="45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[INHERIT only where explicitly adopted]</w:t>
            </w:r>
          </w:p>
        </w:tc>
        <w:tc>
          <w:tcPr>
            <w:tcW w:type="dxa" w:w="326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[Standard / version, if material]</w:t>
            </w:r>
          </w:p>
        </w:tc>
      </w:tr>
    </w:tbl>
    <w:p>
      <w:pPr>
        <w:keepNext w:val="0"/>
        <w:keepLines/>
        <w:spacing w:before="100" w:after="60" w:line="257" w:lineRule="auto"/>
      </w:pPr>
      <w:r>
        <w:rPr>
          <w:rFonts w:ascii="Arial" w:hAnsi="Arial" w:eastAsia="Arial"/>
          <w:b w:val="0"/>
          <w:color w:val="526474"/>
          <w:sz w:val="17"/>
          <w:u w:val="none"/>
        </w:rPr>
        <w:t>Add a version, date or commit only where it changes the meaning. Keep transitive dependencies, large inventories and moving test matrices in referenced project files.</w:t>
      </w:r>
    </w:p>
    <w:p>
      <w:pPr>
        <w:pStyle w:val="Heading2"/>
        <w:keepNext/>
        <w:keepLines/>
        <w:spacing w:before="160" w:after="80" w:line="257" w:lineRule="auto"/>
      </w:pPr>
      <w:r>
        <w:rPr>
          <w:rFonts w:ascii="Arial" w:hAnsi="Arial" w:eastAsia="Arial"/>
          <w:b/>
          <w:color w:val="183B54"/>
          <w:sz w:val="19"/>
          <w:u w:val="none"/>
        </w:rPr>
        <w:t>SCOPED PROOF</w:t>
      </w:r>
    </w:p>
    <w:p>
      <w:pPr>
        <w:keepNext w:val="0"/>
        <w:keepLines/>
        <w:spacing w:before="0" w:after="100" w:line="257" w:lineRule="auto"/>
      </w:pPr>
      <w:r>
        <w:rPr>
          <w:rFonts w:ascii="Arial" w:hAnsi="Arial" w:eastAsia="Arial"/>
          <w:b w:val="0"/>
          <w:color w:val="172B3A"/>
          <w:sz w:val="18"/>
          <w:u w:val="none"/>
        </w:rPr>
        <w:t xml:space="preserve">Claim: [what is being asserted]. Scope: [artifact + workflow]. Environment: [platform + relevant versions]. Evidence: [test, review or log]. Result: </w:t>
      </w:r>
      <w:r>
        <w:rPr>
          <w:rFonts w:ascii="Arial" w:hAnsi="Arial" w:eastAsia="Arial"/>
          <w:b/>
          <w:color w:val="172B3A"/>
          <w:sz w:val="18"/>
          <w:u w:val="single"/>
        </w:rPr>
        <w:t>NOT YET PROVEN</w:t>
      </w:r>
      <w:r>
        <w:rPr>
          <w:rFonts w:ascii="Arial" w:hAnsi="Arial" w:eastAsia="Arial"/>
          <w:b w:val="0"/>
          <w:color w:val="172B3A"/>
          <w:sz w:val="18"/>
          <w:u w:val="none"/>
        </w:rPr>
        <w:t xml:space="preserve"> until checked.</w:t>
      </w:r>
    </w:p>
    <w:p>
      <w:pPr>
        <w:keepNext w:val="0"/>
        <w:keepLines/>
        <w:spacing w:before="0" w:after="60" w:line="257" w:lineRule="auto"/>
      </w:pPr>
      <w:r>
        <w:rPr>
          <w:rFonts w:ascii="Arial" w:hAnsi="Arial" w:eastAsia="Arial"/>
          <w:b w:val="0"/>
          <w:color w:val="172B3A"/>
          <w:sz w:val="18"/>
          <w:u w:val="none"/>
        </w:rPr>
        <w:t xml:space="preserve">Fixtures or stubs </w:t>
      </w:r>
      <w:r>
        <w:rPr>
          <w:rFonts w:ascii="Arial" w:hAnsi="Arial" w:eastAsia="Arial"/>
          <w:b/>
          <w:color w:val="172B3A"/>
          <w:sz w:val="18"/>
          <w:u w:val="single"/>
        </w:rPr>
        <w:t>MAY</w:t>
      </w:r>
      <w:r>
        <w:rPr>
          <w:rFonts w:ascii="Arial" w:hAnsi="Arial" w:eastAsia="Arial"/>
          <w:b w:val="0"/>
          <w:color w:val="172B3A"/>
          <w:sz w:val="18"/>
          <w:u w:val="none"/>
        </w:rPr>
        <w:t xml:space="preserve"> support a declared partial check. They </w:t>
      </w:r>
      <w:r>
        <w:rPr>
          <w:rFonts w:ascii="Arial" w:hAnsi="Arial" w:eastAsia="Arial"/>
          <w:b/>
          <w:color w:val="172B3A"/>
          <w:sz w:val="18"/>
          <w:u w:val="single"/>
        </w:rPr>
        <w:t>MUST NOT</w:t>
      </w:r>
      <w:r>
        <w:rPr>
          <w:rFonts w:ascii="Arial" w:hAnsi="Arial" w:eastAsia="Arial"/>
          <w:b w:val="0"/>
          <w:color w:val="172B3A"/>
          <w:sz w:val="18"/>
          <w:u w:val="none"/>
        </w:rPr>
        <w:t xml:space="preserve"> be presented as proof of a real integration they replace.</w:t>
      </w:r>
    </w:p>
    <w:p>
      <w:pPr>
        <w:pStyle w:val="Heading2"/>
        <w:keepNext/>
        <w:keepLines/>
        <w:spacing w:before="160" w:after="80" w:line="257" w:lineRule="auto"/>
      </w:pPr>
      <w:r>
        <w:rPr>
          <w:rFonts w:ascii="Arial" w:hAnsi="Arial" w:eastAsia="Arial"/>
          <w:b/>
          <w:color w:val="183B54"/>
          <w:sz w:val="19"/>
          <w:u w:val="none"/>
        </w:rPr>
        <w:t>OPEN QUESTIONS &amp; EXCEPTIONS</w:t>
      </w:r>
    </w:p>
    <w:tbl>
      <w:tblPr>
        <w:tblW w:type="dxa" w:w="10200"/>
        <w:jc w:val="center"/>
        <w:tblLayout w:type="fixed"/>
        <w:tblLook w:firstColumn="1" w:firstRow="1" w:lastColumn="0" w:lastRow="0" w:noHBand="0" w:noVBand="1" w:val="04A0"/>
        <w:tblBorders>
          <w:top w:val="single" w:sz="5" w:color="C9D3DB"/>
          <w:left w:val="nil" w:sz="5" w:color="C9D3DB"/>
          <w:bottom w:val="single" w:sz="5" w:color="C9D3DB"/>
          <w:right w:val="nil" w:sz="5" w:color="C9D3DB"/>
          <w:insideH w:val="single" w:sz="5" w:color="C9D3DB"/>
          <w:insideV w:val="nil" w:sz="5" w:color="C9D3DB"/>
        </w:tblBorders>
      </w:tblPr>
      <w:tblGrid>
        <w:gridCol w:w="2240"/>
        <w:gridCol w:w="7960"/>
      </w:tblGrid>
      <w:tr>
        <w:trPr>
          <w:cantSplit/>
        </w:trPr>
        <w:tc>
          <w:tcPr>
            <w:tcW w:type="dxa" w:w="22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Unresolved intent</w:t>
            </w:r>
          </w:p>
        </w:tc>
        <w:tc>
          <w:tcPr>
            <w:tcW w:type="dxa" w:w="796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[Question + person responsible for deciding it]. Agents do not invent the missing rule.</w:t>
            </w:r>
          </w:p>
        </w:tc>
      </w:tr>
      <w:tr>
        <w:trPr>
          <w:cantSplit/>
        </w:trPr>
        <w:tc>
          <w:tcPr>
            <w:tcW w:type="dxa" w:w="22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Active exception</w:t>
            </w:r>
          </w:p>
        </w:tc>
        <w:tc>
          <w:tcPr>
            <w:tcW w:type="dxa" w:w="796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[Clause ID + scope + authority + reason + evidence + review/expiry]; otherwise state NONE.</w:t>
            </w:r>
          </w:p>
        </w:tc>
      </w:tr>
    </w:tbl>
    <w:p>
      <w:pPr>
        <w:keepNext w:val="0"/>
        <w:keepLines/>
        <w:spacing w:before="100" w:after="60" w:line="257" w:lineRule="auto"/>
      </w:pPr>
      <w:r>
        <w:rPr>
          <w:rFonts w:ascii="Arial" w:hAnsi="Arial" w:eastAsia="Arial"/>
          <w:b w:val="0"/>
          <w:color w:val="526474"/>
          <w:sz w:val="17"/>
          <w:u w:val="none"/>
        </w:rPr>
        <w:t>A recorded exception does not silently change the original requirement. Conformance remains limited to the declared scope and authorized exception.</w:t>
      </w:r>
    </w:p>
    <w:p>
      <w:r>
        <w:br w:type="page"/>
      </w:r>
    </w:p>
    <w:p>
      <w:pPr>
        <w:pStyle w:val="Heading1"/>
        <w:keepNext w:val="0"/>
        <w:keepLines/>
        <w:spacing w:before="0" w:after="120" w:line="257" w:lineRule="auto"/>
      </w:pPr>
      <w:r>
        <w:rPr>
          <w:rFonts w:ascii="Arial" w:hAnsi="Arial" w:eastAsia="Arial"/>
          <w:b/>
          <w:color w:val="183B54"/>
          <w:sz w:val="32"/>
          <w:u w:val="none"/>
        </w:rPr>
        <w:t>RELEASE &amp; EVIDENCE</w:t>
      </w:r>
    </w:p>
    <w:p>
      <w:pPr>
        <w:keepNext w:val="0"/>
        <w:keepLines/>
        <w:spacing w:before="0" w:after="180" w:line="257" w:lineRule="auto"/>
      </w:pPr>
      <w:r>
        <w:rPr>
          <w:rFonts w:ascii="Arial" w:hAnsi="Arial" w:eastAsia="Arial"/>
          <w:b w:val="0"/>
          <w:color w:val="526474"/>
          <w:sz w:val="18"/>
          <w:u w:val="none"/>
        </w:rPr>
        <w:t>A reviewed release view, not an iteration tracker. Keep full logs and implementation detail in project-local supporting files.</w:t>
      </w:r>
    </w:p>
    <w:p>
      <w:pPr>
        <w:pStyle w:val="Heading2"/>
        <w:keepNext/>
        <w:keepLines/>
        <w:spacing w:before="60" w:after="80" w:line="257" w:lineRule="auto"/>
      </w:pPr>
      <w:r>
        <w:rPr>
          <w:rFonts w:ascii="Arial" w:hAnsi="Arial" w:eastAsia="Arial"/>
          <w:b/>
          <w:color w:val="183B54"/>
          <w:sz w:val="19"/>
          <w:u w:val="none"/>
        </w:rPr>
        <w:t>EXACT FOUR-SQUARE SNAPSHOT</w:t>
      </w:r>
    </w:p>
    <w:p>
      <w:pPr>
        <w:keepNext w:val="0"/>
        <w:keepLines/>
        <w:spacing w:before="0" w:after="120" w:line="257" w:lineRule="auto"/>
      </w:pPr>
      <w:r>
        <w:rPr>
          <w:rFonts w:ascii="Arial" w:hAnsi="Arial" w:eastAsia="Arial"/>
          <w:b w:val="0"/>
          <w:color w:val="172B3A"/>
          <w:sz w:val="18"/>
          <w:u w:val="none"/>
        </w:rPr>
        <w:t>Release: [project release ID]   •   Project repository: [owner/repository]   •   FSL template: v1.6</w:t>
      </w:r>
    </w:p>
    <w:tbl>
      <w:tblPr>
        <w:tblW w:type="dxa" w:w="10200"/>
        <w:jc w:val="center"/>
        <w:tblLayout w:type="fixed"/>
        <w:tblLook w:firstColumn="1" w:firstRow="1" w:lastColumn="0" w:lastRow="0" w:noHBand="0" w:noVBand="1" w:val="04A0"/>
        <w:tblBorders>
          <w:top w:val="single" w:sz="5" w:color="C9D3DB"/>
          <w:left w:val="nil" w:sz="5" w:color="C9D3DB"/>
          <w:bottom w:val="single" w:sz="5" w:color="C9D3DB"/>
          <w:right w:val="nil" w:sz="5" w:color="C9D3DB"/>
          <w:insideH w:val="single" w:sz="5" w:color="C9D3DB"/>
          <w:insideV w:val="nil" w:sz="5" w:color="C9D3DB"/>
        </w:tblBorders>
      </w:tblPr>
      <w:tblGrid>
        <w:gridCol w:w="1500"/>
        <w:gridCol w:w="2500"/>
        <w:gridCol w:w="3560"/>
        <w:gridCol w:w="2640"/>
      </w:tblGrid>
      <w:tr>
        <w:trPr>
          <w:cantSplit/>
          <w:tblHeader/>
        </w:trPr>
        <w:tc>
          <w:tcPr>
            <w:tcW w:type="dxa" w:w="150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/>
                <w:color w:val="183B54"/>
                <w:sz w:val="15"/>
                <w:u w:val="none"/>
              </w:rPr>
              <w:t>SQUARE</w:t>
            </w:r>
          </w:p>
        </w:tc>
        <w:tc>
          <w:tcPr>
            <w:tcW w:type="dxa" w:w="250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/>
                <w:color w:val="183B54"/>
                <w:sz w:val="15"/>
                <w:u w:val="none"/>
              </w:rPr>
              <w:t>PROJECT-LOCAL BRANCH</w:t>
            </w:r>
          </w:p>
        </w:tc>
        <w:tc>
          <w:tcPr>
            <w:tcW w:type="dxa" w:w="356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/>
                <w:color w:val="183B54"/>
                <w:sz w:val="15"/>
                <w:u w:val="none"/>
              </w:rPr>
              <w:t>REVIEWED COMMIT</w:t>
            </w:r>
          </w:p>
        </w:tc>
        <w:tc>
          <w:tcPr>
            <w:tcW w:type="dxa" w:w="26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/>
                <w:color w:val="183B54"/>
                <w:sz w:val="15"/>
                <w:u w:val="none"/>
              </w:rPr>
              <w:t>GATE</w:t>
            </w:r>
          </w:p>
        </w:tc>
      </w:tr>
      <w:tr>
        <w:trPr>
          <w:cantSplit/>
        </w:trPr>
        <w:tc>
          <w:tcPr>
            <w:tcW w:type="dxa" w:w="150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>SPEC</w:t>
            </w:r>
          </w:p>
        </w:tc>
        <w:tc>
          <w:tcPr>
            <w:tcW w:type="dxa" w:w="250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>spec-vN</w:t>
            </w:r>
          </w:p>
        </w:tc>
        <w:tc>
          <w:tcPr>
            <w:tcW w:type="dxa" w:w="356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>[Full reviewed commit ID]</w:t>
            </w:r>
          </w:p>
        </w:tc>
        <w:tc>
          <w:tcPr>
            <w:tcW w:type="dxa" w:w="26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>[Gate evidence]</w:t>
            </w:r>
          </w:p>
        </w:tc>
      </w:tr>
      <w:tr>
        <w:trPr>
          <w:cantSplit/>
        </w:trPr>
        <w:tc>
          <w:tcPr>
            <w:tcW w:type="dxa" w:w="150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>[LANE A]</w:t>
            </w:r>
          </w:p>
        </w:tc>
        <w:tc>
          <w:tcPr>
            <w:tcW w:type="dxa" w:w="250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>[lane-a]-vN</w:t>
            </w:r>
          </w:p>
        </w:tc>
        <w:tc>
          <w:tcPr>
            <w:tcW w:type="dxa" w:w="356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>[Full reviewed commit ID]</w:t>
            </w:r>
          </w:p>
        </w:tc>
        <w:tc>
          <w:tcPr>
            <w:tcW w:type="dxa" w:w="26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>[Gate evidence]</w:t>
            </w:r>
          </w:p>
        </w:tc>
      </w:tr>
      <w:tr>
        <w:trPr>
          <w:cantSplit/>
        </w:trPr>
        <w:tc>
          <w:tcPr>
            <w:tcW w:type="dxa" w:w="150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>[LANE B]</w:t>
            </w:r>
          </w:p>
        </w:tc>
        <w:tc>
          <w:tcPr>
            <w:tcW w:type="dxa" w:w="250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>[lane-b]-vN</w:t>
            </w:r>
          </w:p>
        </w:tc>
        <w:tc>
          <w:tcPr>
            <w:tcW w:type="dxa" w:w="356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>[Full reviewed commit ID]</w:t>
            </w:r>
          </w:p>
        </w:tc>
        <w:tc>
          <w:tcPr>
            <w:tcW w:type="dxa" w:w="26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>[Gate evidence]</w:t>
            </w:r>
          </w:p>
        </w:tc>
      </w:tr>
      <w:tr>
        <w:trPr>
          <w:cantSplit/>
        </w:trPr>
        <w:tc>
          <w:tcPr>
            <w:tcW w:type="dxa" w:w="150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>MEMORY</w:t>
            </w:r>
          </w:p>
        </w:tc>
        <w:tc>
          <w:tcPr>
            <w:tcW w:type="dxa" w:w="250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>memory-vN</w:t>
            </w:r>
          </w:p>
        </w:tc>
        <w:tc>
          <w:tcPr>
            <w:tcW w:type="dxa" w:w="356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>[Full reviewed commit ID]</w:t>
            </w:r>
          </w:p>
        </w:tc>
        <w:tc>
          <w:tcPr>
            <w:tcW w:type="dxa" w:w="26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>[Gate evidence]</w:t>
            </w:r>
          </w:p>
        </w:tc>
      </w:tr>
    </w:tbl>
    <w:p>
      <w:pPr>
        <w:keepNext w:val="0"/>
        <w:keepLines/>
        <w:spacing w:before="100" w:after="60" w:line="257" w:lineRule="auto"/>
      </w:pPr>
      <w:r>
        <w:rPr>
          <w:rFonts w:ascii="Arial" w:hAnsi="Arial" w:eastAsia="Arial"/>
          <w:b w:val="0"/>
          <w:color w:val="172B3A"/>
          <w:sz w:val="18"/>
          <w:u w:val="none"/>
        </w:rPr>
        <w:t>Integration: [full accepted commit ID]. Publication: [branch / tag / release URL and actual state]. A branch name alone is not an immutable snapshot.</w:t>
      </w:r>
    </w:p>
    <w:p>
      <w:pPr>
        <w:keepNext w:val="0"/>
        <w:keepLines/>
        <w:spacing w:before="0" w:after="60" w:line="257" w:lineRule="auto"/>
      </w:pPr>
      <w:r>
        <w:rPr>
          <w:rFonts w:ascii="Arial" w:hAnsi="Arial" w:eastAsia="Arial"/>
          <w:b w:val="0"/>
          <w:color w:val="526474"/>
          <w:sz w:val="17"/>
          <w:u w:val="none"/>
        </w:rPr>
        <w:t>LAW-SNAPSHOT-001 / 002: record the four reviewed commits; the snapshot does not replace Git. Do not invent a commit or claim publication from a local package.</w:t>
      </w:r>
    </w:p>
    <w:p>
      <w:pPr>
        <w:pStyle w:val="Heading2"/>
        <w:keepNext/>
        <w:keepLines/>
        <w:spacing w:before="160" w:after="80" w:line="257" w:lineRule="auto"/>
      </w:pPr>
      <w:r>
        <w:rPr>
          <w:rFonts w:ascii="Arial" w:hAnsi="Arial" w:eastAsia="Arial"/>
          <w:b/>
          <w:color w:val="183B54"/>
          <w:sz w:val="19"/>
          <w:u w:val="none"/>
        </w:rPr>
        <w:t>SCOPED ACCEPTANCE EVIDENCE</w:t>
      </w:r>
    </w:p>
    <w:tbl>
      <w:tblPr>
        <w:tblW w:type="dxa" w:w="10200"/>
        <w:jc w:val="center"/>
        <w:tblLayout w:type="fixed"/>
        <w:tblLook w:firstColumn="1" w:firstRow="1" w:lastColumn="0" w:lastRow="0" w:noHBand="0" w:noVBand="1" w:val="04A0"/>
        <w:tblBorders>
          <w:top w:val="single" w:sz="5" w:color="C9D3DB"/>
          <w:left w:val="nil" w:sz="5" w:color="C9D3DB"/>
          <w:bottom w:val="single" w:sz="5" w:color="C9D3DB"/>
          <w:right w:val="nil" w:sz="5" w:color="C9D3DB"/>
          <w:insideH w:val="single" w:sz="5" w:color="C9D3DB"/>
          <w:insideV w:val="nil" w:sz="5" w:color="C9D3DB"/>
        </w:tblBorders>
      </w:tblPr>
      <w:tblGrid>
        <w:gridCol w:w="2240"/>
        <w:gridCol w:w="2840"/>
        <w:gridCol w:w="2640"/>
        <w:gridCol w:w="2480"/>
      </w:tblGrid>
      <w:tr>
        <w:trPr>
          <w:cantSplit/>
          <w:tblHeader/>
        </w:trPr>
        <w:tc>
          <w:tcPr>
            <w:tcW w:type="dxa" w:w="22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/>
                <w:color w:val="183B54"/>
                <w:sz w:val="15"/>
                <w:u w:val="none"/>
              </w:rPr>
              <w:t>CLAUSE</w:t>
            </w:r>
          </w:p>
        </w:tc>
        <w:tc>
          <w:tcPr>
            <w:tcW w:type="dxa" w:w="28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/>
                <w:color w:val="183B54"/>
                <w:sz w:val="15"/>
                <w:u w:val="none"/>
              </w:rPr>
              <w:t>CLAIM / SCOPE</w:t>
            </w:r>
          </w:p>
        </w:tc>
        <w:tc>
          <w:tcPr>
            <w:tcW w:type="dxa" w:w="26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/>
                <w:color w:val="183B54"/>
                <w:sz w:val="15"/>
                <w:u w:val="none"/>
              </w:rPr>
              <w:t>PROOF CONTEXT</w:t>
            </w:r>
          </w:p>
        </w:tc>
        <w:tc>
          <w:tcPr>
            <w:tcW w:type="dxa" w:w="24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/>
                <w:color w:val="183B54"/>
                <w:sz w:val="15"/>
                <w:u w:val="none"/>
              </w:rPr>
              <w:t>RESULT</w:t>
            </w:r>
          </w:p>
        </w:tc>
      </w:tr>
      <w:tr>
        <w:trPr>
          <w:cantSplit/>
        </w:trPr>
        <w:tc>
          <w:tcPr>
            <w:tcW w:type="dxa" w:w="22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>[CLAUSE-ID]</w:t>
            </w:r>
          </w:p>
        </w:tc>
        <w:tc>
          <w:tcPr>
            <w:tcW w:type="dxa" w:w="28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>[Claim + artifact / path]</w:t>
            </w:r>
          </w:p>
        </w:tc>
        <w:tc>
          <w:tcPr>
            <w:tcW w:type="dxa" w:w="26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>[Environment + evidence link]</w:t>
            </w:r>
          </w:p>
        </w:tc>
        <w:tc>
          <w:tcPr>
            <w:tcW w:type="dxa" w:w="24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/>
                <w:color w:val="172B3A"/>
                <w:sz w:val="17"/>
                <w:u w:val="single"/>
              </w:rPr>
              <w:t>NOT YET PROVEN</w:t>
            </w:r>
          </w:p>
        </w:tc>
      </w:tr>
      <w:tr>
        <w:trPr>
          <w:cantSplit/>
        </w:trPr>
        <w:tc>
          <w:tcPr>
            <w:tcW w:type="dxa" w:w="22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>[CLAUSE-ID]</w:t>
            </w:r>
          </w:p>
        </w:tc>
        <w:tc>
          <w:tcPr>
            <w:tcW w:type="dxa" w:w="28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>[Second material promise]</w:t>
            </w:r>
          </w:p>
        </w:tc>
        <w:tc>
          <w:tcPr>
            <w:tcW w:type="dxa" w:w="26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>[Environment + evidence link]</w:t>
            </w:r>
          </w:p>
        </w:tc>
        <w:tc>
          <w:tcPr>
            <w:tcW w:type="dxa" w:w="24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/>
                <w:color w:val="172B3A"/>
                <w:sz w:val="17"/>
                <w:u w:val="single"/>
              </w:rPr>
              <w:t>NOT YET PROVEN</w:t>
            </w:r>
          </w:p>
        </w:tc>
      </w:tr>
    </w:tbl>
    <w:p>
      <w:pPr>
        <w:keepNext w:val="0"/>
        <w:keepLines/>
        <w:spacing w:before="100" w:after="60" w:line="257" w:lineRule="auto"/>
      </w:pPr>
      <w:r>
        <w:rPr>
          <w:rFonts w:ascii="Arial" w:hAnsi="Arial" w:eastAsia="Arial"/>
          <w:b w:val="0"/>
          <w:color w:val="172B3A"/>
          <w:sz w:val="18"/>
          <w:u w:val="none"/>
        </w:rPr>
        <w:t>A changed component can pass its own gate without establishing the complete user path. Scope the statement to the proof actually obtained.</w:t>
      </w:r>
    </w:p>
    <w:p>
      <w:pPr>
        <w:pStyle w:val="Heading2"/>
        <w:keepNext/>
        <w:keepLines/>
        <w:spacing w:before="160" w:after="80" w:line="257" w:lineRule="auto"/>
      </w:pPr>
      <w:r>
        <w:rPr>
          <w:rFonts w:ascii="Arial" w:hAnsi="Arial" w:eastAsia="Arial"/>
          <w:b/>
          <w:color w:val="183B54"/>
          <w:sz w:val="19"/>
          <w:u w:val="none"/>
        </w:rPr>
        <w:t>CONFORMANCE DECLARATION</w:t>
      </w:r>
    </w:p>
    <w:tbl>
      <w:tblPr>
        <w:tblW w:type="dxa" w:w="10200"/>
        <w:jc w:val="center"/>
        <w:tblLayout w:type="fixed"/>
        <w:tblLook w:firstColumn="1" w:firstRow="1" w:lastColumn="0" w:lastRow="0" w:noHBand="0" w:noVBand="1" w:val="04A0"/>
        <w:tblBorders>
          <w:top w:val="single" w:sz="5" w:color="C9D3DB"/>
          <w:left w:val="nil" w:sz="5" w:color="C9D3DB"/>
          <w:bottom w:val="single" w:sz="5" w:color="C9D3DB"/>
          <w:right w:val="nil" w:sz="5" w:color="C9D3DB"/>
          <w:insideH w:val="single" w:sz="5" w:color="C9D3DB"/>
          <w:insideV w:val="nil" w:sz="5" w:color="C9D3DB"/>
        </w:tblBorders>
      </w:tblPr>
      <w:tblGrid>
        <w:gridCol w:w="3320"/>
        <w:gridCol w:w="6880"/>
      </w:tblGrid>
      <w:tr>
        <w:trPr>
          <w:cantSplit/>
        </w:trPr>
        <w:tc>
          <w:tcPr>
            <w:tcW w:type="dxa" w:w="332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/>
                <w:color w:val="172B3A"/>
                <w:sz w:val="18"/>
                <w:u w:val="single"/>
              </w:rPr>
              <w:t>CONFORMANT</w:t>
            </w:r>
          </w:p>
        </w:tc>
        <w:tc>
          <w:tcPr>
            <w:tcW w:type="dxa" w:w="68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Applicable binding requirements have evidence; no unresolved binding violation.</w:t>
            </w:r>
          </w:p>
        </w:tc>
      </w:tr>
      <w:tr>
        <w:trPr>
          <w:cantSplit/>
        </w:trPr>
        <w:tc>
          <w:tcPr>
            <w:tcW w:type="dxa" w:w="332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/>
                <w:color w:val="172B3A"/>
                <w:sz w:val="18"/>
                <w:u w:val="single"/>
              </w:rPr>
              <w:t>CONFORMANT WITH EXCEPTION</w:t>
            </w:r>
          </w:p>
        </w:tc>
        <w:tc>
          <w:tcPr>
            <w:tcW w:type="dxa" w:w="68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An authorized, explicit and scoped exception accompanies otherwise supported claims.</w:t>
            </w:r>
          </w:p>
        </w:tc>
      </w:tr>
      <w:tr>
        <w:trPr>
          <w:cantSplit/>
        </w:trPr>
        <w:tc>
          <w:tcPr>
            <w:tcW w:type="dxa" w:w="332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/>
                <w:color w:val="172B3A"/>
                <w:sz w:val="18"/>
                <w:u w:val="single"/>
              </w:rPr>
              <w:t>NON-CONFORMANT</w:t>
            </w:r>
          </w:p>
        </w:tc>
        <w:tc>
          <w:tcPr>
            <w:tcW w:type="dxa" w:w="68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A binding requirement is known to be violated.</w:t>
            </w:r>
          </w:p>
        </w:tc>
      </w:tr>
      <w:tr>
        <w:trPr>
          <w:cantSplit/>
        </w:trPr>
        <w:tc>
          <w:tcPr>
            <w:tcW w:type="dxa" w:w="332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/>
                <w:color w:val="172B3A"/>
                <w:sz w:val="18"/>
                <w:u w:val="single"/>
              </w:rPr>
              <w:t>NOT YET PROVEN</w:t>
            </w:r>
          </w:p>
        </w:tc>
        <w:tc>
          <w:tcPr>
            <w:tcW w:type="dxa" w:w="68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Evidence or a necessary interpretation is unresolved.</w:t>
            </w:r>
          </w:p>
        </w:tc>
      </w:tr>
    </w:tbl>
    <w:p>
      <w:pPr>
        <w:keepNext w:val="0"/>
        <w:keepLines/>
        <w:spacing w:before="120" w:after="60" w:line="257" w:lineRule="auto"/>
      </w:pPr>
      <w:r>
        <w:rPr>
          <w:rFonts w:ascii="Arial" w:hAnsi="Arial" w:eastAsia="Arial"/>
          <w:b w:val="0"/>
          <w:color w:val="172B3A"/>
          <w:sz w:val="17"/>
          <w:u w:val="none"/>
        </w:rPr>
        <w:t>Declared state: [</w:t>
      </w:r>
      <w:r>
        <w:rPr>
          <w:rFonts w:ascii="Arial" w:hAnsi="Arial" w:eastAsia="Arial"/>
          <w:b/>
          <w:color w:val="172B3A"/>
          <w:sz w:val="17"/>
          <w:u w:val="single"/>
        </w:rPr>
        <w:t>NOT YET PROVEN</w:t>
      </w:r>
      <w:r>
        <w:rPr>
          <w:rFonts w:ascii="Arial" w:hAnsi="Arial" w:eastAsia="Arial"/>
          <w:b w:val="0"/>
          <w:color w:val="172B3A"/>
          <w:sz w:val="17"/>
          <w:u w:val="none"/>
        </w:rPr>
        <w:t>]   •   Reviewer / date: [owner / date]   •   Active exceptions: [NONE / IDs]</w:t>
      </w:r>
    </w:p>
    <w:p>
      <w:pPr>
        <w:pStyle w:val="Heading2"/>
        <w:keepNext/>
        <w:keepLines/>
        <w:spacing w:before="160" w:after="80" w:line="257" w:lineRule="auto"/>
      </w:pPr>
      <w:r>
        <w:rPr>
          <w:rFonts w:ascii="Arial" w:hAnsi="Arial" w:eastAsia="Arial"/>
          <w:b/>
          <w:color w:val="183B54"/>
          <w:sz w:val="19"/>
          <w:u w:val="none"/>
        </w:rPr>
        <w:t>POST-RELEASE LIFECYCLE</w:t>
      </w:r>
    </w:p>
    <w:p>
      <w:pPr>
        <w:keepNext w:val="0"/>
        <w:keepLines/>
        <w:spacing w:before="0" w:after="100" w:line="257" w:lineRule="auto"/>
      </w:pPr>
      <w:r>
        <w:rPr>
          <w:rFonts w:ascii="Arial" w:hAnsi="Arial" w:eastAsia="Arial"/>
          <w:b w:val="0"/>
          <w:color w:val="172B3A"/>
          <w:sz w:val="17"/>
          <w:u w:val="none"/>
        </w:rPr>
        <w:t>Released SPEC stays immutable. APPENDIX clarifies/supports without changing intent; ERRATA corrects without changing intent; AMENDMENT changes intent and identifies the released version plus affected clauses.</w:t>
      </w:r>
    </w:p>
    <w:p>
      <w:pPr>
        <w:keepNext w:val="0"/>
        <w:keepLines/>
        <w:spacing w:before="0" w:after="60" w:line="257" w:lineRule="auto"/>
      </w:pPr>
      <w:r>
        <w:rPr>
          <w:rFonts w:ascii="Arial" w:hAnsi="Arial" w:eastAsia="Arial"/>
          <w:b w:val="0"/>
          <w:color w:val="526474"/>
          <w:sz w:val="17"/>
          <w:u w:val="none"/>
        </w:rPr>
        <w:t xml:space="preserve">Identity: APPENDIX-A / ERRATA-001 / AMENDMENT-001. The next release </w:t>
      </w:r>
      <w:r>
        <w:rPr>
          <w:rFonts w:ascii="Arial" w:hAnsi="Arial" w:eastAsia="Arial"/>
          <w:b/>
          <w:color w:val="526474"/>
          <w:sz w:val="17"/>
          <w:u w:val="single"/>
        </w:rPr>
        <w:t>SHOULD</w:t>
      </w:r>
      <w:r>
        <w:rPr>
          <w:rFonts w:ascii="Arial" w:hAnsi="Arial" w:eastAsia="Arial"/>
          <w:b w:val="0"/>
          <w:color w:val="526474"/>
          <w:sz w:val="17"/>
          <w:u w:val="none"/>
        </w:rPr>
        <w:t xml:space="preserve"> absorb adopted errata/amendments. Release is immutable. Clarify with appendix, correct with errata, change with amendment.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840" w:right="853" w:bottom="1180" w:left="853" w:header="520" w:footer="4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 w:after="80"/>
      <w:jc w:val="center"/>
    </w:pPr>
    <w:r>
      <w:rPr>
        <w:rFonts w:ascii="Arial" w:hAnsi="Arial" w:eastAsia="Arial"/>
        <w:b/>
        <w:color w:val="183B54"/>
        <w:sz w:val="16"/>
        <w:u w:val="none"/>
      </w:rPr>
      <w:t>FSL owns the method. The project owns the work.</w:t>
    </w:r>
  </w:p>
  <w:p>
    <w:pPr>
      <w:keepNext w:val="0"/>
      <w:keepLines/>
      <w:tabs>
        <w:tab w:pos="10200" w:val="right"/>
      </w:tabs>
      <w:spacing w:before="0" w:after="0" w:line="257" w:lineRule="auto"/>
    </w:pPr>
    <w:r>
      <w:rPr>
        <w:rFonts w:ascii="Arial" w:hAnsi="Arial" w:eastAsia="Arial"/>
        <w:b w:val="0"/>
        <w:color w:val="526474"/>
        <w:sz w:val="15"/>
        <w:u w:val="none"/>
      </w:rPr>
      <w:t>Four-Square Template v1.6</w:t>
    </w:r>
    <w:r>
      <w:rPr>
        <w:rFonts w:ascii="Arial" w:hAnsi="Arial" w:eastAsia="Arial"/>
        <w:b w:val="0"/>
        <w:color w:val="526474"/>
        <w:sz w:val="15"/>
        <w:u w:val="none"/>
      </w:rPr>
      <w:tab/>
      <w:t xml:space="preserve">Page </w:t>
    </w:r>
    <w:fldSimple w:instr="PAGE">
      <w:r>
        <w:rPr>
          <w:rFonts w:ascii="Arial" w:hAnsi="Arial"/>
          <w:sz w:val="15"/>
        </w:rPr>
        <w:t>1</w:t>
      </w:r>
    </w:fldSimple>
    <w:r>
      <w:rPr>
        <w:rFonts w:ascii="Arial" w:hAnsi="Arial" w:eastAsia="Arial"/>
        <w:b w:val="0"/>
        <w:color w:val="526474"/>
        <w:sz w:val="15"/>
        <w:u w:val="none"/>
      </w:rPr>
      <w:t xml:space="preserve"> / </w:t>
    </w:r>
    <w:fldSimple w:instr="NUMPAGES">
      <w:r>
        <w:rPr>
          <w:rFonts w:ascii="Arial" w:hAnsi="Arial"/>
          <w:sz w:val="15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10200" w:val="right"/>
      </w:tabs>
      <w:spacing w:after="80"/>
    </w:pPr>
    <w:r>
      <w:rPr>
        <w:rFonts w:ascii="Arial" w:hAnsi="Arial" w:eastAsia="Arial"/>
        <w:b/>
        <w:color w:val="183B54"/>
        <w:sz w:val="16"/>
        <w:u w:val="none"/>
      </w:rPr>
      <w:t>FSL  /  FOUR-SQUARE LETTERHEAD</w:t>
    </w:r>
    <w:r>
      <w:rPr>
        <w:rFonts w:ascii="Arial" w:hAnsi="Arial" w:eastAsia="Arial"/>
        <w:b/>
        <w:color w:val="526474"/>
        <w:sz w:val="16"/>
        <w:u w:val="none"/>
      </w:rPr>
      <w:tab/>
      <w:t>Project version [vN]</w:t>
    </w:r>
  </w:p>
  <w:p>
    <w:pPr>
      <w:keepNext w:val="0"/>
      <w:keepLines/>
      <w:spacing w:before="0" w:after="40" w:line="257" w:lineRule="auto"/>
    </w:pPr>
    <w:r>
      <w:rPr>
        <w:rFonts w:ascii="Arial" w:hAnsi="Arial" w:eastAsia="Arial"/>
        <w:b/>
        <w:color w:val="183B54"/>
        <w:sz w:val="42"/>
        <w:u w:val="none"/>
      </w:rPr>
      <w:t>[PROJECT / PRODUCT]</w:t>
    </w:r>
  </w:p>
  <w:p>
    <w:pPr>
      <w:keepNext w:val="0"/>
      <w:keepLines/>
      <w:spacing w:before="0" w:after="100" w:line="257" w:lineRule="auto"/>
      <w:pBdr>
        <w:bottom w:val="single" w:sz="12" w:color="183B54" w:space="6"/>
      </w:pBdr>
    </w:pPr>
    <w:r>
      <w:rPr>
        <w:rFonts w:ascii="Arial" w:hAnsi="Arial" w:eastAsia="Arial"/>
        <w:b w:val="0"/>
        <w:color w:val="526474"/>
        <w:sz w:val="16"/>
        <w:u w:val="none"/>
      </w:rPr>
      <w:t>Project repository: [owner/repository]  •  Owner: [responsible person/team]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7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3B5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83B5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FSL v1.6 - Project letterhead template</dc:title>
  <dc:subject>Compact project constitution and development method</dc:subject>
  <dc:creator>FSL</dc:creator>
  <cp:keywords/>
  <dc:description>generated by python-docx</dc:description>
  <cp:lastModifiedBy>FSL</cp:lastModifiedBy>
  <cp:revision>1</cp:revision>
  <dcterms:created xsi:type="dcterms:W3CDTF">2026-09-08T00:00:00Z</dcterms:created>
  <dcterms:modified xsi:type="dcterms:W3CDTF">2026-09-08T00:00:00Z</dcterms:modified>
  <cp:category/>
</cp:coreProperties>
</file>