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Material work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use a checklist or equivalent visible plan.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Each material binding clause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have a stable clause ID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map to a verification item and observable evidence.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perform Discover → Plan → Execute → Observe → Verify → Record with defined responsibilities.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LAW-AI-001 — When normative intent is ambiguous, 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silently choose a stronger or weaker interpretation; they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surface the ambiguity for review.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Existing assets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classified explicitly as REUSE, INHERIT or REFERENCE when project-boundary assumptions could otherwise leak.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v1.3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