
<file path=[Content_Types].xml><?xml version="1.0" encoding="utf-8"?>
<Types xmlns:w="http://schemas.openxmlformats.org/wordprocessingml/2006/main" xmlns:r="http://schemas.openxmlformats.org/officeDocument/2006/relationships" xmlns:mc="http://schemas.openxmlformats.org/markup-compatibility/2006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>
  <w:body>
    <w:p>
      <w:pPr>
        <w:keepNext w:val="0"/>
        <w:keepLines/>
        <w:spacing w:before="0" w:after="140" w:line="257" w:lineRule="auto"/>
      </w:pPr>
      <w:r>
        <w:rPr>
          <w:rFonts w:ascii="Arial" w:hAnsi="Arial" w:eastAsia="Arial"/>
          <w:b/>
          <w:color w:val="183B54"/>
          <w:sz w:val="20"/>
          <w:u w:val="none"/>
        </w:rPr>
        <w:t xml:space="preserve">Purpose. </w:t>
      </w:r>
      <w:r>
        <w:rPr>
          <w:rFonts w:ascii="Arial" w:hAnsi="Arial" w:eastAsia="Arial"/>
          <w:b w:val="0"/>
          <w:color w:val="172B3A"/>
          <w:sz w:val="20"/>
          <w:u w:val="none"/>
        </w:rPr>
        <w:t>[Who benefits and what this delivers.] Scope: [included behavior and exclusions].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90" w:type="dxa"/>
              <w:bottom w:w="90" w:type="dxa"/>
              <w:left w:w="125" w:type="dxa"/>
              <w:right w:w="125" w:type="dxa"/>
            </w:tcMar>
            <w:shd w:fill="F2F5F7"/>
          </w:tcPr>
          <w:p>
            <w:pPr>
              <w:keepNext/>
              <w:keepLines/>
              <w:spacing w:before="0" w:after="60" w:line="257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>FSL first; scope, promises, checks and routes. Appendix, errata or amendments when useful.</w:t>
            </w:r>
          </w:p>
        </w:tc>
        <w:tc>
          <w:tcPr>
            <w:tcW w:type="dxa" w:w="5100"/>
            <w:vAlign w:val="top"/>
            <w:tcMar>
              <w:top w:w="90" w:type="dxa"/>
              <w:bottom w:w="90" w:type="dxa"/>
              <w:left w:w="125" w:type="dxa"/>
              <w:right w:w="125" w:type="dxa"/>
            </w:tcMar>
          </w:tcPr>
          <w:p>
            <w:pPr>
              <w:keepNext/>
              <w:keepLines/>
              <w:spacing w:before="0" w:after="60" w:line="257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SYSTEM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system-vN</w:t>
            </w:r>
          </w:p>
          <w:p>
            <w:pPr>
              <w:keepNext w:val="0"/>
              <w:keepLines/>
              <w:spacing w:before="0" w:after="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>Delivers the product or skill, including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90" w:type="dxa"/>
              <w:bottom w:w="90" w:type="dxa"/>
              <w:left w:w="125" w:type="dxa"/>
              <w:right w:w="125" w:type="dxa"/>
            </w:tcMar>
          </w:tcPr>
          <w:p>
            <w:pPr>
              <w:keepNext/>
              <w:keepLines/>
              <w:spacing w:before="0" w:after="60" w:line="257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AI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ai-vN</w:t>
            </w:r>
          </w:p>
          <w:p>
            <w:pPr>
              <w:keepNext w:val="0"/>
              <w:keepLines/>
              <w:spacing w:before="0" w:after="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>Owns AI-specific instructions and capabilities. Declare inactive scope.</w:t>
            </w:r>
          </w:p>
        </w:tc>
        <w:tc>
          <w:tcPr>
            <w:tcW w:type="dxa" w:w="5100"/>
            <w:vAlign w:val="top"/>
            <w:tcMar>
              <w:top w:w="90" w:type="dxa"/>
              <w:bottom w:w="90" w:type="dxa"/>
              <w:left w:w="125" w:type="dxa"/>
              <w:right w:w="125" w:type="dxa"/>
            </w:tcMar>
            <w:shd w:fill="F2F5F7"/>
          </w:tcPr>
          <w:p>
            <w:pPr>
              <w:keepNext/>
              <w:keepLines/>
              <w:spacing w:before="0" w:after="60" w:line="257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>Keeps decisions, context and evidence links; never creates law.</w:t>
            </w:r>
          </w:p>
        </w:tc>
      </w:tr>
    </w:tbl>
    <w:p>
      <w:pPr>
        <w:keepNext w:val="0"/>
        <w:keepLines/>
        <w:spacing w:before="80" w:after="0" w:line="257" w:lineRule="auto"/>
      </w:pPr>
      <w:r>
        <w:rPr>
          <w:rFonts w:ascii="Arial" w:hAnsi="Arial"/>
          <w:b w:val="0"/>
          <w:color w:val="172B3A"/>
          <w:sz w:val="17"/>
          <w:u w:val="none"/>
        </w:rPr>
        <w:t>SPEC + MEMORY stay fixed; SYSTEM / AI are defaults. Squares own artifacts; routes cross only the artifacts needed for the claimed outcome.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526474"/>
          <w:sz w:val="17"/>
          <w:u w:val="single"/>
        </w:rPr>
        <w:t>MUST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/ </w:t>
      </w:r>
      <w:r>
        <w:rPr>
          <w:rFonts w:ascii="Arial" w:hAnsi="Arial" w:eastAsia="Arial"/>
          <w:b/>
          <w:color w:val="526474"/>
          <w:sz w:val="17"/>
          <w:u w:val="single"/>
        </w:rPr>
        <w:t>MUST NOT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bind. </w:t>
      </w:r>
      <w:r>
        <w:rPr>
          <w:rFonts w:ascii="Arial" w:hAnsi="Arial" w:eastAsia="Arial"/>
          <w:b/>
          <w:color w:val="526474"/>
          <w:sz w:val="17"/>
          <w:u w:val="single"/>
        </w:rPr>
        <w:t>SHOULD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/ </w:t>
      </w:r>
      <w:r>
        <w:rPr>
          <w:rFonts w:ascii="Arial" w:hAnsi="Arial" w:eastAsia="Arial"/>
          <w:b/>
          <w:color w:val="526474"/>
          <w:sz w:val="17"/>
          <w:u w:val="single"/>
        </w:rPr>
        <w:t>SHOULD NOT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guide. </w:t>
      </w:r>
      <w:r>
        <w:rPr>
          <w:rFonts w:ascii="Arial" w:hAnsi="Arial" w:eastAsia="Arial"/>
          <w:b/>
          <w:color w:val="526474"/>
          <w:sz w:val="17"/>
          <w:u w:val="single"/>
        </w:rPr>
        <w:t>MAY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permits.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LAW-[SCOPE]-001. 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[Subject] </w:t>
      </w:r>
      <w:r>
        <w:rPr>
          <w:rFonts w:ascii="Arial" w:hAnsi="Arial" w:eastAsia="Arial"/>
          <w:b/>
          <w:color w:val="172B3A"/>
          <w:sz w:val="19"/>
          <w:u w:val="single"/>
        </w:rPr>
        <w:t>MUST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 [observable requirement]. Check: [evidence].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CONTRACT-[SCOPE]-002. 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[Interface] </w:t>
      </w:r>
      <w:r>
        <w:rPr>
          <w:rFonts w:ascii="Arial" w:hAnsi="Arial" w:eastAsia="Arial"/>
          <w:b/>
          <w:color w:val="172B3A"/>
          <w:sz w:val="19"/>
          <w:u w:val="single"/>
        </w:rPr>
        <w:t>MUST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 [observable promise]. Check: [evidence].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GUARD-[SCOPE]-003. 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[Operation] </w:t>
      </w:r>
      <w:r>
        <w:rPr>
          <w:rFonts w:ascii="Arial" w:hAnsi="Arial" w:eastAsia="Arial"/>
          <w:b/>
          <w:color w:val="172B3A"/>
          <w:sz w:val="19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 [forbidden effect]. Check: [evidence].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E2E ROUTE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83B54"/>
          <w:sz w:val="20"/>
          <w:u w:val="none"/>
        </w:rPr>
        <w:t xml:space="preserve">R-01. </w:t>
      </w:r>
      <w:r>
        <w:rPr>
          <w:rFonts w:ascii="Arial" w:hAnsi="Arial" w:eastAsia="Arial"/>
          <w:b/>
          <w:color w:val="172B3A"/>
          <w:sz w:val="20"/>
          <w:u w:val="none"/>
        </w:rPr>
        <w:t>[input] → [touchpoint 1] → [touchpoint 2] → [output].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Expected. </w:t>
      </w:r>
      <w:r>
        <w:rPr>
          <w:rFonts w:ascii="Arial" w:hAnsi="Arial" w:eastAsia="Arial"/>
          <w:b w:val="0"/>
          <w:color w:val="172B3A"/>
          <w:sz w:val="19"/>
          <w:u w:val="none"/>
        </w:rPr>
        <w:t>[Observable outcome and boundary]. Clauses: [IDs].</w:t>
      </w:r>
    </w:p>
    <w:p>
      <w:pPr>
        <w:keepNext w:val="0"/>
        <w:keepLines/>
        <w:spacing w:before="0" w:after="140" w:line="257" w:lineRule="auto"/>
      </w:pPr>
      <w:r>
        <w:rPr>
          <w:rFonts w:ascii="Arial" w:hAnsi="Arial"/>
          <w:b w:val="0"/>
          <w:color w:val="172B3A"/>
          <w:sz w:val="19"/>
          <w:u w:val="none"/>
        </w:rPr>
        <w:t xml:space="preserve">Route defines expected coverage; run records observed coverage. Show every touchpoint before each run; retain PASS, FAIL or NOT RUN and evidence in the log. A partial pass </w:t>
      </w:r>
      <w:r>
        <w:rPr>
          <w:rFonts w:ascii="Arial" w:hAnsi="Arial"/>
          <w:b/>
          <w:color w:val="172B3A"/>
          <w:sz w:val="19"/>
          <w:u w:val="single"/>
        </w:rPr>
        <w:t>MUST NOT</w:t>
      </w:r>
      <w:r>
        <w:rPr>
          <w:rFonts w:ascii="Arial" w:hAnsi="Arial"/>
          <w:b w:val="0"/>
          <w:color w:val="172B3A"/>
          <w:sz w:val="19"/>
          <w:u w:val="none"/>
        </w:rPr>
        <w:t xml:space="preserve"> be called E2E proof.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/>
          <w:b/>
          <w:color w:val="183B54"/>
          <w:sz w:val="19"/>
          <w:u w:val="none"/>
        </w:rPr>
        <w:t>Development.</w:t>
      </w:r>
      <w:r>
        <w:rPr>
          <w:rFonts w:ascii="Arial" w:hAnsi="Arial"/>
          <w:b w:val="0"/>
          <w:color w:val="172B3A"/>
          <w:sz w:val="19"/>
          <w:u w:val="none"/>
        </w:rPr>
        <w:t xml:space="preserve"> Iterate: one focused work-and-check loop; several runs may use the same route. New projects </w:t>
      </w:r>
      <w:r>
        <w:rPr>
          <w:rFonts w:ascii="Arial" w:hAnsi="Arial"/>
          <w:b/>
          <w:color w:val="172B3A"/>
          <w:sz w:val="19"/>
          <w:u w:val="single"/>
        </w:rPr>
        <w:t>SHOULD</w:t>
      </w:r>
      <w:r>
        <w:rPr>
          <w:rFonts w:ascii="Arial" w:hAnsi="Arial"/>
          <w:b w:val="0"/>
          <w:color w:val="172B3A"/>
          <w:sz w:val="19"/>
          <w:u w:val="none"/>
        </w:rPr>
        <w:t xml:space="preserve"> begin with four E2E learning goals: tiny complete path → useful behavior → boundary/recovery → intended-use rehearsal → grow. Repeat or split as needed; this is not release approval. Existing projects adopt a reviewed baseline; iterations remain optional. Parallel E2E / E2M / M2E </w:t>
      </w:r>
      <w:r>
        <w:rPr>
          <w:rFonts w:ascii="Arial" w:hAnsi="Arial"/>
          <w:b/>
          <w:color w:val="172B3A"/>
          <w:sz w:val="19"/>
          <w:u w:val="single"/>
        </w:rPr>
        <w:t>MAY</w:t>
      </w:r>
      <w:r>
        <w:rPr>
          <w:rFonts w:ascii="Arial" w:hAnsi="Arial"/>
          <w:b w:val="0"/>
          <w:color w:val="172B3A"/>
          <w:sz w:val="19"/>
          <w:u w:val="none"/>
        </w:rPr>
        <w:t xml:space="preserve"> help; M names the shared contract.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References. </w:t>
      </w:r>
      <w:r>
        <w:rPr>
          <w:rFonts w:ascii="Arial" w:hAnsi="Arial" w:eastAsia="Arial"/>
          <w:b w:val="0"/>
          <w:color w:val="172B3A"/>
          <w:sz w:val="19"/>
          <w:u w:val="none"/>
        </w:rPr>
        <w:t>[Item and intended use] — [canonical source; adopted force and clause ID if binding].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Lifecycle. </w:t>
      </w:r>
      <w:r>
        <w:rPr>
          <w:rFonts w:ascii="Arial" w:hAnsi="Arial" w:eastAsia="Arial"/>
          <w:b w:val="0"/>
          <w:color w:val="172B3A"/>
          <w:sz w:val="19"/>
          <w:u w:val="none"/>
        </w:rPr>
        <w:t>Review draft changes directly. Keep released SPEC unchanged. Appendix explains; errata corrects without changing intent; adopted amendments change intent. A proposal is not approval.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Release check. </w:t>
      </w:r>
      <w:r>
        <w:rPr>
          <w:rFonts w:ascii="Arial" w:hAnsi="Arial" w:eastAsia="Arial"/>
          <w:b w:val="0"/>
          <w:color w:val="172B3A"/>
          <w:sz w:val="19"/>
          <w:u w:val="none"/>
        </w:rPr>
        <w:t>Review the four squares together: SPEC stable; SYSTEM verified; AI aligned or explicitly inactive; MEMORY understandable.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/>
          <w:color w:val="172B3A"/>
          <w:sz w:val="18"/>
          <w:u w:val="none"/>
        </w:rPr>
        <w:t>Baseline.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[Effective SPEC + adopted changes + route reference + exact four-commit snapshot]. Run evidence: [project-local log]. Conformance: </w:t>
      </w:r>
      <w:r>
        <w:rPr>
          <w:rFonts w:ascii="Arial" w:hAnsi="Arial" w:eastAsia="Arial"/>
          <w:b/>
          <w:color w:val="172B3A"/>
          <w:sz w:val="18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8"/>
          <w:u w:val="none"/>
        </w:rPr>
        <w:t>.</w:t>
      </w:r>
    </w:p>
    <w:p>
      <w:pPr>
        <w:keepNext w:val="0"/>
        <w:keepLines/>
        <w:spacing w:before="0" w:after="0" w:line="257" w:lineRule="auto"/>
      </w:pPr>
      <w:r>
        <w:rPr>
          <w:rFonts w:ascii="Arial" w:hAnsi="Arial"/>
          <w:b w:val="0"/>
          <w:color w:val="172B3A"/>
          <w:sz w:val="17"/>
          <w:u w:val="none"/>
        </w:rPr>
        <w:t>main1 = original first commit, fixed. New lanes begin there; existing projects may adopt a reviewed baseline. Matching lanes advance vN → vN+1; main = accepted integration. vN follows the project, not the template.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80" w:right="853" w:bottom="1080" w:left="853" w:header="480" w:footer="4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>
  <w:p>
    <w:pPr>
      <w:pStyle w:val="Footer"/>
      <w:keepNext w:val="0"/>
      <w:keepLines/>
      <w:spacing w:before="0" w:after="100" w:line="257" w:lineRule="auto"/>
      <w:jc w:val="center"/>
    </w:pPr>
    <w:r>
      <w:rPr>
        <w:rFonts w:ascii="Arial" w:hAnsi="Arial" w:eastAsia="Arial"/>
        <w:b/>
        <w:color w:val="183B54"/>
        <w:sz w:val="17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6"/>
        <w:u w:val="none"/>
      </w:rPr>
      <w:t>Four-Square Template v1.8</w:t>
    </w:r>
    <w:r>
      <w:rPr>
        <w:rFonts w:ascii="Arial" w:hAnsi="Arial" w:eastAsia="Arial"/>
        <w:b w:val="0"/>
        <w:color w:val="172B3A"/>
        <w:sz w:val="16"/>
        <w:u w:val="none"/>
      </w:rPr>
      <w:tab/>
    </w:r>
    <w:fldSimple w:instr="PAGE">
      <w:r>
        <w:rPr>
          <w:sz w:val="16"/>
          <w:rFonts w:ascii="Arial" w:hAnsi="Arial"/>
        </w:rPr>
        <w:t>1</w:t>
      </w:r>
    </w:fldSimple>
    <w:r>
      <w:rPr>
        <w:rFonts w:ascii="Arial" w:hAnsi="Arial" w:eastAsia="Arial"/>
        <w:b w:val="0"/>
        <w:color w:val="526474"/>
        <w:sz w:val="16"/>
        <w:u w:val="none"/>
      </w:rPr>
      <w:t xml:space="preserve"> / </w:t>
    </w:r>
    <w:fldSimple w:instr="NUMPAGES">
      <w:r>
        <w:rPr>
          <w:sz w:val="16"/>
          <w:rFonts w:ascii="Arial" w:hAnsi="Arial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>
  <w:p>
    <w:pPr>
      <w:pStyle w:val="Header"/>
      <w:keepNext w:val="0"/>
      <w:keepLines/>
      <w:tabs>
        <w:tab w:pos="10200" w:val="right"/>
      </w:tabs>
      <w:spacing w:before="0" w:after="80" w:line="257" w:lineRule="auto"/>
    </w:pPr>
    <w:r>
      <w:rPr>
        <w:rFonts w:ascii="Arial" w:hAnsi="Arial" w:eastAsia="Arial"/>
        <w:b/>
        <w:color w:val="183B54"/>
        <w:sz w:val="16"/>
        <w:u w:val="none"/>
      </w:rPr>
      <w:t>FSL / FOUR-SQUARE LETTERHEAD</w:t>
    </w:r>
    <w:r>
      <w:rPr>
        <w:rFonts w:ascii="Arial" w:hAnsi="Arial" w:eastAsia="Arial"/>
        <w:b w:val="0"/>
        <w:color w:val="526474"/>
        <w:sz w:val="16"/>
        <w:u w:val="none"/>
      </w:rPr>
      <w:tab/>
      <w:t>Project / contract [vN]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[PROJECT / PRODUCT]</w:t>
    </w:r>
  </w:p>
  <w:p>
    <w:pPr>
      <w:keepNext w:val="0"/>
      <w:keepLines/>
      <w:spacing w:before="0" w:after="60" w:line="257" w:lineRule="auto"/>
      <w:pBdr>
        <w:bottom w:val="single" w:sz="10" w:color="183B54" w:space="5"/>
      </w:pBdr>
    </w:pPr>
    <w:r>
      <w:rPr>
        <w:rFonts w:ascii="Arial" w:hAnsi="Arial" w:eastAsia="Arial"/>
        <w:b w:val="0"/>
        <w:color w:val="526474"/>
        <w:sz w:val="17"/>
        <w:u w:val="none"/>
      </w:rPr>
      <w:t>Repository: [owner/repository]  /  Owner: [person or 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p14="http://schemas.microsoft.com/office/word/2010/wordprocessingDrawing" w:type="paragraph" w:default="1" w:styleId="Normal">
    <w:name w:val="Normal"/>
    <w:qFormat/>
    <w:rsid w:val="00FC693F"/>
    <w:pPr>
      <w:spacing w:after="80" w:line="257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p14="http://schemas.microsoft.com/office/word/2010/wordprocessingDrawing"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p14="http://schemas.microsoft.com/office/word/2010/wordprocessingDrawing"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>
  <dc:title>FSL v1.8 - Lean Project Template</dc:title>
  <dc:subject>FSL v1.8 authoring aid; publication is identified by the accompanying release record</dc:subject>
  <dc:creator>FSL</dc:creator>
  <cp:keywords/>
  <dc:description>Based on the supplied FSL v1.7 release. No runtime or project conformance is asserted.</dc:description>
  <cp:lastModifiedBy>FSL</cp:lastModifiedBy>
  <cp:revision>1</cp:revision>
  <dcterms:created xsi:type="dcterms:W3CDTF">2026-09-09T00:00:00Z</dcterms:created>
  <dcterms:modified xsi:type="dcterms:W3CDTF">2026-09-09T00:00:00Z</dcterms:modified>
  <cp:category/>
</cp:coreProperties>
</file>