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>A teaching overlay, not upstream Django policy or a claim of tested behavior.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Database-backed web applications using models, URLs, views and templates. [D1]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The sample governs no upstream project. Deployment, business rules and production proof remain outside this illustration.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CODE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code-vN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framework code and its executable checks.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DOCS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docs-vN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developer guidance aligned with code.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LAW-DJANGO-001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Public behavior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have scoped code evidence and aligned guidance.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Code test + relevant guidance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GUARD-DJANGO-002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DOCS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describe behavior unsupported by accepted CODE.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Documentation review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CONTRACT-DJANGO-004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Release evidence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separate tested behavior from illustration and state scope.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Scoped release review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one request → URL → view → one stored record → HTML response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facilities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the initial slice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[D1] Overview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test tools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scoped checks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[D2] Testing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Django shortcuts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REUSE for view responses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[D3] Shortcuts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RELEASE CHECK  /  ONE VERSION, FOUR SQUARES, ALL GREEN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CODE verified     [ ] DOCS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not supplied; example only.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DJANGO / SCOPED ILLUSTRATION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Sample edition v1.5. Reference baseline: Django 5.2 documentation, not an asserted upstream release or executed test environment.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ONE SMALL PATH; A CLEAR CLAIM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Illustrative intent: expose one stored article through one URL and return its title in an HTML response. Django's overview demonstrates URL routing, views, model access and template rendering. [D1]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520"/>
        <w:gridCol w:w="328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TOUCHPOINTS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TINY BEHAVIOR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PLANNED CHECK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URL + view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Route the request to the article view.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Correct view and arguments [D1]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Model + database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Read one known article record.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Expected stored title [D1]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Template + response</w:t>
            </w:r>
          </w:p>
        </w:tc>
        <w:tc>
          <w:tcPr>
            <w:tcW w:type="dxa" w:w="4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Render the title into the returned HTML.</w:t>
            </w:r>
          </w:p>
        </w:tc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Expected response content [D1, D3]</w:t>
            </w:r>
          </w:p>
        </w:tc>
      </w:tr>
    </w:tbl>
    <w:p>
      <w:pPr>
        <w:keepNext w:val="0"/>
        <w:keepLines/>
        <w:spacing w:before="12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This is an example design, not execution evidence. The chosen claim ends at the HTML response. Browser rendering, JavaScript, hosting and production integration remain unproven.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MIDPOINT &amp; PARALLEL WORK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M = the view's response contract: known request, expected status and article title. The request-to-view side and the view-to-HTML side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develop separately. Neither side alone proves their integrated path.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An unrelated second E2E path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proceed in parallel. Keep its proof separate; passing one path does not establish another. No later-iteration schedule is prescribed here.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REFERENCE INTENT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60"/>
        <w:gridCol w:w="7640"/>
      </w:tblGrid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Django facilities [D1]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 for models, URL handling, views and templates in this example. This does not import an upstream governance policy.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Testing [D2]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 the documented test runner and database-aware tests when writing checks. A planned test is not a passed test.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Shortcuts [D3]</w:t>
            </w:r>
          </w:p>
        </w:tc>
        <w:tc>
          <w:tcPr>
            <w:tcW w:type="dxa" w:w="7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 the documented response helpers; using a helper does not establish browser or deployment proof.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PROOF RECORD / CURRENT STATE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one stored article is returned in HTML. Scope: the illustrative request-to-response path. Environment: not executed. Evidence: no runtime test supplied.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>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Release snapshot: none. No SPEC / CODE / DOCS / MEMORY commits or upstream release status are asserted. The sample's own page-layout checks are separate from product conformance.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CANONICAL SOURCES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[D1] </w:t>
      </w:r>
      <w:hyperlink r:id="rId11">
        <w:r>
          <w:rPr>
            <w:rFonts w:ascii="Arial" w:hAnsi="Arial"/>
            <w:sz w:val="17"/>
            <w:color w:val="183B54"/>
            <w:u w:val="single"/>
          </w:rPr>
          <w:t>Django 5.2 overview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docs.djangoproject.com/en/5.2/intro/overview/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[D2] </w:t>
      </w:r>
      <w:hyperlink r:id="rId12">
        <w:r>
          <w:rPr>
            <w:rFonts w:ascii="Arial" w:hAnsi="Arial"/>
            <w:sz w:val="17"/>
            <w:color w:val="183B54"/>
            <w:u w:val="single"/>
          </w:rPr>
          <w:t>Django 5.2 testing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docs.djangoproject.com/en/5.2/topics/testing/overview/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7"/>
          <w:u w:val="none"/>
        </w:rPr>
        <w:t xml:space="preserve">[D3] </w:t>
      </w:r>
      <w:hyperlink r:id="rId13">
        <w:r>
          <w:rPr>
            <w:rFonts w:ascii="Arial" w:hAnsi="Arial"/>
            <w:sz w:val="17"/>
            <w:color w:val="183B54"/>
            <w:u w:val="single"/>
          </w:rPr>
          <w:t>Django 5.2 shortcuts</w:t>
        </w:r>
      </w:hyperlink>
      <w:r>
        <w:rPr>
          <w:rFonts w:ascii="Arial" w:hAnsi="Arial" w:eastAsia="Arial"/>
          <w:b w:val="0"/>
          <w:color w:val="526474"/>
          <w:sz w:val="15"/>
          <w:u w:val="none"/>
        </w:rPr>
        <w:t xml:space="preserve">  ·  docs.djangoproject.com/en/5.2/topics/http/shortcuts/</w:t>
      </w:r>
    </w:p>
    <w:p>
      <w:pPr>
        <w:keepNext w:val="0"/>
        <w:keepLines/>
        <w:spacing w:before="60" w:after="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>Source baseline consulted 8 September 2026. The proposed workflow and all binding sample clauses are FSL-authored illustration, not Django's own policy.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v1.5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Sample edition v1.5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DJANGO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ILLUSTRATIVE SAMPLE  •  Upstream reference: django/django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jangoproject.com/en/5.2/intro/overview/" TargetMode="External"/><Relationship Id="rId12" Type="http://schemas.openxmlformats.org/officeDocument/2006/relationships/hyperlink" Target="https://docs.djangoproject.com/en/5.2/topics/testing/overview/" TargetMode="External"/><Relationship Id="rId13" Type="http://schemas.openxmlformats.org/officeDocument/2006/relationships/hyperlink" Target="https://docs.djangoproject.com/en/5.2/topics/http/shortcu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v1.5 - Django illustrative sample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