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i w:val="0"/>
          <w:color w:val="173D69"/>
          <w:sz w:val="16"/>
          <w:u w:val="none"/>
        </w:rPr>
        <w:t>PROJECT CONSTITUTION / CONTRACT / LETTERHEAD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FOUR-SQUARE RELEASE LINEAGE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3"/>
          <w:u w:val="none"/>
        </w:rPr>
        <w:t>main1 = repository first commit / immutable root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F2F6FA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SPEC</w:t>
              <w:br/>
              <w:t>spec-v1.2</w:t>
            </w:r>
          </w:p>
        </w:tc>
        <w:tc>
          <w:tcPr>
            <w:tcW w:type="dxa" w:w="2592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[LANE-A]</w:t>
              <w:br/>
              <w:t>[lane-a]-v1.2</w:t>
            </w:r>
          </w:p>
        </w:tc>
        <w:tc>
          <w:tcPr>
            <w:tcW w:type="dxa" w:w="2592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[LANE-B]</w:t>
              <w:br/>
              <w:t>[lane-b]-v1.2</w:t>
            </w:r>
          </w:p>
        </w:tc>
        <w:tc>
          <w:tcPr>
            <w:tcW w:type="dxa" w:w="2592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MEMORY</w:t>
              <w:br/>
              <w:t>memory-v1.2</w:t>
            </w:r>
          </w:p>
        </w:tc>
      </w:tr>
    </w:tbl>
    <w:p>
      <w:pPr>
        <w:jc w:val="center"/>
      </w:pPr>
      <w:r/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SPEC and MEMORY are fixed. The two middle lanes are project-defined and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remain stable across versions.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117"/>
        <w:gridCol w:w="2117"/>
        <w:gridCol w:w="2117"/>
        <w:gridCol w:w="2117"/>
        <w:gridCol w:w="2117"/>
      </w:tblGrid>
      <w:tr>
        <w:tc>
          <w:tcPr>
            <w:tcW w:type="dxa" w:w="2088"/>
            <w:shd w:fill="FBECEC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binding law</w:t>
            </w:r>
          </w:p>
        </w:tc>
        <w:tc>
          <w:tcPr>
            <w:tcW w:type="dxa" w:w="2088"/>
            <w:shd w:fill="F8F2E4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constitutional alias</w:t>
            </w:r>
          </w:p>
        </w:tc>
        <w:tc>
          <w:tcPr>
            <w:tcW w:type="dxa" w:w="2088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strong guidance</w:t>
            </w:r>
          </w:p>
        </w:tc>
        <w:tc>
          <w:tcPr>
            <w:tcW w:type="dxa" w:w="2088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MAY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permitted option</w:t>
            </w:r>
          </w:p>
        </w:tc>
        <w:tc>
          <w:tcPr>
            <w:tcW w:type="dxa" w:w="2088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EXCEPTION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WAIVER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explicit departure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3528"/>
        <w:gridCol w:w="3528"/>
        <w:gridCol w:w="3528"/>
      </w:tblGrid>
      <w:tr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MISSION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[MISSION]</w:t>
            </w:r>
          </w:p>
        </w:tc>
        <w:tc>
          <w:tcPr>
            <w:tcW w:type="dxa" w:w="3485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CORE PRINCIPLE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[CORE PRINCIPLE]</w:t>
            </w:r>
          </w:p>
        </w:tc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BOUNDARY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[BOUNDARY / OUT OF SCOPE]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HIERARCHY / FORMS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2"/>
          <w:u w:val="none"/>
        </w:rPr>
        <w:t>CONSTITUTION  →  ARTICLES / LAWS  →  CONTRACTS  →  POLICIES  →  GUARDRAILS  →  RECOMMENDED PRACTICES  →  CHECKLISTS</w:t>
      </w:r>
    </w:p>
    <w:p>
      <w:pPr>
        <w:jc w:val="center"/>
      </w:pPr>
      <w:r>
        <w:rPr>
          <w:rFonts w:ascii="Aptos" w:hAnsi="Aptos"/>
          <w:b w:val="0"/>
          <w:i/>
          <w:color w:val="666666"/>
          <w:sz w:val="11"/>
          <w:u w:val="none"/>
        </w:rPr>
        <w:t>The form label does not determine force; the normative keyword does.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Binding requirements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explicit and observable.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L2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GUARDRAIL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 binding requirement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silently weakened, bypassed or guessed away.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L3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POLICY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Material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deviations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have a recorded reason.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L4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Missing evidence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result in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>, not assumed success.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L5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MEMORY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new law unless promoted into SPEC.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hide unresolved binding violations. One version, four squares, all green.</w:t>
      </w:r>
    </w:p>
    <w:p>
      <w:r>
        <w:br w:type="page"/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PAGE 2 — GOVERNANCE / DEVELOPMENT / EXCEPTIONS</w:t>
      </w:r>
    </w:p>
    <w:p>
      <w:r>
        <w:rPr>
          <w:rFonts w:ascii="Aptos" w:hAnsi="Aptos"/>
          <w:b w:val="0"/>
          <w:i/>
          <w:color w:val="666666"/>
          <w:sz w:val="12"/>
          <w:u w:val="none"/>
        </w:rPr>
        <w:t>Use when project complexity requires more than the one-page constitutional identity.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Binding requirements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explicit and observable.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L2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GUARDRAIL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 binding requirement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silently weakened, bypassed or guessed away.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L3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POLICY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Material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deviations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have a recorded reason.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L4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Missing evidence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result in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>, not assumed success.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L5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MEMORY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new law unless promoted into SPEC.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DEVELOPMENT GOVERNANCE — RECOMMENDED CHECKLIST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Material work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use a checklist or equivalent visible plan.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Each binding clause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map to a verification item and observable evidence.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Agents </w:t>
      </w:r>
      <w:r>
        <w:rPr>
          <w:rFonts w:ascii="Aptos" w:hAnsi="Aptos"/>
          <w:b/>
          <w:i w:val="0"/>
          <w:color w:val="173D69"/>
          <w:sz w:val="12"/>
          <w:u w:val="single"/>
        </w:rPr>
        <w:t>MAY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perform Discover → Plan → Execute → Observe → Verify → Record with defined responsibilities.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Agents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reinterpret or waive constitutional law without explicit authority.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Proven libraries, binaries, scripts, documents, services, datasets, models, plugins and utilities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evaluated before new core work.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EXCEPTION / WAIVER PROTOCOL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SCOPE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OWNER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RATIONALE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EVIDENCE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REVIEW / EXPIRY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hide unresolved binding violations. One version, four squares, all green.</w:t>
      </w:r>
    </w:p>
    <w:p>
      <w:r>
        <w:br w:type="page"/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PAGE 3 — AMENDMENT LAW / EVIDENCE LEDGER / CERTIFICATION</w:t>
      </w:r>
    </w:p>
    <w:p>
      <w:r>
        <w:rPr>
          <w:rFonts w:ascii="Aptos" w:hAnsi="Aptos"/>
          <w:b w:val="0"/>
          <w:i/>
          <w:color w:val="666666"/>
          <w:sz w:val="12"/>
          <w:u w:val="none"/>
        </w:rPr>
        <w:t>Use only for complex projects. Three pages is the maximum.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AMENDMENT LAW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Binding constitutional changes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made in SPEC and versioned. MEMORY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amend the constitution.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breaking constitutional change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migration impact.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Changing a project-selected middle lane token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a reviewed migration, not an incidental rename.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Non-normative examples and mnemonics </w:t>
      </w:r>
      <w:r>
        <w:rPr>
          <w:rFonts w:ascii="Aptos" w:hAnsi="Aptos"/>
          <w:b/>
          <w:i w:val="0"/>
          <w:color w:val="173D69"/>
          <w:sz w:val="12"/>
          <w:u w:val="single"/>
        </w:rPr>
        <w:t>MAY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evolve without changing constitutional force.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EVIDENCE LEDGER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117"/>
        <w:gridCol w:w="2117"/>
        <w:gridCol w:w="2117"/>
        <w:gridCol w:w="2117"/>
        <w:gridCol w:w="2117"/>
      </w:tblGrid>
      <w:tr>
        <w:tc>
          <w:tcPr>
            <w:tcW w:type="dxa" w:w="115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28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  <w:tc>
          <w:tcPr>
            <w:tcW w:type="dxa" w:w="144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259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EVIDENCE</w:t>
            </w:r>
          </w:p>
        </w:tc>
        <w:tc>
          <w:tcPr>
            <w:tcW w:type="dxa" w:w="244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RESULT</w:t>
            </w:r>
          </w:p>
        </w:tc>
      </w:tr>
      <w:tr>
        <w:tc>
          <w:tcPr>
            <w:tcW w:type="dxa" w:w="115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[1]</w:t>
            </w:r>
          </w:p>
        </w:tc>
        <w:tc>
          <w:tcPr>
            <w:tcW w:type="dxa" w:w="288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[REQUIREMENT]</w:t>
            </w:r>
          </w:p>
        </w:tc>
        <w:tc>
          <w:tcPr>
            <w:tcW w:type="dxa" w:w="144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</w:t>
            </w:r>
            <w:r>
              <w:rPr>
                <w:rFonts w:ascii="Aptos" w:hAnsi="Aptos"/>
                <w:b/>
                <w:i w:val="0"/>
                <w:color w:val="173D69"/>
                <w:sz w:val="10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0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]</w:t>
            </w:r>
          </w:p>
        </w:tc>
        <w:tc>
          <w:tcPr>
            <w:tcW w:type="dxa" w:w="259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[TEST / REVIEW / HASH]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[STATE]</w:t>
            </w:r>
          </w:p>
        </w:tc>
      </w:tr>
      <w:tr>
        <w:tc>
          <w:tcPr>
            <w:tcW w:type="dxa" w:w="115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[2]</w:t>
            </w:r>
          </w:p>
        </w:tc>
        <w:tc>
          <w:tcPr>
            <w:tcW w:type="dxa" w:w="288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[REQUIREMENT]</w:t>
            </w:r>
          </w:p>
        </w:tc>
        <w:tc>
          <w:tcPr>
            <w:tcW w:type="dxa" w:w="144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</w:t>
            </w:r>
            <w:r>
              <w:rPr>
                <w:rFonts w:ascii="Aptos" w:hAnsi="Aptos"/>
                <w:b/>
                <w:i w:val="0"/>
                <w:color w:val="173D69"/>
                <w:sz w:val="10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0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]</w:t>
            </w:r>
          </w:p>
        </w:tc>
        <w:tc>
          <w:tcPr>
            <w:tcW w:type="dxa" w:w="259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[TEST / REVIEW / HASH]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[STATE]</w:t>
            </w:r>
          </w:p>
        </w:tc>
      </w:tr>
      <w:tr>
        <w:tc>
          <w:tcPr>
            <w:tcW w:type="dxa" w:w="115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[3]</w:t>
            </w:r>
          </w:p>
        </w:tc>
        <w:tc>
          <w:tcPr>
            <w:tcW w:type="dxa" w:w="288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[REQUIREMENT]</w:t>
            </w:r>
          </w:p>
        </w:tc>
        <w:tc>
          <w:tcPr>
            <w:tcW w:type="dxa" w:w="144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</w:t>
            </w:r>
            <w:r>
              <w:rPr>
                <w:rFonts w:ascii="Aptos" w:hAnsi="Aptos"/>
                <w:b/>
                <w:i w:val="0"/>
                <w:color w:val="173D69"/>
                <w:sz w:val="10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0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]</w:t>
            </w:r>
          </w:p>
        </w:tc>
        <w:tc>
          <w:tcPr>
            <w:tcW w:type="dxa" w:w="259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[TEST / REVIEW / HASH]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[STATE]</w:t>
            </w:r>
          </w:p>
        </w:tc>
      </w:tr>
      <w:tr>
        <w:tc>
          <w:tcPr>
            <w:tcW w:type="dxa" w:w="115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[4]</w:t>
            </w:r>
          </w:p>
        </w:tc>
        <w:tc>
          <w:tcPr>
            <w:tcW w:type="dxa" w:w="288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[REQUIREMENT]</w:t>
            </w:r>
          </w:p>
        </w:tc>
        <w:tc>
          <w:tcPr>
            <w:tcW w:type="dxa" w:w="144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</w:t>
            </w:r>
            <w:r>
              <w:rPr>
                <w:rFonts w:ascii="Aptos" w:hAnsi="Aptos"/>
                <w:b/>
                <w:i w:val="0"/>
                <w:color w:val="173D69"/>
                <w:sz w:val="10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0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]</w:t>
            </w:r>
          </w:p>
        </w:tc>
        <w:tc>
          <w:tcPr>
            <w:tcW w:type="dxa" w:w="259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[TEST / REVIEW / HASH]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[STATE]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CERTIFICATION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Four lane versions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align to the declared release view.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No unresolved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violation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MAY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hidden.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Every active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attached to release evidence.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Every generated page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show Four-Square Template v1.2 separately from the project version.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662" w:bottom="691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173D69"/>
        <w:left w:val="single" w:sz="4" w:color="173D69"/>
        <w:bottom w:val="single" w:sz="4" w:color="173D69"/>
        <w:right w:val="single" w:sz="4" w:color="173D69"/>
        <w:insideH w:val="single" w:sz="4" w:color="173D69"/>
        <w:insideV w:val="single" w:sz="4" w:color="173D69"/>
      </w:tblBorders>
    </w:tblPr>
    <w:tblGrid>
      <w:gridCol w:w="3480"/>
      <w:gridCol w:w="3480"/>
      <w:gridCol w:w="3480"/>
    </w:tblGrid>
    <w:tr>
      <w:tc>
        <w:tcPr>
          <w:tcW w:type="dxa" w:w="3672"/>
        </w:tcPr>
        <w:p>
          <w:pPr>
            <w:jc w:val="lef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Four-Square Template v1.2</w:t>
            <w:br/>
            <w:t>SPEC + MEMORY fixed</w:t>
          </w:r>
        </w:p>
      </w:tc>
      <w:tc>
        <w:tcPr>
          <w:tcW w:type="dxa" w:w="3096"/>
        </w:tcPr>
        <w:p>
          <w:pPr>
            <w:jc w:val="center"/>
          </w:pP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MUST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SHOULD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MAY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br/>
            <w:t>force is explicit</w:t>
          </w:r>
        </w:p>
      </w:tc>
      <w:tc>
        <w:tcPr>
          <w:tcW w:type="dxa" w:w="3672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main1 = immutable root</w:t>
            <w:br/>
            <w:t>main = accepted integration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8" w:color="173D69"/>
        <w:left w:val="single" w:sz="8" w:color="173D69"/>
        <w:bottom w:val="single" w:sz="8" w:color="173D69"/>
        <w:right w:val="single" w:sz="8" w:color="173D69"/>
        <w:insideH w:val="single" w:sz="8" w:color="173D69"/>
        <w:insideV w:val="single" w:sz="8" w:color="173D69"/>
      </w:tblBorders>
    </w:tblPr>
    <w:tblGrid>
      <w:gridCol w:w="5220"/>
      <w:gridCol w:w="5220"/>
    </w:tblGrid>
    <w:tr>
      <w:tc>
        <w:tcPr>
          <w:tcW w:type="dxa" w:w="7344"/>
        </w:tcPr>
        <w:p>
          <w:r>
            <w:rPr>
              <w:rFonts w:ascii="Aptos" w:hAnsi="Aptos"/>
              <w:b/>
              <w:i w:val="0"/>
              <w:color w:val="173D69"/>
              <w:sz w:val="24"/>
              <w:u w:val="none"/>
            </w:rPr>
            <w:t>[PROJECT / PRODUCT]</w:t>
          </w:r>
          <w:r>
            <w:rPr>
              <w:rFonts w:ascii="Aptos" w:hAnsi="Aptos"/>
              <w:b/>
              <w:i w:val="0"/>
              <w:color w:val="1F4E79"/>
              <w:sz w:val="14"/>
              <w:u w:val="none"/>
            </w:rPr>
            <w:t xml:space="preserve">  /  FOUR-SQUARE CONSTITUTIONAL LETTERHEAD</w:t>
          </w:r>
        </w:p>
      </w:tc>
      <w:tc>
        <w:tcPr>
          <w:tcW w:type="dxa" w:w="3096"/>
        </w:tcPr>
        <w:p>
          <w:pPr>
            <w:jc w:val="right"/>
          </w:pPr>
          <w:r>
            <w:rPr>
              <w:rFonts w:ascii="Aptos" w:hAnsi="Aptos"/>
              <w:b/>
              <w:i w:val="0"/>
              <w:color w:val="173D69"/>
              <w:sz w:val="14"/>
              <w:u w:val="none"/>
            </w:rPr>
            <w:t>[PROJECT VERSION]</w:t>
            <w:br/>
          </w:r>
          <w:r>
            <w:rPr>
              <w:rFonts w:ascii="Aptos" w:hAnsi="Aptos"/>
              <w:b/>
              <w:i w:val="0"/>
              <w:color w:val="666666"/>
              <w:sz w:val="13"/>
              <w:u w:val="none"/>
            </w:rPr>
            <w:t>Four-Square Template v1.2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"/>
    </w:pPr>
    <w:rPr>
      <w:rFonts w:ascii="Aptos" w:hAnsi="Aptos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