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 w:val="0"/>
          <w:i/>
          <w:color w:val="666666"/>
          <w:sz w:val="12"/>
          <w:u w:val="none"/>
        </w:rPr>
        <w:t>Illustrative Four-Square constitutional overlay only — not upstream Django governance.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6"/>
          <w:u w:val="none"/>
        </w:rPr>
        <w:t>PROJECT CONSTITUTION / CONTRACT / LETTERHEAD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FOUR-SQUARE RELEASE LINEAGE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3"/>
          <w:u w:val="none"/>
        </w:rPr>
        <w:t>main1 = repository first commit / immutable root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F2F6FA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SPEC</w:t>
              <w:br/>
              <w:t>spec-v1.2</w:t>
            </w:r>
          </w:p>
        </w:tc>
        <w:tc>
          <w:tcPr>
            <w:tcW w:type="dxa" w:w="2592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CODE</w:t>
              <w:br/>
              <w:t>code-v1.2</w:t>
            </w:r>
          </w:p>
        </w:tc>
        <w:tc>
          <w:tcPr>
            <w:tcW w:type="dxa" w:w="2592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DOCS</w:t>
              <w:br/>
              <w:t>docs-v1.2</w:t>
            </w:r>
          </w:p>
        </w:tc>
        <w:tc>
          <w:tcPr>
            <w:tcW w:type="dxa" w:w="2592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MEMORY</w:t>
              <w:br/>
              <w:t>memory-v1.2</w:t>
            </w:r>
          </w:p>
        </w:tc>
      </w:tr>
    </w:tbl>
    <w:p>
      <w:pPr>
        <w:jc w:val="center"/>
      </w:pPr>
      <w:r/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SPEC and MEMORY are fixed. The two middle lanes are project-defined and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remain stable across versions.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117"/>
        <w:gridCol w:w="2117"/>
        <w:gridCol w:w="2117"/>
        <w:gridCol w:w="2117"/>
        <w:gridCol w:w="2117"/>
      </w:tblGrid>
      <w:tr>
        <w:tc>
          <w:tcPr>
            <w:tcW w:type="dxa" w:w="2088"/>
            <w:shd w:fill="FBECEC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binding law</w:t>
            </w:r>
          </w:p>
        </w:tc>
        <w:tc>
          <w:tcPr>
            <w:tcW w:type="dxa" w:w="2088"/>
            <w:shd w:fill="F8F2E4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constitutional alias</w:t>
            </w:r>
          </w:p>
        </w:tc>
        <w:tc>
          <w:tcPr>
            <w:tcW w:type="dxa" w:w="2088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strong guidance</w:t>
            </w:r>
          </w:p>
        </w:tc>
        <w:tc>
          <w:tcPr>
            <w:tcW w:type="dxa" w:w="2088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MAY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permitted option</w:t>
            </w:r>
          </w:p>
        </w:tc>
        <w:tc>
          <w:tcPr>
            <w:tcW w:type="dxa" w:w="2088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EXCEPTION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WAIVER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explicit departure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3528"/>
        <w:gridCol w:w="3528"/>
        <w:gridCol w:w="3528"/>
      </w:tblGrid>
      <w:tr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MISSION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Provide a coherent framework for building database-backed web applications with mature integrated facilities.</w:t>
            </w:r>
          </w:p>
        </w:tc>
        <w:tc>
          <w:tcPr>
            <w:tcW w:type="dxa" w:w="3485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CORE PRINCIPLE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 xml:space="preserve">CODE and DOCS </w:t>
            </w:r>
            <w:r>
              <w:rPr>
                <w:rFonts w:ascii="Aptos" w:hAnsi="Aptos"/>
                <w:b/>
                <w:i w:val="0"/>
                <w:color w:val="173D69"/>
                <w:sz w:val="12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 xml:space="preserve"> remain aligned; deviations </w:t>
            </w:r>
            <w:r>
              <w:rPr>
                <w:rFonts w:ascii="Aptos" w:hAnsi="Aptos"/>
                <w:b/>
                <w:i w:val="0"/>
                <w:color w:val="173D69"/>
                <w:sz w:val="12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 xml:space="preserve"> be explicit.</w:t>
            </w:r>
          </w:p>
        </w:tc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BOUNDARY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Application business logic and deployment policy remain with consuming projects.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HIERARCHY / FORMS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2"/>
          <w:u w:val="none"/>
        </w:rPr>
        <w:t>CONSTITUTION  →  ARTICLES / LAWS  →  CONTRACTS  →  POLICIES  →  GUARDRAILS  →  RECOMMENDED PRACTICES  →  CHECKLISTS</w:t>
      </w:r>
    </w:p>
    <w:p>
      <w:pPr>
        <w:jc w:val="center"/>
      </w:pPr>
      <w:r>
        <w:rPr>
          <w:rFonts w:ascii="Aptos" w:hAnsi="Aptos"/>
          <w:b w:val="0"/>
          <w:i/>
          <w:color w:val="666666"/>
          <w:sz w:val="11"/>
          <w:u w:val="none"/>
        </w:rPr>
        <w:t>The form label does not determine force; the normative keyword does.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LAW-DJANGO-001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Declared public behavior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have scoped implementation evidence and aligned developer guidance.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GUARD-DJANGO-002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GUARDRAIL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DOCS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knowingly describe behavior unsupported by accepted CODE.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POLICY-DJANGO-003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POLICY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Compatibility changes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record affected versions, migration guidance and scoped evidence.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CONTRACT-DJANGO-004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Release evidence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distinguish proven behavior from illustrative material and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state its scope.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LAW-MEMORY-005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new framework law unless promoted into SPEC.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 ID,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An accepted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record the exact four reviewed lane commits. The snapshot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replace Git. One version, four squares, all green.</w:t>
      </w:r>
    </w:p>
    <w:p>
      <w:r>
        <w:br w:type="page"/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PAGE 2 — GOVERNANCE / DEVELOPMENT / EXCEPTIONS</w:t>
      </w:r>
    </w:p>
    <w:p>
      <w:r>
        <w:rPr>
          <w:rFonts w:ascii="Aptos" w:hAnsi="Aptos"/>
          <w:b w:val="0"/>
          <w:i/>
          <w:color w:val="666666"/>
          <w:sz w:val="12"/>
          <w:u w:val="none"/>
        </w:rPr>
        <w:t>Use when project complexity requires more than the one-page constitutional identity.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LAW-DJANGO-001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Declared public behavior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have scoped implementation evidence and aligned developer guidance.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GUARD-DJANGO-002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GUARDRAIL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DOCS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knowingly describe behavior unsupported by accepted CODE.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POLICY-DJANGO-003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POLICY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Compatibility changes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record affected versions, migration guidance and scoped evidence.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CONTRACT-DJANGO-004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Release evidence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distinguish proven behavior from illustrative material and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state its scope.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LAW-MEMORY-005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new framework law unless promoted into SPEC.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DEVELOPMENT GOVERNANCE — RECOMMENDED CHECKLIST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Material work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use a checklist or equivalent visible plan.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Each material binding clause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have a stable clause ID and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map to a verification item and observable evidence.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Agents </w:t>
      </w:r>
      <w:r>
        <w:rPr>
          <w:rFonts w:ascii="Aptos" w:hAnsi="Aptos"/>
          <w:b/>
          <w:i w:val="0"/>
          <w:color w:val="173D69"/>
          <w:sz w:val="12"/>
          <w:u w:val="single"/>
        </w:rPr>
        <w:t>MAY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perform Discover → Plan → Execute → Observe → Verify → Record with defined responsibilities.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LAW-AI-001 — When normative intent is ambiguous, agents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silently choose a stronger or weaker interpretation; they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surface the ambiguity for review.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Existing assets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classified explicitly as REUSE, INHERIT or REFERENCE when project-boundary assumptions could otherwise leak.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EXCEPTION / WAIVER PROTOCOL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SCOPE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OWNER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RATIONALE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EVIDENCE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REVIEW / EXPIRY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 ID,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An accepted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record the exact four reviewed lane commits. The snapshot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replace Git. One version, four squares, all green.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662" w:bottom="691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173D69"/>
        <w:left w:val="single" w:sz="4" w:color="173D69"/>
        <w:bottom w:val="single" w:sz="4" w:color="173D69"/>
        <w:right w:val="single" w:sz="4" w:color="173D69"/>
        <w:insideH w:val="single" w:sz="4" w:color="173D69"/>
        <w:insideV w:val="single" w:sz="4" w:color="173D69"/>
      </w:tblBorders>
    </w:tblPr>
    <w:tblGrid>
      <w:gridCol w:w="3480"/>
      <w:gridCol w:w="3480"/>
      <w:gridCol w:w="3480"/>
    </w:tblGrid>
    <w:tr>
      <w:tc>
        <w:tcPr>
          <w:tcW w:type="dxa" w:w="3672"/>
        </w:tcPr>
        <w:p>
          <w:pPr>
            <w:jc w:val="lef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Four-Square Template v1.3</w:t>
            <w:br/>
            <w:t>SPEC + MEMORY fixed</w:t>
          </w:r>
        </w:p>
      </w:tc>
      <w:tc>
        <w:tcPr>
          <w:tcW w:type="dxa" w:w="3096"/>
        </w:tcPr>
        <w:p>
          <w:pPr>
            <w:jc w:val="center"/>
          </w:pP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MUST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SHOULD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MAY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br/>
            <w:t>force is explicit</w:t>
          </w:r>
        </w:p>
      </w:tc>
      <w:tc>
        <w:tcPr>
          <w:tcW w:type="dxa" w:w="3672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main1 = immutable root</w:t>
            <w:br/>
            <w:t>main = accepted integration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8" w:color="173D69"/>
        <w:left w:val="single" w:sz="8" w:color="173D69"/>
        <w:bottom w:val="single" w:sz="8" w:color="173D69"/>
        <w:right w:val="single" w:sz="8" w:color="173D69"/>
        <w:insideH w:val="single" w:sz="8" w:color="173D69"/>
        <w:insideV w:val="single" w:sz="8" w:color="173D69"/>
      </w:tblBorders>
    </w:tblPr>
    <w:tblGrid>
      <w:gridCol w:w="5220"/>
      <w:gridCol w:w="5220"/>
    </w:tblGrid>
    <w:tr>
      <w:tc>
        <w:tcPr>
          <w:tcW w:type="dxa" w:w="7344"/>
        </w:tcPr>
        <w:p>
          <w:r>
            <w:rPr>
              <w:rFonts w:ascii="Aptos" w:hAnsi="Aptos"/>
              <w:b/>
              <w:i w:val="0"/>
              <w:color w:val="173D69"/>
              <w:sz w:val="24"/>
              <w:u w:val="none"/>
            </w:rPr>
            <w:t>DJANGO / FOUR-SQUARE SAMPLE</w:t>
          </w:r>
          <w:r>
            <w:rPr>
              <w:rFonts w:ascii="Aptos" w:hAnsi="Aptos"/>
              <w:b/>
              <w:i w:val="0"/>
              <w:color w:val="1F4E79"/>
              <w:sz w:val="14"/>
              <w:u w:val="none"/>
            </w:rPr>
            <w:t xml:space="preserve">  /  FOUR-SQUARE CONSTITUTIONAL LETTERHEAD</w:t>
          </w:r>
        </w:p>
      </w:tc>
      <w:tc>
        <w:tcPr>
          <w:tcW w:type="dxa" w:w="3096"/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173D69"/>
              <w:sz w:val="14"/>
              <w:u w:val="none"/>
            </w:rPr>
            <w:t>Django Sample v1.3</w:t>
            <w:br/>
          </w:r>
          <w:r>
            <w:rPr>
              <w:rFonts w:ascii="Aptos" w:hAnsi="Aptos"/>
              <w:b/>
              <w:i w:val="0"/>
              <w:color w:val="666666"/>
              <w:sz w:val="13"/>
              <w:u w:val="none"/>
            </w:rPr>
            <w:t>Four-Square Template v1.3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/>
    </w:pPr>
    <w:rPr>
      <w:rFonts w:ascii="Aptos" w:hAnsi="Aptos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