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before="0" w:after="160" w:line="259" w:lineRule="auto"/>
      </w:pPr>
      <w:r>
        <w:rPr>
          <w:rFonts w:ascii="Arial" w:hAnsi="Arial" w:eastAsia="Arial"/>
          <w:b/>
          <w:color w:val="000000"/>
          <w:sz w:val="42"/>
          <w:u w:val="none"/>
        </w:rPr>
        <w:t>EVIDENCE BRIEF</w:t>
      </w:r>
    </w:p>
    <w:p>
      <w:pPr>
        <w:keepLines/>
        <w:spacing w:before="0" w:after="100" w:line="259" w:lineRule="auto"/>
      </w:pPr>
      <w:r>
        <w:rPr>
          <w:rFonts w:ascii="Arial" w:hAnsi="Arial" w:eastAsia="Arial"/>
          <w:b w:val="0"/>
          <w:color w:val="526474"/>
          <w:sz w:val="17"/>
          <w:u w:val="none"/>
        </w:rPr>
        <w:t>Project/contract: v0.1, illustrative draft. Document home: [project repository/path]; related repositories: declared when used. FSL method/template: v1.10. Teaching example, not an adopted product contract or live integration.</w:t>
      </w:r>
    </w:p>
    <w:p>
      <w:pPr>
        <w:pStyle w:val="Heading1"/>
        <w:keepLines/>
        <w:spacing w:before="160" w:after="120" w:line="259" w:lineRule="auto"/>
      </w:pPr>
      <w:r>
        <w:rPr>
          <w:rFonts w:ascii="Arial" w:hAnsi="Arial" w:eastAsia="Arial"/>
          <w:b/>
          <w:color w:val="000000"/>
          <w:sz w:val="26"/>
          <w:u w:val="none"/>
        </w:rPr>
        <w:t>1. A project whose deliverable is English</w:t>
      </w:r>
    </w:p>
    <w:p>
      <w:pPr>
        <w:keepLines/>
        <w:spacing w:before="0" w:after="100" w:line="259" w:lineRule="auto"/>
      </w:pPr>
      <w:r>
        <w:rPr>
          <w:rFonts w:ascii="Arial" w:hAnsi="Arial" w:eastAsia="Arial"/>
          <w:b/>
          <w:color w:val="172B3A"/>
          <w:sz w:val="20"/>
          <w:u w:val="none"/>
        </w:rPr>
        <w:t>Purpose.</w:t>
      </w:r>
      <w:r>
        <w:rPr>
          <w:rFonts w:ascii="Arial" w:hAnsi="Arial" w:eastAsia="Arial"/>
          <w:b w:val="0"/>
          <w:color w:val="172B3A"/>
          <w:sz w:val="20"/>
          <w:u w:val="none"/>
        </w:rPr>
        <w:t xml:space="preserve"> Turn supplied notes into a short decision brief that a new reader can understand and verify. </w:t>
      </w:r>
      <w:r>
        <w:rPr>
          <w:rFonts w:ascii="Arial" w:hAnsi="Arial" w:eastAsia="Arial"/>
          <w:b/>
          <w:color w:val="172B3A"/>
          <w:sz w:val="20"/>
          <w:u w:val="none"/>
        </w:rPr>
        <w:t>Boundary.</w:t>
      </w:r>
      <w:r>
        <w:rPr>
          <w:rFonts w:ascii="Arial" w:hAnsi="Arial" w:eastAsia="Arial"/>
          <w:b w:val="0"/>
          <w:color w:val="172B3A"/>
          <w:sz w:val="20"/>
          <w:u w:val="none"/>
        </w:rPr>
        <w:t xml:space="preserve"> Use only the supplied sources; distinguish reported facts, inference and unanswered questions. Do not infer approval, promise a launch or certify the underlying project.</w:t>
      </w:r>
    </w:p>
    <w:p>
      <w:pPr>
        <w:keepLines/>
        <w:spacing w:before="0" w:after="100" w:line="259" w:lineRule="auto"/>
      </w:pPr>
      <w:r>
        <w:rPr>
          <w:rFonts w:ascii="Arial" w:hAnsi="Arial" w:eastAsia="Arial"/>
          <w:b/>
          <w:color w:val="172B3A"/>
          <w:sz w:val="20"/>
          <w:u w:val="none"/>
        </w:rPr>
        <w:t>Authority.</w:t>
      </w:r>
      <w:r>
        <w:rPr>
          <w:rFonts w:ascii="Arial" w:hAnsi="Arial" w:eastAsia="Arial"/>
          <w:b w:val="0"/>
          <w:color w:val="172B3A"/>
          <w:sz w:val="20"/>
          <w:u w:val="none"/>
        </w:rPr>
        <w:t xml:space="preserve"> The example's SPEC document defines its briefing commitments; the supplied notes provide reported facts, not new policy. The maintenance skill checks alignment and may propose changes. It cannot approve a launch or change the source-fidelity rule. This is a business decision-support document, not a software service.</w:t>
      </w:r>
    </w:p>
    <w:tbl>
      <w:tblPr>
        <w:tblW w:type="dxa" w:w="10146"/>
        <w:jc w:val="center"/>
        <w:tblLayout w:type="fixed"/>
        <w:tblLook w:firstColumn="1" w:firstRow="1" w:lastColumn="0" w:lastRow="0" w:noHBand="0" w:noVBand="1" w:val="04A0"/>
        <w:tblBorders>
          <w:top w:val="single" w:sz="4" w:color="CCD7DF"/>
          <w:bottom w:val="single" w:sz="4" w:color="CCD7DF"/>
          <w:left w:val="single" w:sz="4" w:color="CCD7DF"/>
          <w:right w:val="single" w:sz="4" w:color="CCD7DF"/>
          <w:insideH w:val="single" w:sz="4" w:color="CCD7DF"/>
          <w:insideV w:val="single" w:sz="4" w:color="CCD7DF"/>
        </w:tblBorders>
      </w:tblPr>
      <w:tblGrid>
        <w:gridCol w:w="5073"/>
        <w:gridCol w:w="5073"/>
      </w:tblGrid>
      <w:tr>
        <w:trPr>
          <w:cantSplit/>
          <w:cantSplit/>
        </w:trPr>
        <w:tc>
          <w:tcPr>
            <w:tcW w:type="dxa" w:w="5073"/>
            <w:vAlign w:val="top"/>
            <w:tcMar>
              <w:top w:w="95" w:type="dxa"/>
              <w:bottom w:w="95" w:type="dxa"/>
              <w:start w:w="115" w:type="dxa"/>
              <w:end w:w="115" w:type="dxa"/>
            </w:tcMar>
            <w:shd w:fill="F2F5F7"/>
          </w:tcPr>
          <w:p>
            <w:pPr>
              <w:spacing w:after="0" w:line="257" w:lineRule="auto"/>
            </w:pPr>
            <w:r>
              <w:rPr>
                <w:rFonts w:ascii="Arial" w:hAnsi="Arial" w:eastAsia="Arial"/>
                <w:b/>
                <w:color w:val="172B3A"/>
                <w:sz w:val="19"/>
                <w:u w:val="none"/>
              </w:rPr>
              <w:t>SPEC</w:t>
            </w:r>
            <w:r>
              <w:rPr>
                <w:rFonts w:ascii="Arial" w:hAnsi="Arial" w:eastAsia="Arial"/>
                <w:b w:val="0"/>
                <w:color w:val="172B3A"/>
                <w:sz w:val="19"/>
                <w:u w:val="none"/>
              </w:rPr>
              <w:t xml:space="preserve"> — FSL first; briefing promises, source boundaries and R-01. Optional explanation or later adopted changes remain here.</w:t>
            </w:r>
          </w:p>
        </w:tc>
        <w:tc>
          <w:tcPr>
            <w:tcW w:type="dxa" w:w="5073"/>
            <w:vAlign w:val="top"/>
            <w:tcMar>
              <w:top w:w="95" w:type="dxa"/>
              <w:bottom w:w="95" w:type="dxa"/>
              <w:start w:w="115" w:type="dxa"/>
              <w:end w:w="115" w:type="dxa"/>
            </w:tcMar>
          </w:tcPr>
          <w:p>
            <w:pPr>
              <w:spacing w:after="0" w:line="257" w:lineRule="auto"/>
            </w:pPr>
            <w:r>
              <w:rPr>
                <w:rFonts w:ascii="Arial" w:hAnsi="Arial" w:eastAsia="Arial"/>
                <w:b/>
                <w:color w:val="172B3A"/>
                <w:sz w:val="19"/>
                <w:u w:val="none"/>
              </w:rPr>
              <w:t>SYSTEM</w:t>
            </w:r>
            <w:r>
              <w:rPr>
                <w:rFonts w:ascii="Arial" w:hAnsi="Arial" w:eastAsia="Arial"/>
                <w:b w:val="0"/>
                <w:color w:val="172B3A"/>
                <w:sz w:val="19"/>
                <w:u w:val="none"/>
              </w:rPr>
              <w:t xml:space="preserve"> — The English briefing instructions, source-to-claim review and delivered briefs. No runtime service is required.</w:t>
            </w:r>
          </w:p>
        </w:tc>
      </w:tr>
      <w:tr>
        <w:trPr>
          <w:cantSplit/>
          <w:cantSplit/>
        </w:trPr>
        <w:tc>
          <w:tcPr>
            <w:tcW w:type="dxa" w:w="5073"/>
            <w:vAlign w:val="top"/>
            <w:tcMar>
              <w:top w:w="95" w:type="dxa"/>
              <w:bottom w:w="95" w:type="dxa"/>
              <w:start w:w="115" w:type="dxa"/>
              <w:end w:w="115" w:type="dxa"/>
            </w:tcMar>
          </w:tcPr>
          <w:p>
            <w:pPr>
              <w:spacing w:after="0" w:line="257" w:lineRule="auto"/>
            </w:pPr>
            <w:r>
              <w:rPr>
                <w:rFonts w:ascii="Arial" w:hAnsi="Arial" w:eastAsia="Arial"/>
                <w:b/>
                <w:color w:val="172B3A"/>
                <w:sz w:val="19"/>
                <w:u w:val="none"/>
              </w:rPr>
              <w:t>AI</w:t>
            </w:r>
            <w:r>
              <w:rPr>
                <w:rFonts w:ascii="Arial" w:hAnsi="Arial" w:eastAsia="Arial"/>
                <w:b w:val="0"/>
                <w:color w:val="172B3A"/>
                <w:sz w:val="19"/>
                <w:u w:val="none"/>
              </w:rPr>
              <w:t xml:space="preserve"> — Optional drafting, review and document-maintenance instructions, subordinate to the adopted briefing contract. No autonomous publishing or approval capability is adopted.</w:t>
            </w:r>
          </w:p>
        </w:tc>
        <w:tc>
          <w:tcPr>
            <w:tcW w:type="dxa" w:w="5073"/>
            <w:vAlign w:val="top"/>
            <w:tcMar>
              <w:top w:w="95" w:type="dxa"/>
              <w:bottom w:w="95" w:type="dxa"/>
              <w:start w:w="115" w:type="dxa"/>
              <w:end w:w="115" w:type="dxa"/>
            </w:tcMar>
            <w:shd w:fill="F2F5F7"/>
          </w:tcPr>
          <w:p>
            <w:pPr>
              <w:spacing w:after="0" w:line="257" w:lineRule="auto"/>
            </w:pPr>
            <w:r>
              <w:rPr>
                <w:rFonts w:ascii="Arial" w:hAnsi="Arial" w:eastAsia="Arial"/>
                <w:b/>
                <w:color w:val="172B3A"/>
                <w:sz w:val="19"/>
                <w:u w:val="none"/>
              </w:rPr>
              <w:t>MEMORY</w:t>
            </w:r>
            <w:r>
              <w:rPr>
                <w:rFonts w:ascii="Arial" w:hAnsi="Arial" w:eastAsia="Arial"/>
                <w:b w:val="0"/>
                <w:color w:val="172B3A"/>
                <w:sz w:val="19"/>
                <w:u w:val="none"/>
              </w:rPr>
              <w:t xml:space="preserve"> — Source inventory, decision rationale, unresolved questions, review references and the next handover.</w:t>
            </w:r>
          </w:p>
        </w:tc>
      </w:tr>
    </w:tbl>
    <w:p>
      <w:pPr>
        <w:pStyle w:val="Heading2"/>
        <w:keepLines/>
        <w:spacing w:before="120" w:after="60" w:line="259" w:lineRule="auto"/>
      </w:pPr>
      <w:r>
        <w:rPr>
          <w:rFonts w:ascii="Arial" w:hAnsi="Arial" w:eastAsia="Arial"/>
          <w:b/>
          <w:color w:val="000000"/>
          <w:sz w:val="21"/>
          <w:u w:val="none"/>
        </w:rPr>
        <w:t>Key promises</w:t>
      </w:r>
    </w:p>
    <w:p>
      <w:pPr>
        <w:keepLines/>
        <w:spacing w:before="0" w:after="100" w:line="259" w:lineRule="auto"/>
      </w:pPr>
      <w:r>
        <w:rPr>
          <w:rFonts w:ascii="Arial" w:hAnsi="Arial" w:eastAsia="Arial"/>
          <w:b/>
          <w:color w:val="172B3A"/>
          <w:sz w:val="20"/>
          <w:u w:val="none"/>
        </w:rPr>
        <w:t>LAW-BRIEF-001.</w:t>
      </w:r>
      <w:r>
        <w:rPr>
          <w:rFonts w:ascii="Arial" w:hAnsi="Arial" w:eastAsia="Arial"/>
          <w:b w:val="0"/>
          <w:color w:val="172B3A"/>
          <w:sz w:val="20"/>
          <w:u w:val="none"/>
        </w:rPr>
        <w:t xml:space="preserve"> Material factual statements </w:t>
      </w:r>
      <w:r>
        <w:rPr>
          <w:rFonts w:ascii="Arial" w:hAnsi="Arial" w:eastAsia="Arial"/>
          <w:b/>
          <w:color w:val="172B3A"/>
          <w:sz w:val="20"/>
          <w:u w:val="single"/>
        </w:rPr>
        <w:t>MUST</w:t>
      </w:r>
      <w:r>
        <w:rPr>
          <w:rFonts w:ascii="Arial" w:hAnsi="Arial" w:eastAsia="Arial"/>
          <w:b w:val="0"/>
          <w:color w:val="172B3A"/>
          <w:sz w:val="20"/>
          <w:u w:val="none"/>
        </w:rPr>
        <w:t xml:space="preserve"> identify a supplied source; inference </w:t>
      </w:r>
      <w:r>
        <w:rPr>
          <w:rFonts w:ascii="Arial" w:hAnsi="Arial" w:eastAsia="Arial"/>
          <w:b/>
          <w:color w:val="172B3A"/>
          <w:sz w:val="20"/>
          <w:u w:val="single"/>
        </w:rPr>
        <w:t>MUST</w:t>
      </w:r>
      <w:r>
        <w:rPr>
          <w:rFonts w:ascii="Arial" w:hAnsi="Arial" w:eastAsia="Arial"/>
          <w:b w:val="0"/>
          <w:color w:val="172B3A"/>
          <w:sz w:val="20"/>
          <w:u w:val="none"/>
        </w:rPr>
        <w:t xml:space="preserve"> be labeled. Check: compare every material claim with that source.</w:t>
      </w:r>
    </w:p>
    <w:p>
      <w:pPr>
        <w:keepLines/>
        <w:spacing w:before="0" w:after="100" w:line="259" w:lineRule="auto"/>
      </w:pPr>
      <w:r>
        <w:rPr>
          <w:rFonts w:ascii="Arial" w:hAnsi="Arial" w:eastAsia="Arial"/>
          <w:b/>
          <w:color w:val="172B3A"/>
          <w:sz w:val="20"/>
          <w:u w:val="none"/>
        </w:rPr>
        <w:t>GUARD-BRIEF-002.</w:t>
      </w:r>
      <w:r>
        <w:rPr>
          <w:rFonts w:ascii="Arial" w:hAnsi="Arial" w:eastAsia="Arial"/>
          <w:b w:val="0"/>
          <w:color w:val="172B3A"/>
          <w:sz w:val="20"/>
          <w:u w:val="none"/>
        </w:rPr>
        <w:t xml:space="preserve"> Missing or conflicting decisions </w:t>
      </w:r>
      <w:r>
        <w:rPr>
          <w:rFonts w:ascii="Arial" w:hAnsi="Arial" w:eastAsia="Arial"/>
          <w:b/>
          <w:color w:val="172B3A"/>
          <w:sz w:val="20"/>
          <w:u w:val="single"/>
        </w:rPr>
        <w:t>MUST NOT</w:t>
      </w:r>
      <w:r>
        <w:rPr>
          <w:rFonts w:ascii="Arial" w:hAnsi="Arial" w:eastAsia="Arial"/>
          <w:b w:val="0"/>
          <w:color w:val="172B3A"/>
          <w:sz w:val="20"/>
          <w:u w:val="none"/>
        </w:rPr>
        <w:t xml:space="preserve"> be converted into approved facts. Check: use an incomplete brief and inspect the result.</w:t>
      </w:r>
    </w:p>
    <w:p>
      <w:pPr>
        <w:keepLines/>
        <w:spacing w:before="0" w:after="100" w:line="259" w:lineRule="auto"/>
      </w:pPr>
      <w:r>
        <w:rPr>
          <w:rFonts w:ascii="Arial" w:hAnsi="Arial" w:eastAsia="Arial"/>
          <w:b/>
          <w:color w:val="172B3A"/>
          <w:sz w:val="20"/>
          <w:u w:val="none"/>
        </w:rPr>
        <w:t>CONTRACT-BRIEF-003.</w:t>
      </w:r>
      <w:r>
        <w:rPr>
          <w:rFonts w:ascii="Arial" w:hAnsi="Arial" w:eastAsia="Arial"/>
          <w:b w:val="0"/>
          <w:color w:val="172B3A"/>
          <w:sz w:val="20"/>
          <w:u w:val="none"/>
        </w:rPr>
        <w:t xml:space="preserve"> Delivery </w:t>
      </w:r>
      <w:r>
        <w:rPr>
          <w:rFonts w:ascii="Arial" w:hAnsi="Arial" w:eastAsia="Arial"/>
          <w:b/>
          <w:color w:val="172B3A"/>
          <w:sz w:val="20"/>
          <w:u w:val="single"/>
        </w:rPr>
        <w:t>MUST</w:t>
      </w:r>
      <w:r>
        <w:rPr>
          <w:rFonts w:ascii="Arial" w:hAnsi="Arial" w:eastAsia="Arial"/>
          <w:b w:val="0"/>
          <w:color w:val="172B3A"/>
          <w:sz w:val="20"/>
          <w:u w:val="none"/>
        </w:rPr>
        <w:t xml:space="preserve"> state the input scope and unresolved questions. Check: a reader can trace the brief without consulting a private chat.</w:t>
      </w:r>
    </w:p>
    <w:p>
      <w:pPr>
        <w:pStyle w:val="Heading2"/>
        <w:keepLines/>
        <w:spacing w:before="120" w:after="60" w:line="259" w:lineRule="auto"/>
      </w:pPr>
      <w:r>
        <w:rPr>
          <w:rFonts w:ascii="Arial" w:hAnsi="Arial" w:eastAsia="Arial"/>
          <w:b/>
          <w:color w:val="000000"/>
          <w:sz w:val="21"/>
          <w:u w:val="none"/>
        </w:rPr>
        <w:t>Critical route</w:t>
      </w:r>
    </w:p>
    <w:p>
      <w:pPr>
        <w:keepLines/>
        <w:spacing w:before="0" w:after="100" w:line="259" w:lineRule="auto"/>
      </w:pPr>
      <w:r>
        <w:rPr>
          <w:rFonts w:ascii="Arial" w:hAnsi="Arial" w:eastAsia="Arial"/>
          <w:b/>
          <w:color w:val="172B3A"/>
          <w:sz w:val="20"/>
          <w:u w:val="none"/>
        </w:rPr>
        <w:t>R-01:</w:t>
      </w:r>
      <w:r>
        <w:rPr>
          <w:rFonts w:ascii="Arial" w:hAnsi="Arial" w:eastAsia="Arial"/>
          <w:b w:val="0"/>
          <w:color w:val="172B3A"/>
          <w:sz w:val="20"/>
          <w:u w:val="none"/>
        </w:rPr>
        <w:t xml:space="preserve"> Supplied brief → source review → claims and gaps → draft → source comparison → delivered brief.</w:t>
      </w:r>
    </w:p>
    <w:p>
      <w:pPr>
        <w:keepLines/>
        <w:spacing w:before="0" w:after="100" w:line="259" w:lineRule="auto"/>
      </w:pPr>
      <w:r>
        <w:rPr>
          <w:rFonts w:ascii="Arial" w:hAnsi="Arial" w:eastAsia="Arial"/>
          <w:b/>
          <w:color w:val="172B3A"/>
          <w:sz w:val="20"/>
          <w:u w:val="none"/>
        </w:rPr>
        <w:t>Expected.</w:t>
      </w:r>
      <w:r>
        <w:rPr>
          <w:rFonts w:ascii="Arial" w:hAnsi="Arial" w:eastAsia="Arial"/>
          <w:b w:val="0"/>
          <w:color w:val="172B3A"/>
          <w:sz w:val="20"/>
          <w:u w:val="none"/>
        </w:rPr>
        <w:t xml:space="preserve"> A traceable brief preserves uncertainty and identifies the next decision. Excludes independent validation of the supplied facts, actual launch readiness and automated publication. Related clauses: LAW-BRIEF-001, GUARD-BRIEF-002 and CONTRACT-BRIEF-003; route baseline v0.1.</w:t>
      </w:r>
    </w:p>
    <w:p>
      <w:pPr>
        <w:keepLines/>
        <w:spacing w:before="0" w:after="100" w:line="259" w:lineRule="auto"/>
      </w:pPr>
      <w:r>
        <w:rPr>
          <w:rFonts w:ascii="Arial" w:hAnsi="Arial" w:eastAsia="Arial"/>
          <w:b/>
          <w:color w:val="172B3A"/>
          <w:sz w:val="20"/>
          <w:u w:val="none"/>
        </w:rPr>
        <w:t>Working approach.</w:t>
      </w:r>
      <w:r>
        <w:rPr>
          <w:rFonts w:ascii="Arial" w:hAnsi="Arial" w:eastAsia="Arial"/>
          <w:b w:val="0"/>
          <w:color w:val="172B3A"/>
          <w:sz w:val="20"/>
          <w:u w:val="none"/>
        </w:rPr>
        <w:t xml:space="preserve"> One focused round with useful local source comparisons. Choose the simplest sufficient path, not extra automation. Actions are OFF. This fixture needs zero remote starts, status checks or result fetches. Required organizational controls still apply.</w:t>
      </w:r>
    </w:p>
    <w:p>
      <w:pPr>
        <w:keepLines/>
        <w:spacing w:before="0" w:after="100" w:line="259" w:lineRule="auto"/>
      </w:pPr>
      <w:r>
        <w:rPr>
          <w:rFonts w:ascii="Arial" w:hAnsi="Arial" w:eastAsia="Arial"/>
          <w:b/>
          <w:color w:val="172B3A"/>
          <w:sz w:val="20"/>
          <w:u w:val="none"/>
        </w:rPr>
        <w:t>Baseline and state.</w:t>
      </w:r>
      <w:r>
        <w:rPr>
          <w:rFonts w:ascii="Arial" w:hAnsi="Arial" w:eastAsia="Arial"/>
          <w:b w:val="0"/>
          <w:color w:val="172B3A"/>
          <w:sz w:val="20"/>
          <w:u w:val="none"/>
        </w:rPr>
        <w:t xml:space="preserve"> Illustrative draft v0.1; no published baseline, amendments or real four-commit snapshot is asserted. General behavior: </w:t>
      </w:r>
      <w:r>
        <w:rPr>
          <w:rFonts w:ascii="Arial" w:hAnsi="Arial" w:eastAsia="Arial"/>
          <w:b/>
          <w:color w:val="172B3A"/>
          <w:sz w:val="20"/>
          <w:u w:val="single"/>
        </w:rPr>
        <w:t>NOT YET PROVEN</w:t>
      </w:r>
      <w:r>
        <w:rPr>
          <w:rFonts w:ascii="Arial" w:hAnsi="Arial" w:eastAsia="Arial"/>
          <w:b w:val="0"/>
          <w:color w:val="172B3A"/>
          <w:sz w:val="20"/>
          <w:u w:val="none"/>
        </w:rPr>
        <w:t>. The next page demonstrates the method; it does not claim an executed Codex task.</w:t>
      </w:r>
    </w:p>
    <w:p>
      <w:pPr>
        <w:pStyle w:val="Heading1"/>
        <w:keepLines/>
        <w:pageBreakBefore/>
        <w:spacing w:before="160" w:after="120" w:line="259" w:lineRule="auto"/>
      </w:pPr>
      <w:r>
        <w:rPr>
          <w:rFonts w:ascii="Arial" w:hAnsi="Arial" w:eastAsia="Arial"/>
          <w:b/>
          <w:color w:val="000000"/>
          <w:sz w:val="26"/>
          <w:u w:val="none"/>
        </w:rPr>
        <w:t>2. Same DNA, new operator, new evidence scope</w:t>
      </w:r>
    </w:p>
    <w:p>
      <w:pPr>
        <w:pStyle w:val="Heading2"/>
        <w:keepLines/>
        <w:spacing w:before="120" w:after="60" w:line="259" w:lineRule="auto"/>
      </w:pPr>
      <w:r>
        <w:rPr>
          <w:rFonts w:ascii="Arial" w:hAnsi="Arial" w:eastAsia="Arial"/>
          <w:b/>
          <w:color w:val="000000"/>
          <w:sz w:val="21"/>
          <w:u w:val="none"/>
        </w:rPr>
        <w:t>A fixed fixture, not a live project</w:t>
      </w:r>
    </w:p>
    <w:p>
      <w:pPr>
        <w:keepLines/>
        <w:spacing w:before="0" w:after="100" w:line="259" w:lineRule="auto"/>
      </w:pPr>
      <w:r>
        <w:rPr>
          <w:rFonts w:ascii="Arial" w:hAnsi="Arial" w:eastAsia="Arial"/>
          <w:b w:val="0"/>
          <w:color w:val="172B3A"/>
          <w:sz w:val="20"/>
          <w:u w:val="none"/>
        </w:rPr>
        <w:t xml:space="preserve">The following sources are invented teaching fixtures. They may share one repository; in two repositories, operations owns S1/S2 and briefing owns FSL/output. Link the source revisions, not competing copies. </w:t>
      </w:r>
      <w:r>
        <w:rPr>
          <w:rFonts w:ascii="Arial" w:hAnsi="Arial" w:eastAsia="Arial"/>
          <w:b/>
          <w:color w:val="172B3A"/>
          <w:sz w:val="20"/>
          <w:u w:val="none"/>
        </w:rPr>
        <w:t>S1 — Pilot note:</w:t>
      </w:r>
      <w:r>
        <w:rPr>
          <w:rFonts w:ascii="Arial" w:hAnsi="Arial" w:eastAsia="Arial"/>
          <w:b w:val="0"/>
          <w:color w:val="172B3A"/>
          <w:sz w:val="20"/>
          <w:u w:val="none"/>
        </w:rPr>
        <w:t xml:space="preserve"> Two pilot teams reviewed the draft. </w:t>
      </w:r>
      <w:r>
        <w:rPr>
          <w:rFonts w:ascii="Arial" w:hAnsi="Arial" w:eastAsia="Arial"/>
          <w:b/>
          <w:color w:val="172B3A"/>
          <w:sz w:val="20"/>
          <w:u w:val="none"/>
        </w:rPr>
        <w:t>S2 — Owner note:</w:t>
      </w:r>
      <w:r>
        <w:rPr>
          <w:rFonts w:ascii="Arial" w:hAnsi="Arial" w:eastAsia="Arial"/>
          <w:b w:val="0"/>
          <w:color w:val="172B3A"/>
          <w:sz w:val="20"/>
          <w:u w:val="none"/>
        </w:rPr>
        <w:t xml:space="preserve"> No launch date has been approved.</w:t>
      </w:r>
    </w:p>
    <w:p>
      <w:pPr>
        <w:keepLines/>
        <w:spacing w:before="0" w:after="100" w:line="259" w:lineRule="auto"/>
      </w:pPr>
      <w:r>
        <w:rPr>
          <w:rFonts w:ascii="Arial" w:hAnsi="Arial" w:eastAsia="Arial"/>
          <w:b w:val="0"/>
          <w:color w:val="172B3A"/>
          <w:sz w:val="20"/>
          <w:u w:val="none"/>
        </w:rPr>
        <w:t>The steward reviews source fidelity; the executor edits the brief; the owner decides launch approval. One person can hold several responsibilities, but maintaining the brief grants no launch authority. Task: produce a three-sentence brief under contract v0.1, change the brief only, return source comparisons and open decisions. No publication is authorized.</w:t>
      </w:r>
    </w:p>
    <w:p>
      <w:pPr>
        <w:pStyle w:val="Heading2"/>
        <w:keepLines/>
        <w:spacing w:before="120" w:after="60" w:line="259" w:lineRule="auto"/>
      </w:pPr>
      <w:r>
        <w:rPr>
          <w:rFonts w:ascii="Arial" w:hAnsi="Arial" w:eastAsia="Arial"/>
          <w:b/>
          <w:color w:val="000000"/>
          <w:sz w:val="21"/>
          <w:u w:val="none"/>
        </w:rPr>
        <w:t>The route and the supported output</w:t>
      </w:r>
    </w:p>
    <w:p>
      <w:pPr>
        <w:keepLines/>
        <w:spacing w:before="0" w:after="100" w:line="259" w:lineRule="auto"/>
      </w:pPr>
      <w:r>
        <w:rPr>
          <w:rFonts w:ascii="Arial" w:hAnsi="Arial" w:eastAsia="Arial"/>
          <w:b/>
          <w:color w:val="172B3A"/>
          <w:sz w:val="20"/>
          <w:u w:val="none"/>
        </w:rPr>
        <w:t>R-01:</w:t>
      </w:r>
      <w:r>
        <w:rPr>
          <w:rFonts w:ascii="Arial" w:hAnsi="Arial" w:eastAsia="Arial"/>
          <w:b w:val="0"/>
          <w:color w:val="172B3A"/>
          <w:sz w:val="20"/>
          <w:u w:val="none"/>
        </w:rPr>
        <w:t xml:space="preserve"> S1/S2 → source review → claims and gaps → draft → source comparison → brief for review. </w:t>
      </w:r>
      <w:r>
        <w:rPr>
          <w:rFonts w:ascii="Arial" w:hAnsi="Arial" w:eastAsia="Arial"/>
          <w:b/>
          <w:color w:val="172B3A"/>
          <w:sz w:val="20"/>
          <w:u w:val="none"/>
        </w:rPr>
        <w:t>Worked output:</w:t>
      </w:r>
      <w:r>
        <w:rPr>
          <w:rFonts w:ascii="Arial" w:hAnsi="Arial" w:eastAsia="Arial"/>
          <w:b w:val="0"/>
          <w:color w:val="172B3A"/>
          <w:sz w:val="20"/>
          <w:u w:val="none"/>
        </w:rPr>
        <w:t xml:space="preserve"> Two pilot teams reviewed the draft (S1). No launch date has been approved (S2). Open decision: the owner must decide and record any launch date; this brief establishes none.</w:t>
      </w:r>
    </w:p>
    <w:p>
      <w:pPr>
        <w:keepLines/>
        <w:spacing w:before="0" w:after="100" w:line="259" w:lineRule="auto"/>
      </w:pPr>
      <w:r>
        <w:rPr>
          <w:rFonts w:ascii="Arial" w:hAnsi="Arial" w:eastAsia="Arial"/>
          <w:b/>
          <w:color w:val="172B3A"/>
          <w:sz w:val="20"/>
          <w:u w:val="none"/>
        </w:rPr>
        <w:t>Illustrative return, not a live run log.</w:t>
      </w:r>
      <w:r>
        <w:rPr>
          <w:rFonts w:ascii="Arial" w:hAnsi="Arial" w:eastAsia="Arial"/>
          <w:b w:val="0"/>
          <w:color w:val="172B3A"/>
          <w:sz w:val="20"/>
          <w:u w:val="none"/>
        </w:rPr>
        <w:t xml:space="preserve"> S1/S2 support the first two sentences; the third identifies a gap, not a forecast. This example covers source comparison only. External execution: NOT RUN. It proves no real launch readiness, agent execution or publication. Never copy this explanation into a real run record as PASS.</w:t>
      </w:r>
    </w:p>
    <w:p>
      <w:pPr>
        <w:pStyle w:val="Heading2"/>
        <w:keepLines/>
        <w:spacing w:before="120" w:after="60" w:line="259" w:lineRule="auto"/>
      </w:pPr>
      <w:r>
        <w:rPr>
          <w:rFonts w:ascii="Arial" w:hAnsi="Arial" w:eastAsia="Arial"/>
          <w:b/>
          <w:color w:val="000000"/>
          <w:sz w:val="21"/>
          <w:u w:val="none"/>
        </w:rPr>
        <w:t>Detect drift; preserve the correct agreement</w:t>
      </w:r>
    </w:p>
    <w:p>
      <w:pPr>
        <w:keepLines/>
        <w:spacing w:before="0" w:after="100" w:line="259" w:lineRule="auto"/>
      </w:pPr>
      <w:r>
        <w:rPr>
          <w:rFonts w:ascii="Arial" w:hAnsi="Arial" w:eastAsia="Arial"/>
          <w:b w:val="0"/>
          <w:color w:val="172B3A"/>
          <w:sz w:val="20"/>
          <w:u w:val="none"/>
        </w:rPr>
        <w:t xml:space="preserve">Suppose a draft adds “Launch is Friday,” following skill advice to always supply a date. Against S2, that is an unsupported assertion and a violation of GUARD-BRIEF-002 in this fixture, not a new commitment. The steward links S2 and the affected sentence, marks the draft </w:t>
      </w:r>
      <w:r>
        <w:rPr>
          <w:rFonts w:ascii="Arial" w:hAnsi="Arial" w:eastAsia="Arial"/>
          <w:b/>
          <w:color w:val="172B3A"/>
          <w:sz w:val="20"/>
          <w:u w:val="single"/>
        </w:rPr>
        <w:t>NON-CONFORMANT</w:t>
      </w:r>
      <w:r>
        <w:rPr>
          <w:rFonts w:ascii="Arial" w:hAnsi="Arial" w:eastAsia="Arial"/>
          <w:b w:val="0"/>
          <w:color w:val="172B3A"/>
          <w:sz w:val="20"/>
          <w:u w:val="none"/>
        </w:rPr>
        <w:t xml:space="preserve"> for that scope, and proposes removal. The executor can restore fidelity within the task's edit scope; changing the contract or inventing an amendment is unnecessary.</w:t>
      </w:r>
    </w:p>
    <w:p>
      <w:pPr>
        <w:keepLines/>
        <w:spacing w:before="0" w:after="100" w:line="259" w:lineRule="auto"/>
      </w:pPr>
      <w:r>
        <w:rPr>
          <w:rFonts w:ascii="Arial" w:hAnsi="Arial" w:eastAsia="Arial"/>
          <w:b w:val="0"/>
          <w:color w:val="172B3A"/>
          <w:sz w:val="20"/>
          <w:u w:val="none"/>
        </w:rPr>
        <w:t>If an inaccessible note allegedly approved Friday, the approval remains uncertain. Do not guess precedence, publish the date or claim completeness for the changed scope. Continue safe pilot-summary work. If an authorized record later approves a date, update the brief under its existing source-fidelity rule. A policy allowing unsourced forecasts would instead change intent and need adoption; after release, an amendment.</w:t>
      </w:r>
    </w:p>
    <w:p>
      <w:pPr>
        <w:pStyle w:val="Heading2"/>
        <w:keepLines/>
        <w:spacing w:before="120" w:after="60" w:line="259" w:lineRule="auto"/>
      </w:pPr>
      <w:r>
        <w:rPr>
          <w:rFonts w:ascii="Arial" w:hAnsi="Arial" w:eastAsia="Arial"/>
          <w:b/>
          <w:color w:val="000000"/>
          <w:sz w:val="21"/>
          <w:u w:val="none"/>
        </w:rPr>
        <w:t>Compare sister-cell candidates without changing the briefing DNA</w:t>
      </w:r>
    </w:p>
    <w:p>
      <w:pPr>
        <w:keepLines/>
        <w:spacing w:before="0" w:after="100" w:line="259" w:lineRule="auto"/>
      </w:pPr>
      <w:r>
        <w:rPr>
          <w:rFonts w:ascii="Arial" w:hAnsi="Arial" w:eastAsia="Arial"/>
          <w:b w:val="0"/>
          <w:color w:val="172B3A"/>
          <w:sz w:val="20"/>
          <w:u w:val="none"/>
        </w:rPr>
        <w:t>If the owner permits Cell A (conservative format) and Cell B (alternate layout) from v0.1, both keep source-fidelity rules and separate evidence. Better reception grants no approval. Cell C combining A and B is a new candidate: identify both contributions and compare every claim to S1/S2, including any omitted uncertainty. Neither prior approval nor separate checks establish C. The owner may select C and record its delivery baseline under unchanged DNA. Adopting a changed SPEC would instead create a new DNA generation.</w:t>
      </w:r>
    </w:p>
    <w:p>
      <w:pPr>
        <w:pStyle w:val="Heading2"/>
        <w:keepLines/>
        <w:spacing w:before="120" w:after="60" w:line="259" w:lineRule="auto"/>
      </w:pPr>
      <w:r>
        <w:rPr>
          <w:rFonts w:ascii="Arial" w:hAnsi="Arial" w:eastAsia="Arial"/>
          <w:b/>
          <w:color w:val="000000"/>
          <w:sz w:val="21"/>
          <w:u w:val="none"/>
        </w:rPr>
        <w:t>Keep history and a small current view</w:t>
      </w:r>
    </w:p>
    <w:p>
      <w:pPr>
        <w:keepLines/>
        <w:spacing w:before="0" w:after="100" w:line="259" w:lineRule="auto"/>
      </w:pPr>
      <w:r>
        <w:rPr>
          <w:rFonts w:ascii="Arial" w:hAnsi="Arial" w:eastAsia="Arial"/>
          <w:b w:val="0"/>
          <w:color w:val="172B3A"/>
          <w:sz w:val="20"/>
          <w:u w:val="none"/>
        </w:rPr>
        <w:t>A dated note can say: “Contract v0.1; sources S1/S2; route R-01. Source comparison only; unsupported date removed in this illustration. Launch approval absent; owner decides next. No runtime or publication evidence.” Missing ownership stays unassigned; pause dependent commitments.</w:t>
      </w:r>
    </w:p>
    <w:p>
      <w:pPr>
        <w:keepLines/>
        <w:spacing w:before="0" w:after="100" w:line="259" w:lineRule="auto"/>
      </w:pPr>
      <w:r>
        <w:rPr>
          <w:rFonts w:ascii="Arial" w:hAnsi="Arial" w:eastAsia="Arial"/>
          <w:b w:val="0"/>
          <w:color w:val="172B3A"/>
          <w:sz w:val="20"/>
          <w:u w:val="none"/>
        </w:rPr>
        <w:t>Earlier comparisons retain their source scope. Close findings with corrected artifacts, affected checks and decisions. Handover review may conclude “no change needed” within scope; a closed issue alone proves no resolution.</w:t>
      </w:r>
    </w:p>
    <w:p>
      <w:pPr>
        <w:pStyle w:val="Heading2"/>
        <w:keepLines/>
        <w:spacing w:before="120" w:after="60" w:line="259" w:lineRule="auto"/>
      </w:pPr>
      <w:r>
        <w:rPr>
          <w:rFonts w:ascii="Arial" w:hAnsi="Arial" w:eastAsia="Arial"/>
          <w:b/>
          <w:color w:val="000000"/>
          <w:sz w:val="21"/>
          <w:u w:val="none"/>
        </w:rPr>
        <w:t>A copied kit is not a completed handover</w:t>
      </w:r>
    </w:p>
    <w:p>
      <w:pPr>
        <w:keepLines/>
        <w:spacing w:before="0" w:after="100" w:line="259" w:lineRule="auto"/>
      </w:pPr>
      <w:r>
        <w:rPr>
          <w:rFonts w:ascii="Arial" w:hAnsi="Arial" w:eastAsia="Arial"/>
          <w:b w:val="0"/>
          <w:color w:val="172B3A"/>
          <w:sz w:val="20"/>
          <w:u w:val="none"/>
        </w:rPr>
        <w:t xml:space="preserve">Team B receives the same brief and source revisions. It can trace Team A's record, but cannot mark its own R-01 as PASS merely because a prior record exists. The source-fidelity commitment remains unchanged. B identifies the adopted contract and actual edit scope, compares its delivered brief to S1/S2, and records the relevant result. An incomplete comparison remains </w:t>
      </w:r>
      <w:r>
        <w:rPr>
          <w:rFonts w:ascii="Arial" w:hAnsi="Arial" w:eastAsia="Arial"/>
          <w:b/>
          <w:color w:val="172B3A"/>
          <w:sz w:val="20"/>
          <w:u w:val="single"/>
        </w:rPr>
        <w:t>NOT YET PROVEN</w:t>
      </w:r>
      <w:r>
        <w:rPr>
          <w:rFonts w:ascii="Arial" w:hAnsi="Arial" w:eastAsia="Arial"/>
          <w:b w:val="0"/>
          <w:color w:val="172B3A"/>
          <w:sz w:val="20"/>
          <w:u w:val="none"/>
        </w:rPr>
        <w:t>; a different layout alone is not a contract violation.</w:t>
      </w:r>
    </w:p>
    <w:p>
      <w:pPr>
        <w:keepLines/>
        <w:spacing w:before="0" w:after="100" w:line="259" w:lineRule="auto"/>
      </w:pPr>
      <w:r>
        <w:rPr>
          <w:rFonts w:ascii="Arial" w:hAnsi="Arial" w:eastAsia="Arial"/>
          <w:b w:val="0"/>
          <w:color w:val="172B3A"/>
          <w:sz w:val="20"/>
          <w:u w:val="none"/>
        </w:rPr>
        <w:t>If B instead forks the briefing project and wants to allow unsourced forecasts, that is changed intent, not a new formatting preference. Its authorized owner must review adoption; after release, use an amendment. The copied skill cannot approve it. If the project simply moves to another repository with unchanged intent, preserve ancestry and identify the new authoritative home rather than inventing a new agreement.</w:t>
      </w:r>
    </w:p>
    <w:p>
      <w:pPr>
        <w:pStyle w:val="Heading2"/>
        <w:keepLines/>
        <w:spacing w:before="120" w:after="60" w:line="259" w:lineRule="auto"/>
      </w:pPr>
      <w:r>
        <w:rPr>
          <w:rFonts w:ascii="Arial" w:hAnsi="Arial" w:eastAsia="Arial"/>
          <w:b/>
          <w:color w:val="000000"/>
          <w:sz w:val="21"/>
          <w:u w:val="none"/>
        </w:rPr>
        <w:t>Preserve budget and state across the move</w:t>
      </w:r>
    </w:p>
    <w:p>
      <w:pPr>
        <w:keepLines/>
        <w:spacing w:before="0" w:after="100" w:line="259" w:lineRule="auto"/>
      </w:pPr>
      <w:r>
        <w:rPr>
          <w:rFonts w:ascii="Arial" w:hAnsi="Arial" w:eastAsia="Arial"/>
          <w:b w:val="0"/>
          <w:color w:val="172B3A"/>
          <w:sz w:val="20"/>
          <w:u w:val="none"/>
        </w:rPr>
        <w:t>Copying grants no Actions starts, expiry extension or multiplied budget. No live fork, handover, agent, deployment or workflow was executed here. This illustration is not a run log.</w:t>
      </w:r>
    </w:p>
    <w:sectPr w:rsidR="00FC693F" w:rsidRPr="0006063C" w:rsidSect="00034616">
      <w:headerReference w:type="default" r:id="rId9"/>
      <w:footerReference w:type="default" r:id="rId10"/>
      <w:pgSz w:w="11906" w:h="16838"/>
      <w:pgMar w:top="1020" w:right="880" w:bottom="1120" w:left="880" w:header="46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80"/>
      <w:jc w:val="center"/>
    </w:pPr>
    <w:r>
      <w:rPr>
        <w:rFonts w:ascii="Arial" w:hAnsi="Arial" w:eastAsia="Arial"/>
        <w:b/>
        <w:color w:val="000000"/>
        <w:sz w:val="17"/>
        <w:u w:val="none"/>
      </w:rPr>
      <w:t>FSL owns the method. The project owns the work.</w:t>
    </w:r>
  </w:p>
  <w:p>
    <w:pPr>
      <w:keepLines/>
      <w:tabs>
        <w:tab w:pos="10146" w:val="right"/>
      </w:tabs>
      <w:spacing w:before="0" w:after="0" w:line="259" w:lineRule="auto"/>
    </w:pPr>
    <w:r>
      <w:rPr>
        <w:rFonts w:ascii="Arial" w:hAnsi="Arial" w:eastAsia="Arial"/>
        <w:b w:val="0"/>
        <w:color w:val="526474"/>
        <w:sz w:val="16"/>
        <w:u w:val="none"/>
      </w:rPr>
      <w:t>Four-Square Template v1.10</w:t>
    </w:r>
    <w:r>
      <w:rPr>
        <w:rFonts w:ascii="Arial" w:hAnsi="Arial" w:eastAsia="Arial"/>
        <w:b w:val="0"/>
        <w:color w:val="172B3A"/>
        <w:sz w:val="16"/>
        <w:u w:val="none"/>
      </w:rPr>
      <w:tab/>
    </w:r>
    <w:fldSimple w:instr="PAGE">
      <w:r>
        <w:t>1</w:t>
      </w:r>
    </w:fldSimple>
    <w:r>
      <w:rPr>
        <w:rFonts w:ascii="Arial" w:hAnsi="Arial" w:eastAsia="Arial"/>
        <w:b w:val="0"/>
        <w:color w:val="526474"/>
        <w:sz w:val="16"/>
        <w:u w:val="none"/>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46" w:val="right"/>
      </w:tabs>
      <w:spacing w:after="60"/>
      <w:pBdr>
        <w:bottom w:val="single" w:sz="7" w:color="000000" w:space="7"/>
      </w:pBdr>
    </w:pPr>
    <w:r>
      <w:rPr>
        <w:rFonts w:ascii="Arial" w:hAnsi="Arial" w:eastAsia="Arial"/>
        <w:b/>
        <w:color w:val="000000"/>
        <w:sz w:val="16"/>
        <w:u w:val="none"/>
      </w:rPr>
      <w:t>FSL / AUTHORITY &amp; LINEAGE</w:t>
    </w:r>
    <w:r>
      <w:rPr>
        <w:rFonts w:ascii="Arial" w:hAnsi="Arial" w:eastAsia="Arial"/>
        <w:b w:val="0"/>
        <w:color w:val="526474"/>
        <w:sz w:val="16"/>
        <w:u w:val="none"/>
      </w:rPr>
      <w:tab/>
      <w:t>Evidence Brief v0.1 · Illustration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rial" w:hAnsi="Arial"/>
      <w:b/>
      <w:bCs/>
      <w:color w:val="172B3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2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2B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172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FSL v1.10</dc:title>
  <dc:subject>Documents govern; skills maintain; evidence verifies. Released method; project adoption remains separate.</dc:subject>
  <dc:creator>FSL</dc:creator>
  <cp:keywords/>
  <dc:description>generated by python-docx</dc:description>
  <cp:lastModifiedBy>FSL</cp:lastModifiedBy>
  <cp:revision>1</cp:revision>
  <dcterms:created xsi:type="dcterms:W3CDTF">2026-09-09T00:00:00Z</dcterms:created>
  <dcterms:modified xsi:type="dcterms:W3CDTF">2026-09-09T00:00:00Z</dcterms:modified>
  <cp:category/>
</cp:coreProperties>
</file>