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spacing w:before="0" w:after="160" w:line="259" w:lineRule="auto"/>
      </w:pPr>
      <w:r>
        <w:rPr>
          <w:rFonts w:ascii="Arial" w:hAnsi="Arial" w:eastAsia="Arial"/>
          <w:b/>
          <w:color w:val="000000"/>
          <w:sz w:val="42"/>
          <w:u w:val="none"/>
        </w:rPr>
        <w:t>[PROJECT / BUSINESS / PRODUCT]</w:t>
      </w:r>
    </w:p>
    <w:p>
      <w:pPr>
        <w:keepLines/>
        <w:spacing w:before="0" w:after="100" w:line="259" w:lineRule="auto"/>
      </w:pPr>
      <w:r>
        <w:rPr>
          <w:rFonts w:ascii="Arial" w:hAnsi="Arial" w:eastAsia="Arial"/>
          <w:b w:val="0"/>
          <w:color w:val="526474"/>
          <w:sz w:val="17"/>
          <w:u w:val="none"/>
        </w:rPr>
        <w:t>Project/contract: [vN; draft or adopted]. Document home: [repository/path]; related repositories: [links or NONE]. Steward: [name]. Decision authority: [name, scope, approval record]. FSL method/template: v1.10; identify the adopted project baseline.</w:t>
      </w:r>
    </w:p>
    <w:p>
      <w:pPr>
        <w:keepLines/>
        <w:spacing w:before="0" w:after="100" w:line="259" w:lineRule="auto"/>
      </w:pPr>
      <w:r>
        <w:rPr>
          <w:rFonts w:ascii="Arial" w:hAnsi="Arial" w:eastAsia="Arial"/>
          <w:b/>
          <w:color w:val="172B3A"/>
          <w:sz w:val="20"/>
          <w:u w:val="none"/>
        </w:rPr>
        <w:t>Purpose.</w:t>
      </w:r>
      <w:r>
        <w:rPr>
          <w:rFonts w:ascii="Arial" w:hAnsi="Arial" w:eastAsia="Arial"/>
          <w:b w:val="0"/>
          <w:color w:val="172B3A"/>
          <w:sz w:val="20"/>
          <w:u w:val="none"/>
        </w:rPr>
        <w:t xml:space="preserve"> [Who is served, the business outcome and value.] </w:t>
      </w:r>
      <w:r>
        <w:rPr>
          <w:rFonts w:ascii="Arial" w:hAnsi="Arial" w:eastAsia="Arial"/>
          <w:b/>
          <w:color w:val="172B3A"/>
          <w:sz w:val="20"/>
          <w:u w:val="none"/>
        </w:rPr>
        <w:t>Boundary.</w:t>
      </w:r>
      <w:r>
        <w:rPr>
          <w:rFonts w:ascii="Arial" w:hAnsi="Arial" w:eastAsia="Arial"/>
          <w:b w:val="0"/>
          <w:color w:val="172B3A"/>
          <w:sz w:val="20"/>
          <w:u w:val="none"/>
        </w:rPr>
        <w:t xml:space="preserve"> [Scope, exclusions and constraints.]</w:t>
      </w:r>
    </w:p>
    <w:p>
      <w:pPr>
        <w:keepLines/>
        <w:spacing w:before="0" w:after="100" w:line="259" w:lineRule="auto"/>
      </w:pPr>
      <w:r>
        <w:rPr>
          <w:rFonts w:ascii="Arial" w:hAnsi="Arial" w:eastAsia="Arial"/>
          <w:b/>
          <w:color w:val="172B3A"/>
          <w:sz w:val="20"/>
          <w:u w:val="none"/>
        </w:rPr>
        <w:t>Authority.</w:t>
      </w:r>
      <w:r>
        <w:rPr>
          <w:rFonts w:ascii="Arial" w:hAnsi="Arial" w:eastAsia="Arial"/>
          <w:b w:val="0"/>
          <w:color w:val="172B3A"/>
          <w:sz w:val="20"/>
          <w:u w:val="none"/>
        </w:rPr>
        <w:t xml:space="preserve"> [Completed FSL + adopted supporting documents, versions and approval record.] These documents govern agreed intent. The steward maintains alignment; the named authority approves intent. Skills support; evidence verifies outcomes. Skill advice, access or assignment does not confer approval.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4" w:color="CCD7DF"/>
          <w:bottom w:val="single" w:sz="4" w:color="CCD7DF"/>
          <w:left w:val="single" w:sz="4" w:color="CCD7DF"/>
          <w:right w:val="single" w:sz="4" w:color="CCD7DF"/>
          <w:insideH w:val="single" w:sz="4" w:color="CCD7DF"/>
          <w:insideV w:val="single" w:sz="4" w:color="CCD7DF"/>
        </w:tblBorders>
      </w:tblPr>
      <w:tblGrid>
        <w:gridCol w:w="5073"/>
        <w:gridCol w:w="5073"/>
      </w:tblGrid>
      <w:tr>
        <w:trPr>
          <w:cantSplit/>
          <w:cantSplit/>
        </w:trPr>
        <w:tc>
          <w:tcPr>
            <w:tcW w:type="dxa" w:w="5073"/>
            <w:vAlign w:val="top"/>
            <w:tcMar>
              <w:top w:w="95" w:type="dxa"/>
              <w:bottom w:w="95" w:type="dxa"/>
              <w:start w:w="115" w:type="dxa"/>
              <w:end w:w="115" w:type="dxa"/>
            </w:tcMar>
            <w:shd w:fill="F2F5F7"/>
          </w:tcPr>
          <w:p>
            <w:pPr>
              <w:spacing w:after="0" w:line="257" w:lineRule="auto"/>
            </w:pPr>
            <w:r>
              <w:rPr>
                <w:rFonts w:ascii="Arial" w:hAnsi="Arial" w:eastAsia="Arial"/>
                <w:b/>
                <w:color w:val="172B3A"/>
                <w:sz w:val="19"/>
                <w:u w:val="none"/>
              </w:rPr>
              <w:t>SPEC</w:t>
            </w:r>
            <w:r>
              <w:rPr>
                <w:rFonts w:ascii="Arial" w:hAnsi="Arial" w:eastAsia="Arial"/>
                <w:b w:val="0"/>
                <w:color w:val="172B3A"/>
                <w:sz w:val="19"/>
                <w:u w:val="none"/>
              </w:rPr>
              <w:t xml:space="preserve"> / spec-vN — FSL first; adopted project DNA: business rules, commitments, contracts, acceptance and routes. Optional appendix, errata and amendments.</w:t>
            </w:r>
          </w:p>
        </w:tc>
        <w:tc>
          <w:tcPr>
            <w:tcW w:type="dxa" w:w="5073"/>
            <w:vAlign w:val="top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spacing w:after="0" w:line="257" w:lineRule="auto"/>
            </w:pPr>
            <w:r>
              <w:rPr>
                <w:rFonts w:ascii="Arial" w:hAnsi="Arial" w:eastAsia="Arial"/>
                <w:b/>
                <w:color w:val="172B3A"/>
                <w:sz w:val="19"/>
                <w:u w:val="none"/>
              </w:rPr>
              <w:t>SYSTEM</w:t>
            </w:r>
            <w:r>
              <w:rPr>
                <w:rFonts w:ascii="Arial" w:hAnsi="Arial" w:eastAsia="Arial"/>
                <w:b w:val="0"/>
                <w:color w:val="172B3A"/>
                <w:sz w:val="19"/>
                <w:u w:val="none"/>
              </w:rPr>
              <w:t xml:space="preserve"> / system-vN — [Deliverable, operating work and checks: services, code, data, documents or instructions.]</w:t>
            </w:r>
          </w:p>
        </w:tc>
      </w:tr>
      <w:tr>
        <w:trPr>
          <w:cantSplit/>
          <w:cantSplit/>
        </w:trPr>
        <w:tc>
          <w:tcPr>
            <w:tcW w:type="dxa" w:w="5073"/>
            <w:vAlign w:val="top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spacing w:after="0" w:line="257" w:lineRule="auto"/>
            </w:pPr>
            <w:r>
              <w:rPr>
                <w:rFonts w:ascii="Arial" w:hAnsi="Arial" w:eastAsia="Arial"/>
                <w:b/>
                <w:color w:val="172B3A"/>
                <w:sz w:val="19"/>
                <w:u w:val="none"/>
              </w:rPr>
              <w:t>AI</w:t>
            </w:r>
            <w:r>
              <w:rPr>
                <w:rFonts w:ascii="Arial" w:hAnsi="Arial" w:eastAsia="Arial"/>
                <w:b w:val="0"/>
                <w:color w:val="172B3A"/>
                <w:sz w:val="19"/>
                <w:u w:val="none"/>
              </w:rPr>
              <w:t xml:space="preserve"> / ai-vN — [AI-specific maintenance/working instructions and capabilities, or inactive scope.]</w:t>
            </w:r>
          </w:p>
        </w:tc>
        <w:tc>
          <w:tcPr>
            <w:tcW w:type="dxa" w:w="5073"/>
            <w:vAlign w:val="top"/>
            <w:tcMar>
              <w:top w:w="95" w:type="dxa"/>
              <w:bottom w:w="95" w:type="dxa"/>
              <w:start w:w="115" w:type="dxa"/>
              <w:end w:w="115" w:type="dxa"/>
            </w:tcMar>
            <w:shd w:fill="F2F5F7"/>
          </w:tcPr>
          <w:p>
            <w:pPr>
              <w:spacing w:after="0" w:line="257" w:lineRule="auto"/>
            </w:pPr>
            <w:r>
              <w:rPr>
                <w:rFonts w:ascii="Arial" w:hAnsi="Arial" w:eastAsia="Arial"/>
                <w:b/>
                <w:color w:val="172B3A"/>
                <w:sz w:val="19"/>
                <w:u w:val="none"/>
              </w:rPr>
              <w:t>MEMORY</w:t>
            </w:r>
            <w:r>
              <w:rPr>
                <w:rFonts w:ascii="Arial" w:hAnsi="Arial" w:eastAsia="Arial"/>
                <w:b w:val="0"/>
                <w:color w:val="172B3A"/>
                <w:sz w:val="19"/>
                <w:u w:val="none"/>
              </w:rPr>
              <w:t xml:space="preserve"> / memory-vN — [Decisions, rationale, limits, handover and evidence links.]</w:t>
            </w:r>
          </w:p>
        </w:tc>
      </w:tr>
    </w:tbl>
    <w:p>
      <w:pPr>
        <w:keepLines/>
        <w:spacing w:before="0" w:after="100" w:line="259" w:lineRule="auto"/>
      </w:pPr>
      <w:r>
        <w:rPr>
          <w:rFonts w:ascii="Arial" w:hAnsi="Arial" w:eastAsia="Arial"/>
          <w:b w:val="0"/>
          <w:color w:val="172B3A"/>
          <w:sz w:val="20"/>
          <w:u w:val="none"/>
        </w:rPr>
        <w:t>SPEC and MEMORY stay fixed; retain justified alternatives to SYSTEM / AI. One or several repositories; one authoritative home per artifact.</w:t>
      </w:r>
    </w:p>
    <w:p>
      <w:pPr>
        <w:pStyle w:val="Heading2"/>
        <w:keepLines/>
        <w:spacing w:before="120" w:after="60" w:line="259" w:lineRule="auto"/>
      </w:pPr>
      <w:r>
        <w:rPr>
          <w:rFonts w:ascii="Arial" w:hAnsi="Arial" w:eastAsia="Arial"/>
          <w:b/>
          <w:color w:val="000000"/>
          <w:sz w:val="21"/>
          <w:u w:val="none"/>
        </w:rPr>
        <w:t>Key promises</w:t>
      </w:r>
    </w:p>
    <w:p>
      <w:pPr>
        <w:keepLines/>
        <w:spacing w:before="0" w:after="100" w:line="259" w:lineRule="auto"/>
      </w:pPr>
      <w:r>
        <w:rPr>
          <w:rFonts w:ascii="Arial" w:hAnsi="Arial" w:eastAsia="Arial"/>
          <w:b/>
          <w:color w:val="172B3A"/>
          <w:sz w:val="20"/>
          <w:u w:val="none"/>
        </w:rPr>
        <w:t>LAW-[SCOPE]-001.</w:t>
      </w:r>
      <w:r>
        <w:rPr>
          <w:rFonts w:ascii="Arial" w:hAnsi="Arial" w:eastAsia="Arial"/>
          <w:b w:val="0"/>
          <w:color w:val="172B3A"/>
          <w:sz w:val="20"/>
          <w:u w:val="none"/>
        </w:rPr>
        <w:t xml:space="preserve"> [Owner] </w:t>
      </w:r>
      <w:r>
        <w:rPr>
          <w:rFonts w:ascii="Arial" w:hAnsi="Arial" w:eastAsia="Arial"/>
          <w:b/>
          <w:color w:val="172B3A"/>
          <w:sz w:val="20"/>
          <w:u w:val="single"/>
        </w:rPr>
        <w:t>MUST</w:t>
      </w:r>
      <w:r>
        <w:rPr>
          <w:rFonts w:ascii="Arial" w:hAnsi="Arial" w:eastAsia="Arial"/>
          <w:b w:val="0"/>
          <w:color w:val="172B3A"/>
          <w:sz w:val="20"/>
          <w:u w:val="none"/>
        </w:rPr>
        <w:t xml:space="preserve"> [observable business or product commitment]. Check: [evidence].</w:t>
      </w:r>
    </w:p>
    <w:p>
      <w:pPr>
        <w:keepLines/>
        <w:spacing w:before="0" w:after="100" w:line="259" w:lineRule="auto"/>
      </w:pPr>
      <w:r>
        <w:rPr>
          <w:rFonts w:ascii="Arial" w:hAnsi="Arial" w:eastAsia="Arial"/>
          <w:b/>
          <w:color w:val="172B3A"/>
          <w:sz w:val="20"/>
          <w:u w:val="none"/>
        </w:rPr>
        <w:t>CONTRACT-[SCOPE]-002.</w:t>
      </w:r>
      <w:r>
        <w:rPr>
          <w:rFonts w:ascii="Arial" w:hAnsi="Arial" w:eastAsia="Arial"/>
          <w:b w:val="0"/>
          <w:color w:val="172B3A"/>
          <w:sz w:val="20"/>
          <w:u w:val="none"/>
        </w:rPr>
        <w:t xml:space="preserve"> [Service/interface] </w:t>
      </w:r>
      <w:r>
        <w:rPr>
          <w:rFonts w:ascii="Arial" w:hAnsi="Arial" w:eastAsia="Arial"/>
          <w:b/>
          <w:color w:val="172B3A"/>
          <w:sz w:val="20"/>
          <w:u w:val="single"/>
        </w:rPr>
        <w:t>MUST</w:t>
      </w:r>
      <w:r>
        <w:rPr>
          <w:rFonts w:ascii="Arial" w:hAnsi="Arial" w:eastAsia="Arial"/>
          <w:b w:val="0"/>
          <w:color w:val="172B3A"/>
          <w:sz w:val="20"/>
          <w:u w:val="none"/>
        </w:rPr>
        <w:t xml:space="preserve"> [observable promise]. Check: [acceptance evidence].</w:t>
      </w:r>
    </w:p>
    <w:p>
      <w:pPr>
        <w:keepLines/>
        <w:spacing w:before="0" w:after="100" w:line="259" w:lineRule="auto"/>
      </w:pPr>
      <w:r>
        <w:rPr>
          <w:rFonts w:ascii="Arial" w:hAnsi="Arial" w:eastAsia="Arial"/>
          <w:b/>
          <w:color w:val="172B3A"/>
          <w:sz w:val="20"/>
          <w:u w:val="none"/>
        </w:rPr>
        <w:t>GUARD-[SCOPE]-003.</w:t>
      </w:r>
      <w:r>
        <w:rPr>
          <w:rFonts w:ascii="Arial" w:hAnsi="Arial" w:eastAsia="Arial"/>
          <w:b w:val="0"/>
          <w:color w:val="172B3A"/>
          <w:sz w:val="20"/>
          <w:u w:val="none"/>
        </w:rPr>
        <w:t xml:space="preserve"> [Actor/process] </w:t>
      </w:r>
      <w:r>
        <w:rPr>
          <w:rFonts w:ascii="Arial" w:hAnsi="Arial" w:eastAsia="Arial"/>
          <w:b/>
          <w:color w:val="172B3A"/>
          <w:sz w:val="20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20"/>
          <w:u w:val="none"/>
        </w:rPr>
        <w:t xml:space="preserve"> [forbidden effect]. Check: [boundary evidence].</w:t>
      </w:r>
    </w:p>
    <w:p>
      <w:pPr>
        <w:pStyle w:val="Heading2"/>
        <w:keepLines/>
        <w:spacing w:before="120" w:after="60" w:line="259" w:lineRule="auto"/>
      </w:pPr>
      <w:r>
        <w:rPr>
          <w:rFonts w:ascii="Arial" w:hAnsi="Arial" w:eastAsia="Arial"/>
          <w:b/>
          <w:color w:val="000000"/>
          <w:sz w:val="21"/>
          <w:u w:val="none"/>
        </w:rPr>
        <w:t>Formation / lineage</w:t>
      </w:r>
    </w:p>
    <w:p>
      <w:pPr>
        <w:keepLines/>
        <w:spacing w:before="0" w:after="100" w:line="259" w:lineRule="auto"/>
      </w:pPr>
      <w:r>
        <w:rPr>
          <w:rFonts w:ascii="Arial" w:hAnsi="Arial" w:eastAsia="Arial"/>
          <w:b/>
          <w:color w:val="172B3A"/>
          <w:sz w:val="20"/>
          <w:u w:val="none"/>
        </w:rPr>
        <w:t>Project cell.</w:t>
      </w:r>
      <w:r>
        <w:rPr>
          <w:rFonts w:ascii="Arial" w:hAnsi="Arial" w:eastAsia="Arial"/>
          <w:b w:val="0"/>
          <w:color w:val="172B3A"/>
          <w:sz w:val="20"/>
          <w:u w:val="none"/>
        </w:rPr>
        <w:t xml:space="preserve"> [Primary expression and adopted DNA baseline.] </w:t>
      </w:r>
      <w:r>
        <w:rPr>
          <w:rFonts w:ascii="Arial" w:hAnsi="Arial" w:eastAsia="Arial"/>
          <w:b/>
          <w:color w:val="172B3A"/>
          <w:sz w:val="20"/>
          <w:u w:val="none"/>
        </w:rPr>
        <w:t>Sister cells.</w:t>
      </w:r>
      <w:r>
        <w:rPr>
          <w:rFonts w:ascii="Arial" w:hAnsi="Arial" w:eastAsia="Arial"/>
          <w:b w:val="0"/>
          <w:color w:val="172B3A"/>
          <w:sz w:val="20"/>
          <w:u w:val="none"/>
        </w:rPr>
        <w:t xml:space="preserve"> [NONE, or named candidates + purpose + inherited baseline.] </w:t>
      </w:r>
      <w:r>
        <w:rPr>
          <w:rFonts w:ascii="Arial" w:hAnsi="Arial" w:eastAsia="Arial"/>
          <w:b/>
          <w:color w:val="172B3A"/>
          <w:sz w:val="20"/>
          <w:u w:val="none"/>
        </w:rPr>
        <w:t>Variation boundary.</w:t>
      </w:r>
      <w:r>
        <w:rPr>
          <w:rFonts w:ascii="Arial" w:hAnsi="Arial" w:eastAsia="Arial"/>
          <w:b w:val="0"/>
          <w:color w:val="172B3A"/>
          <w:sz w:val="20"/>
          <w:u w:val="none"/>
        </w:rPr>
        <w:t xml:space="preserve"> [What </w:t>
      </w:r>
      <w:r>
        <w:rPr>
          <w:rFonts w:ascii="Arial" w:hAnsi="Arial" w:eastAsia="Arial"/>
          <w:b/>
          <w:color w:val="172B3A"/>
          <w:sz w:val="20"/>
          <w:u w:val="single"/>
        </w:rPr>
        <w:t>MAY</w:t>
      </w:r>
      <w:r>
        <w:rPr>
          <w:rFonts w:ascii="Arial" w:hAnsi="Arial" w:eastAsia="Arial"/>
          <w:b w:val="0"/>
          <w:color w:val="172B3A"/>
          <w:sz w:val="20"/>
          <w:u w:val="none"/>
        </w:rPr>
        <w:t xml:space="preserve"> vary / what stays fixed.] </w:t>
      </w:r>
      <w:r>
        <w:rPr>
          <w:rFonts w:ascii="Arial" w:hAnsi="Arial" w:eastAsia="Arial"/>
          <w:b/>
          <w:color w:val="172B3A"/>
          <w:sz w:val="20"/>
          <w:u w:val="none"/>
        </w:rPr>
        <w:t>Advancement authority.</w:t>
      </w:r>
      <w:r>
        <w:rPr>
          <w:rFonts w:ascii="Arial" w:hAnsi="Arial" w:eastAsia="Arial"/>
          <w:b w:val="0"/>
          <w:color w:val="172B3A"/>
          <w:sz w:val="20"/>
          <w:u w:val="none"/>
        </w:rPr>
        <w:t xml:space="preserve"> [Who may create, compare, select/adopt; bounds.] Keep state/evidence separate; inherit no permission or PASS. Review affected routes before promotion. A combination is a new candidate. Record selection/baseline; only adopted SPEC revision creates a DNA generation.</w:t>
      </w:r>
    </w:p>
    <w:p>
      <w:pPr>
        <w:pStyle w:val="Heading2"/>
        <w:keepLines/>
        <w:spacing w:before="120" w:after="60" w:line="259" w:lineRule="auto"/>
      </w:pPr>
      <w:r>
        <w:rPr>
          <w:rFonts w:ascii="Arial" w:hAnsi="Arial" w:eastAsia="Arial"/>
          <w:b/>
          <w:color w:val="000000"/>
          <w:sz w:val="21"/>
          <w:u w:val="none"/>
        </w:rPr>
        <w:t>Critical route</w:t>
      </w:r>
    </w:p>
    <w:p>
      <w:pPr>
        <w:keepLines/>
        <w:spacing w:before="0" w:after="100" w:line="259" w:lineRule="auto"/>
      </w:pPr>
      <w:r>
        <w:rPr>
          <w:rFonts w:ascii="Arial" w:hAnsi="Arial" w:eastAsia="Arial"/>
          <w:b/>
          <w:color w:val="172B3A"/>
          <w:sz w:val="20"/>
          <w:u w:val="none"/>
        </w:rPr>
        <w:t>R-01:</w:t>
      </w:r>
      <w:r>
        <w:rPr>
          <w:rFonts w:ascii="Arial" w:hAnsi="Arial" w:eastAsia="Arial"/>
          <w:b w:val="0"/>
          <w:color w:val="172B3A"/>
          <w:sz w:val="20"/>
          <w:u w:val="none"/>
        </w:rPr>
        <w:t xml:space="preserve"> [Input] → [required touchpoints] → [observable outcome]. </w:t>
      </w:r>
      <w:r>
        <w:rPr>
          <w:rFonts w:ascii="Arial" w:hAnsi="Arial" w:eastAsia="Arial"/>
          <w:b/>
          <w:color w:val="172B3A"/>
          <w:sz w:val="20"/>
          <w:u w:val="none"/>
        </w:rPr>
        <w:t>Expected:</w:t>
      </w:r>
      <w:r>
        <w:rPr>
          <w:rFonts w:ascii="Arial" w:hAnsi="Arial" w:eastAsia="Arial"/>
          <w:b w:val="0"/>
          <w:color w:val="172B3A"/>
          <w:sz w:val="20"/>
          <w:u w:val="none"/>
        </w:rPr>
        <w:t xml:space="preserve"> [result and exclusions]. Clauses / baseline: [IDs / revision]. Add another route only when needed.</w:t>
      </w:r>
    </w:p>
    <w:p>
      <w:pPr>
        <w:keepLines/>
        <w:spacing w:before="0" w:after="100" w:line="259" w:lineRule="auto"/>
      </w:pPr>
      <w:r>
        <w:rPr>
          <w:rFonts w:ascii="Arial" w:hAnsi="Arial" w:eastAsia="Arial"/>
          <w:b w:val="0"/>
          <w:color w:val="172B3A"/>
          <w:sz w:val="20"/>
          <w:u w:val="none"/>
        </w:rPr>
        <w:t>Route defines expected coverage; run records observed coverage. Show each point before a run; keep PASS / FAIL / NOT RUN and evidence in the log. Partial proof is not E2E.</w:t>
      </w:r>
    </w:p>
    <w:p>
      <w:pPr>
        <w:keepLines/>
        <w:spacing w:before="0" w:after="100" w:line="259" w:lineRule="auto"/>
      </w:pPr>
      <w:r>
        <w:rPr>
          <w:rFonts w:ascii="Arial" w:hAnsi="Arial" w:eastAsia="Arial"/>
          <w:b/>
          <w:color w:val="172B3A"/>
          <w:sz w:val="20"/>
          <w:u w:val="none"/>
        </w:rPr>
        <w:t>Working approach.</w:t>
      </w:r>
      <w:r>
        <w:rPr>
          <w:rFonts w:ascii="Arial" w:hAnsi="Arial" w:eastAsia="Arial"/>
          <w:b w:val="0"/>
          <w:color w:val="172B3A"/>
          <w:sz w:val="20"/>
          <w:u w:val="none"/>
        </w:rPr>
        <w:t xml:space="preserve"> [New: tiny path → useful behavior → boundary/recovery → intended-use rehearsal; existing: study → reviewed baseline → verify → improve.] Choose the simplest sufficient path; preserve required coverage. Actions: OFF. Before Actions execution, estimate calls and ask for scoped approval with rate, task-total and expiry limits; no approval means zero starts. Required gates stay binding.</w:t>
      </w:r>
    </w:p>
    <w:p>
      <w:pPr>
        <w:keepLines/>
        <w:spacing w:before="0" w:after="100" w:line="259" w:lineRule="auto"/>
      </w:pPr>
      <w:r>
        <w:rPr>
          <w:rFonts w:ascii="Arial" w:hAnsi="Arial" w:eastAsia="Arial"/>
          <w:b/>
          <w:color w:val="172B3A"/>
          <w:sz w:val="20"/>
          <w:u w:val="none"/>
        </w:rPr>
        <w:t>References.</w:t>
      </w:r>
      <w:r>
        <w:rPr>
          <w:rFonts w:ascii="Arial" w:hAnsi="Arial" w:eastAsia="Arial"/>
          <w:b w:val="0"/>
          <w:color w:val="172B3A"/>
          <w:sz w:val="20"/>
          <w:u w:val="none"/>
        </w:rPr>
        <w:t xml:space="preserve"> [Essential choice, purpose, canonical source; clause if binding.] </w:t>
      </w:r>
      <w:r>
        <w:rPr>
          <w:rFonts w:ascii="Arial" w:hAnsi="Arial" w:eastAsia="Arial"/>
          <w:b/>
          <w:color w:val="172B3A"/>
          <w:sz w:val="20"/>
          <w:u w:val="none"/>
        </w:rPr>
        <w:t>Current view [date].</w:t>
      </w:r>
      <w:r>
        <w:rPr>
          <w:rFonts w:ascii="Arial" w:hAnsi="Arial" w:eastAsia="Arial"/>
          <w:b w:val="0"/>
          <w:color w:val="172B3A"/>
          <w:sz w:val="20"/>
          <w:u w:val="none"/>
        </w:rPr>
        <w:t xml:space="preserve"> Baseline: [effective documents + changes + compatible revisions/snapshot]. Routes/evidence: [links]. Supported: [scope]; unproven: [scope]; drift: [finding or not reviewed]. Next decision / owner: [question / name or unassigned]. Conformance: </w:t>
      </w:r>
      <w:r>
        <w:rPr>
          <w:rFonts w:ascii="Arial" w:hAnsi="Arial" w:eastAsia="Arial"/>
          <w:b/>
          <w:color w:val="172B3A"/>
          <w:sz w:val="20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20"/>
          <w:u w:val="none"/>
        </w:rPr>
        <w:t xml:space="preserve"> until supported. Keep live updates outside frozen SPEC.</w:t>
      </w:r>
    </w:p>
    <w:p>
      <w:pPr>
        <w:keepLines/>
        <w:spacing w:before="0" w:after="100" w:line="259" w:lineRule="auto"/>
      </w:pPr>
      <w:r>
        <w:rPr>
          <w:rFonts w:ascii="Arial" w:hAnsi="Arial" w:eastAsia="Arial"/>
          <w:b/>
          <w:color w:val="172B3A"/>
          <w:sz w:val="20"/>
          <w:u w:val="none"/>
        </w:rPr>
        <w:t>Lifecycle.</w:t>
      </w:r>
      <w:r>
        <w:rPr>
          <w:rFonts w:ascii="Arial" w:hAnsi="Arial" w:eastAsia="Arial"/>
          <w:b w:val="0"/>
          <w:color w:val="172B3A"/>
          <w:sz w:val="20"/>
          <w:u w:val="none"/>
        </w:rPr>
        <w:t xml:space="preserve"> Review drafts directly. Preserve released SPEC. Appendix explains; errata corrects without changing intent; adopted amendments change intent. Proposal is not approval.</w:t>
      </w:r>
    </w:p>
    <w:p>
      <w:pPr>
        <w:keepLines/>
        <w:spacing w:before="0" w:after="100" w:line="259" w:lineRule="auto"/>
      </w:pPr>
      <w:r>
        <w:rPr>
          <w:rFonts w:ascii="Arial" w:hAnsi="Arial" w:eastAsia="Arial"/>
          <w:b/>
          <w:color w:val="172B3A"/>
          <w:sz w:val="20"/>
          <w:u w:val="none"/>
        </w:rPr>
        <w:t>Release / lineage.</w:t>
      </w:r>
      <w:r>
        <w:rPr>
          <w:rFonts w:ascii="Arial" w:hAnsi="Arial" w:eastAsia="Arial"/>
          <w:b w:val="0"/>
          <w:color w:val="172B3A"/>
          <w:sz w:val="20"/>
          <w:u w:val="none"/>
        </w:rPr>
        <w:t xml:space="preserve"> [Owner] reviews the combination. Source baseline / retained work / changes: [reference when relevant]. Preserve main1/history and compatible revisions. A copy inherits neither approval nor a successful run; assess evidence for the new setting. Existing projects adopt the present. Extend to two or three pages only when needed.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880" w:bottom="1120" w:left="880" w:header="460" w:footer="4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center"/>
    </w:pPr>
    <w:r>
      <w:rPr>
        <w:rFonts w:ascii="Arial" w:hAnsi="Arial" w:eastAsia="Arial"/>
        <w:b/>
        <w:color w:val="000000"/>
        <w:sz w:val="17"/>
        <w:u w:val="none"/>
      </w:rPr>
      <w:t>FSL owns the method. The project owns the work.</w:t>
    </w:r>
  </w:p>
  <w:p>
    <w:pPr>
      <w:keepLines/>
      <w:tabs>
        <w:tab w:pos="10146" w:val="right"/>
      </w:tabs>
      <w:spacing w:before="0" w:after="0" w:line="259" w:lineRule="auto"/>
    </w:pPr>
    <w:r>
      <w:rPr>
        <w:rFonts w:ascii="Arial" w:hAnsi="Arial" w:eastAsia="Arial"/>
        <w:b w:val="0"/>
        <w:color w:val="526474"/>
        <w:sz w:val="16"/>
        <w:u w:val="none"/>
      </w:rPr>
      <w:t>Four-Square Template v1.10</w:t>
    </w:r>
    <w:r>
      <w:rPr>
        <w:rFonts w:ascii="Arial" w:hAnsi="Arial" w:eastAsia="Arial"/>
        <w:b w:val="0"/>
        <w:color w:val="172B3A"/>
        <w:sz w:val="16"/>
        <w:u w:val="none"/>
      </w:rPr>
      <w:tab/>
    </w:r>
    <w:fldSimple w:instr="PAGE">
      <w:r>
        <w:t>1</w:t>
      </w:r>
    </w:fldSimple>
    <w:r>
      <w:rPr>
        <w:rFonts w:ascii="Arial" w:hAnsi="Arial" w:eastAsia="Arial"/>
        <w:b w:val="0"/>
        <w:color w:val="526474"/>
        <w:sz w:val="16"/>
        <w:u w:val="none"/>
      </w:rP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146" w:val="right"/>
      </w:tabs>
      <w:spacing w:after="60"/>
      <w:pBdr>
        <w:bottom w:val="single" w:sz="7" w:color="000000" w:space="7"/>
      </w:pBdr>
    </w:pPr>
    <w:r>
      <w:rPr>
        <w:rFonts w:ascii="Arial" w:hAnsi="Arial" w:eastAsia="Arial"/>
        <w:b/>
        <w:color w:val="000000"/>
        <w:sz w:val="16"/>
        <w:u w:val="none"/>
      </w:rPr>
      <w:t>FSL / AUTHORITY &amp; LINEAGE</w:t>
    </w:r>
    <w:r>
      <w:rPr>
        <w:rFonts w:ascii="Arial" w:hAnsi="Arial" w:eastAsia="Arial"/>
        <w:b w:val="0"/>
        <w:color w:val="526474"/>
        <w:sz w:val="16"/>
        <w:u w:val="none"/>
      </w:rPr>
      <w:tab/>
      <w:t>Project / contract [vN] ·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B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2B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72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2B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color w:val="172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FSL v1.10</dc:title>
  <dc:subject>Documents govern; skills maintain; evidence verifies. Released method; project adoption remains separate.</dc:subject>
  <dc:creator>FSL</dc:creator>
  <cp:keywords/>
  <dc:description>generated by python-docx</dc:description>
  <cp:lastModifiedBy>FSL</cp:lastModifiedBy>
  <cp:revision>1</cp:revision>
  <dcterms:created xsi:type="dcterms:W3CDTF">2026-09-09T00:00:00Z</dcterms:created>
  <dcterms:modified xsi:type="dcterms:W3CDTF">2026-09-09T00:00:00Z</dcterms:modified>
  <cp:category/>
</cp:coreProperties>
</file>