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160" w:line="259" w:lineRule="auto"/>
      </w:pPr>
      <w:r>
        <w:rPr>
          <w:rFonts w:ascii="Arial" w:hAnsi="Arial" w:eastAsia="Arial"/>
          <w:b/>
          <w:color w:val="000000"/>
          <w:sz w:val="42"/>
          <w:u w:val="none"/>
        </w:rPr>
        <w:t>FSL — Maintenance &amp; Stewardship Skill</w:t>
      </w:r>
    </w:p>
    <w:p>
      <w:pPr>
        <w:keepLines/>
        <w:spacing w:before="0" w:after="80" w:line="259" w:lineRule="auto"/>
      </w:pPr>
      <w:r>
        <w:rPr>
          <w:rFonts w:ascii="Arial" w:hAnsi="Arial" w:eastAsia="Arial"/>
          <w:b w:val="0"/>
          <w:color w:val="526474"/>
          <w:sz w:val="17"/>
          <w:u w:val="none"/>
        </w:rPr>
        <w:t>Project: four-square-letterhead.ai maintenance kit. Skill edition: v1.10. Four-Square Template v1.10. Maintenance guidance; not an installed agent, gate or schedule.</w:t>
      </w:r>
    </w:p>
    <w:p>
      <w:pPr>
        <w:keepLines/>
        <w:spacing w:before="0" w:after="80" w:line="259" w:lineRule="auto"/>
      </w:pPr>
      <w:r>
        <w:rPr>
          <w:rFonts w:ascii="Arial" w:hAnsi="Arial" w:eastAsia="Arial"/>
          <w:b/>
          <w:color w:val="172B3A"/>
          <w:sz w:val="20"/>
          <w:u w:val="none"/>
        </w:rPr>
        <w:t>Documents govern. Skills maintain. Evidence verifies.</w:t>
      </w:r>
      <w:r>
        <w:rPr>
          <w:rFonts w:ascii="Arial" w:hAnsi="Arial" w:eastAsia="Arial"/>
          <w:b w:val="0"/>
          <w:color w:val="172B3A"/>
          <w:sz w:val="20"/>
          <w:u w:val="none"/>
        </w:rPr>
        <w:t xml:space="preserve"> Read FSL-v1.10-METHOD.md as the released method, not a replacement for the project's adopted business or technical intent. This skill is a maintenance aid, not an authority to approve changes.</w:t>
      </w:r>
    </w:p>
    <w:p>
      <w:pPr>
        <w:pStyle w:val="Heading2"/>
        <w:keepLines/>
        <w:spacing w:before="120" w:after="60" w:line="259" w:lineRule="auto"/>
      </w:pPr>
      <w:r>
        <w:rPr>
          <w:rFonts w:ascii="Arial" w:hAnsi="Arial" w:eastAsia="Arial"/>
          <w:b/>
          <w:color w:val="000000"/>
          <w:sz w:val="21"/>
          <w:u w:val="none"/>
        </w:rPr>
        <w:t>Locate the agreement and decision authority</w:t>
      </w:r>
    </w:p>
    <w:p>
      <w:pPr>
        <w:keepLines/>
        <w:spacing w:before="0" w:after="80" w:line="259" w:lineRule="auto"/>
      </w:pPr>
      <w:r>
        <w:rPr>
          <w:rFonts w:ascii="Arial" w:hAnsi="Arial" w:eastAsia="Arial"/>
          <w:b w:val="0"/>
          <w:color w:val="172B3A"/>
          <w:sz w:val="20"/>
          <w:u w:val="none"/>
        </w:rPr>
        <w:t>Read the completed FSL first, supporting documents, versions and adopted changes. Identify authoritative homes across one or several repositories and the compatible baseline. Name the steward, executor and authority only where relevant; one person may hold several responsibilities. Check who can approve the particular decision and its recorded scope. Authorship, access, silence or task assignment does not grant approval. Intent change, execution/spending and release acceptance need their respective authority.</w:t>
      </w:r>
    </w:p>
    <w:p>
      <w:pPr>
        <w:pStyle w:val="Heading2"/>
        <w:keepLines/>
        <w:spacing w:before="120" w:after="60" w:line="259" w:lineRule="auto"/>
      </w:pPr>
      <w:r>
        <w:rPr>
          <w:rFonts w:ascii="Arial" w:hAnsi="Arial" w:eastAsia="Arial"/>
          <w:b/>
          <w:color w:val="000000"/>
          <w:sz w:val="21"/>
          <w:u w:val="none"/>
        </w:rPr>
        <w:t>Inspect alignment; expose uncertainty</w:t>
      </w:r>
    </w:p>
    <w:p>
      <w:pPr>
        <w:keepLines/>
        <w:spacing w:before="0" w:after="80" w:line="259" w:lineRule="auto"/>
      </w:pPr>
      <w:r>
        <w:rPr>
          <w:rFonts w:ascii="Arial" w:hAnsi="Arial" w:eastAsia="Arial"/>
          <w:b w:val="0"/>
          <w:color w:val="172B3A"/>
          <w:sz w:val="20"/>
          <w:u w:val="none"/>
        </w:rPr>
        <w:t>At adoption, material changes, handover or release, compare agreed intent with the work, operating practice and applicable evidence. Describe any drift as expected versus observed, with source, affected baseline/route, impact and decision owner. Separate suspicion from a confirmed violation. Uncertain intent, authority, compatibility or proof remains explicit; pause dependent actions/claims and continue safe unaffected work. Do not silently reconcile competing records or rewrite released documents.</w:t>
      </w:r>
    </w:p>
    <w:p>
      <w:pPr>
        <w:pStyle w:val="Heading2"/>
        <w:keepLines/>
        <w:spacing w:before="120" w:after="60" w:line="259" w:lineRule="auto"/>
      </w:pPr>
      <w:r>
        <w:rPr>
          <w:rFonts w:ascii="Arial" w:hAnsi="Arial" w:eastAsia="Arial"/>
          <w:b/>
          <w:color w:val="000000"/>
          <w:sz w:val="21"/>
          <w:u w:val="none"/>
        </w:rPr>
        <w:t>Manage candidate cells without becoming the authority</w:t>
      </w:r>
    </w:p>
    <w:p>
      <w:pPr>
        <w:keepLines/>
        <w:spacing w:before="0" w:after="80" w:line="259" w:lineRule="auto"/>
      </w:pPr>
      <w:r>
        <w:rPr>
          <w:rFonts w:ascii="Arial" w:hAnsi="Arial" w:eastAsia="Arial"/>
          <w:b w:val="0"/>
          <w:color w:val="172B3A"/>
          <w:sz w:val="20"/>
          <w:u w:val="none"/>
        </w:rPr>
        <w:t>When SPEC permits alternatives, record inherited baseline, variation bounds and decision authority; keep state and evidence separate. Reuse evidence only within scope and re-establish affected access/environment facts. Compare the candidate against parent DNA and affected routes before promotion. A combination is a new candidate, without combined approval. Selection needs explicit authority or delegation; randomness never grants it. Record promotion; only adopted SPEC revision creates a DNA generation.</w:t>
      </w:r>
    </w:p>
    <w:p>
      <w:pPr>
        <w:pStyle w:val="Heading2"/>
        <w:keepLines/>
        <w:spacing w:before="120" w:after="60" w:line="259" w:lineRule="auto"/>
      </w:pPr>
      <w:r>
        <w:rPr>
          <w:rFonts w:ascii="Arial" w:hAnsi="Arial" w:eastAsia="Arial"/>
          <w:b/>
          <w:color w:val="000000"/>
          <w:sz w:val="21"/>
          <w:u w:val="none"/>
        </w:rPr>
        <w:t>Propose the smallest sufficient resolution</w:t>
      </w:r>
    </w:p>
    <w:p>
      <w:pPr>
        <w:keepLines/>
        <w:spacing w:before="0" w:after="80" w:line="259" w:lineRule="auto"/>
      </w:pPr>
      <w:r>
        <w:rPr>
          <w:rFonts w:ascii="Arial" w:hAnsi="Arial" w:eastAsia="Arial"/>
          <w:b w:val="0"/>
          <w:color w:val="172B3A"/>
          <w:sz w:val="20"/>
          <w:u w:val="none"/>
        </w:rPr>
        <w:t>Repair implementation within granted scope when intent is unchanged. Update a stale working summary from its source. Review draft intent directly; use appendix for explanation, errata for intent-preserving correction and adopted amendment for changed released intent. A proposal is not approval; a skill update does not adopt a contract. Recheck affected routes and close the finding with linked decision/evidence. A scoped review may correctly conclude no change is needed.</w:t>
      </w:r>
    </w:p>
    <w:p>
      <w:pPr>
        <w:pStyle w:val="Heading2"/>
        <w:keepLines/>
        <w:spacing w:before="120" w:after="60" w:line="259" w:lineRule="auto"/>
      </w:pPr>
      <w:r>
        <w:rPr>
          <w:rFonts w:ascii="Arial" w:hAnsi="Arial" w:eastAsia="Arial"/>
          <w:b/>
          <w:color w:val="000000"/>
          <w:sz w:val="21"/>
          <w:u w:val="none"/>
        </w:rPr>
        <w:t>Estimate, ask and stay within the approved budget</w:t>
      </w:r>
    </w:p>
    <w:p>
      <w:pPr>
        <w:keepLines/>
        <w:spacing w:before="0" w:after="80" w:line="259" w:lineRule="auto"/>
      </w:pPr>
      <w:r>
        <w:rPr>
          <w:rFonts w:ascii="Arial" w:hAnsi="Arial" w:eastAsia="Arial"/>
          <w:b w:val="0"/>
          <w:color w:val="172B3A"/>
          <w:sz w:val="20"/>
          <w:u w:val="none"/>
        </w:rPr>
        <w:t xml:space="preserve">GitHub Actions are </w:t>
      </w:r>
      <w:r>
        <w:rPr>
          <w:rFonts w:ascii="Arial" w:hAnsi="Arial" w:eastAsia="Arial"/>
          <w:b/>
          <w:color w:val="172B3A"/>
          <w:sz w:val="20"/>
          <w:u w:val="none"/>
        </w:rPr>
        <w:t>OFF by default</w:t>
      </w:r>
      <w:r>
        <w:rPr>
          <w:rFonts w:ascii="Arial" w:hAnsi="Arial" w:eastAsia="Arial"/>
          <w:b w:val="0"/>
          <w:color w:val="172B3A"/>
          <w:sz w:val="20"/>
          <w:u w:val="none"/>
        </w:rPr>
        <w:t>, including FSL's releases. General development or publication instructions are not Actions permission. Inspect triggers before writes; pause any write that could start unapproved work. Suggestion is not approval. Recommend zero external starts when local work suffices.</w:t>
      </w:r>
    </w:p>
    <w:p>
      <w:pPr>
        <w:keepLines/>
        <w:spacing w:before="0" w:after="80" w:line="259" w:lineRule="auto"/>
      </w:pPr>
      <w:r>
        <w:rPr>
          <w:rFonts w:ascii="Arial" w:hAnsi="Arial" w:eastAsia="Arial"/>
          <w:b w:val="0"/>
          <w:color w:val="172B3A"/>
          <w:sz w:val="20"/>
          <w:u w:val="none"/>
        </w:rPr>
        <w:t>Apply the method's complete budget rules: estimate starts, jobs/downstream work, reads/fetches, duration, cost and least permissions. Recommend one start per rolling 60 minutes with task total and expiry; two needs justification and approval. Count failed, cancelled, uncertain, retry and downstream attempts; cap jobs and runner time. Cap reads separately unless an all-calls cap includes them.</w:t>
      </w:r>
    </w:p>
    <w:p>
      <w:pPr>
        <w:keepLines/>
        <w:spacing w:before="0" w:after="80" w:line="259" w:lineRule="auto"/>
      </w:pPr>
      <w:r>
        <w:rPr>
          <w:rFonts w:ascii="Arial" w:hAnsi="Arial" w:eastAsia="Arial"/>
          <w:b w:val="0"/>
          <w:color w:val="172B3A"/>
          <w:sz w:val="20"/>
          <w:u w:val="none"/>
        </w:rPr>
        <w:t xml:space="preserve">Share approved usage with one accountable dispatcher; stop if consumption is unknown. Record time, identity, calls and result. Concurrency alone is not an hourly quota. No tight polling or blind retries; request extensions before exceeding bounds. Blocked checks remain </w:t>
      </w:r>
      <w:r>
        <w:rPr>
          <w:rFonts w:ascii="Arial" w:hAnsi="Arial" w:eastAsia="Arial"/>
          <w:b/>
          <w:color w:val="172B3A"/>
          <w:sz w:val="20"/>
          <w:u w:val="single"/>
        </w:rPr>
        <w:t>NOT YET PROVEN</w:t>
      </w:r>
      <w:r>
        <w:rPr>
          <w:rFonts w:ascii="Arial" w:hAnsi="Arial" w:eastAsia="Arial"/>
          <w:b w:val="0"/>
          <w:color w:val="172B3A"/>
          <w:sz w:val="20"/>
          <w:u w:val="none"/>
        </w:rPr>
        <w:t>.</w:t>
      </w:r>
    </w:p>
    <w:p>
      <w:pPr>
        <w:pStyle w:val="Heading2"/>
        <w:keepLines/>
        <w:spacing w:before="120" w:after="60" w:line="259" w:lineRule="auto"/>
      </w:pPr>
      <w:r>
        <w:rPr>
          <w:rFonts w:ascii="Arial" w:hAnsi="Arial" w:eastAsia="Arial"/>
          <w:b/>
          <w:color w:val="000000"/>
          <w:sz w:val="21"/>
          <w:u w:val="none"/>
        </w:rPr>
        <w:t>Verify and leave the next person a usable record</w:t>
      </w:r>
    </w:p>
    <w:p>
      <w:pPr>
        <w:keepLines/>
        <w:spacing w:before="0" w:after="80" w:line="259" w:lineRule="auto"/>
      </w:pPr>
      <w:r>
        <w:rPr>
          <w:rFonts w:ascii="Arial" w:hAnsi="Arial" w:eastAsia="Arial"/>
          <w:b w:val="0"/>
          <w:color w:val="172B3A"/>
          <w:sz w:val="20"/>
          <w:u w:val="none"/>
        </w:rPr>
        <w:t xml:space="preserve">Show R-01's full touchpoint list; keep actual point results and evidence outside the letterhead. A component or stub check is not integrated E2E proof. Assignment is not execution: verify the collaborator's receipt and result. On a copy, fork, deployment or handover, identify source baseline, changes and authority. Shared ancestry is not inherited permission or proof. Old evidence records its original scope; assess relevance before reuse. A known binding violation is </w:t>
      </w:r>
      <w:r>
        <w:rPr>
          <w:rFonts w:ascii="Arial" w:hAnsi="Arial" w:eastAsia="Arial"/>
          <w:b/>
          <w:color w:val="172B3A"/>
          <w:sz w:val="20"/>
          <w:u w:val="single"/>
        </w:rPr>
        <w:t>NON-CONFORMANT</w:t>
      </w:r>
      <w:r>
        <w:rPr>
          <w:rFonts w:ascii="Arial" w:hAnsi="Arial" w:eastAsia="Arial"/>
          <w:b w:val="0"/>
          <w:color w:val="172B3A"/>
          <w:sz w:val="20"/>
          <w:u w:val="none"/>
        </w:rPr>
        <w:t xml:space="preserve">; unknown proof is </w:t>
      </w:r>
      <w:r>
        <w:rPr>
          <w:rFonts w:ascii="Arial" w:hAnsi="Arial" w:eastAsia="Arial"/>
          <w:b/>
          <w:color w:val="172B3A"/>
          <w:sz w:val="20"/>
          <w:u w:val="single"/>
        </w:rPr>
        <w:t>NOT YET PROVEN</w:t>
      </w:r>
      <w:r>
        <w:rPr>
          <w:rFonts w:ascii="Arial" w:hAnsi="Arial" w:eastAsia="Arial"/>
          <w:b w:val="0"/>
          <w:color w:val="172B3A"/>
          <w:sz w:val="20"/>
          <w:u w:val="none"/>
        </w:rPr>
        <w:t>.</w:t>
      </w:r>
    </w:p>
    <w:p>
      <w:pPr>
        <w:keepLines/>
        <w:spacing w:before="0" w:after="80" w:line="259" w:lineRule="auto"/>
      </w:pPr>
      <w:r>
        <w:rPr>
          <w:rFonts w:ascii="Arial" w:hAnsi="Arial" w:eastAsia="Arial"/>
          <w:b w:val="0"/>
          <w:color w:val="172B3A"/>
          <w:sz w:val="20"/>
          <w:u w:val="none"/>
        </w:rPr>
        <w:t>Leave a dated baseline, routes, claims, gaps, drift and next decision/owner with source links. Missing ownership stays unassigned. Skills and MEMORY preserve learning beneath SPEC. This kit installs no monitor, executor or rate limiter.</w:t>
      </w:r>
    </w:p>
    <w:sectPr w:rsidR="00FC693F" w:rsidRPr="0006063C" w:rsidSect="00034616">
      <w:headerReference w:type="default" r:id="rId9"/>
      <w:footerReference w:type="default" r:id="rId10"/>
      <w:pgSz w:w="11906" w:h="16838"/>
      <w:pgMar w:top="1020" w:right="880" w:bottom="1120" w:left="880" w:header="46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jc w:val="center"/>
    </w:pPr>
    <w:r>
      <w:rPr>
        <w:rFonts w:ascii="Arial" w:hAnsi="Arial" w:eastAsia="Arial"/>
        <w:b/>
        <w:color w:val="000000"/>
        <w:sz w:val="17"/>
        <w:u w:val="none"/>
      </w:rPr>
      <w:t>FSL owns the method. The project owns the work.</w:t>
    </w:r>
  </w:p>
  <w:p>
    <w:pPr>
      <w:keepLines/>
      <w:tabs>
        <w:tab w:pos="10146" w:val="right"/>
      </w:tabs>
      <w:spacing w:before="0" w:after="0" w:line="259" w:lineRule="auto"/>
    </w:pPr>
    <w:r>
      <w:rPr>
        <w:rFonts w:ascii="Arial" w:hAnsi="Arial" w:eastAsia="Arial"/>
        <w:b w:val="0"/>
        <w:color w:val="526474"/>
        <w:sz w:val="16"/>
        <w:u w:val="none"/>
      </w:rPr>
      <w:t>Four-Square Template v1.10</w:t>
    </w:r>
    <w:r>
      <w:rPr>
        <w:rFonts w:ascii="Arial" w:hAnsi="Arial" w:eastAsia="Arial"/>
        <w:b w:val="0"/>
        <w:color w:val="172B3A"/>
        <w:sz w:val="16"/>
        <w:u w:val="none"/>
      </w:rPr>
      <w:tab/>
    </w:r>
    <w:fldSimple w:instr="PAGE">
      <w:r>
        <w:t>1</w:t>
      </w:r>
    </w:fldSimple>
    <w:r>
      <w:rPr>
        <w:rFonts w:ascii="Arial" w:hAnsi="Arial" w:eastAsia="Arial"/>
        <w:b w:val="0"/>
        <w:color w:val="526474"/>
        <w:sz w:val="16"/>
        <w:u w:val="none"/>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46" w:val="right"/>
      </w:tabs>
      <w:spacing w:after="60"/>
      <w:pBdr>
        <w:bottom w:val="single" w:sz="7" w:color="000000" w:space="7"/>
      </w:pBdr>
    </w:pPr>
    <w:r>
      <w:rPr>
        <w:rFonts w:ascii="Arial" w:hAnsi="Arial" w:eastAsia="Arial"/>
        <w:b/>
        <w:color w:val="000000"/>
        <w:sz w:val="16"/>
        <w:u w:val="none"/>
      </w:rPr>
      <w:t>FSL / AUTHORITY &amp; LINEAGE</w:t>
    </w:r>
    <w:r>
      <w:rPr>
        <w:rFonts w:ascii="Arial" w:hAnsi="Arial" w:eastAsia="Arial"/>
        <w:b w:val="0"/>
        <w:color w:val="526474"/>
        <w:sz w:val="16"/>
        <w:u w:val="none"/>
      </w:rPr>
      <w:tab/>
      <w:t>Maintenance skill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172B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2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172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FSL v1.10</dc:title>
  <dc:subject>Documents govern; skills maintain; evidence verifies. Released method; project adoption remains separate.</dc:subject>
  <dc:creator>FSL</dc:creator>
  <cp:keywords/>
  <dc:description>generated by python-docx</dc:description>
  <cp:lastModifiedBy>FSL</cp:lastModifiedBy>
  <cp:revision>1</cp:revision>
  <dcterms:created xsi:type="dcterms:W3CDTF">2026-09-09T00:00:00Z</dcterms:created>
  <dcterms:modified xsi:type="dcterms:W3CDTF">2026-09-09T00:00:00Z</dcterms:modified>
  <cp:category/>
</cp:coreProperties>
</file>