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rs-audit-report-kkn-badko-blog"/>
    <w:p>
      <w:pPr>
        <w:pStyle w:val="Heading1"/>
      </w:pPr>
      <w:r>
        <w:t xml:space="preserve">SRS Audit Report — kkn-badko-blog</w:t>
      </w:r>
    </w:p>
    <w:p>
      <w:pPr>
        <w:pStyle w:val="FirstParagraph"/>
      </w:pPr>
      <w:r>
        <w:rPr>
          <w:b/>
          <w:bCs/>
        </w:rPr>
        <w:t xml:space="preserve">Generated by:</w:t>
      </w:r>
      <w:r>
        <w:t xml:space="preserve"> </w:t>
      </w:r>
      <w:r>
        <w:rPr>
          <w:rStyle w:val="VerbatimChar"/>
        </w:rPr>
        <w:t xml:space="preserve">semantic-auditing</w:t>
      </w:r>
      <w:r>
        <w:t xml:space="preserve"> </w:t>
      </w:r>
      <w:r>
        <w:t xml:space="preserve">(IEEE 1012 V&amp;V, IEEE 830 conformance)</w:t>
      </w:r>
      <w:r>
        <w:t xml:space="preserve"> </w:t>
      </w:r>
      <w:r>
        <w:rPr>
          <w:b/>
          <w:bCs/>
        </w:rPr>
        <w:t xml:space="preserve">Audited artifact:</w:t>
      </w:r>
      <w:r>
        <w:t xml:space="preserve"> </w:t>
      </w:r>
      <w:r>
        <w:rPr>
          <w:rStyle w:val="VerbatimChar"/>
        </w:rPr>
        <w:t xml:space="preserve">02-requirements-engineering/01-srs/SRS_Draft.md</w:t>
      </w:r>
      <w:r>
        <w:t xml:space="preserve"> </w:t>
      </w:r>
      <w:r>
        <w:rPr>
          <w:b/>
          <w:bCs/>
        </w:rPr>
        <w:t xml:space="preserve">Context audited:</w:t>
      </w:r>
      <w:r>
        <w:t xml:space="preserve"> </w:t>
      </w:r>
      <w:r>
        <w:t xml:space="preserve">all files in</w:t>
      </w:r>
      <w:r>
        <w:t xml:space="preserve"> </w:t>
      </w:r>
      <w:r>
        <w:rPr>
          <w:rStyle w:val="VerbatimChar"/>
        </w:rPr>
        <w:t xml:space="preserve">_context/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2026-06-29</w:t>
      </w:r>
      <w:r>
        <w:t xml:space="preserve"> </w:t>
      </w:r>
      <w:r>
        <w:rPr>
          <w:b/>
          <w:bCs/>
        </w:rPr>
        <w:t xml:space="preserve">Overall verdict:</w:t>
      </w:r>
      <w:r>
        <w:t xml:space="preserve"> </w:t>
      </w:r>
      <w:r>
        <w:rPr>
          <w:b/>
          <w:bCs/>
        </w:rPr>
        <w:t xml:space="preserve">PARTIALLY COMPLIANT</w:t>
      </w:r>
      <w:r>
        <w:t xml:space="preserve"> </w:t>
      </w:r>
      <w:r>
        <w:t xml:space="preserve">— requirements baseline is sound; 4 low-priority context items remain open (see §5). No blocking defects.</w:t>
      </w:r>
    </w:p>
    <w:p>
      <w:r>
        <w:pict>
          <v:rect style="width:0;height:1.5pt" o:hralign="center" o:hrstd="t" o:hr="t"/>
        </w:pict>
      </w:r>
    </w:p>
    <w:bookmarkStart w:id="9" w:name="X91fb9f7f563069d85dfdfb3e47fc6ec050a1808"/>
    <w:p>
      <w:pPr>
        <w:pStyle w:val="Heading2"/>
      </w:pPr>
      <w:r>
        <w:t xml:space="preserve">1. Requirements Audit — IEEE 830 §4.3 Quality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9"/>
        <w:gridCol w:w="4679"/>
        <w:gridCol w:w="1439"/>
        <w:gridCol w:w="12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Attribute (checklist ID)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Correct (IEEE830-4.3.1)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Requirements match stakeholder decisions captured in the interview and</w:t>
            </w:r>
            <w:r>
              <w:t xml:space="preserve"> </w:t>
            </w:r>
            <w:r>
              <w:rPr>
                <w:rStyle w:val="VerbatimChar"/>
              </w:rPr>
              <w:t xml:space="preserve">_context/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Unambiguous (IEEE830-4.3.2)</w:t>
            </w:r>
          </w:p>
        </w:tc>
        <w:tc>
          <w:tcPr/>
          <w:p>
            <w:pPr>
              <w:pStyle w:val="Compact"/>
            </w:pPr>
            <w:r>
              <w:t xml:space="preserve">PASS (minor)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  <w:r>
              <w:t xml:space="preserve"> </w:t>
            </w:r>
            <w:r>
              <w:t xml:space="preserve">“shall”</w:t>
            </w:r>
            <w:r>
              <w:t xml:space="preserve"> </w:t>
            </w:r>
            <w:r>
              <w:t xml:space="preserve">clauses are bounded; a few soft words survive in</w:t>
            </w:r>
            <w:r>
              <w:t xml:space="preserve"> </w:t>
            </w:r>
            <w:r>
              <w:rPr>
                <w:b/>
                <w:bCs/>
              </w:rPr>
              <w:t xml:space="preserve">descriptive prose</w:t>
            </w:r>
            <w:r>
              <w:t xml:space="preserve"> </w:t>
            </w:r>
            <w:r>
              <w:t xml:space="preserve">only (see §4).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Complete (IEEE830-4.3.3)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IEEE 830 §5 sections present (see §2). No TBDs. 4 open</w:t>
            </w:r>
            <w:r>
              <w:t xml:space="preserve"> </w:t>
            </w:r>
            <w:r>
              <w:rPr>
                <w:rStyle w:val="VerbatimChar"/>
              </w:rPr>
              <w:t xml:space="preserve">[CONTEXT-GAP]</w:t>
            </w:r>
            <w:r>
              <w:t xml:space="preserve">s are non-blocking (see 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Consistent (IEEE830-4.3.4)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 contradictions found. Read-only, mailto, native-comments, ISR 600 s applied consistently across FRs/NFRs/BRs.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Ranked (IEEE830-4.3.5)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20/20 FRs carry Must/Should; 19/19 NFRs carry Essential/Conditional; 8/8 features ranked.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Verifiable (IEEE830-4.3.6)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Every FR has a GWT stub with exactly one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and an observable oracle; 0</w:t>
            </w:r>
            <w:r>
              <w:t xml:space="preserve"> </w:t>
            </w:r>
            <w:r>
              <w:rPr>
                <w:rStyle w:val="VerbatimChar"/>
              </w:rPr>
              <w:t xml:space="preserve">VERIFIABILITY-FAIL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Modifiable (IEEE830-4.3.7)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One shall per clause; global parameters centralized (POSTS_PER_PAGE, ISR_REVALIDATE); cross-references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Traceable (IEEE830-4.3.8)</w:t>
            </w:r>
          </w:p>
        </w:tc>
        <w:tc>
          <w:tcPr/>
          <w:p>
            <w:pPr>
              <w:pStyle w:val="Compact"/>
            </w:pPr>
            <w:r>
              <w:t xml:space="preserve">PASS (minor)</w:t>
            </w:r>
          </w:p>
        </w:tc>
        <w:tc>
          <w:tcPr/>
          <w:p>
            <w:pPr>
              <w:pStyle w:val="Compact"/>
            </w:pPr>
            <w:r>
              <w:t xml:space="preserve">FRs trace to features; most NFRs cite</w:t>
            </w:r>
            <w:r>
              <w:t xml:space="preserve"> </w:t>
            </w:r>
            <w:r>
              <w:rPr>
                <w:rStyle w:val="VerbatimChar"/>
              </w:rPr>
              <w:t xml:space="preserve">[Source:]</w:t>
            </w:r>
            <w:r>
              <w:t xml:space="preserve">. 6 NFRs derive from standards/tech_stack — sources assigned in the RTM (§3).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TBD protocol (IEEE830-4.3.3.1):</w:t>
      </w:r>
      <w:r>
        <w:t xml:space="preserve"> </w:t>
      </w:r>
      <w:r>
        <w:t xml:space="preserve">0 literal</w:t>
      </w:r>
      <w:r>
        <w:t xml:space="preserve"> </w:t>
      </w:r>
      <w:r>
        <w:t xml:space="preserve">“TBD”</w:t>
      </w:r>
      <w:r>
        <w:t xml:space="preserve"> </w:t>
      </w:r>
      <w:r>
        <w:t xml:space="preserve">tokens. The 4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s are reformatted as protocol-compliant open items in §5 (condition, resolution, owner, deadline).</w:t>
      </w:r>
    </w:p>
    <w:p>
      <w:r>
        <w:pict>
          <v:rect style="width:0;height:1.5pt" o:hralign="center" o:hrstd="t" o:hr="t"/>
        </w:pict>
      </w:r>
    </w:p>
    <w:bookmarkEnd w:id="9"/>
    <w:bookmarkStart w:id="10" w:name="srs-structure-verification-ieee-830-5"/>
    <w:p>
      <w:pPr>
        <w:pStyle w:val="Heading2"/>
      </w:pPr>
      <w:r>
        <w:t xml:space="preserve">2. SRS Structure Verification (IEEE 830 §5)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Required element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Introduction (1.1–1.5)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Out of Scope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Overall 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2.1.1–2.1.8 (all eight §5.2.1 sub-items)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 Apportioning of Requirements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External Interfaces (3.1.1–3.1.4)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System Features (FR-001…020)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3.2.9–3.2.11 Logic, Data Constructs, Data Dictionary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Performance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Design Constraints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Software System Attributes (3.5.1–3.5.4)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3.5.5 Standards Compliance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 Other Requirements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</w:pPr>
            <w:r>
              <w:t xml:space="preserve">YES (added; GAP-05 resolved)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quirements-traceability-matrix-rtm"/>
    <w:p>
      <w:pPr>
        <w:pStyle w:val="Heading2"/>
      </w:pPr>
      <w:r>
        <w:t xml:space="preserve">3. Requirements Traceability Matrix (RTM)</w:t>
      </w:r>
    </w:p>
    <w:p>
      <w:pPr>
        <w:pStyle w:val="FirstParagraph"/>
      </w:pPr>
      <w:r>
        <w:t xml:space="preserve">Verification method key: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= Test,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Inspection,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Demonstration,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678"/>
        <w:gridCol w:w="3394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Feature / Source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ISO/IEC 25010 characteristic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FEAT-001 Post list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FEAT-001 Post list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FEAT-001 Post list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FEAT-002 Pagination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FEAT-002 Pagination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FEAT-002 Pagination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FEAT-003 Post detail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FEAT-003 Post detail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FEAT-003 Post detail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Functional Suitability / SEO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FEAT-003 Post detail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FEAT-004 Labels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FEAT-004 Labels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FEAT-005 Search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Security / Usability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FEAT-005 Search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FEAT-005 Search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FEAT-006 Comments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FEAT-006 Comments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FEAT-007 About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FEAT-008 Contact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FEAT-008 Contact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quality_standards &gt; Performance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T (Lighthouse)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OBJ-002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BR-004 / BR-006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quality_standards &gt; Reliability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quality_standards &gt; Reliability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Reliability (Availability)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NFR-013</w:t>
            </w:r>
          </w:p>
        </w:tc>
        <w:tc>
          <w:tcPr/>
          <w:p>
            <w:pPr>
              <w:pStyle w:val="Compact"/>
            </w:pPr>
            <w:r>
              <w:t xml:space="preserve">quality_standards &gt; Maintainability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NFR-014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NFR-015</w:t>
            </w:r>
          </w:p>
        </w:tc>
        <w:tc>
          <w:tcPr/>
          <w:p>
            <w:pPr>
              <w:pStyle w:val="Compact"/>
            </w:pPr>
            <w:r>
              <w:t xml:space="preserve">quality_standards &gt; SEO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Functional Suitability / Compliance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NFR-016</w:t>
            </w:r>
          </w:p>
        </w:tc>
        <w:tc>
          <w:tcPr/>
          <w:p>
            <w:pPr>
              <w:pStyle w:val="Compact"/>
            </w:pPr>
            <w:r>
              <w:t xml:space="preserve">quality_standards &gt; Usability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Usability (Accessibility)</w:t>
            </w:r>
          </w:p>
        </w:tc>
        <w:tc>
          <w:tcPr/>
          <w:p>
            <w:pPr>
              <w:pStyle w:val="Compact"/>
            </w:pPr>
            <w:r>
              <w:t xml:space="preserve">T (axe/Lighthouse)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NFR-017</w:t>
            </w:r>
          </w:p>
        </w:tc>
        <w:tc>
          <w:tcPr/>
          <w:p>
            <w:pPr>
              <w:pStyle w:val="Compact"/>
            </w:pPr>
            <w:r>
              <w:t xml:space="preserve">quality_standards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Compliance (ISO/IEC 25051)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NFR-018</w:t>
            </w:r>
          </w:p>
        </w:tc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OBJ-003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NFR-019</w:t>
            </w:r>
          </w:p>
        </w:tc>
        <w:tc>
          <w:tcPr/>
          <w:p>
            <w:pPr>
              <w:pStyle w:val="Compact"/>
            </w:pPr>
            <w:r>
              <w:t xml:space="preserve">vision &gt; Out of Scope</w:t>
            </w:r>
          </w:p>
        </w:tc>
        <w:tc>
          <w:tcPr/>
          <w:p>
            <w:pPr>
              <w:pStyle w:val="Compact"/>
            </w:pPr>
            <w:r>
              <w:t xml:space="preserve">OBJ-001</w:t>
            </w:r>
          </w:p>
        </w:tc>
        <w:tc>
          <w:tcPr/>
          <w:p>
            <w:pPr>
              <w:pStyle w:val="Compact"/>
            </w:pPr>
            <w:r>
              <w:t xml:space="preserve">Compatibility / Usability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</w:t>
      </w:r>
      <w:r>
        <w:t xml:space="preserve"> </w:t>
      </w:r>
      <w:r>
        <w:t xml:space="preserve">39/39 requirements traced to a source, a goal, an ISO/IEC 25010 characteristic, and a verification method. No orphan requirements.</w:t>
      </w:r>
    </w:p>
    <w:p>
      <w:r>
        <w:pict>
          <v:rect style="width:0;height:1.5pt" o:hralign="center" o:hrstd="t" o:hr="t"/>
        </w:pict>
      </w:r>
    </w:p>
    <w:bookmarkEnd w:id="11"/>
    <w:bookmarkStart w:id="12" w:name="X1102e7abd26e287f6cc7043dfc6a0c2e8f365d6"/>
    <w:p>
      <w:pPr>
        <w:pStyle w:val="Heading2"/>
      </w:pPr>
      <w:r>
        <w:t xml:space="preserve">4. Ambiguity &amp; Weak-Word Report (IEEE 830 §4.3.4 / ISO/IEC 25062)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190"/>
        <w:gridCol w:w="2527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Occurrences</w:t>
            </w:r>
          </w:p>
        </w:tc>
        <w:tc>
          <w:tcPr/>
          <w:p>
            <w:pPr>
              <w:pStyle w:val="Compact"/>
            </w:pPr>
            <w:r>
              <w:t xml:space="preserve">Location type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“good”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Mostly the defined</w:t>
            </w:r>
            <w:r>
              <w:t xml:space="preserve"> </w:t>
            </w:r>
            <w:r>
              <w:rPr>
                <w:b/>
                <w:bCs/>
              </w:rPr>
              <w:t xml:space="preserve">Core Web Vitals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“good”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thresholds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“last good cache”</w:t>
            </w:r>
          </w:p>
        </w:tc>
        <w:tc>
          <w:tcPr/>
          <w:p>
            <w:pPr>
              <w:pStyle w:val="Compact"/>
            </w:pPr>
            <w:r>
              <w:t xml:space="preserve">ACCEPTED — bounded by numeric CWV values (LCP ≤ 2.5 s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“fast enough”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NFR-001 lead-in</w:t>
            </w:r>
          </w:p>
        </w:tc>
        <w:tc>
          <w:tcPr/>
          <w:p>
            <w:pPr>
              <w:pStyle w:val="Compact"/>
            </w:pPr>
            <w:r>
              <w:t xml:space="preserve">ACCEPTED — immediately quantified by</w:t>
            </w:r>
            <w:r>
              <w:t xml:space="preserve"> </w:t>
            </w:r>
            <w:r>
              <w:t xml:space="preserve">“Lighthouse ≥ 90 / LCP ≤ 2.5 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“clean”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Descriptive prose (vision-derived</w:t>
            </w:r>
            <w:r>
              <w:t xml:space="preserve"> </w:t>
            </w:r>
            <w:r>
              <w:t xml:space="preserve">“clean reading experience”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ACCEPTED — non-normative; not in any</w:t>
            </w:r>
            <w:r>
              <w:t xml:space="preserve"> </w:t>
            </w:r>
            <w:r>
              <w:t xml:space="preserve">“shall”</w:t>
            </w:r>
            <w:r>
              <w:t xml:space="preserve"> </w:t>
            </w:r>
            <w:r>
              <w:t xml:space="preserve">clause</w:t>
            </w:r>
          </w:p>
        </w:tc>
      </w:tr>
    </w:tbl>
    <w:p>
      <w:pPr>
        <w:pStyle w:val="BodyText"/>
      </w:pPr>
      <w:r>
        <w:t xml:space="preserve">No weak word appears inside a normative</w:t>
      </w:r>
      <w:r>
        <w:t xml:space="preserve"> </w:t>
      </w:r>
      <w:r>
        <w:t xml:space="preserve">“shall”</w:t>
      </w:r>
      <w:r>
        <w:t xml:space="preserve"> </w:t>
      </w:r>
      <w:r>
        <w:t xml:space="preserve">requirement without an accompanying measure.</w:t>
      </w:r>
      <w:r>
        <w:t xml:space="preserve"> </w:t>
      </w:r>
      <w:r>
        <w:rPr>
          <w:b/>
          <w:bCs/>
        </w:rPr>
        <w:t xml:space="preserve">Result: PASS (no action required).</w:t>
      </w:r>
    </w:p>
    <w:p>
      <w:r>
        <w:pict>
          <v:rect style="width:0;height:1.5pt" o:hralign="center" o:hrstd="t" o:hr="t"/>
        </w:pict>
      </w:r>
    </w:p>
    <w:bookmarkEnd w:id="12"/>
    <w:bookmarkStart w:id="13" w:name="gap-analysis"/>
    <w:p>
      <w:pPr>
        <w:pStyle w:val="Heading2"/>
      </w:pPr>
      <w:r>
        <w:t xml:space="preserve">5. Gap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671"/>
        <w:gridCol w:w="1342"/>
        <w:gridCol w:w="1476"/>
        <w:gridCol w:w="1610"/>
        <w:gridCol w:w="939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GAP-01</w:t>
            </w:r>
          </w:p>
        </w:tc>
        <w:tc>
          <w:tcPr/>
          <w:p>
            <w:pPr>
              <w:pStyle w:val="Compact"/>
            </w:pPr>
            <w:r>
              <w:t xml:space="preserve">UI library not finalized (Tailwind assumed)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Blocks nothing until UI build (Phase 2.1.4)</w:t>
            </w:r>
          </w:p>
        </w:tc>
        <w:tc>
          <w:tcPr/>
          <w:p>
            <w:pPr>
              <w:pStyle w:val="Compact"/>
            </w:pPr>
            <w:r>
              <w:t xml:space="preserve">Confirm Tailwind or alternative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Before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GAP-02</w:t>
            </w:r>
          </w:p>
        </w:tc>
        <w:tc>
          <w:tcPr/>
          <w:p>
            <w:pPr>
              <w:pStyle w:val="Compact"/>
            </w:pPr>
            <w:r>
              <w:t xml:space="preserve">Vercel plan tier / function memory limit unspecified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Affects only if free-tier limits are hit</w:t>
            </w:r>
          </w:p>
        </w:tc>
        <w:tc>
          <w:tcPr/>
          <w:p>
            <w:pPr>
              <w:pStyle w:val="Compact"/>
            </w:pPr>
            <w:r>
              <w:t xml:space="preserve">Select Vercel plan</w:t>
            </w:r>
          </w:p>
        </w:tc>
        <w:tc>
          <w:tcPr/>
          <w:p>
            <w:pPr>
              <w:pStyle w:val="Compact"/>
            </w:pPr>
            <w:r>
              <w:t xml:space="preserve">Developer/Owner</w:t>
            </w:r>
          </w:p>
        </w:tc>
        <w:tc>
          <w:tcPr/>
          <w:p>
            <w:pPr>
              <w:pStyle w:val="Compact"/>
            </w:pPr>
            <w:r>
              <w:t xml:space="preserve">Before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GAP-03</w:t>
            </w:r>
          </w:p>
        </w:tc>
        <w:tc>
          <w:tcPr/>
          <w:p>
            <w:pPr>
              <w:pStyle w:val="Compact"/>
            </w:pPr>
            <w:r>
              <w:t xml:space="preserve">Peak concurrent-load figure unspecified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Perf oracle uses Lighthouse/CWV instead</w:t>
            </w:r>
          </w:p>
        </w:tc>
        <w:tc>
          <w:tcPr/>
          <w:p>
            <w:pPr>
              <w:pStyle w:val="Compact"/>
            </w:pPr>
            <w:r>
              <w:t xml:space="preserve">Provide expected traffic, or accept CWV as oracle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Before M1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GAP-04</w:t>
            </w:r>
          </w:p>
        </w:tc>
        <w:tc>
          <w:tcPr/>
          <w:p>
            <w:pPr>
              <w:pStyle w:val="Compact"/>
            </w:pPr>
            <w:r>
              <w:t xml:space="preserve">Formal availability/uptime target unspecified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Accepted as best-effort (NFR-010)</w:t>
            </w:r>
          </w:p>
        </w:tc>
        <w:tc>
          <w:tcPr/>
          <w:p>
            <w:pPr>
              <w:pStyle w:val="Compact"/>
            </w:pPr>
            <w:r>
              <w:t xml:space="preserve">Confirm best-effort or set SLA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Before M1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GAP-05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SRS has no Table of Contents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Navigation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— ToC added to</w:t>
            </w:r>
            <w:r>
              <w:t xml:space="preserve"> </w:t>
            </w:r>
            <w:r>
              <w:rPr>
                <w:rStyle w:val="VerbatimChar"/>
              </w:rPr>
              <w:t xml:space="preserve">SRS_Draft.md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pPr>
        <w:pStyle w:val="BodyText"/>
      </w:pPr>
      <w:r>
        <w:t xml:space="preserve">No orphan requirements. No unmet goals (OBJ-001/002/003 all covered by ≥1 requirement). No unranked requirements. No non-compliant TBDs (all open items carry condition/resolution/owner/deadline above).</w:t>
      </w:r>
    </w:p>
    <w:p>
      <w:r>
        <w:pict>
          <v:rect style="width:0;height:1.5pt" o:hralign="center" o:hrstd="t" o:hr="t"/>
        </w:pict>
      </w:r>
    </w:p>
    <w:bookmarkEnd w:id="13"/>
    <w:bookmarkStart w:id="14" w:name="terminology-gaps-glossary-audit"/>
    <w:p>
      <w:pPr>
        <w:pStyle w:val="Heading2"/>
      </w:pPr>
      <w:r>
        <w:t xml:space="preserve">6. Terminology Gaps (Glossary Audit)</w:t>
      </w:r>
    </w:p>
    <w:p>
      <w:pPr>
        <w:pStyle w:val="FirstParagraph"/>
      </w:pPr>
      <w:r>
        <w:t xml:space="preserve">All previously undefined terms have been added to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 </w:t>
      </w:r>
      <w:r>
        <w:t xml:space="preserve">in this run:</w:t>
      </w:r>
      <w:r>
        <w:t xml:space="preserve"> </w:t>
      </w:r>
      <w:r>
        <w:rPr>
          <w:b/>
          <w:bCs/>
        </w:rPr>
        <w:t xml:space="preserve">Core Web Vitals, LCP, CLS, INP, DTO, RUSP, RTM, GWT, MTBF, RBAC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0 unresolved</w:t>
      </w:r>
      <w:r>
        <w:t xml:space="preserve"> </w:t>
      </w:r>
      <w:r>
        <w:rPr>
          <w:rStyle w:val="VerbatimChar"/>
        </w:rPr>
        <w:t xml:space="preserve">[GLOSSARY-GAP]</w:t>
      </w:r>
      <w:r>
        <w:t xml:space="preserve"> </w:t>
      </w:r>
      <w:r>
        <w:t xml:space="preserve">tags.</w:t>
      </w:r>
      <w:r>
        <w:t xml:space="preserve"> </w:t>
      </w:r>
      <w:r>
        <w:rPr>
          <w:b/>
          <w:bCs/>
        </w:rPr>
        <w:t xml:space="preserve">PASS.</w:t>
      </w:r>
    </w:p>
    <w:p>
      <w:r>
        <w:pict>
          <v:rect style="width:0;height:1.5pt" o:hralign="center" o:hrstd="t" o:hr="t"/>
        </w:pict>
      </w:r>
    </w:p>
    <w:bookmarkEnd w:id="14"/>
    <w:bookmarkStart w:id="15" w:name="standard-conformance-statement"/>
    <w:p>
      <w:pPr>
        <w:pStyle w:val="Heading2"/>
      </w:pPr>
      <w:r>
        <w:t xml:space="preserve">7. Standard Conformance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§5.1 Introduction</w:t>
            </w:r>
          </w:p>
        </w:tc>
        <w:tc>
          <w:tcPr/>
          <w:p>
            <w:pPr>
              <w:pStyle w:val="Compact"/>
            </w:pPr>
            <w:r>
              <w:t xml:space="preserve">Present, complete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§5.2 Overall Description (incl. 2.1.1–2.1.8, 2.6)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§5.3.1 External Interfaces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§5.3.2 Functional Requirements</w:t>
            </w:r>
          </w:p>
        </w:tc>
        <w:tc>
          <w:tcPr/>
          <w:p>
            <w:pPr>
              <w:pStyle w:val="Compact"/>
            </w:pPr>
            <w:r>
              <w:t xml:space="preserve">20 FRs, GWT, one-shall, ranked, traced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1016 Logic &amp; Data model</w:t>
            </w:r>
          </w:p>
        </w:tc>
        <w:tc>
          <w:tcPr/>
          <w:p>
            <w:pPr>
              <w:pStyle w:val="Compact"/>
            </w:pPr>
            <w:r>
              <w:t xml:space="preserve">§3.2.9–3.2.11 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§5.3.3–§5.3.4 Performance &amp; Constraints</w:t>
            </w:r>
          </w:p>
        </w:tc>
        <w:tc>
          <w:tcPr/>
          <w:p>
            <w:pPr>
              <w:pStyle w:val="Compact"/>
            </w:pPr>
            <w:r>
              <w:t xml:space="preserve">8 NFRs, QA scenario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§5.3.5 System Attributes (+ 3.5.5)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830 §5.3.8 Other Requirements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25010 / 25023 quality mapping</w:t>
            </w:r>
          </w:p>
        </w:tc>
        <w:tc>
          <w:tcPr/>
          <w:p>
            <w:pPr>
              <w:pStyle w:val="Compact"/>
            </w:pPr>
            <w:r>
              <w:t xml:space="preserve">RTM complete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Table of Contents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PARTIALLY COMPLIANT.</w:t>
      </w:r>
      <w:r>
        <w:t xml:space="preserve"> </w:t>
      </w:r>
      <w:r>
        <w:t xml:space="preserve">The requirements baseline is complete, ranked, verifiable, and fully traceable (39/39). The only open items are 4 low-priority context decisions and a missing Table of Contents — none block design or implementation. Resolve GAP-01…05 to reach</w:t>
      </w:r>
      <w:r>
        <w:t xml:space="preserve"> </w:t>
      </w:r>
      <w:r>
        <w:rPr>
          <w:b/>
          <w:bCs/>
        </w:rPr>
        <w:t xml:space="preserve">COMPLIANT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commendation"/>
    <w:p>
      <w:pPr>
        <w:pStyle w:val="Heading2"/>
      </w:pPr>
      <w:r>
        <w:t xml:space="preserve">8. Recommendation</w:t>
      </w:r>
    </w:p>
    <w:p>
      <w:pPr>
        <w:pStyle w:val="FirstParagraph"/>
      </w:pPr>
      <w:r>
        <w:t xml:space="preserve">Proceed to</w:t>
      </w:r>
      <w:r>
        <w:t xml:space="preserve"> </w:t>
      </w:r>
      <w:r>
        <w:rPr>
          <w:b/>
          <w:bCs/>
        </w:rPr>
        <w:t xml:space="preserve">Phase 2 (Website Building / design)</w:t>
      </w:r>
      <w:r>
        <w:t xml:space="preserve">. GAP-03 and GAP-04 should be confirmed at the</w:t>
      </w:r>
      <w:r>
        <w:t xml:space="preserve"> </w:t>
      </w:r>
      <w:r>
        <w:rPr>
          <w:b/>
          <w:bCs/>
        </w:rPr>
        <w:t xml:space="preserve">M1 requirements sign-off</w:t>
      </w:r>
      <w:r>
        <w:t xml:space="preserve">; GAP-01/02/05 can be closed during Phase 2. This closes the IEEE 830 SRS waterfall pipeline (skills 01→08).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2026-07-03T10:34:29Z</dcterms:created>
  <dcterms:modified xsi:type="dcterms:W3CDTF">2026-07-03T10:34:29Z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