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SRS Audit Report — kkn-badko-blog</w:t>
      </w:r>
    </w:p>
    <w:bookmarkStart w:id="28" w:name="srs-audit-report--kkn-badko-blog"/>
    <w:p>
      <w:pPr>
        <w:pStyle w:val="Heading1"/>
      </w:pPr>
      <w:r>
        <w:t xml:space="preserve">SRS Audit Report — kkn-badko-blog</w:t>
      </w:r>
    </w:p>
    <w:p>
      <w:pPr>
        <w:pStyle w:val="FirstParagraph"/>
      </w:pPr>
      <w:r>
        <w:rPr>
          <w:bCs/>
          <w:b/>
        </w:rPr>
        <w:t xml:space="preserve">Generated by:</w:t>
      </w:r>
      <w:r>
        <w:t xml:space="preserve"> </w:t>
      </w:r>
      <w:r>
        <w:rPr>
          <w:rStyle w:val="VerbatimChar"/>
        </w:rPr>
        <w:t xml:space="preserve">semantic-auditing</w:t>
      </w:r>
      <w:r>
        <w:t xml:space="preserve"> </w:t>
      </w:r>
      <w:r>
        <w:t xml:space="preserve">(IEEE 1012 V&amp;V, IEEE 830 conformance)</w:t>
      </w:r>
      <w:r>
        <w:t xml:space="preserve"> </w:t>
      </w:r>
      <w:r>
        <w:rPr>
          <w:bCs/>
          <w:b/>
        </w:rPr>
        <w:t xml:space="preserve">Audited artifact:</w:t>
      </w:r>
      <w:r>
        <w:t xml:space="preserve"> </w:t>
      </w:r>
      <w:r>
        <w:rPr>
          <w:rStyle w:val="VerbatimChar"/>
        </w:rPr>
        <w:t xml:space="preserve">02-requirements-engineering/01-srs/SRS_Draft.md</w:t>
      </w:r>
      <w:r>
        <w:t xml:space="preserve"> </w:t>
      </w:r>
      <w:r>
        <w:rPr>
          <w:bCs/>
          <w:b/>
        </w:rPr>
        <w:t xml:space="preserve">Context audited:</w:t>
      </w:r>
      <w:r>
        <w:t xml:space="preserve"> </w:t>
      </w:r>
      <w:r>
        <w:t xml:space="preserve">all files in</w:t>
      </w:r>
      <w:r>
        <w:t xml:space="preserve"> </w:t>
      </w:r>
      <w:r>
        <w:rPr>
          <w:rStyle w:val="VerbatimChar"/>
        </w:rPr>
        <w:t xml:space="preserve">_context/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2026-06-29 (updated 2026-07-24 — gap closure pass against SRS v1.1)</w:t>
      </w:r>
      <w:r>
        <w:t xml:space="preserve"> </w:t>
      </w:r>
      <w:r>
        <w:rPr>
          <w:bCs/>
          <w:b/>
        </w:rPr>
        <w:t xml:space="preserve">Overall verdict:</w:t>
      </w:r>
      <w:r>
        <w:t xml:space="preserve"> </w:t>
      </w:r>
      <w:r>
        <w:rPr>
          <w:bCs/>
          <w:b/>
        </w:rPr>
        <w:t xml:space="preserve">COMPLIANT</w:t>
      </w:r>
      <w:r>
        <w:t xml:space="preserve"> </w:t>
      </w:r>
      <w:r>
        <w:t xml:space="preserve">— requirements baseline is sound; all open items GAP-01…05 are resolved (see §5 and SRS Appendix A). Decisions D-01…D-04 await formal stakeholder ratification at M1. No blocking defects.</w:t>
      </w:r>
    </w:p>
    <w:p>
      <w:r>
        <w:pict>
          <v:rect style="width:0;height:1.5pt" o:hralign="center" o:hrstd="t" o:hr="t"/>
        </w:pict>
      </w:r>
    </w:p>
    <w:bookmarkStart w:id="20" w:name="X35c607861df6fb70a10a27891f59b6b18864d4c"/>
    <w:p>
      <w:pPr>
        <w:pStyle w:val="Heading2"/>
      </w:pPr>
      <w:r>
        <w:t xml:space="preserve">1. Requirements Audit — IEEE 830 §4.3 Quality Attributes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 (checklist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(IEEE830-4.3.1)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match stakeholder decisions captured in the interview and</w:t>
            </w:r>
            <w:r>
              <w:t xml:space="preserve"> </w:t>
            </w:r>
            <w:r>
              <w:rPr>
                <w:rStyle w:val="VerbatimChar"/>
              </w:rPr>
              <w:t xml:space="preserve">_context/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Unambiguous (IEEE830-4.3.2)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(minor)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"shall" clauses are bounded; a few soft words survive in</w:t>
            </w:r>
            <w:r>
              <w:t xml:space="preserve"> </w:t>
            </w:r>
            <w:r>
              <w:rPr>
                <w:bCs/>
                <w:b/>
              </w:rPr>
              <w:t xml:space="preserve">descriptive prose</w:t>
            </w:r>
            <w:r>
              <w:t xml:space="preserve"> </w:t>
            </w:r>
            <w:r>
              <w:t xml:space="preserve">only (see §4).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(IEEE830-4.3.3)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IEEE 830 §5 sections present (see §2). No TBDs. 0 open</w:t>
            </w:r>
            <w:r>
              <w:t xml:space="preserve"> </w:t>
            </w:r>
            <w:r>
              <w:rPr>
                <w:rStyle w:val="VerbatimChar"/>
              </w:rPr>
              <w:t xml:space="preserve">[CONTEXT-GAP]</w:t>
            </w:r>
            <w:r>
              <w:t xml:space="preserve">s — all 4 resolved in SRS v1.1 (see §5, SRS Appendix 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(IEEE830-4.3.4)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contradictions found. Read-only, mailto, native-comments, ISR 600 s applied consistently across FRs/NFRs/BRs.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Ranked (IEEE830-4.3.5)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 FRs carry Must/Should; 19/19 NFRs carry Essential/Conditional; 8/8 features ranked.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Verifiable (IEEE830-4.3.6)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FR has a GWT stub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and an observable oracle; 0</w:t>
            </w:r>
            <w:r>
              <w:t xml:space="preserve"> </w:t>
            </w:r>
            <w:r>
              <w:rPr>
                <w:rStyle w:val="VerbatimChar"/>
              </w:rPr>
              <w:t xml:space="preserve">VERIFIABILITY-FAIL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Modifiable (IEEE830-4.3.7)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shall per clause; global parameters centralized (POSTS_PER_PAGE, ISR_REVALIDATE); cross-references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(IEEE830-4.3.8)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(minor)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FRs trace to features; most NFRs cite</w:t>
            </w:r>
            <w:r>
              <w:t xml:space="preserve"> </w:t>
            </w:r>
            <w:r>
              <w:rPr>
                <w:rStyle w:val="VerbatimChar"/>
              </w:rPr>
              <w:t xml:space="preserve">[Source:]</w:t>
            </w:r>
            <w:r>
              <w:t xml:space="preserve">. 6 NFRs derive from standards/tech_stack — sources assigned in the RTM (§3).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TBD protocol (IEEE830-4.3.3.1):</w:t>
      </w:r>
      <w:r>
        <w:t xml:space="preserve"> </w:t>
      </w:r>
      <w:r>
        <w:t xml:space="preserve">0 literal "TBD" tokens and 0 remaining</w:t>
      </w:r>
      <w:r>
        <w:t xml:space="preserve"> </w:t>
      </w:r>
      <w:r>
        <w:rPr>
          <w:rStyle w:val="VerbatimChar"/>
        </w:rPr>
        <w:t xml:space="preserve">[CONTEXT-GAP]</w:t>
      </w:r>
      <w:r>
        <w:t xml:space="preserve"> </w:t>
      </w:r>
      <w:r>
        <w:t xml:space="preserve">markers. The 4 former gaps were tracked as protocol-compliant open items in §5 and closed on 2026-07-24 by decisions D-01…D-04 (SRS v1.1, Appendix A).</w:t>
      </w:r>
    </w:p>
    <w:p>
      <w:r>
        <w:pict>
          <v:rect style="width:0;height:1.5pt" o:hralign="center" o:hrstd="t" o:hr="t"/>
        </w:pict>
      </w:r>
    </w:p>
    <w:bookmarkEnd w:id="20"/>
    <w:bookmarkStart w:id="21" w:name="X19d845f3c22c62a9f0332196ef735f5b22b3d1d"/>
    <w:p>
      <w:pPr>
        <w:pStyle w:val="Heading2"/>
      </w:pPr>
      <w:r>
        <w:t xml:space="preserve">2. SRS Structure Verification (IEEE 830 §5)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Required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Introduction (1.1–1.5)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Out of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Overall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2.1.1–2.1.8 (all eight §5.2.1 sub-items)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Apportioning of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External Interfaces (3.1.1–3.1.4)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System Features (FR-001…020)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3.2.9–3.2.11 Logic, Data Constructs, Data Dictionary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Design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Software System Attributes (3.5.1–3.5.4)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3.5.5 Standards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 Other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(added; GAP-05 resolved)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1d552ad99c1e07c1a280671ce6624a556bae7fd"/>
    <w:p>
      <w:pPr>
        <w:pStyle w:val="Heading2"/>
      </w:pPr>
      <w:r>
        <w:t xml:space="preserve">3. Requirements Traceability Matrix (RTM)</w:t>
      </w:r>
    </w:p>
    <w:p>
      <w:pPr>
        <w:pStyle w:val="FirstParagraph"/>
      </w:pPr>
      <w:r>
        <w:t xml:space="preserve">Verification method key: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= Test,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Inspection,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Demonstration,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Analysis.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/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ISO/IEC 25010 characteristic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FEAT-001 Post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FEAT-001 Post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FEAT-001 Post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FEAT-002 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FEAT-002 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FEAT-002 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 /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FEAT-003 Post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FEAT-004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FEAT-004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FEAT-005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/ 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FEAT-005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FEAT-005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FEAT-006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FEAT-006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FEAT-007 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FEAT-008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FEAT-008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(Lighthouse)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BR-004 / BR-006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(Availability)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Suitability /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 &gt; 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(Accessibility)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(axe/Lighthouse)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quality_standards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(ISO/IEC 25051)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&gt; Out of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 / 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p>
      <w:pPr>
        <w:pStyle w:val="BodyText"/>
      </w:pPr>
      <w:r>
        <w:rPr>
          <w:bCs/>
          <w:b/>
        </w:rPr>
        <w:t xml:space="preserve">Coverage:</w:t>
      </w:r>
      <w:r>
        <w:t xml:space="preserve"> </w:t>
      </w:r>
      <w:r>
        <w:t xml:space="preserve">39/39 requirements traced to a source, a goal, an ISO/IEC 25010 characteristic, and a verification method. No orphan requirements.</w:t>
      </w:r>
    </w:p>
    <w:p>
      <w:r>
        <w:pict>
          <v:rect style="width:0;height:1.5pt" o:hralign="center" o:hrstd="t" o:hr="t"/>
        </w:pict>
      </w:r>
    </w:p>
    <w:bookmarkEnd w:id="22"/>
    <w:bookmarkStart w:id="23" w:name="X76692ea65c22284f640b4a0de90147fed7f7a71"/>
    <w:p>
      <w:pPr>
        <w:pStyle w:val="Heading2"/>
      </w:pPr>
      <w:r>
        <w:t xml:space="preserve">4. Ambiguity &amp; Weak-Word Report (IEEE 830 §4.3.4 / ISO/IEC 25062)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Occurrences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"good"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Mostly the defined</w:t>
            </w:r>
            <w:r>
              <w:t xml:space="preserve"> </w:t>
            </w:r>
            <w:r>
              <w:rPr>
                <w:bCs/>
                <w:b/>
              </w:rPr>
              <w:t xml:space="preserve">Core Web Vitals "good" thresholds</w:t>
            </w:r>
            <w:r>
              <w:t xml:space="preserve"> </w:t>
            </w:r>
            <w:r>
              <w:t xml:space="preserve">and "last good cache"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— bounded by numeric CWV values (LCP ≤ 2.5 s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"fast enough"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NFR-001 lead-in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— immediately quantified by "Lighthouse ≥ 90 / LCP ≤ 2.5 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"clean"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prose (vision-derived "clean reading experience")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— non-normative; not in any "shall" clause</w:t>
            </w:r>
          </w:p>
        </w:tc>
      </w:tr>
    </w:tbl>
    <w:p>
      <w:pPr>
        <w:pStyle w:val="BodyText"/>
      </w:pPr>
      <w:r>
        <w:t xml:space="preserve">No weak word appears inside a normative "shall" requirement without an accompanying measure.</w:t>
      </w:r>
      <w:r>
        <w:t xml:space="preserve"> </w:t>
      </w:r>
      <w:r>
        <w:rPr>
          <w:bCs/>
          <w:b/>
        </w:rPr>
        <w:t xml:space="preserve">Result: PASS (no action required).</w:t>
      </w:r>
    </w:p>
    <w:p>
      <w:r>
        <w:pict>
          <v:rect style="width:0;height:1.5pt" o:hralign="center" o:hrstd="t" o:hr="t"/>
        </w:pict>
      </w:r>
    </w:p>
    <w:bookmarkEnd w:id="23"/>
    <w:bookmarkStart w:id="24" w:name="X0c16f88e0906dfe91d11a1f29370efcce6f0c90"/>
    <w:p>
      <w:pPr>
        <w:pStyle w:val="Heading2"/>
      </w:pPr>
      <w:r>
        <w:t xml:space="preserve">5. Gap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UI library not finalized (Tailwind assumed)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nothing until UI build (Phase 2.1.4)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(D-01)</w:t>
            </w:r>
            <w:r>
              <w:t xml:space="preserve"> </w:t>
            </w:r>
            <w:r>
              <w:t xml:space="preserve">— Tailwind CSS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Vercel plan tier / function memory limit 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only if free-tier limits are hit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(D-02)</w:t>
            </w:r>
            <w:r>
              <w:t xml:space="preserve"> </w:t>
            </w:r>
            <w:r>
              <w:t xml:space="preserve">— Hobby tier selected (1024 MB / 10 s); Pro upgrade path noted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Peak concurrent-load figure 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 oracle uses Lighthouse/CWV instead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(D-03)</w:t>
            </w:r>
            <w:r>
              <w:t xml:space="preserve"> </w:t>
            </w:r>
            <w:r>
              <w:t xml:space="preserve">— CWV accepted as oracle; no numeric concurrency target for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Formal availability/uptime target 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as best-effort (NFR-010)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 2026-07-24 (D-04)</w:t>
            </w:r>
            <w:r>
              <w:t xml:space="preserve"> </w:t>
            </w:r>
            <w:r>
              <w:t xml:space="preserve">— best-effort confirmed, no SLA for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Closed; ratify at 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SRS has no 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</w:t>
            </w:r>
            <w:r>
              <w:t xml:space="preserve"> </w:t>
            </w:r>
            <w:r>
              <w:t xml:space="preserve">— ToC added to</w:t>
            </w:r>
            <w:r>
              <w:t xml:space="preserve"> </w:t>
            </w:r>
            <w:r>
              <w:rPr>
                <w:rStyle w:val="VerbatimChar"/>
              </w:rPr>
              <w:t xml:space="preserve">SRS_Draft.md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Decision details and rationale:</w:t>
      </w:r>
      <w:r>
        <w:t xml:space="preserve"> </w:t>
      </w:r>
      <w:r>
        <w:rPr>
          <w:rStyle w:val="VerbatimChar"/>
        </w:rPr>
        <w:t xml:space="preserve">SRS_Draft.md</w:t>
      </w:r>
      <w:r>
        <w:t xml:space="preserve"> </w:t>
      </w:r>
      <w:r>
        <w:t xml:space="preserve">Appendix A (D-01…D-04).</w:t>
      </w:r>
    </w:p>
    <w:p>
      <w:pPr>
        <w:pStyle w:val="BodyText"/>
      </w:pPr>
      <w:r>
        <w:t xml:space="preserve">No orphan requirements. No unmet goals (OBJ-001/002/003 all covered by ≥1 requirement). No unranked requirements. No non-compliant TBDs (all open items carry condition/resolution/owner/deadline above).</w:t>
      </w:r>
    </w:p>
    <w:p>
      <w:r>
        <w:pict>
          <v:rect style="width:0;height:1.5pt" o:hralign="center" o:hrstd="t" o:hr="t"/>
        </w:pict>
      </w:r>
    </w:p>
    <w:bookmarkEnd w:id="24"/>
    <w:bookmarkStart w:id="25" w:name="Xd8826fe4da419e5331ce2bead2608237b2d3bc9"/>
    <w:p>
      <w:pPr>
        <w:pStyle w:val="Heading2"/>
      </w:pPr>
      <w:r>
        <w:t xml:space="preserve">6. Terminology Gaps (Glossary Audit)</w:t>
      </w:r>
    </w:p>
    <w:p>
      <w:pPr>
        <w:pStyle w:val="FirstParagraph"/>
      </w:pPr>
      <w:r>
        <w:t xml:space="preserve">All previously undefined terms have been added to</w:t>
      </w:r>
      <w:r>
        <w:t xml:space="preserve"> </w:t>
      </w:r>
      <w:r>
        <w:rPr>
          <w:rStyle w:val="VerbatimChar"/>
        </w:rPr>
        <w:t xml:space="preserve">_context/glossary.md</w:t>
      </w:r>
      <w:r>
        <w:t xml:space="preserve"> </w:t>
      </w:r>
      <w:r>
        <w:t xml:space="preserve">in this run:</w:t>
      </w:r>
      <w:r>
        <w:t xml:space="preserve"> </w:t>
      </w:r>
      <w:r>
        <w:rPr>
          <w:bCs/>
          <w:b/>
        </w:rPr>
        <w:t xml:space="preserve">Core Web Vitals, LCP, CLS, INP, DTO, RUSP, RTM, GWT, MTBF, RBAC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0 unresolved</w:t>
      </w:r>
      <w:r>
        <w:t xml:space="preserve"> </w:t>
      </w:r>
      <w:r>
        <w:rPr>
          <w:rStyle w:val="VerbatimChar"/>
        </w:rPr>
        <w:t xml:space="preserve">[GLOSSARY-GAP]</w:t>
      </w:r>
      <w:r>
        <w:t xml:space="preserve"> </w:t>
      </w:r>
      <w:r>
        <w:t xml:space="preserve">tags.</w:t>
      </w:r>
      <w:r>
        <w:t xml:space="preserve"> </w:t>
      </w:r>
      <w:r>
        <w:rPr>
          <w:bCs/>
          <w:b/>
        </w:rPr>
        <w:t xml:space="preserve">PASS.</w:t>
      </w:r>
    </w:p>
    <w:p>
      <w:r>
        <w:pict>
          <v:rect style="width:0;height:1.5pt" o:hralign="center" o:hrstd="t" o:hr="t"/>
        </w:pict>
      </w:r>
    </w:p>
    <w:bookmarkEnd w:id="25"/>
    <w:bookmarkStart w:id="26" w:name="Xcba3844454e39ced57c418f2cba8cb63c2a2506"/>
    <w:p>
      <w:pPr>
        <w:pStyle w:val="Heading2"/>
      </w:pPr>
      <w:r>
        <w:t xml:space="preserve">7. Standard Conformance Statement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§5.1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Present,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§5.2 Overall Description (incl. 2.1.1–2.1.8, 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§5.3.1 External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§5.3.2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FRs, GWT, one-shall, ranked,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1016 Logic &amp; Data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§3.2.9–3.2.11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§5.3.3–§5.3.4 Performance &amp;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NFRs, QA 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§5.3.5 System Attributes (+ 3.5.5)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830 §5.3.8 Other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ISO/IEC 25010 / 25023 quality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Overall: COMPLIANT</w:t>
      </w:r>
      <w:r>
        <w:t xml:space="preserve"> </w:t>
      </w:r>
      <w:r>
        <w:t xml:space="preserve">(upgraded from PARTIALLY COMPLIANT on 2026-07-24). The requirements baseline is complete, ranked, verifiable, and fully traceable (39/39). All open items GAP-01…05 are resolved; decisions D-01…D-04 (SRS Appendix A) require only stakeholder ratification at M1, which does not alter any requirement.</w:t>
      </w:r>
    </w:p>
    <w:p>
      <w:r>
        <w:pict>
          <v:rect style="width:0;height:1.5pt" o:hralign="center" o:hrstd="t" o:hr="t"/>
        </w:pict>
      </w:r>
    </w:p>
    <w:bookmarkEnd w:id="26"/>
    <w:bookmarkStart w:id="27" w:name="X62b8802b4238e1608cf5d4dfb0b7104f067c793"/>
    <w:p>
      <w:pPr>
        <w:pStyle w:val="Heading2"/>
      </w:pPr>
      <w:r>
        <w:t xml:space="preserve">8. Recommendation</w:t>
      </w:r>
    </w:p>
    <w:p>
      <w:pPr>
        <w:pStyle w:val="FirstParagraph"/>
      </w:pPr>
      <w:r>
        <w:t xml:space="preserve">Proceed to</w:t>
      </w:r>
      <w:r>
        <w:t xml:space="preserve"> </w:t>
      </w:r>
      <w:r>
        <w:rPr>
          <w:bCs/>
          <w:b/>
        </w:rPr>
        <w:t xml:space="preserve">M1 requirements sign-off</w:t>
      </w:r>
      <w:r>
        <w:t xml:space="preserve">, ratifying decisions D-01…D-04 (SRS v1.1, Appendix A), then to</w:t>
      </w:r>
      <w:r>
        <w:t xml:space="preserve"> </w:t>
      </w:r>
      <w:r>
        <w:rPr>
          <w:bCs/>
          <w:b/>
        </w:rPr>
        <w:t xml:space="preserve">Phase 2 (Website Building / design)</w:t>
      </w:r>
      <w:r>
        <w:t xml:space="preserve">. All gaps are closed; the SRS baseline is COMPLIANT with no open items. This closes the IEEE 830 SRS waterfall pipeline (skills 01→08).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Audit Report — kkn-badko-blog</dc:title>
  <dc:creator/>
  <cp:keywords/>
  <dcterms:created xsi:type="dcterms:W3CDTF">2026-07-24T16:28:43Z</dcterms:created>
  <dcterms:modified xsi:type="dcterms:W3CDTF">2026-07-24T16:28:43Z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