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b/>
          <w:bCs/>
          <w:sz w:val="30"/>
          <w:szCs w:val="30"/>
        </w:rPr>
        <w:t xml:space="preserve">Supplementary material</w:t>
      </w:r>
    </w:p>
    <w:p>
      <w:pPr>
        <w:pStyle w:val="Heading1"/>
        <w:spacing w:after="140" w:before="300"/>
      </w:pPr>
      <w:r>
        <w:rPr>
          <w:rFonts w:ascii="Calibri" w:cs="Calibri" w:eastAsia="Calibri" w:hAnsi="Calibri"/>
        </w:rPr>
        <w:t xml:space="preserve">Table S1. Criteria, eligibility, missingness and retained information</w:t>
      </w:r>
    </w:p>
    <w:p>
      <w:pPr>
        <w:spacing w:after="120" w:line="280"/>
        <w:jc w:val="both"/>
      </w:pPr>
      <w:r>
        <w:rPr>
          <w:rFonts w:ascii="Calibri" w:cs="Calibri" w:eastAsia="Calibri" w:hAnsi="Calibri"/>
          <w:sz w:val="20"/>
          <w:szCs w:val="20"/>
        </w:rPr>
        <w:t xml:space="preserve">Marginal eligibility is computed before the missing-as-eligible convention is applied. Events and patients retained are those meeting that criterion alone. The full protocol row is the intersection of all nine.</w:t>
      </w:r>
    </w:p>
    <w:p>
      <w:pPr>
        <w:spacing w:after="80" w:line="280"/>
        <w:jc w:val="both"/>
      </w:pPr>
      <w:r>
        <w:rPr>
          <w:rFonts w:ascii="Calibri" w:cs="Calibri" w:eastAsia="Calibri" w:hAnsi="Calibri"/>
          <w:b/>
          <w:bCs/>
          <w:sz w:val="19"/>
          <w:szCs w:val="19"/>
        </w:rPr>
        <w:t xml:space="preserve">colon: adjuvant colon-cancer trial, Lev+5FU vs observation (n = 619, 304 treated, 291 events)</w:t>
      </w:r>
    </w:p>
    <w:tbl>
      <w:tblPr>
        <w:tblW w:type="dxa" w:w="9360"/>
        <w:tblBorders>
          <w:top w:val="single" w:color="9AA4AF" w:sz="6"/>
          <w:left w:val="none"/>
          <w:bottom w:val="single" w:color="9AA4AF" w:sz="6"/>
          <w:right w:val="none"/>
          <w:insideH w:val="single" w:color="D7DEE5" w:sz="2"/>
          <w:insideV w:val="none"/>
        </w:tblBorders>
      </w:tblPr>
      <w:tblGrid>
        <w:gridCol w:w="900"/>
        <w:gridCol w:w="2860"/>
        <w:gridCol w:w="1000"/>
        <w:gridCol w:w="900"/>
        <w:gridCol w:w="1200"/>
        <w:gridCol w:w="1250"/>
        <w:gridCol w:w="1250"/>
      </w:tblGrid>
      <w:tr>
        <w:trPr>
          <w:cantSplit/>
          <w:tblHeader/>
        </w:trPr>
        <w:tc>
          <w:tcPr>
            <w:tcW w:type="dxa" w:w="9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code</w:t>
            </w:r>
          </w:p>
        </w:tc>
        <w:tc>
          <w:tcPr>
            <w:tcW w:type="dxa" w:w="2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definition</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eligible</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missing</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events kept</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treated</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control</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AGE75</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&lt;= 75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0.937</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275</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287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293</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AGE40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&gt;= 40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0.918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266</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278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290</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NOOBS</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 obstruction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0.811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231</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250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252</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NOPRF</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 perforation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282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296</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306</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NOADH</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not adherent</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0.861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242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265</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268</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DIFF12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differentiation &lt;= 2</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0.825</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0.021</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230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250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263</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EXT13</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extent &lt;= 3</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0.950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272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295</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SURG0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short interval since surgery</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0.730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201</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224</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NOD4</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&lt; 4 positive nodes</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0.732</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225</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228</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all nine applied</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56</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89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87</w:t>
            </w:r>
          </w:p>
        </w:tc>
      </w:tr>
    </w:tbl>
    <w:p>
      <w:pPr>
        <w:spacing w:after="240" w:line="280"/>
        <w:jc w:val="both"/>
      </w:pPr>
      <w:r>
        <w:rPr>
          <w:rFonts w:ascii="Calibri" w:cs="Calibri" w:eastAsia="Calibri" w:hAnsi="Calibri"/>
          <w:color w:val="555555"/>
          <w:sz w:val="17"/>
          <w:szCs w:val="17"/>
        </w:rPr>
        <w:t xml:space="preserve">Maximum absolute off-diagonal correlation among the eligibility indicators: 0.250 (EXT13 with NOADH).</w:t>
      </w:r>
    </w:p>
    <w:p>
      <w:pPr>
        <w:spacing w:after="80" w:line="280"/>
        <w:jc w:val="both"/>
      </w:pPr>
      <w:r>
        <w:rPr>
          <w:rFonts w:ascii="Calibri" w:cs="Calibri" w:eastAsia="Calibri" w:hAnsi="Calibri"/>
          <w:b/>
          <w:bCs/>
          <w:sz w:val="19"/>
          <w:szCs w:val="19"/>
        </w:rPr>
        <w:t xml:space="preserve">Rotterdam: breast-cancer registry, chemotherapy vs none (n = 2982, 580 treated, 1272 events)</w:t>
      </w:r>
    </w:p>
    <w:tbl>
      <w:tblPr>
        <w:tblW w:type="dxa" w:w="9360"/>
        <w:tblBorders>
          <w:top w:val="single" w:color="9AA4AF" w:sz="6"/>
          <w:left w:val="none"/>
          <w:bottom w:val="single" w:color="9AA4AF" w:sz="6"/>
          <w:right w:val="none"/>
          <w:insideH w:val="single" w:color="D7DEE5" w:sz="2"/>
          <w:insideV w:val="none"/>
        </w:tblBorders>
      </w:tblPr>
      <w:tblGrid>
        <w:gridCol w:w="900"/>
        <w:gridCol w:w="2860"/>
        <w:gridCol w:w="1000"/>
        <w:gridCol w:w="900"/>
        <w:gridCol w:w="1200"/>
        <w:gridCol w:w="1250"/>
        <w:gridCol w:w="1250"/>
      </w:tblGrid>
      <w:tr>
        <w:trPr>
          <w:cantSplit/>
          <w:tblHeader/>
        </w:trPr>
        <w:tc>
          <w:tcPr>
            <w:tcW w:type="dxa" w:w="9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code</w:t>
            </w:r>
          </w:p>
        </w:tc>
        <w:tc>
          <w:tcPr>
            <w:tcW w:type="dxa" w:w="2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definition</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eligible</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missing</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events kept</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treated</w:t>
            </w:r>
          </w:p>
        </w:tc>
        <w:tc>
          <w:tcPr>
            <w:tcW w:type="dxa" w:w="12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control</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AGE70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&lt;= 70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0.861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1017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578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1990</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AGE30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age &gt;= 30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0.989</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1257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569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2381</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ND9</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nodes &lt;= 9</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0.910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1069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508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2207</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NDPOS</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nodes &gt;= 1</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0.518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877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580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966</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SZ50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tumour size &lt;= 50 mm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0.898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1060</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502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2176</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ERP</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ER &gt;= 10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0.764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949</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443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1835</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PGRP</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PgR &gt;= 10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0.681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823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428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1603</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YR85</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enrolled &gt;= 1985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0.873</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1022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502</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2101</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YR90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enrolled &lt;= 1990</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0.758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1068</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427</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1832</w:t>
            </w:r>
          </w:p>
        </w:tc>
      </w:tr>
      <w:tr>
        <w:trPr>
          <w:cantSplit/>
        </w:trPr>
        <w:tc>
          <w:tcPr>
            <w:tcW w:type="dxa" w:w="9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all nine applied</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0.141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191</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203</w:t>
            </w:r>
          </w:p>
        </w:tc>
        <w:tc>
          <w:tcPr>
            <w:tcW w:type="dxa" w:w="1250"/>
            <w:tcMar>
              <w:top w:type="dxa" w:w="50"/>
              <w:left w:type="dxa" w:w="80"/>
              <w:bottom w:type="dxa" w:w="50"/>
              <w:right w:type="dxa" w:w="80"/>
            </w:tcMar>
          </w:tcPr>
          <w:p>
            <w:pPr>
              <w:spacing w:after="0" w:line="240"/>
              <w:jc w:val="right"/>
            </w:pPr>
            <w:r>
              <w:rPr>
                <w:rFonts w:ascii="Calibri" w:cs="Calibri" w:eastAsia="Calibri" w:hAnsi="Calibri"/>
                <w:sz w:val="16"/>
                <w:szCs w:val="16"/>
              </w:rPr>
              <w:t xml:space="preserve">216</w:t>
            </w:r>
          </w:p>
        </w:tc>
      </w:tr>
    </w:tbl>
    <w:p>
      <w:pPr>
        <w:spacing w:after="240" w:line="280"/>
        <w:jc w:val="both"/>
      </w:pPr>
      <w:r>
        <w:rPr>
          <w:rFonts w:ascii="Calibri" w:cs="Calibri" w:eastAsia="Calibri" w:hAnsi="Calibri"/>
          <w:color w:val="555555"/>
          <w:sz w:val="17"/>
          <w:szCs w:val="17"/>
        </w:rPr>
        <w:t xml:space="preserve">Maximum absolute off-diagonal correlation: 0.572 (PGRP with ERP). Rotterdam has no missingness on any criterion variable.</w:t>
      </w:r>
    </w:p>
    <w:p>
      <w:pPr>
        <w:pStyle w:val="Heading1"/>
        <w:spacing w:after="140" w:before="300"/>
      </w:pPr>
      <w:r>
        <w:rPr>
          <w:rFonts w:ascii="Calibri" w:cs="Calibri" w:eastAsia="Calibri" w:hAnsi="Calibri"/>
        </w:rPr>
        <w:t xml:space="preserve">Table S1b. Propensity-score behaviour inside the full protocol</w:t>
      </w:r>
    </w:p>
    <w:tbl>
      <w:tblPr>
        <w:tblW w:type="dxa" w:w="9360"/>
        <w:tblBorders>
          <w:top w:val="single" w:color="9AA4AF" w:sz="6"/>
          <w:left w:val="none"/>
          <w:bottom w:val="single" w:color="9AA4AF" w:sz="6"/>
          <w:right w:val="none"/>
          <w:insideH w:val="single" w:color="D7DEE5" w:sz="2"/>
          <w:insideV w:val="none"/>
        </w:tblBorders>
      </w:tblPr>
      <w:tblGrid>
        <w:gridCol w:w="3300"/>
        <w:gridCol w:w="1100"/>
        <w:gridCol w:w="1000"/>
        <w:gridCol w:w="1300"/>
        <w:gridCol w:w="800"/>
        <w:gridCol w:w="1000"/>
        <w:gridCol w:w="860"/>
      </w:tblGrid>
      <w:tr>
        <w:trPr>
          <w:cantSplit/>
          <w:tblHeader/>
        </w:trPr>
        <w:tc>
          <w:tcPr>
            <w:tcW w:type="dxa" w:w="33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specification</w:t>
            </w:r>
          </w:p>
        </w:tc>
        <w:tc>
          <w:tcPr>
            <w:tcW w:type="dxa" w:w="11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cohort</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max |SMD|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covariates &gt; 0.10</w:t>
            </w:r>
          </w:p>
        </w:tc>
        <w:tc>
          <w:tcPr>
            <w:tcW w:type="dxa" w:w="8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ESS</w:t>
            </w:r>
          </w:p>
        </w:tc>
        <w:tc>
          <w:tcPr>
            <w:tcW w:type="dxa" w:w="1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truncated</w:t>
            </w:r>
          </w:p>
        </w:tc>
        <w:tc>
          <w:tcPr>
            <w:tcW w:type="dxa" w:w="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n retained</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M1 main effects, unstabilised, truncated (main analysis)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172</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M2 + natural splines on continuous covariates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166</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M3 + stabilised weights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166</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M4 + trimming to common support</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colon</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0.058</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5</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172</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M1 main effects, unstabilised, truncated (main analysis)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155</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132</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M2 + natural splines on continuous covariates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138</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181</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M3 + stabilised weights</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139</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181</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r>
      <w:tr>
        <w:trPr>
          <w:cantSplit/>
        </w:trPr>
        <w:tc>
          <w:tcPr>
            <w:tcW w:type="dxa" w:w="3300"/>
            <w:tcMar>
              <w:top w:type="dxa" w:w="50"/>
              <w:left w:type="dxa" w:w="80"/>
              <w:bottom w:type="dxa" w:w="50"/>
              <w:right w:type="dxa" w:w="80"/>
            </w:tcMar>
          </w:tcPr>
          <w:p>
            <w:pPr>
              <w:spacing w:after="0" w:line="240"/>
              <w:jc w:val="left"/>
            </w:pPr>
            <w:r>
              <w:rPr>
                <w:rFonts w:ascii="Calibri" w:cs="Calibri" w:eastAsia="Calibri" w:hAnsi="Calibri"/>
                <w:sz w:val="16"/>
                <w:szCs w:val="16"/>
              </w:rPr>
              <w:t xml:space="preserve">M4 + trimming to common support</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Rotterdam</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0.215</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5 of 8</w:t>
            </w:r>
          </w:p>
        </w:tc>
        <w:tc>
          <w:tcPr>
            <w:tcW w:type="dxa" w:w="8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111</w:t>
            </w:r>
          </w:p>
        </w:tc>
        <w:tc>
          <w:tcPr>
            <w:tcW w:type="dxa" w:w="1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181</w:t>
            </w:r>
          </w:p>
        </w:tc>
        <w:tc>
          <w:tcPr>
            <w:tcW w:type="dxa" w:w="860"/>
            <w:tcMar>
              <w:top w:type="dxa" w:w="50"/>
              <w:left w:type="dxa" w:w="80"/>
              <w:bottom w:type="dxa" w:w="50"/>
              <w:right w:type="dxa" w:w="80"/>
            </w:tcMar>
          </w:tcPr>
          <w:p>
            <w:pPr>
              <w:spacing w:after="0" w:line="240"/>
              <w:jc w:val="right"/>
            </w:pPr>
            <w:r>
              <w:rPr>
                <w:rFonts w:ascii="Calibri" w:cs="Calibri" w:eastAsia="Calibri" w:hAnsi="Calibri"/>
                <w:sz w:val="16"/>
                <w:szCs w:val="16"/>
              </w:rPr>
              <w:t xml:space="preserve">338</w:t>
            </w:r>
          </w:p>
        </w:tc>
      </w:tr>
    </w:tbl>
    <w:p>
      <w:pPr>
        <w:spacing w:after="240" w:line="280"/>
        <w:jc w:val="both"/>
      </w:pPr>
      <w:r>
        <w:rPr>
          <w:rFonts w:ascii="Calibri" w:cs="Calibri" w:eastAsia="Calibri" w:hAnsi="Calibri"/>
          <w:color w:val="555555"/>
          <w:sz w:val="17"/>
          <w:szCs w:val="17"/>
        </w:rPr>
        <w:t xml:space="preserve">Covariates fixed by the criteria themselves inside the full protocol carry no balance information and are excluded from the count. No specification restores balance in Rotterdam.</w:t>
      </w:r>
    </w:p>
    <w:p>
      <w:pPr>
        <w:pStyle w:val="Heading1"/>
        <w:spacing w:after="140" w:before="300"/>
      </w:pPr>
      <w:r>
        <w:rPr>
          <w:rFonts w:ascii="Calibri" w:cs="Calibri" w:eastAsia="Calibri" w:hAnsi="Calibri"/>
        </w:rPr>
        <w:t xml:space="preserve">Table S1c. Overlap does not degrade with restriction</w:t>
      </w:r>
    </w:p>
    <w:p>
      <w:pPr>
        <w:spacing w:after="120" w:line="280"/>
        <w:jc w:val="both"/>
      </w:pPr>
      <w:r>
        <w:rPr>
          <w:rFonts w:ascii="Calibri" w:cs="Calibri" w:eastAsia="Calibri" w:hAnsi="Calibri"/>
          <w:sz w:val="20"/>
          <w:szCs w:val="20"/>
        </w:rPr>
        <w:t xml:space="preserve">Median over all subsets of each size, across the full 2⁹ enumeration in each cohort. If restriction created the positivity problem, the effective-sample-size fraction would fall as criteria are added. It does not.</w:t>
      </w:r>
    </w:p>
    <w:tbl>
      <w:tblPr>
        <w:tblW w:type="dxa" w:w="9360"/>
        <w:tblBorders>
          <w:top w:val="single" w:color="9AA4AF" w:sz="6"/>
          <w:left w:val="none"/>
          <w:bottom w:val="single" w:color="9AA4AF" w:sz="6"/>
          <w:right w:val="none"/>
          <w:insideH w:val="single" w:color="D7DEE5" w:sz="2"/>
          <w:insideV w:val="none"/>
        </w:tblBorders>
      </w:tblPr>
      <w:tblGrid>
        <w:gridCol w:w="1600"/>
        <w:gridCol w:w="1300"/>
        <w:gridCol w:w="1200"/>
        <w:gridCol w:w="1500"/>
        <w:gridCol w:w="1400"/>
        <w:gridCol w:w="1300"/>
        <w:gridCol w:w="1400"/>
      </w:tblGrid>
      <w:tr>
        <w:trPr>
          <w:cantSplit/>
          <w:tblHeader/>
        </w:trPr>
        <w:tc>
          <w:tcPr>
            <w:tcW w:type="dxa" w:w="16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criteria applied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 median n</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 ESS/n</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median n</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ESS/n</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truncated</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max |SMD|</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619</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0.989</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2982</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0.374</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0.397</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0.465</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533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0.987</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2568</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0.459</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2</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458</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0.985</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1968</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0.366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0.436</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392</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1613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0.377</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4</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341</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1267</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0.309</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0.327</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5</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297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0.979</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860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0.382</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0.265</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257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0.977</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694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0.380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0.294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0.252</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7</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224</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0.977</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571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0.289</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0.244</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8</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192</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485</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0.375</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0.297</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0.250</w:t>
            </w:r>
          </w:p>
        </w:tc>
      </w:tr>
      <w:tr>
        <w:trPr>
          <w:cantSplit/>
        </w:trPr>
        <w:tc>
          <w:tcPr>
            <w:tcW w:type="dxa" w:w="1600"/>
            <w:tcMar>
              <w:top w:type="dxa" w:w="50"/>
              <w:left w:type="dxa" w:w="80"/>
              <w:bottom w:type="dxa" w:w="50"/>
              <w:right w:type="dxa" w:w="80"/>
            </w:tcMar>
          </w:tcPr>
          <w:p>
            <w:pPr>
              <w:spacing w:after="0" w:line="240"/>
              <w:jc w:val="left"/>
            </w:pPr>
            <w:r>
              <w:rPr>
                <w:rFonts w:ascii="Calibri" w:cs="Calibri" w:eastAsia="Calibri" w:hAnsi="Calibri"/>
                <w:sz w:val="16"/>
                <w:szCs w:val="16"/>
              </w:rPr>
              <w:t xml:space="preserve">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176</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0.976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419</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0.369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0.315</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0.251</w:t>
            </w:r>
          </w:p>
        </w:tc>
      </w:tr>
    </w:tbl>
    <w:p>
      <w:pPr>
        <w:spacing w:after="240" w:line="280"/>
        <w:jc w:val="both"/>
      </w:pPr>
      <w:r>
        <w:rPr>
          <w:rFonts w:ascii="Calibri" w:cs="Calibri" w:eastAsia="Calibri" w:hAnsi="Calibri"/>
          <w:color w:val="555555"/>
          <w:sz w:val="17"/>
          <w:szCs w:val="17"/>
        </w:rPr>
        <w:t xml:space="preserve">The effective-sample-size fraction is flat in the number of criteria applied in both cohorts, so restriction is not what creates the lack of overlap in Rotterdam.</w:t>
      </w:r>
    </w:p>
    <w:p>
      <w:pPr>
        <w:pStyle w:val="Heading1"/>
        <w:spacing w:after="140" w:before="300"/>
      </w:pPr>
      <w:r>
        <w:rPr>
          <w:rFonts w:ascii="Calibri" w:cs="Calibri" w:eastAsia="Calibri" w:hAnsi="Calibri"/>
        </w:rPr>
        <w:t xml:space="preserve">Table S2. Threshold across the fractional factorial</w:t>
      </w:r>
    </w:p>
    <w:tbl>
      <w:tblPr>
        <w:tblW w:type="dxa" w:w="9360"/>
        <w:tblBorders>
          <w:top w:val="single" w:color="9AA4AF" w:sz="6"/>
          <w:left w:val="none"/>
          <w:bottom w:val="single" w:color="9AA4AF" w:sz="6"/>
          <w:right w:val="none"/>
          <w:insideH w:val="single" w:color="D7DEE5" w:sz="2"/>
          <w:insideV w:val="none"/>
        </w:tblBorders>
      </w:tblPr>
      <w:tblGrid>
        <w:gridCol w:w="560"/>
        <w:gridCol w:w="520"/>
        <w:gridCol w:w="760"/>
        <w:gridCol w:w="560"/>
        <w:gridCol w:w="620"/>
        <w:gridCol w:w="700"/>
        <w:gridCol w:w="700"/>
        <w:gridCol w:w="620"/>
        <w:gridCol w:w="900"/>
        <w:gridCol w:w="1400"/>
        <w:gridCol w:w="900"/>
        <w:gridCol w:w="1120"/>
      </w:tblGrid>
      <w:tr>
        <w:trPr>
          <w:cantSplit/>
          <w:tblHeader/>
        </w:trPr>
        <w:tc>
          <w:tcPr>
            <w:tcW w:type="dxa" w:w="560"/>
            <w:shd w:fill="EDF1F5" w:val="clear"/>
            <w:tcMar>
              <w:top w:type="dxa" w:w="50"/>
              <w:left w:type="dxa" w:w="80"/>
              <w:bottom w:type="dxa" w:w="50"/>
              <w:right w:type="dxa" w:w="80"/>
            </w:tcMar>
          </w:tcPr>
          <w:p>
            <w:pPr>
              <w:spacing w:after="0" w:line="240"/>
              <w:jc w:val="left"/>
            </w:pPr>
            <w:r>
              <w:rPr>
                <w:rFonts w:ascii="Calibri" w:cs="Calibri" w:eastAsia="Calibri" w:hAnsi="Calibri"/>
                <w:b/>
                <w:bCs/>
                <w:sz w:val="15"/>
                <w:szCs w:val="15"/>
              </w:rPr>
              <w:t xml:space="preserve">run</w:t>
            </w:r>
          </w:p>
        </w:tc>
        <w:tc>
          <w:tcPr>
            <w:tcW w:type="dxa" w:w="5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p</w:t>
            </w:r>
          </w:p>
        </w:tc>
        <w:tc>
          <w:tcPr>
            <w:tcW w:type="dxa" w:w="76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retain</w:t>
            </w:r>
          </w:p>
        </w:tc>
        <w:tc>
          <w:tcPr>
            <w:tcW w:type="dxa" w:w="56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mod</w:t>
            </w:r>
          </w:p>
        </w:tc>
        <w:tc>
          <w:tcPr>
            <w:tcW w:type="dxa" w:w="6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|γ|</w:t>
            </w:r>
          </w:p>
        </w:tc>
        <w:tc>
          <w:tcPr>
            <w:tcW w:type="dxa" w:w="7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cens</w:t>
            </w:r>
          </w:p>
        </w:tc>
        <w:tc>
          <w:tcPr>
            <w:tcW w:type="dxa" w:w="7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alloc</w:t>
            </w:r>
          </w:p>
        </w:tc>
        <w:tc>
          <w:tcPr>
            <w:tcW w:type="dxa" w:w="6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conf</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n*</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95% CI</w:t>
            </w:r>
          </w:p>
        </w:tc>
        <w:tc>
          <w:tcPr>
            <w:tcW w:type="dxa" w:w="90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events*</w:t>
            </w:r>
          </w:p>
        </w:tc>
        <w:tc>
          <w:tcPr>
            <w:tcW w:type="dxa" w:w="1120"/>
            <w:shd w:fill="EDF1F5" w:val="clear"/>
            <w:tcMar>
              <w:top w:type="dxa" w:w="50"/>
              <w:left w:type="dxa" w:w="80"/>
              <w:bottom w:type="dxa" w:w="50"/>
              <w:right w:type="dxa" w:w="80"/>
            </w:tcMar>
          </w:tcPr>
          <w:p>
            <w:pPr>
              <w:spacing w:after="0" w:line="240"/>
              <w:jc w:val="right"/>
            </w:pPr>
            <w:r>
              <w:rPr>
                <w:rFonts w:ascii="Calibri" w:cs="Calibri" w:eastAsia="Calibri" w:hAnsi="Calibri"/>
                <w:b/>
                <w:bCs/>
                <w:sz w:val="15"/>
                <w:szCs w:val="15"/>
              </w:rPr>
              <w:t xml:space="preserve">ESS*</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1307–3048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422</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588</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2</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3</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4409</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3633–6770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365</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309</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4</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3464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2242–5080</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275</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472</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5</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6</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7</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8</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0.020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9</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2462</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1572–3511</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236</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752</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10</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7228</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5006–10394</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721</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1787</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11</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3066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2209–3738</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85</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310</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12</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2</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0.40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&lt; 600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13</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14</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0.30</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15</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6</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0.50</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no</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r>
        <w:trPr>
          <w:cantSplit/>
        </w:trPr>
        <w:tc>
          <w:tcPr>
            <w:tcW w:type="dxa" w:w="560"/>
            <w:tcMar>
              <w:top w:type="dxa" w:w="50"/>
              <w:left w:type="dxa" w:w="80"/>
              <w:bottom w:type="dxa" w:w="50"/>
              <w:right w:type="dxa" w:w="80"/>
            </w:tcMar>
          </w:tcPr>
          <w:p>
            <w:pPr>
              <w:spacing w:after="0" w:line="240"/>
              <w:jc w:val="left"/>
            </w:pPr>
            <w:r>
              <w:rPr>
                <w:rFonts w:ascii="Calibri" w:cs="Calibri" w:eastAsia="Calibri" w:hAnsi="Calibri"/>
                <w:sz w:val="15"/>
                <w:szCs w:val="15"/>
              </w:rPr>
              <w:t xml:space="preserve">16</w:t>
            </w:r>
          </w:p>
        </w:tc>
        <w:tc>
          <w:tcPr>
            <w:tcW w:type="dxa" w:w="520"/>
            <w:tcMar>
              <w:top w:type="dxa" w:w="50"/>
              <w:left w:type="dxa" w:w="80"/>
              <w:bottom w:type="dxa" w:w="50"/>
              <w:right w:type="dxa" w:w="80"/>
            </w:tcMar>
          </w:tcPr>
          <w:p>
            <w:pPr>
              <w:spacing w:after="0" w:line="240"/>
              <w:jc w:val="right"/>
            </w:pPr>
            <w:r>
              <w:rPr>
                <w:rFonts w:ascii="Calibri" w:cs="Calibri" w:eastAsia="Calibri" w:hAnsi="Calibri"/>
                <w:sz w:val="15"/>
                <w:szCs w:val="15"/>
              </w:rPr>
              <w:t xml:space="preserve">8</w:t>
            </w:r>
          </w:p>
        </w:tc>
        <w:tc>
          <w:tcPr>
            <w:tcW w:type="dxa" w:w="760"/>
            <w:tcMar>
              <w:top w:type="dxa" w:w="50"/>
              <w:left w:type="dxa" w:w="80"/>
              <w:bottom w:type="dxa" w:w="50"/>
              <w:right w:type="dxa" w:w="80"/>
            </w:tcMar>
          </w:tcPr>
          <w:p>
            <w:pPr>
              <w:spacing w:after="0" w:line="240"/>
              <w:jc w:val="right"/>
            </w:pPr>
            <w:r>
              <w:rPr>
                <w:rFonts w:ascii="Calibri" w:cs="Calibri" w:eastAsia="Calibri" w:hAnsi="Calibri"/>
                <w:sz w:val="15"/>
                <w:szCs w:val="15"/>
              </w:rPr>
              <w:t xml:space="preserve">0.12</w:t>
            </w:r>
          </w:p>
        </w:tc>
        <w:tc>
          <w:tcPr>
            <w:tcW w:type="dxa" w:w="560"/>
            <w:tcMar>
              <w:top w:type="dxa" w:w="50"/>
              <w:left w:type="dxa" w:w="80"/>
              <w:bottom w:type="dxa" w:w="50"/>
              <w:right w:type="dxa" w:w="80"/>
            </w:tcMar>
          </w:tcPr>
          <w:p>
            <w:pPr>
              <w:spacing w:after="0" w:line="240"/>
              <w:jc w:val="right"/>
            </w:pPr>
            <w:r>
              <w:rPr>
                <w:rFonts w:ascii="Calibri" w:cs="Calibri" w:eastAsia="Calibri" w:hAnsi="Calibri"/>
                <w:sz w:val="15"/>
                <w:szCs w:val="15"/>
              </w:rPr>
              <w:t xml:space="preserve">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0.16</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0.180</w:t>
            </w:r>
          </w:p>
        </w:tc>
        <w:tc>
          <w:tcPr>
            <w:tcW w:type="dxa" w:w="700"/>
            <w:tcMar>
              <w:top w:type="dxa" w:w="50"/>
              <w:left w:type="dxa" w:w="80"/>
              <w:bottom w:type="dxa" w:w="50"/>
              <w:right w:type="dxa" w:w="80"/>
            </w:tcMar>
          </w:tcPr>
          <w:p>
            <w:pPr>
              <w:spacing w:after="0" w:line="240"/>
              <w:jc w:val="right"/>
            </w:pPr>
            <w:r>
              <w:rPr>
                <w:rFonts w:ascii="Calibri" w:cs="Calibri" w:eastAsia="Calibri" w:hAnsi="Calibri"/>
                <w:sz w:val="15"/>
                <w:szCs w:val="15"/>
              </w:rPr>
              <w:t xml:space="preserve">0.25</w:t>
            </w:r>
          </w:p>
        </w:tc>
        <w:tc>
          <w:tcPr>
            <w:tcW w:type="dxa" w:w="620"/>
            <w:tcMar>
              <w:top w:type="dxa" w:w="50"/>
              <w:left w:type="dxa" w:w="80"/>
              <w:bottom w:type="dxa" w:w="50"/>
              <w:right w:type="dxa" w:w="80"/>
            </w:tcMar>
          </w:tcPr>
          <w:p>
            <w:pPr>
              <w:spacing w:after="0" w:line="240"/>
              <w:jc w:val="right"/>
            </w:pPr>
            <w:r>
              <w:rPr>
                <w:rFonts w:ascii="Calibri" w:cs="Calibri" w:eastAsia="Calibri" w:hAnsi="Calibri"/>
                <w:sz w:val="15"/>
                <w:szCs w:val="15"/>
              </w:rPr>
              <w:t xml:space="preserve">yes</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&gt; 18 000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90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c>
          <w:tcPr>
            <w:tcW w:type="dxa" w:w="1120"/>
            <w:tcMar>
              <w:top w:type="dxa" w:w="50"/>
              <w:left w:type="dxa" w:w="80"/>
              <w:bottom w:type="dxa" w:w="50"/>
              <w:right w:type="dxa" w:w="80"/>
            </w:tcMar>
          </w:tcPr>
          <w:p>
            <w:pPr>
              <w:spacing w:after="0" w:line="240"/>
              <w:jc w:val="right"/>
            </w:pPr>
            <w:r>
              <w:rPr>
                <w:rFonts w:ascii="Calibri" w:cs="Calibri" w:eastAsia="Calibri" w:hAnsi="Calibri"/>
                <w:sz w:val="15"/>
                <w:szCs w:val="15"/>
              </w:rPr>
              <w:t xml:space="preserve">—</w:t>
            </w:r>
          </w:p>
        </w:tc>
      </w:tr>
    </w:tbl>
    <w:p>
      <w:pPr>
        <w:spacing w:after="240" w:line="280"/>
        <w:jc w:val="both"/>
      </w:pPr>
      <w:r>
        <w:rPr>
          <w:rFonts w:ascii="Calibri" w:cs="Calibri" w:eastAsia="Calibri" w:hAnsi="Calibri"/>
          <w:color w:val="555555"/>
          <w:sz w:val="17"/>
          <w:szCs w:val="17"/>
        </w:rPr>
        <w:t xml:space="preserve">n* is the fitting-cohort size at which the probability of a lower out-of-sample hazard ratio crosses 0.80, located by interpolation with a bootstrap interval over replicates. events* and ESS* are the corresponding full-protocol event count and weighted effective sample size. “&gt; 18 000” marks a scenario in which the probability never reached 0.80 anywhere on the ladder; “&lt; 600” one in which it was already above 0.80 at the smallest size, which happens where the full protocol retains so few events that it is the imprecise comparator. Both are excluded from the spread statistics below. mod is the number of criteria carrying effect modification: 2 concentrates it, 5 spreads it.</w:t>
      </w:r>
    </w:p>
    <w:p>
      <w:pPr>
        <w:spacing w:after="120" w:line="280"/>
        <w:jc w:val="both"/>
      </w:pPr>
      <w:r>
        <w:rPr>
          <w:rFonts w:ascii="Calibri" w:cs="Calibri" w:eastAsia="Calibri" w:hAnsi="Calibri"/>
          <w:sz w:val="20"/>
          <w:szCs w:val="20"/>
        </w:rPr>
        <w:t xml:space="preserve">Of the 16 scenarios, 6 located a threshold, 9 were right-censored at 18 000 fitting patients and 1 left-censored below 600. Among those located, the spread is: fitting patients 2000 to 7228 (coefficient of variation 0.50); full-protocol events 85 to 721 (0.61); effective sample size 309 to 1787 (0.79). These three spreads are computed only over the scenarios in which a threshold was observable, which is a selected subset, so they cannot be compared with each other; the claim we drew from them in an earlier version is withdrawn in the Results and the unconditional comparison is in Table S2b.</w:t>
      </w:r>
    </w:p>
    <w:p>
      <w:pPr>
        <w:spacing w:after="60" w:line="280"/>
        <w:jc w:val="both"/>
      </w:pPr>
      <w:r>
        <w:rPr>
          <w:rFonts w:ascii="Calibri" w:cs="Calibri" w:eastAsia="Calibri" w:hAnsi="Calibri"/>
          <w:b/>
          <w:bCs/>
          <w:sz w:val="19"/>
          <w:szCs w:val="19"/>
        </w:rPr>
        <w:t xml:space="preserve">Completion by factor level (8 runs each):</w:t>
      </w:r>
    </w:p>
    <w:tbl>
      <w:tblPr>
        <w:tblW w:type="dxa" w:w="9360"/>
        <w:tblBorders>
          <w:top w:val="single" w:color="9AA4AF" w:sz="6"/>
          <w:left w:val="none"/>
          <w:bottom w:val="single" w:color="9AA4AF" w:sz="6"/>
          <w:right w:val="none"/>
          <w:insideH w:val="single" w:color="D7DEE5" w:sz="2"/>
          <w:insideV w:val="none"/>
        </w:tblBorders>
      </w:tblPr>
      <w:tblGrid>
        <w:gridCol w:w="2100"/>
        <w:gridCol w:w="3000"/>
        <w:gridCol w:w="1600"/>
        <w:gridCol w:w="1500"/>
        <w:gridCol w:w="1160"/>
      </w:tblGrid>
      <w:tr>
        <w:trPr>
          <w:cantSplit/>
          <w:tblHeader/>
        </w:trPr>
        <w:tc>
          <w:tcPr>
            <w:tcW w:type="dxa" w:w="21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factor</w:t>
            </w:r>
          </w:p>
        </w:tc>
        <w:tc>
          <w:tcPr>
            <w:tcW w:type="dxa" w:w="3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level</w:t>
            </w:r>
          </w:p>
        </w:tc>
        <w:tc>
          <w:tcPr>
            <w:tcW w:type="dxa" w:w="16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threshold located</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right-censored</w:t>
            </w:r>
          </w:p>
        </w:tc>
        <w:tc>
          <w:tcPr>
            <w:tcW w:type="dxa" w:w="11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median n* where located</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criteria p</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2764</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criteria p</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8</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2</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5346</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full-protocol retention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2462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full-protocol retention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0.12</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3464</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effect modification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concentrated (2 criteria, |γ| 0.40)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1</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3265</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effect modification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diffuse (5 criteria, |γ| 0.16)</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8</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censoring rate</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3464</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censoring rate</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0.180</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3066</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allocation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2462</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allocation</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3</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4409</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assignment</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randomised</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3265</w:t>
            </w:r>
          </w:p>
        </w:tc>
      </w:tr>
      <w:tr>
        <w:trPr>
          <w:cantSplit/>
        </w:trPr>
        <w:tc>
          <w:tcPr>
            <w:tcW w:type="dxa" w:w="2100"/>
            <w:tcMar>
              <w:top w:type="dxa" w:w="50"/>
              <w:left w:type="dxa" w:w="80"/>
              <w:bottom w:type="dxa" w:w="50"/>
              <w:right w:type="dxa" w:w="80"/>
            </w:tcMar>
          </w:tcPr>
          <w:p>
            <w:pPr>
              <w:spacing w:after="0" w:line="240"/>
              <w:jc w:val="left"/>
            </w:pPr>
            <w:r>
              <w:rPr>
                <w:rFonts w:ascii="Calibri" w:cs="Calibri" w:eastAsia="Calibri" w:hAnsi="Calibri"/>
                <w:sz w:val="16"/>
                <w:szCs w:val="16"/>
              </w:rPr>
              <w:t xml:space="preserve">assignment</w:t>
            </w:r>
          </w:p>
        </w:tc>
        <w:tc>
          <w:tcPr>
            <w:tcW w:type="dxa" w:w="3000"/>
            <w:tcMar>
              <w:top w:type="dxa" w:w="50"/>
              <w:left w:type="dxa" w:w="80"/>
              <w:bottom w:type="dxa" w:w="50"/>
              <w:right w:type="dxa" w:w="80"/>
            </w:tcMar>
          </w:tcPr>
          <w:p>
            <w:pPr>
              <w:spacing w:after="0" w:line="240"/>
              <w:jc w:val="right"/>
            </w:pPr>
            <w:r>
              <w:rPr>
                <w:rFonts w:ascii="Calibri" w:cs="Calibri" w:eastAsia="Calibri" w:hAnsi="Calibri"/>
                <w:sz w:val="16"/>
                <w:szCs w:val="16"/>
              </w:rPr>
              <w:t xml:space="preserve">confounded, adjusted</w:t>
            </w:r>
          </w:p>
        </w:tc>
        <w:tc>
          <w:tcPr>
            <w:tcW w:type="dxa" w:w="1600"/>
            <w:tcMar>
              <w:top w:type="dxa" w:w="50"/>
              <w:left w:type="dxa" w:w="80"/>
              <w:bottom w:type="dxa" w:w="50"/>
              <w:right w:type="dxa" w:w="80"/>
            </w:tcMar>
          </w:tcPr>
          <w:p>
            <w:pPr>
              <w:spacing w:after="0" w:line="240"/>
              <w:jc w:val="right"/>
            </w:pPr>
            <w:r>
              <w:rPr>
                <w:rFonts w:ascii="Calibri" w:cs="Calibri" w:eastAsia="Calibri" w:hAnsi="Calibri"/>
                <w:sz w:val="16"/>
                <w:szCs w:val="16"/>
              </w:rPr>
              <w:t xml:space="preserve">2</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5</w:t>
            </w:r>
          </w:p>
        </w:tc>
        <w:tc>
          <w:tcPr>
            <w:tcW w:type="dxa" w:w="1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3436</w:t>
            </w:r>
          </w:p>
        </w:tc>
      </w:tr>
    </w:tbl>
    <w:p>
      <w:pPr>
        <w:spacing w:after="240" w:line="280"/>
        <w:jc w:val="both"/>
      </w:pPr>
      <w:r>
        <w:rPr>
          <w:rFonts w:ascii="Calibri" w:cs="Calibri" w:eastAsia="Calibri" w:hAnsi="Calibri"/>
          <w:color w:val="555555"/>
          <w:sz w:val="17"/>
          <w:szCs w:val="17"/>
        </w:rPr>
        <w:t xml:space="preserve">Only the effect-modification factor separates the design: every scenario with diffuse modification failed to reach 0.80 anywhere on the ladder, under every combination of the other five factors.</w:t>
      </w:r>
    </w:p>
    <w:p>
      <w:pPr>
        <w:pStyle w:val="Heading1"/>
        <w:spacing w:after="140" w:before="300"/>
      </w:pPr>
      <w:r>
        <w:rPr>
          <w:rFonts w:ascii="Calibri" w:cs="Calibri" w:eastAsia="Calibri" w:hAnsi="Calibri"/>
        </w:rPr>
        <w:t xml:space="preserve">Table S2b. Threshold analysis without conditioning on an observable threshold</w:t>
      </w:r>
    </w:p>
    <w:p>
      <w:pPr>
        <w:spacing w:after="120" w:line="280"/>
        <w:jc w:val="both"/>
      </w:pPr>
      <w:r>
        <w:rPr>
          <w:rFonts w:ascii="Calibri" w:cs="Calibri" w:eastAsia="Calibri" w:hAnsi="Calibri"/>
          <w:sz w:val="20"/>
          <w:szCs w:val="20"/>
        </w:rPr>
        <w:t xml:space="preserve">The threshold estimates in Table S2 are censored in ten of sixteen scenarios, so summarising only the six that are observable conditions on the outcome. Two analyses that do not. First, an interval-censored lognormal accelerated-failure-time regression of the threshold on the six factors, in which right-censored runs contribute (18 000, infinity) and the left-censored run (0, 600): the effect-modification factor completely separates the design — all eight diffuse runs are right-censored — so its coefficient is unbounded and not estimable, and the remaining terms are estimated from six exact observations with intervals spanning one to two orders of magnitude. Second, the sensitivity of the pattern to the 0.80 reliability target.</w:t>
      </w:r>
    </w:p>
    <w:tbl>
      <w:tblPr>
        <w:tblW w:type="dxa" w:w="9360"/>
        <w:tblBorders>
          <w:top w:val="single" w:color="9AA4AF" w:sz="6"/>
          <w:left w:val="none"/>
          <w:bottom w:val="single" w:color="9AA4AF" w:sz="6"/>
          <w:right w:val="none"/>
          <w:insideH w:val="single" w:color="D7DEE5" w:sz="2"/>
          <w:insideV w:val="none"/>
        </w:tblBorders>
      </w:tblPr>
      <w:tblGrid>
        <w:gridCol w:w="1900"/>
        <w:gridCol w:w="1500"/>
        <w:gridCol w:w="1400"/>
        <w:gridCol w:w="1300"/>
        <w:gridCol w:w="1500"/>
        <w:gridCol w:w="1400"/>
        <w:gridCol w:w="1360"/>
      </w:tblGrid>
      <w:tr>
        <w:trPr>
          <w:cantSplit/>
          <w:tblHeader/>
        </w:trPr>
        <w:tc>
          <w:tcPr>
            <w:tcW w:type="dxa" w:w="19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reliability target</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threshold located</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right-censored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left-censored</w:t>
            </w:r>
          </w:p>
        </w:tc>
        <w:tc>
          <w:tcPr>
            <w:tcW w:type="dxa" w:w="15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median located n*</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concentrated located</w:t>
            </w:r>
          </w:p>
        </w:tc>
        <w:tc>
          <w:tcPr>
            <w:tcW w:type="dxa" w:w="13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diffuse located</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0.70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7</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8</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2000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1360"/>
            <w:tcMar>
              <w:top w:type="dxa" w:w="50"/>
              <w:left w:type="dxa" w:w="80"/>
              <w:bottom w:type="dxa" w:w="50"/>
              <w:right w:type="dxa" w:w="80"/>
            </w:tcMar>
          </w:tcPr>
          <w:p>
            <w:pPr>
              <w:spacing w:after="0" w:line="240"/>
              <w:jc w:val="right"/>
            </w:pPr>
            <w:r>
              <w:rPr>
                <w:rFonts w:ascii="Calibri" w:cs="Calibri" w:eastAsia="Calibri" w:hAnsi="Calibri"/>
                <w:sz w:val="16"/>
                <w:szCs w:val="16"/>
              </w:rPr>
              <w:t xml:space="preserve">1 of 8</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0.80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3265</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1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8</w:t>
            </w:r>
          </w:p>
        </w:tc>
      </w:tr>
      <w:tr>
        <w:trPr>
          <w:cantSplit/>
        </w:trPr>
        <w:tc>
          <w:tcPr>
            <w:tcW w:type="dxa" w:w="1900"/>
            <w:tcMar>
              <w:top w:type="dxa" w:w="50"/>
              <w:left w:type="dxa" w:w="80"/>
              <w:bottom w:type="dxa" w:w="50"/>
              <w:right w:type="dxa" w:w="80"/>
            </w:tcMar>
          </w:tcPr>
          <w:p>
            <w:pPr>
              <w:spacing w:after="0" w:line="240"/>
              <w:jc w:val="left"/>
            </w:pPr>
            <w:r>
              <w:rPr>
                <w:rFonts w:ascii="Calibri" w:cs="Calibri" w:eastAsia="Calibri" w:hAnsi="Calibri"/>
                <w:sz w:val="16"/>
                <w:szCs w:val="16"/>
              </w:rPr>
              <w:t xml:space="preserve">0.90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6</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w:t>
            </w:r>
          </w:p>
        </w:tc>
        <w:tc>
          <w:tcPr>
            <w:tcW w:type="dxa" w:w="1500"/>
            <w:tcMar>
              <w:top w:type="dxa" w:w="50"/>
              <w:left w:type="dxa" w:w="80"/>
              <w:bottom w:type="dxa" w:w="50"/>
              <w:right w:type="dxa" w:w="80"/>
            </w:tcMar>
          </w:tcPr>
          <w:p>
            <w:pPr>
              <w:spacing w:after="0" w:line="240"/>
              <w:jc w:val="right"/>
            </w:pPr>
            <w:r>
              <w:rPr>
                <w:rFonts w:ascii="Calibri" w:cs="Calibri" w:eastAsia="Calibri" w:hAnsi="Calibri"/>
                <w:sz w:val="16"/>
                <w:szCs w:val="16"/>
              </w:rPr>
              <w:t xml:space="preserve">4811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6 of 8</w:t>
            </w:r>
          </w:p>
        </w:tc>
        <w:tc>
          <w:tcPr>
            <w:tcW w:type="dxa" w:w="1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 of 8</w:t>
            </w:r>
          </w:p>
        </w:tc>
      </w:tr>
    </w:tbl>
    <w:p>
      <w:pPr>
        <w:spacing w:after="240" w:line="280"/>
        <w:jc w:val="both"/>
      </w:pPr>
      <w:r>
        <w:rPr>
          <w:rFonts w:ascii="Calibri" w:cs="Calibri" w:eastAsia="Calibri" w:hAnsi="Calibri"/>
          <w:color w:val="555555"/>
          <w:sz w:val="17"/>
          <w:szCs w:val="17"/>
        </w:rPr>
        <w:t xml:space="preserve">Every column is computed from the stored ladder by the same interpolation, so the three targets are treated identically. The separation between the two arrangements is present at all three targets but is not identical across them: one diffuse scenario reaches the 0.70 target and none reaches 0.80 or 0.90.</w:t>
      </w:r>
    </w:p>
    <w:p>
      <w:pPr>
        <w:pStyle w:val="Heading1"/>
        <w:spacing w:after="140" w:before="300"/>
      </w:pPr>
      <w:r>
        <w:rPr>
          <w:rFonts w:ascii="Calibri" w:cs="Calibri" w:eastAsia="Calibri" w:hAnsi="Calibri"/>
        </w:rPr>
        <w:t xml:space="preserve">Table S3. Matched and frontier comparison, with patient-level uncertainty</w:t>
      </w:r>
    </w:p>
    <w:p>
      <w:pPr>
        <w:spacing w:after="120" w:line="280"/>
        <w:jc w:val="both"/>
      </w:pPr>
      <w:r>
        <w:rPr>
          <w:rFonts w:ascii="Calibri" w:cs="Calibri" w:eastAsia="Calibri" w:hAnsi="Calibri"/>
          <w:sz w:val="20"/>
          <w:szCs w:val="20"/>
        </w:rPr>
        <w:t xml:space="preserve">All 512 subsets are scored on the held-out half of each split. “Matched” keeps those whose eligible count is within the stated tolerance of the rule's. “On the frontier” means no scored subset admits at least as many patients at a hazard ratio at least as low. The proportion is computed within a split and splits are averaged with equal weight; intervals come from the outer bootstrap over patients, not from resampling splits. Rotterdam entries are descriptive, that cohort having a severe lack of empirical overlap.</w:t>
      </w:r>
    </w:p>
    <w:tbl>
      <w:tblPr>
        <w:tblW w:type="dxa" w:w="9360"/>
        <w:tblBorders>
          <w:top w:val="single" w:color="9AA4AF" w:sz="6"/>
          <w:left w:val="none"/>
          <w:bottom w:val="single" w:color="9AA4AF" w:sz="6"/>
          <w:right w:val="none"/>
          <w:insideH w:val="single" w:color="D7DEE5" w:sz="2"/>
          <w:insideV w:val="none"/>
        </w:tblBorders>
      </w:tblPr>
      <w:tblGrid>
        <w:gridCol w:w="3600"/>
        <w:gridCol w:w="2900"/>
        <w:gridCol w:w="2860"/>
      </w:tblGrid>
      <w:tr>
        <w:trPr>
          <w:cantSplit/>
          <w:tblHeader/>
        </w:trPr>
        <w:tc>
          <w:tcPr>
            <w:tcW w:type="dxa" w:w="36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quantity</w:t>
            </w:r>
          </w:p>
        </w:tc>
        <w:tc>
          <w:tcPr>
            <w:tcW w:type="dxa" w:w="29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w:t>
            </w:r>
          </w:p>
        </w:tc>
        <w:tc>
          <w:tcPr>
            <w:tcW w:type="dxa" w:w="28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(descriptive)</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splits behind the point estimate</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500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400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outer resamples x inner splits (interval only)</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150 x 25</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150 x 25</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P(more eligible)</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0.988 [0.88, 1.00]</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1.000 [0.96, 1.00]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P(lower hazard ratio)</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0.290 [0.04, 0.69]</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0.522 [0.15, 0.88]</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2%</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0.620 [0.26, 0.74]</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0.548 [0.37, 0.74]</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5%</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0.639 [0.29, 0.77]</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0.561 [0.39, 0.76]</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10%</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0.634 [0.31, 0.77]</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0.571 [0.39, 0.76]</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HR, band 15%</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0.626 [0.31, 0.77]</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0.585 [0.40, 0.76]</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on RMST, band 10%</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0.411 [0.28, 0.66]</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0.590 [0.37, 0.75]</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on count/HR frontier</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0.030 [0.00, 0.13]</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0.010 [0.00, 0.16]</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on count/RMST frontier</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0.002 [0.00, 0.08]</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0.025 [0.00, 0.17]</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on frontier with margin 0.05</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0.114 [0.00, 0.21]</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0.072 [0.00, 0.24]</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matched comparators per split (median)</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66</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comparator count skew vs rule</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subsets dominating (median)</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117</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85</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PAIRED difference, RMST rule minus published rule</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      P(lower hazard ratio)</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-0.138 [-0.36, 0.16]</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-0.010 [-0.24, 0.20]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      P(greater RMST)</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 [-0.20, 0.36]</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0.010 [-0.20, 0.16]</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RMST rule selects the same set</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0.070 [0.00, 0.28]</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0.207 [0.00, 0.36]</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RMST rule: eligible patients (mean)</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182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435</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RMST rule: P(lower hazard ratio)</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0.152 [0.00, 0.56]</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0.512 [0.11, 0.88]</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RMST rule: P(greater RMST)</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0.532 [0.11, 0.92]</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0.590 [0.12, 0.88]</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largest endpoint movement, half vs full outer count</w:t>
            </w:r>
          </w:p>
        </w:tc>
        <w:tc>
          <w:tcPr>
            <w:tcW w:type="dxa" w:w="29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0.059</w:t>
            </w:r>
          </w:p>
        </w:tc>
        <w:tc>
          <w:tcPr>
            <w:tcW w:type="dxa" w:w="28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0.073</w:t>
            </w:r>
          </w:p>
        </w:tc>
      </w:tr>
    </w:tbl>
    <w:p>
      <w:pPr>
        <w:spacing w:after="240" w:line="280"/>
        <w:jc w:val="both"/>
      </w:pPr>
      <w:r>
        <w:rPr>
          <w:rFonts w:ascii="Calibri" w:cs="Calibri" w:eastAsia="Calibri" w:hAnsi="Calibri"/>
          <w:color w:val="555555"/>
          <w:sz w:val="17"/>
          <w:szCs w:val="17"/>
        </w:rPr>
        <w:t xml:space="preserve">Point estimates are from the primary analysis; the nested bootstrap supplies uncertainty only. SD is decomposed as SD_outer = sqrt(SD_total^2 - SD_MC^2), with SD_MC^2 estimated from the sample variance of the per-split values within each resample rather than from p(1-p)/R. Intervals are percentile intervals of the outer distribution and are exploratory at these resample counts; the last row reports how far either endpoint moves between half and the full outer count.</w:t>
      </w:r>
    </w:p>
    <w:p>
      <w:pPr>
        <w:pStyle w:val="Heading1"/>
        <w:spacing w:after="140" w:before="300"/>
      </w:pPr>
      <w:r>
        <w:rPr>
          <w:rFonts w:ascii="Calibri" w:cs="Calibri" w:eastAsia="Calibri" w:hAnsi="Calibri"/>
        </w:rPr>
        <w:t xml:space="preserve">Table S3b. Optimism of the empirical held-out frontier</w:t>
      </w:r>
    </w:p>
    <w:p>
      <w:pPr>
        <w:spacing w:after="120" w:line="280"/>
        <w:jc w:val="both"/>
      </w:pPr>
      <w:r>
        <w:rPr>
          <w:rFonts w:ascii="Calibri" w:cs="Calibri" w:eastAsia="Calibri" w:hAnsi="Calibri"/>
          <w:sz w:val="20"/>
          <w:szCs w:val="20"/>
        </w:rPr>
        <w:t xml:space="preserve">The frontier is selected from the same held-out data on which it is evaluated, so it is an argmax over 512 noisy estimates. In simulation the population is known and the optimism can be measured directly, at a held-out half the size of a colon scoring set.</w:t>
      </w:r>
    </w:p>
    <w:tbl>
      <w:tblPr>
        <w:tblW w:type="dxa" w:w="9360"/>
        <w:tblBorders>
          <w:top w:val="single" w:color="9AA4AF" w:sz="6"/>
          <w:left w:val="none"/>
          <w:bottom w:val="single" w:color="9AA4AF" w:sz="6"/>
          <w:right w:val="none"/>
          <w:insideH w:val="single" w:color="D7DEE5" w:sz="2"/>
          <w:insideV w:val="none"/>
        </w:tblBorders>
      </w:tblPr>
      <w:tblGrid>
        <w:gridCol w:w="4600"/>
        <w:gridCol w:w="2400"/>
        <w:gridCol w:w="2360"/>
      </w:tblGrid>
      <w:tr>
        <w:trPr>
          <w:cantSplit/>
          <w:tblHeader/>
        </w:trPr>
        <w:tc>
          <w:tcPr>
            <w:tcW w:type="dxa" w:w="46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quantity</w:t>
            </w:r>
          </w:p>
        </w:tc>
        <w:tc>
          <w:tcPr>
            <w:tcW w:type="dxa" w:w="2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judged on a held-out half</w:t>
            </w:r>
          </w:p>
        </w:tc>
        <w:tc>
          <w:tcPr>
            <w:tcW w:type="dxa" w:w="23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judged at the population</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simulation replicates</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160</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160</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subsets dominating the rule (median)</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73</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31</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rule on the frontier</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0.056 (0.018)</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0.106 (0.024)</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of subsets dominating on half A, share still dominating on an independent half B</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0.376 (0.027)</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r>
      <w:tr>
        <w:trPr>
          <w:cantSplit/>
        </w:trPr>
        <w:tc>
          <w:tcPr>
            <w:tcW w:type="dxa" w:w="4600"/>
            <w:tcMar>
              <w:top w:type="dxa" w:w="50"/>
              <w:left w:type="dxa" w:w="80"/>
              <w:bottom w:type="dxa" w:w="50"/>
              <w:right w:type="dxa" w:w="80"/>
            </w:tcMar>
          </w:tcPr>
          <w:p>
            <w:pPr>
              <w:spacing w:after="0" w:line="240"/>
              <w:jc w:val="left"/>
            </w:pPr>
            <w:r>
              <w:rPr>
                <w:rFonts w:ascii="Calibri" w:cs="Calibri" w:eastAsia="Calibri" w:hAnsi="Calibri"/>
                <w:sz w:val="16"/>
                <w:szCs w:val="16"/>
              </w:rPr>
              <w:t xml:space="preserve">of subsets dominating on half A, share genuinely dominating at the population</w:t>
            </w:r>
          </w:p>
        </w:tc>
        <w:tc>
          <w:tcPr>
            <w:tcW w:type="dxa" w:w="2400"/>
            <w:tcMar>
              <w:top w:type="dxa" w:w="50"/>
              <w:left w:type="dxa" w:w="80"/>
              <w:bottom w:type="dxa" w:w="50"/>
              <w:right w:type="dxa" w:w="80"/>
            </w:tcMar>
          </w:tcPr>
          <w:p>
            <w:pPr>
              <w:spacing w:after="0" w:line="240"/>
              <w:jc w:val="right"/>
            </w:pPr>
            <w:r>
              <w:rPr>
                <w:rFonts w:ascii="Calibri" w:cs="Calibri" w:eastAsia="Calibri" w:hAnsi="Calibri"/>
                <w:sz w:val="16"/>
                <w:szCs w:val="16"/>
              </w:rPr>
              <w:t xml:space="preserve">—</w:t>
            </w:r>
          </w:p>
        </w:tc>
        <w:tc>
          <w:tcPr>
            <w:tcW w:type="dxa" w:w="2360"/>
            <w:tcMar>
              <w:top w:type="dxa" w:w="50"/>
              <w:left w:type="dxa" w:w="80"/>
              <w:bottom w:type="dxa" w:w="50"/>
              <w:right w:type="dxa" w:w="80"/>
            </w:tcMar>
          </w:tcPr>
          <w:p>
            <w:pPr>
              <w:spacing w:after="0" w:line="240"/>
              <w:jc w:val="right"/>
            </w:pPr>
            <w:r>
              <w:rPr>
                <w:rFonts w:ascii="Calibri" w:cs="Calibri" w:eastAsia="Calibri" w:hAnsi="Calibri"/>
                <w:sz w:val="16"/>
                <w:szCs w:val="16"/>
              </w:rPr>
              <w:t xml:space="preserve">0.195 (0.018)</w:t>
            </w:r>
          </w:p>
        </w:tc>
      </w:tr>
    </w:tbl>
    <w:p>
      <w:pPr>
        <w:spacing w:after="240" w:line="280"/>
        <w:jc w:val="both"/>
      </w:pPr>
      <w:r>
        <w:rPr>
          <w:rFonts w:ascii="Calibri" w:cs="Calibri" w:eastAsia="Calibri" w:hAnsi="Calibri"/>
          <w:color w:val="555555"/>
          <w:sz w:val="17"/>
          <w:szCs w:val="17"/>
        </w:rPr>
        <w:t xml:space="preserve">Monte Carlo standard errors are in parentheses. The first two rows are over all 160 replicates; the last two are over the 151 replicates in which at least one subset dominated on half A, since the quantity is undefined otherwise. Roughly four in five apparently dominating subsets do not dominate at the population, and the empirical frontier understates the rule's true frontier membership by about a factor of two.</w:t>
      </w:r>
    </w:p>
    <w:p>
      <w:pPr>
        <w:pStyle w:val="Heading1"/>
        <w:spacing w:after="140" w:before="300"/>
      </w:pPr>
      <w:r>
        <w:rPr>
          <w:rFonts w:ascii="Calibri" w:cs="Calibri" w:eastAsia="Calibri" w:hAnsi="Calibri"/>
        </w:rPr>
        <w:t xml:space="preserve">Table S3c. Three-way split: three frontier quantities, kept apart</w:t>
      </w:r>
    </w:p>
    <w:p>
      <w:pPr>
        <w:spacing w:after="120" w:line="280"/>
        <w:jc w:val="both"/>
      </w:pPr>
      <w:r>
        <w:rPr>
          <w:rFonts w:ascii="Calibri" w:cs="Calibri" w:eastAsia="Calibri" w:hAnsi="Calibri"/>
          <w:sz w:val="20"/>
          <w:szCs w:val="20"/>
        </w:rPr>
        <w:t xml:space="preserve">Each cohort is split into three stratified thirds. The rule is fitted on the first. All 512 subsets are scored on the second and those dominating the rule are recorded. Exactly those subsets — fixed before the third is touched — are then re-evaluated on the third. The three blocks below are different estimands and only block (b) is confirmatory. Block (c) re-scans all 512 subsets on the test third, so its counts are a fresh selection on the data that judges them and are not the survivors in block (b).</w:t>
      </w:r>
    </w:p>
    <w:tbl>
      <w:tblPr>
        <w:tblW w:type="dxa" w:w="9360"/>
        <w:tblBorders>
          <w:top w:val="single" w:color="9AA4AF" w:sz="6"/>
          <w:left w:val="none"/>
          <w:bottom w:val="single" w:color="9AA4AF" w:sz="6"/>
          <w:right w:val="none"/>
          <w:insideH w:val="single" w:color="D7DEE5" w:sz="2"/>
          <w:insideV w:val="none"/>
        </w:tblBorders>
      </w:tblPr>
      <w:tblGrid>
        <w:gridCol w:w="5000"/>
        <w:gridCol w:w="2200"/>
        <w:gridCol w:w="2160"/>
      </w:tblGrid>
      <w:tr>
        <w:trPr>
          <w:cantSplit/>
          <w:tblHeader/>
        </w:trPr>
        <w:tc>
          <w:tcPr>
            <w:tcW w:type="dxa" w:w="50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quantity</w:t>
            </w:r>
          </w:p>
        </w:tc>
        <w:tc>
          <w:tcPr>
            <w:tcW w:type="dxa" w:w="2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colon</w:t>
            </w:r>
          </w:p>
        </w:tc>
        <w:tc>
          <w:tcPr>
            <w:tcW w:type="dxa" w:w="21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Rotterdam (descriptive)</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three-way splits (point estimate)</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400</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300</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outer resamples x inner splits (interval only)</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100 x 25</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100 x 25</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(a) selection third — empirical, optimistic</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dominating subsets (median)</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77</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57</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rule undominated</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0.025 [0.00, 0.16]</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0.027 [0.00, 0.16]</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(b) pre-selected subsets on the untouched third — CONFIRMATORY</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of those dominators, number still dominating (median)</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16</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replication rate</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0.353 [0.29, 0.57]</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0.414 [0.25, 0.54]</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replication rate, margin required on the selection third</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0.347 [0.28, 0.56]</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0.412 [0.25, 0.55]</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lowest-hazard-ratio dominator carries over</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0.336 [0.21, 0.57]</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0.394 [0.26, 0.62]</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rule undominated by every pre-selected subset</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0.210 [0.04, 0.36]</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0.120 [0.04, 0.36]</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largest endpoint movement, half vs full outer count</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0.036</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0.021</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(c) fresh scan of all 512 on the test third — descriptive only</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dominating subsets (median)</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73</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59</w:t>
            </w:r>
          </w:p>
        </w:tc>
      </w:tr>
      <w:tr>
        <w:trPr>
          <w:cantSplit/>
        </w:trPr>
        <w:tc>
          <w:tcPr>
            <w:tcW w:type="dxa" w:w="5000"/>
            <w:tcMar>
              <w:top w:type="dxa" w:w="50"/>
              <w:left w:type="dxa" w:w="80"/>
              <w:bottom w:type="dxa" w:w="50"/>
              <w:right w:type="dxa" w:w="80"/>
            </w:tcMar>
          </w:tcPr>
          <w:p>
            <w:pPr>
              <w:spacing w:after="0" w:line="240"/>
              <w:jc w:val="left"/>
            </w:pPr>
            <w:r>
              <w:rPr>
                <w:rFonts w:ascii="Calibri" w:cs="Calibri" w:eastAsia="Calibri" w:hAnsi="Calibri"/>
                <w:sz w:val="16"/>
                <w:szCs w:val="16"/>
              </w:rPr>
              <w:t xml:space="preserve">      rule undominated</w:t>
            </w:r>
          </w:p>
        </w:tc>
        <w:tc>
          <w:tcPr>
            <w:tcW w:type="dxa" w:w="2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0.043 [0.00, 0.12]</w:t>
            </w:r>
          </w:p>
        </w:tc>
        <w:tc>
          <w:tcPr>
            <w:tcW w:type="dxa" w:w="21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0.047 [0.00, 0.16]</w:t>
            </w:r>
          </w:p>
        </w:tc>
      </w:tr>
    </w:tbl>
    <w:p>
      <w:pPr>
        <w:spacing w:after="240" w:line="280"/>
        <w:jc w:val="both"/>
      </w:pPr>
      <w:r>
        <w:rPr>
          <w:rFonts w:ascii="Calibri" w:cs="Calibri" w:eastAsia="Calibri" w:hAnsi="Calibri"/>
          <w:color w:val="555555"/>
          <w:sz w:val="17"/>
          <w:szCs w:val="17"/>
        </w:rPr>
        <w:t xml:space="preserve">Only block (b) is an out-of-sample confirmation, because its comparator set was fixed before the test third was used. Block (a) is the empirical oracle whose optimism is being measured; block (c) is a second empirical oracle on a different third, reported so a reader can see that the counts are a property of any part of these cohorts rather than evidence about the rule. Point estimates come from the repeated three-way splits in the first row; intervals in block (b) are 95% percentile intervals of an outer bootstrap over patients wrapped around the whole fit / select / test procedure, on the same footing as every other out-of-sample interval in this paper. As elsewhere, the bootstrap supplies uncertainty only and never a point estimate, and the export asserts that its own observed-data replicate agrees with the repeated-split estimate to within its Monte Carlo noise. That agreement is not close, and the reader should know it: the bootstrap runs 25 inner splits per resample against the 400 of the point-estimate run, and the two differ by up to 0.14 across these quantities. These rates are poorly determined at a third of a cohort, and the intervals show it.</w:t>
      </w:r>
    </w:p>
    <w:p>
      <w:pPr>
        <w:pStyle w:val="Heading1"/>
        <w:spacing w:after="140" w:before="300"/>
      </w:pPr>
      <w:r>
        <w:rPr>
          <w:rFonts w:ascii="Calibri" w:cs="Calibri" w:eastAsia="Calibri" w:hAnsi="Calibri"/>
        </w:rPr>
        <w:t xml:space="preserve">Table S3d. Restricted-mean horizon</w:t>
      </w:r>
    </w:p>
    <w:p>
      <w:pPr>
        <w:spacing w:after="120" w:line="280"/>
        <w:jc w:val="both"/>
      </w:pPr>
      <w:r>
        <w:rPr>
          <w:rFonts w:ascii="Calibri" w:cs="Calibri" w:eastAsia="Calibri" w:hAnsi="Calibri"/>
          <w:sz w:val="20"/>
          <w:szCs w:val="20"/>
        </w:rPr>
        <w:t xml:space="preserve">The horizon must lie inside the observed follow-up of both arms of every candidate protocol. The table gives, at four horizons per cohort, the agreement between the hazard-ratio and restricted-mean decompositions; the share of patients still under observation at each horizon is given in the Results. The horizons used in the main text are marked.</w:t>
      </w:r>
    </w:p>
    <w:tbl>
      <w:tblPr>
        <w:tblW w:type="dxa" w:w="9360"/>
        <w:tblBorders>
          <w:top w:val="single" w:color="9AA4AF" w:sz="6"/>
          <w:left w:val="none"/>
          <w:bottom w:val="single" w:color="9AA4AF" w:sz="6"/>
          <w:right w:val="none"/>
          <w:insideH w:val="single" w:color="D7DEE5" w:sz="2"/>
          <w:insideV w:val="none"/>
        </w:tblBorders>
      </w:tblPr>
      <w:tblGrid>
        <w:gridCol w:w="2200"/>
        <w:gridCol w:w="1100"/>
        <w:gridCol w:w="1050"/>
        <w:gridCol w:w="1300"/>
        <w:gridCol w:w="1300"/>
        <w:gridCol w:w="1200"/>
        <w:gridCol w:w="1210"/>
      </w:tblGrid>
      <w:tr>
        <w:trPr>
          <w:cantSplit/>
          <w:tblHeader/>
        </w:trPr>
        <w:tc>
          <w:tcPr>
            <w:tcW w:type="dxa" w:w="22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horizon (days)</w:t>
            </w:r>
          </w:p>
        </w:tc>
        <w:tc>
          <w:tcPr>
            <w:tcW w:type="dxa" w:w="11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same set</w:t>
            </w:r>
          </w:p>
        </w:tc>
        <w:tc>
          <w:tcPr>
            <w:tcW w:type="dxa" w:w="105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Jaccard</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mean Hamming</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RMST: full</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HR rule</w:t>
            </w:r>
          </w:p>
        </w:tc>
        <w:tc>
          <w:tcPr>
            <w:tcW w:type="dxa" w:w="121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RMST rule</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1095</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0.032</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0.529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3.14</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14.5</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22.9</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1460</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0.056</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0.611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2.46</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37.9</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42.0</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48.4</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1825  (main text)</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0.070</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0.669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2.00</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69.2</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67.8</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71.1</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2190</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0.132</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0.724</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1.62</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113.3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104.2</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95.2</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1825</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0.098</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0.631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72.2</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87.4</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80.0</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2190</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0.147</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0.683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1.72</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110.7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121.4</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119.2</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2555  (main text)</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0.207</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0.723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1.48</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151.1</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156.5</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157.0</w:t>
            </w:r>
          </w:p>
        </w:tc>
      </w:tr>
      <w:tr>
        <w:trPr>
          <w:cantSplit/>
        </w:trPr>
        <w:tc>
          <w:tcPr>
            <w:tcW w:type="dxa" w:w="2200"/>
            <w:tcMar>
              <w:top w:type="dxa" w:w="50"/>
              <w:left w:type="dxa" w:w="80"/>
              <w:bottom w:type="dxa" w:w="50"/>
              <w:right w:type="dxa" w:w="80"/>
            </w:tcMar>
          </w:tcPr>
          <w:p>
            <w:pPr>
              <w:spacing w:after="0" w:line="240"/>
              <w:jc w:val="left"/>
            </w:pPr>
            <w:r>
              <w:rPr>
                <w:rFonts w:ascii="Calibri" w:cs="Calibri" w:eastAsia="Calibri" w:hAnsi="Calibri"/>
                <w:sz w:val="16"/>
                <w:szCs w:val="16"/>
              </w:rPr>
              <w:t xml:space="preserve">2920</w:t>
            </w:r>
          </w:p>
        </w:tc>
        <w:tc>
          <w:tcPr>
            <w:tcW w:type="dxa" w:w="11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0.273</w:t>
            </w:r>
          </w:p>
        </w:tc>
        <w:tc>
          <w:tcPr>
            <w:tcW w:type="dxa" w:w="1050"/>
            <w:tcMar>
              <w:top w:type="dxa" w:w="50"/>
              <w:left w:type="dxa" w:w="80"/>
              <w:bottom w:type="dxa" w:w="50"/>
              <w:right w:type="dxa" w:w="80"/>
            </w:tcMar>
          </w:tcPr>
          <w:p>
            <w:pPr>
              <w:spacing w:after="0" w:line="240"/>
              <w:jc w:val="right"/>
            </w:pPr>
            <w:r>
              <w:rPr>
                <w:rFonts w:ascii="Calibri" w:cs="Calibri" w:eastAsia="Calibri" w:hAnsi="Calibri"/>
                <w:sz w:val="16"/>
                <w:szCs w:val="16"/>
              </w:rPr>
              <w:t xml:space="preserve">0.763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1.23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202.7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200.0</w:t>
            </w:r>
          </w:p>
        </w:tc>
        <w:tc>
          <w:tcPr>
            <w:tcW w:type="dxa" w:w="1210"/>
            <w:tcMar>
              <w:top w:type="dxa" w:w="50"/>
              <w:left w:type="dxa" w:w="80"/>
              <w:bottom w:type="dxa" w:w="50"/>
              <w:right w:type="dxa" w:w="80"/>
            </w:tcMar>
          </w:tcPr>
          <w:p>
            <w:pPr>
              <w:spacing w:after="0" w:line="240"/>
              <w:jc w:val="right"/>
            </w:pPr>
            <w:r>
              <w:rPr>
                <w:rFonts w:ascii="Calibri" w:cs="Calibri" w:eastAsia="Calibri" w:hAnsi="Calibri"/>
                <w:sz w:val="16"/>
                <w:szCs w:val="16"/>
              </w:rPr>
              <w:t xml:space="preserve">200.0</w:t>
            </w:r>
          </w:p>
        </w:tc>
      </w:tr>
    </w:tbl>
    <w:p>
      <w:pPr>
        <w:spacing w:after="240" w:line="280"/>
        <w:jc w:val="both"/>
      </w:pPr>
      <w:r>
        <w:rPr>
          <w:rFonts w:ascii="Calibri" w:cs="Calibri" w:eastAsia="Calibri" w:hAnsi="Calibri"/>
          <w:color w:val="555555"/>
          <w:sz w:val="17"/>
          <w:szCs w:val="17"/>
        </w:rPr>
        <w:t xml:space="preserve">Upper block colon, lower block Rotterdam. Hamming is the number of criteria on which the two selections differ, out of the nine in each cohort's protocol. The two decompositions disagree at every horizon tried, so the disagreement is a property of the estimands and not of the horizon; the exact agreement rate is horizon-dependent.</w:t>
      </w:r>
    </w:p>
    <w:p>
      <w:pPr>
        <w:pStyle w:val="Heading1"/>
        <w:spacing w:after="140" w:before="300"/>
      </w:pPr>
      <w:r>
        <w:rPr>
          <w:rFonts w:ascii="Calibri" w:cs="Calibri" w:eastAsia="Calibri" w:hAnsi="Calibri"/>
        </w:rPr>
        <w:t xml:space="preserve">Table S4. Arrangement of the effect modification, total held fixed</w:t>
      </w:r>
    </w:p>
    <w:p>
      <w:pPr>
        <w:spacing w:after="120" w:line="280"/>
        <w:jc w:val="both"/>
      </w:pPr>
      <w:r>
        <w:rPr>
          <w:rFonts w:ascii="Calibri" w:cs="Calibri" w:eastAsia="Calibri" w:hAnsi="Calibri"/>
          <w:sz w:val="20"/>
          <w:szCs w:val="20"/>
        </w:rPr>
        <w:t xml:space="preserve">Total modification is 0.85 in every row. Rows A to C hold the diluting coefficient at 0.30 and spread the enrichment over one, two and four criteria. Row D holds the enrichment in one criterion and splits the dilution across two, halving the coefficient the rule has to detect. Entries are the probability of a lower out-of-sample hazard ratio; the scoring set is fixed at 60 000 patients.</w:t>
      </w:r>
    </w:p>
    <w:tbl>
      <w:tblPr>
        <w:tblW w:type="dxa" w:w="9360"/>
        <w:tblBorders>
          <w:top w:val="single" w:color="9AA4AF" w:sz="6"/>
          <w:left w:val="none"/>
          <w:bottom w:val="single" w:color="9AA4AF" w:sz="6"/>
          <w:right w:val="none"/>
          <w:insideH w:val="single" w:color="D7DEE5" w:sz="2"/>
          <w:insideV w:val="none"/>
        </w:tblBorders>
      </w:tblPr>
      <w:tblGrid>
        <w:gridCol w:w="3400"/>
        <w:gridCol w:w="2000"/>
        <w:gridCol w:w="1200"/>
        <w:gridCol w:w="1200"/>
        <w:gridCol w:w="1300"/>
        <w:gridCol w:w="1260"/>
      </w:tblGrid>
      <w:tr>
        <w:trPr>
          <w:cantSplit/>
          <w:tblHeader/>
        </w:trPr>
        <w:tc>
          <w:tcPr>
            <w:tcW w:type="dxa" w:w="34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arrangement</w:t>
            </w:r>
          </w:p>
        </w:tc>
        <w:tc>
          <w:tcPr>
            <w:tcW w:type="dxa" w:w="20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largest diluting coefficient</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600</w:t>
            </w:r>
          </w:p>
        </w:tc>
        <w:tc>
          <w:tcPr>
            <w:tcW w:type="dxa" w:w="12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2 000</w:t>
            </w:r>
          </w:p>
        </w:tc>
        <w:tc>
          <w:tcPr>
            <w:tcW w:type="dxa" w:w="13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6 000</w:t>
            </w:r>
          </w:p>
        </w:tc>
        <w:tc>
          <w:tcPr>
            <w:tcW w:type="dxa" w:w="12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18 000</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A  dilution in 1, enrichment in 1</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0.26</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0.37</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0.58</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0.85</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B  dilution in 1, enrichment in 2</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0.23</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0.43</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0.79</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0.87</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C  dilution in 1, enrichment in 4</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0.30</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0.39</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0.78</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0.95</w:t>
            </w:r>
          </w:p>
        </w:tc>
      </w:tr>
      <w:tr>
        <w:trPr>
          <w:cantSplit/>
        </w:trPr>
        <w:tc>
          <w:tcPr>
            <w:tcW w:type="dxa" w:w="3400"/>
            <w:tcMar>
              <w:top w:type="dxa" w:w="50"/>
              <w:left w:type="dxa" w:w="80"/>
              <w:bottom w:type="dxa" w:w="50"/>
              <w:right w:type="dxa" w:w="80"/>
            </w:tcMar>
          </w:tcPr>
          <w:p>
            <w:pPr>
              <w:spacing w:after="0" w:line="240"/>
              <w:jc w:val="left"/>
            </w:pPr>
            <w:r>
              <w:rPr>
                <w:rFonts w:ascii="Calibri" w:cs="Calibri" w:eastAsia="Calibri" w:hAnsi="Calibri"/>
                <w:sz w:val="16"/>
                <w:szCs w:val="16"/>
              </w:rPr>
              <w:t xml:space="preserve">D  dilution in 2, enrichment in 1</w:t>
            </w:r>
          </w:p>
        </w:tc>
        <w:tc>
          <w:tcPr>
            <w:tcW w:type="dxa" w:w="20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0.15</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0.07</w:t>
            </w:r>
          </w:p>
        </w:tc>
        <w:tc>
          <w:tcPr>
            <w:tcW w:type="dxa" w:w="12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0.11</w:t>
            </w:r>
          </w:p>
        </w:tc>
        <w:tc>
          <w:tcPr>
            <w:tcW w:type="dxa" w:w="1300"/>
            <w:tcMar>
              <w:top w:type="dxa" w:w="50"/>
              <w:left w:type="dxa" w:w="80"/>
              <w:bottom w:type="dxa" w:w="50"/>
              <w:right w:type="dxa" w:w="80"/>
            </w:tcMar>
          </w:tcPr>
          <w:p>
            <w:pPr>
              <w:spacing w:after="0" w:line="240"/>
              <w:jc w:val="right"/>
            </w:pPr>
            <w:r>
              <w:rPr>
                <w:rFonts w:ascii="Calibri" w:cs="Calibri" w:eastAsia="Calibri" w:hAnsi="Calibri"/>
                <w:sz w:val="16"/>
                <w:szCs w:val="16"/>
              </w:rPr>
              <w:t xml:space="preserve">0.19</w:t>
            </w:r>
          </w:p>
        </w:tc>
        <w:tc>
          <w:tcPr>
            <w:tcW w:type="dxa" w:w="12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0.43</w:t>
            </w:r>
          </w:p>
        </w:tc>
      </w:tr>
    </w:tbl>
    <w:p>
      <w:pPr>
        <w:spacing w:after="240" w:line="280"/>
        <w:jc w:val="both"/>
      </w:pPr>
      <w:r>
        <w:rPr>
          <w:rFonts w:ascii="Calibri" w:cs="Calibri" w:eastAsia="Calibri" w:hAnsi="Calibri"/>
          <w:color w:val="555555"/>
          <w:sz w:val="17"/>
          <w:szCs w:val="17"/>
        </w:rPr>
        <w:t xml:space="preserve">Spreading the enrichment (A to C) raises success rather than leaving it unchanged, by 0.21 with a Monte Carlo interval of [0.08, 0.34] at 6 000. Halving the diluting coefficient (A against D) reduces success from 0.85 to 0.43 at the largest size, but it also roughly halves the attainable improvement in the hazard ratio, so the coefficient and the size of the prize are confounded in this design and neither can be assigned the reduction on its own. Monte Carlo standard error is at most 0.064.</w:t>
      </w:r>
    </w:p>
    <w:p>
      <w:pPr>
        <w:pStyle w:val="Heading1"/>
        <w:spacing w:after="140" w:before="300"/>
      </w:pPr>
      <w:r>
        <w:rPr>
          <w:rFonts w:ascii="Calibri" w:cs="Calibri" w:eastAsia="Calibri" w:hAnsi="Calibri"/>
        </w:rPr>
        <w:t xml:space="preserve">Table S4b. Success against a criterion-specific signal-to-noise ratio (a separate run)</w:t>
      </w:r>
    </w:p>
    <w:p>
      <w:pPr>
        <w:spacing w:after="120" w:line="280"/>
        <w:jc w:val="both"/>
      </w:pPr>
      <w:r>
        <w:rPr>
          <w:rFonts w:ascii="Calibri" w:cs="Calibri" w:eastAsia="Calibri" w:hAnsi="Calibri"/>
          <w:sz w:val="20"/>
          <w:szCs w:val="20"/>
        </w:rPr>
        <w:t xml:space="preserve">Four arrangements of the same total effect modification, each at three fitting sizes. This is a SEPARATE simulation from Table S4: it uses its own fitting sizes, a smaller scoring set and fewer replicates, so the success probabilities for the identically named arrangements are not comparable cell by cell with that table and are not meant to be. Only the ordering within this table is interpreted. The signal is the population Shapley value of the most diluting criterion; the noise is the standard deviation of its estimate at that fitting size; the scoring set is fixed at 40 000 patients, against 60 000 in Table S4. If a signal-to-noise ratio governed the requirement, cells with similar ratios would show similar success whatever the arrangement and whatever the sample size. Twelve cells cannot establish that, and this is reported as a direction rather than as evidence.</w:t>
      </w:r>
    </w:p>
    <w:tbl>
      <w:tblPr>
        <w:tblW w:type="dxa" w:w="9360"/>
        <w:tblBorders>
          <w:top w:val="single" w:color="9AA4AF" w:sz="6"/>
          <w:left w:val="none"/>
          <w:bottom w:val="single" w:color="9AA4AF" w:sz="6"/>
          <w:right w:val="none"/>
          <w:insideH w:val="single" w:color="D7DEE5" w:sz="2"/>
          <w:insideV w:val="none"/>
        </w:tblBorders>
      </w:tblPr>
      <w:tblGrid>
        <w:gridCol w:w="3600"/>
        <w:gridCol w:w="1700"/>
        <w:gridCol w:w="1700"/>
        <w:gridCol w:w="1400"/>
        <w:gridCol w:w="1960"/>
      </w:tblGrid>
      <w:tr>
        <w:trPr>
          <w:cantSplit/>
          <w:tblHeader/>
        </w:trPr>
        <w:tc>
          <w:tcPr>
            <w:tcW w:type="dxa" w:w="3600"/>
            <w:shd w:fill="EDF1F5" w:val="clear"/>
            <w:tcMar>
              <w:top w:type="dxa" w:w="50"/>
              <w:left w:type="dxa" w:w="80"/>
              <w:bottom w:type="dxa" w:w="50"/>
              <w:right w:type="dxa" w:w="80"/>
            </w:tcMar>
          </w:tcPr>
          <w:p>
            <w:pPr>
              <w:spacing w:after="0" w:line="240"/>
              <w:jc w:val="left"/>
            </w:pPr>
            <w:r>
              <w:rPr>
                <w:rFonts w:ascii="Calibri" w:cs="Calibri" w:eastAsia="Calibri" w:hAnsi="Calibri"/>
                <w:b/>
                <w:bCs/>
                <w:sz w:val="16"/>
                <w:szCs w:val="16"/>
              </w:rPr>
              <w:t xml:space="preserve">arrangement / fitting size</w:t>
            </w:r>
          </w:p>
        </w:tc>
        <w:tc>
          <w:tcPr>
            <w:tcW w:type="dxa" w:w="17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population signal</w:t>
            </w:r>
          </w:p>
        </w:tc>
        <w:tc>
          <w:tcPr>
            <w:tcW w:type="dxa" w:w="17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SD of the estimate</w:t>
            </w:r>
          </w:p>
        </w:tc>
        <w:tc>
          <w:tcPr>
            <w:tcW w:type="dxa" w:w="140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signal-to-noise</w:t>
            </w:r>
          </w:p>
        </w:tc>
        <w:tc>
          <w:tcPr>
            <w:tcW w:type="dxa" w:w="1960"/>
            <w:shd w:fill="EDF1F5" w:val="clear"/>
            <w:tcMar>
              <w:top w:type="dxa" w:w="50"/>
              <w:left w:type="dxa" w:w="80"/>
              <w:bottom w:type="dxa" w:w="50"/>
              <w:right w:type="dxa" w:w="80"/>
            </w:tcMar>
          </w:tcPr>
          <w:p>
            <w:pPr>
              <w:spacing w:after="0" w:line="240"/>
              <w:jc w:val="right"/>
            </w:pPr>
            <w:r>
              <w:rPr>
                <w:rFonts w:ascii="Calibri" w:cs="Calibri" w:eastAsia="Calibri" w:hAnsi="Calibri"/>
                <w:b/>
                <w:bCs/>
                <w:sz w:val="16"/>
                <w:szCs w:val="16"/>
              </w:rPr>
              <w:t xml:space="preserve">P(lower hazard ratio)</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A dilution 1, enrichment 1 / 800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0.0501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0.48</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0.20 (0.08)</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A dilution 1, enrichment 1 / 2000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0.0284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0.85</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 (0.09)</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A dilution 1, enrichment 1 / 5000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0.0175</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1.37</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0.40 (0.10)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B dilution 1, enrichment 2 / 800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0.0241</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0.0503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0.48</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0.24 (0.09)</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B dilution 1, enrichment 2 / 2000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0.0241</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0.0317</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0.76</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 (0.09)</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B dilution 1, enrichment 2 / 5000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0.0241</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0.0171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1.40</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0.28 (0.09)</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C dilution 1, enrichment 4 / 800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0.0243</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0.0520</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0.47</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0.12 (0.06)</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C dilution 1, enrichment 4 / 2000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0.0243</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0.0223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1.09</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0.40 (0.10)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C dilution 1, enrichment 4 / 5000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0.0243</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0.0161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1.51</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0.40 (0.10)</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D dilution 2, enrichment 1 / 800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0.0082</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0.0334</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0.25</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 (0.04)</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D dilution 2, enrichment 1 / 2000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0.0082</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0.0301</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0.27</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 (0.04)</w:t>
            </w:r>
          </w:p>
        </w:tc>
      </w:tr>
      <w:tr>
        <w:trPr>
          <w:cantSplit/>
        </w:trPr>
        <w:tc>
          <w:tcPr>
            <w:tcW w:type="dxa" w:w="3600"/>
            <w:tcMar>
              <w:top w:type="dxa" w:w="50"/>
              <w:left w:type="dxa" w:w="80"/>
              <w:bottom w:type="dxa" w:w="50"/>
              <w:right w:type="dxa" w:w="80"/>
            </w:tcMar>
          </w:tcPr>
          <w:p>
            <w:pPr>
              <w:spacing w:after="0" w:line="240"/>
              <w:jc w:val="left"/>
            </w:pPr>
            <w:r>
              <w:rPr>
                <w:rFonts w:ascii="Calibri" w:cs="Calibri" w:eastAsia="Calibri" w:hAnsi="Calibri"/>
                <w:sz w:val="16"/>
                <w:szCs w:val="16"/>
              </w:rPr>
              <w:t xml:space="preserve">D dilution 2, enrichment 1 / 5000</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0.0082</w:t>
            </w:r>
          </w:p>
        </w:tc>
        <w:tc>
          <w:tcPr>
            <w:tcW w:type="dxa" w:w="1700"/>
            <w:tcMar>
              <w:top w:type="dxa" w:w="50"/>
              <w:left w:type="dxa" w:w="80"/>
              <w:bottom w:type="dxa" w:w="50"/>
              <w:right w:type="dxa" w:w="80"/>
            </w:tcMar>
          </w:tcPr>
          <w:p>
            <w:pPr>
              <w:spacing w:after="0" w:line="240"/>
              <w:jc w:val="right"/>
            </w:pPr>
            <w:r>
              <w:rPr>
                <w:rFonts w:ascii="Calibri" w:cs="Calibri" w:eastAsia="Calibri" w:hAnsi="Calibri"/>
                <w:sz w:val="16"/>
                <w:szCs w:val="16"/>
              </w:rPr>
              <w:t xml:space="preserve">0.0113</w:t>
            </w:r>
          </w:p>
        </w:tc>
        <w:tc>
          <w:tcPr>
            <w:tcW w:type="dxa" w:w="1400"/>
            <w:tcMar>
              <w:top w:type="dxa" w:w="50"/>
              <w:left w:type="dxa" w:w="80"/>
              <w:bottom w:type="dxa" w:w="50"/>
              <w:right w:type="dxa" w:w="80"/>
            </w:tcMar>
          </w:tcPr>
          <w:p>
            <w:pPr>
              <w:spacing w:after="0" w:line="240"/>
              <w:jc w:val="right"/>
            </w:pPr>
            <w:r>
              <w:rPr>
                <w:rFonts w:ascii="Calibri" w:cs="Calibri" w:eastAsia="Calibri" w:hAnsi="Calibri"/>
                <w:sz w:val="16"/>
                <w:szCs w:val="16"/>
              </w:rPr>
              <w:t xml:space="preserve">0.73</w:t>
            </w:r>
          </w:p>
        </w:tc>
        <w:tc>
          <w:tcPr>
            <w:tcW w:type="dxa" w:w="1960"/>
            <w:tcMar>
              <w:top w:type="dxa" w:w="50"/>
              <w:left w:type="dxa" w:w="80"/>
              <w:bottom w:type="dxa" w:w="50"/>
              <w:right w:type="dxa" w:w="80"/>
            </w:tcMar>
          </w:tcPr>
          <w:p>
            <w:pPr>
              <w:spacing w:after="0" w:line="240"/>
              <w:jc w:val="right"/>
            </w:pPr>
            <w:r>
              <w:rPr>
                <w:rFonts w:ascii="Calibri" w:cs="Calibri" w:eastAsia="Calibri" w:hAnsi="Calibri"/>
                <w:sz w:val="16"/>
                <w:szCs w:val="16"/>
              </w:rPr>
              <w:t xml:space="preserve">0.04 (0.04)</w:t>
            </w:r>
          </w:p>
        </w:tc>
      </w:tr>
    </w:tbl>
    <w:p>
      <w:pPr>
        <w:spacing w:after="240" w:line="280"/>
        <w:jc w:val="both"/>
      </w:pPr>
      <w:r>
        <w:rPr>
          <w:rFonts w:ascii="Calibri" w:cs="Calibri" w:eastAsia="Calibri" w:hAnsi="Calibri"/>
          <w:color w:val="555555"/>
          <w:sz w:val="17"/>
          <w:szCs w:val="17"/>
        </w:rPr>
        <w:t xml:space="preserve">Monte Carlo standard errors are in parentheses, from each cell's own replicate count; they are large enough that the ordering within this table should not be read cell by cell. Spearman correlation with success, pooled over all 12 cells at 25 replicates each: 0.86 for the signal-to-noise ratio against 0.45 for fitting size alone. The pooled figure should not be read as evidence for the ratio. Within an arrangement the ratio is a monotone function of the fitting size, so the within-arrangement association (0.82 after adjusting for arrangement) restates that success rises with sample size. The informative comparison is between arrangements at a fixed size, where it is 0.63 at the largest size tried, over 4 arrangements of which 1 shows no variation in success across sizes. This table is exploratory and does not establish a governing quantity.</w:t>
      </w:r>
    </w:p>
    <w:p>
      <w:pPr>
        <w:pStyle w:val="Heading1"/>
        <w:spacing w:after="140" w:before="300"/>
      </w:pPr>
      <w:r>
        <w:rPr>
          <w:rFonts w:ascii="Calibri" w:cs="Calibri" w:eastAsia="Calibri" w:hAnsi="Calibri"/>
        </w:rPr>
        <w:t xml:space="preserve">Text S1. Complete specification of every generating mechanism</w:t>
      </w:r>
    </w:p>
    <w:p>
      <w:pPr>
        <w:spacing w:after="160" w:line="280"/>
        <w:jc w:val="both"/>
      </w:pPr>
      <w:r>
        <w:rPr>
          <w:rFonts w:ascii="Calibri" w:cs="Calibri" w:eastAsia="Calibri" w:hAnsi="Calibri"/>
          <w:sz w:val="20"/>
          <w:szCs w:val="20"/>
        </w:rPr>
        <w:t xml:space="preserve">No parameter below was estimated from either cohort. All were set a priori. Z denotes a vector of independent standard normal covariates, A the treatment indicator, and E the vector of eligibility indicators.</w:t>
      </w:r>
    </w:p>
    <w:p>
      <w:pPr>
        <w:spacing w:after="70" w:line="280"/>
        <w:jc w:val="both"/>
      </w:pPr>
      <w:r>
        <w:rPr>
          <w:rFonts w:ascii="Calibri" w:cs="Calibri" w:eastAsia="Calibri" w:hAnsi="Calibri"/>
          <w:b/>
          <w:bCs/>
          <w:sz w:val="20"/>
          <w:szCs w:val="20"/>
        </w:rPr>
        <w:t xml:space="preserve">S1.1 Training-size sweep (Figure 2)</w:t>
      </w:r>
    </w:p>
    <w:p>
      <w:pPr>
        <w:spacing w:after="20" w:line="250"/>
        <w:ind w:left="260"/>
      </w:pPr>
      <w:r>
        <w:rPr>
          <w:rFonts w:ascii="Consolas" w:cs="Consolas" w:eastAsia="Consolas" w:hAnsi="Consolas"/>
          <w:color w:val="1F3A52"/>
          <w:sz w:val="17"/>
          <w:szCs w:val="17"/>
        </w:rPr>
        <w:t xml:space="preserve">p = 8 criteria; per-criterion retention (0.85, 0.75, 0.70, 0.90, 0.80, 0.85, 0.75, 0.90)</w:t>
      </w:r>
    </w:p>
    <w:p>
      <w:pPr>
        <w:spacing w:after="20" w:line="250"/>
        <w:ind w:left="260"/>
      </w:pPr>
      <w:r>
        <w:rPr>
          <w:rFonts w:ascii="Consolas" w:cs="Consolas" w:eastAsia="Consolas" w:hAnsi="Consolas"/>
          <w:color w:val="1F3A52"/>
          <w:sz w:val="17"/>
          <w:szCs w:val="17"/>
        </w:rPr>
        <w:t xml:space="preserve">Z_k ~ N(0,1), k = 1..8, independent      threshold_k = Phi^-1(retention_k)</w:t>
      </w:r>
    </w:p>
    <w:p>
      <w:pPr>
        <w:spacing w:after="20" w:line="250"/>
        <w:ind w:left="260"/>
      </w:pPr>
      <w:r>
        <w:rPr>
          <w:rFonts w:ascii="Consolas" w:cs="Consolas" w:eastAsia="Consolas" w:hAnsi="Consolas"/>
          <w:color w:val="1F3A52"/>
          <w:sz w:val="17"/>
          <w:szCs w:val="17"/>
        </w:rPr>
        <w:t xml:space="preserve">E_k = 1{ Z_k &lt;= threshold_k }            A ~ Bernoulli(0.5)</w:t>
      </w:r>
    </w:p>
    <w:p>
      <w:pPr>
        <w:spacing w:after="20" w:line="250"/>
        <w:ind w:left="260"/>
      </w:pPr>
      <w:r>
        <w:rPr>
          <w:rFonts w:ascii="Consolas" w:cs="Consolas" w:eastAsia="Consolas" w:hAnsi="Consolas"/>
          <w:color w:val="1F3A52"/>
          <w:sz w:val="17"/>
          <w:szCs w:val="17"/>
        </w:rPr>
        <w:t xml:space="preserve">gamma = (-0.35, -0.25, +0.30, 0, 0, 0, 0, 0)   [criteria 1,2 enrich; 3 dilutes]</w:t>
      </w:r>
    </w:p>
    <w:p>
      <w:pPr>
        <w:spacing w:after="20" w:line="250"/>
        <w:ind w:left="260"/>
      </w:pPr>
      <w:r>
        <w:rPr>
          <w:rFonts w:ascii="Consolas" w:cs="Consolas" w:eastAsia="Consolas" w:hAnsi="Consolas"/>
          <w:color w:val="1F3A52"/>
          <w:sz w:val="17"/>
          <w:szCs w:val="17"/>
        </w:rPr>
        <w:t xml:space="preserve">linear predictor  eta = log(0.75)*A + sum_k 0.55*Z_k + A * sum_k gamma_k * E_k</w:t>
      </w:r>
    </w:p>
    <w:p>
      <w:pPr>
        <w:spacing w:after="20" w:line="250"/>
        <w:ind w:left="260"/>
      </w:pPr>
      <w:r>
        <w:rPr>
          <w:rFonts w:ascii="Consolas" w:cs="Consolas" w:eastAsia="Consolas" w:hAnsi="Consolas"/>
          <w:color w:val="1F3A52"/>
          <w:sz w:val="17"/>
          <w:szCs w:val="17"/>
        </w:rPr>
        <w:t xml:space="preserve">T ~ Exponential(rate = 0.20 * exp(eta))  C ~ Exponential(rate = 0.05)</w:t>
      </w:r>
    </w:p>
    <w:p>
      <w:pPr>
        <w:spacing w:after="20" w:line="250"/>
        <w:ind w:left="260"/>
      </w:pPr>
      <w:r>
        <w:rPr>
          <w:rFonts w:ascii="Consolas" w:cs="Consolas" w:eastAsia="Consolas" w:hAnsi="Consolas"/>
          <w:color w:val="1F3A52"/>
          <w:sz w:val="17"/>
          <w:szCs w:val="17"/>
        </w:rPr>
        <w:t xml:space="preserve">observed time = min(T, C), event = 1{T &lt;= C}   tau = 8, min per arm = 3</w:t>
      </w:r>
    </w:p>
    <w:p>
      <w:pPr>
        <w:spacing w:after="170" w:line="280"/>
        <w:jc w:val="both"/>
      </w:pPr>
      <w:r>
        <w:rPr>
          <w:rFonts w:ascii="Calibri" w:cs="Calibri" w:eastAsia="Calibri" w:hAnsi="Calibri"/>
          <w:sz w:val="20"/>
          <w:szCs w:val="20"/>
        </w:rPr>
        <w:t xml:space="preserve">Fitting sizes 300, 1000, 3000, 5167 and 20 000 with 300 replicates each; scoring set fixed at 100 000 patients generated once with seed 999; population reference enumerated at N = 300 000.</w:t>
      </w:r>
    </w:p>
    <w:p>
      <w:pPr>
        <w:spacing w:after="70" w:line="280"/>
        <w:jc w:val="both"/>
      </w:pPr>
      <w:r>
        <w:rPr>
          <w:rFonts w:ascii="Calibri" w:cs="Calibri" w:eastAsia="Calibri" w:hAnsi="Calibri"/>
          <w:b/>
          <w:bCs/>
          <w:sz w:val="20"/>
          <w:szCs w:val="20"/>
        </w:rPr>
        <w:t xml:space="preserve">S1.2 Three assignment arms (Figure 3)</w:t>
      </w:r>
    </w:p>
    <w:p>
      <w:pPr>
        <w:spacing w:after="20" w:line="250"/>
        <w:ind w:left="260"/>
      </w:pPr>
      <w:r>
        <w:rPr>
          <w:rFonts w:ascii="Consolas" w:cs="Consolas" w:eastAsia="Consolas" w:hAnsi="Consolas"/>
          <w:color w:val="1F3A52"/>
          <w:sz w:val="17"/>
          <w:szCs w:val="17"/>
        </w:rPr>
        <w:t xml:space="preserve">Outcome model identical to S1.1 in all three arms.</w:t>
      </w:r>
    </w:p>
    <w:p>
      <w:pPr>
        <w:spacing w:after="20" w:line="250"/>
        <w:ind w:left="260"/>
      </w:pPr>
      <w:r>
        <w:rPr>
          <w:rFonts w:ascii="Consolas" w:cs="Consolas" w:eastAsia="Consolas" w:hAnsi="Consolas"/>
          <w:color w:val="1F3A52"/>
          <w:sz w:val="17"/>
          <w:szCs w:val="17"/>
        </w:rPr>
        <w:t xml:space="preserve">arm A  randomised            A ~ Bernoulli(0.5)</w:t>
      </w:r>
    </w:p>
    <w:p>
      <w:pPr>
        <w:spacing w:after="20" w:line="250"/>
        <w:ind w:left="260"/>
      </w:pPr>
      <w:r>
        <w:rPr>
          <w:rFonts w:ascii="Consolas" w:cs="Consolas" w:eastAsia="Consolas" w:hAnsi="Consolas"/>
          <w:color w:val="1F3A52"/>
          <w:sz w:val="17"/>
          <w:szCs w:val="17"/>
        </w:rPr>
        <w:t xml:space="preserve">arm B  confounded, adjusted  A ~ Bernoulli( logit^-1( Z . alpha ) ),</w:t>
      </w:r>
    </w:p>
    <w:p>
      <w:pPr>
        <w:spacing w:after="20" w:line="250"/>
        <w:ind w:left="260"/>
      </w:pPr>
      <w:r>
        <w:rPr>
          <w:rFonts w:ascii="Consolas" w:cs="Consolas" w:eastAsia="Consolas" w:hAnsi="Consolas"/>
          <w:color w:val="1F3A52"/>
          <w:sz w:val="17"/>
          <w:szCs w:val="17"/>
        </w:rPr>
        <w:t xml:space="preserve">                             alpha = (0.6, 0.5, 0.4, 0, 0, 0, 0, 0)</w:t>
      </w:r>
    </w:p>
    <w:p>
      <w:pPr>
        <w:spacing w:after="20" w:line="250"/>
        <w:ind w:left="260"/>
      </w:pPr>
      <w:r>
        <w:rPr>
          <w:rFonts w:ascii="Consolas" w:cs="Consolas" w:eastAsia="Consolas" w:hAnsi="Consolas"/>
          <w:color w:val="1F3A52"/>
          <w:sz w:val="17"/>
          <w:szCs w:val="17"/>
        </w:rPr>
        <w:t xml:space="preserve">                             propensity model uses V1..V8</w:t>
      </w:r>
    </w:p>
    <w:p>
      <w:pPr>
        <w:spacing w:after="20" w:line="250"/>
        <w:ind w:left="260"/>
      </w:pPr>
      <w:r>
        <w:rPr>
          <w:rFonts w:ascii="Consolas" w:cs="Consolas" w:eastAsia="Consolas" w:hAnsi="Consolas"/>
          <w:color w:val="1F3A52"/>
          <w:sz w:val="17"/>
          <w:szCs w:val="17"/>
        </w:rPr>
        <w:t xml:space="preserve">arm C  one confounder unmeasured: assignment as arm B,</w:t>
      </w:r>
    </w:p>
    <w:p>
      <w:pPr>
        <w:spacing w:after="20" w:line="250"/>
        <w:ind w:left="260"/>
      </w:pPr>
      <w:r>
        <w:rPr>
          <w:rFonts w:ascii="Consolas" w:cs="Consolas" w:eastAsia="Consolas" w:hAnsi="Consolas"/>
          <w:color w:val="1F3A52"/>
          <w:sz w:val="17"/>
          <w:szCs w:val="17"/>
        </w:rPr>
        <w:t xml:space="preserve">                             propensity model uses V2..V8 only</w:t>
      </w:r>
    </w:p>
    <w:p>
      <w:pPr>
        <w:spacing w:after="170" w:line="280"/>
        <w:jc w:val="both"/>
      </w:pPr>
      <w:r>
        <w:rPr>
          <w:rFonts w:ascii="Calibri" w:cs="Calibri" w:eastAsia="Calibri" w:hAnsi="Calibri"/>
          <w:sz w:val="20"/>
          <w:szCs w:val="20"/>
        </w:rPr>
        <w:t xml:space="preserve">250 replicates per cell; arm A additionally carries a 300-patient cell at 300 replicates, and arm C has no 20 000 cell. Because the outcome model is common, the true causal contrast is identical in all three arms; what differs across arms is the population limit of the weighted estimator.</w:t>
      </w:r>
    </w:p>
    <w:p>
      <w:pPr>
        <w:spacing w:after="70" w:line="280"/>
        <w:jc w:val="both"/>
      </w:pPr>
      <w:r>
        <w:rPr>
          <w:rFonts w:ascii="Calibri" w:cs="Calibri" w:eastAsia="Calibri" w:hAnsi="Calibri"/>
          <w:b/>
          <w:bCs/>
          <w:sz w:val="20"/>
          <w:szCs w:val="20"/>
        </w:rPr>
        <w:t xml:space="preserve">S1.3 Non-collapsibility sweep (Figure 4)</w:t>
      </w:r>
    </w:p>
    <w:p>
      <w:pPr>
        <w:spacing w:after="20" w:line="250"/>
        <w:ind w:left="260"/>
      </w:pPr>
      <w:r>
        <w:rPr>
          <w:rFonts w:ascii="Consolas" w:cs="Consolas" w:eastAsia="Consolas" w:hAnsi="Consolas"/>
          <w:color w:val="1F3A52"/>
          <w:sz w:val="17"/>
          <w:szCs w:val="17"/>
        </w:rPr>
        <w:t xml:space="preserve">N = 300 000, tau = 5, conditional log hazard ratio bA = log(0.6)</w:t>
      </w:r>
    </w:p>
    <w:p>
      <w:pPr>
        <w:spacing w:after="20" w:line="250"/>
        <w:ind w:left="260"/>
      </w:pPr>
      <w:r>
        <w:rPr>
          <w:rFonts w:ascii="Consolas" w:cs="Consolas" w:eastAsia="Consolas" w:hAnsi="Consolas"/>
          <w:color w:val="1F3A52"/>
          <w:sz w:val="17"/>
          <w:szCs w:val="17"/>
        </w:rPr>
        <w:t xml:space="preserve">Z ~ N(0,1)   A ~ Bernoulli(0.5)</w:t>
      </w:r>
    </w:p>
    <w:p>
      <w:pPr>
        <w:spacing w:after="20" w:line="250"/>
        <w:ind w:left="260"/>
      </w:pPr>
      <w:r>
        <w:rPr>
          <w:rFonts w:ascii="Consolas" w:cs="Consolas" w:eastAsia="Consolas" w:hAnsi="Consolas"/>
          <w:color w:val="1F3A52"/>
          <w:sz w:val="17"/>
          <w:szCs w:val="17"/>
        </w:rPr>
        <w:t xml:space="preserve">T ~ Exponential(rate = 0.25 * exp(bA*A + bZ*Z)),  bZ swept over</w:t>
      </w:r>
    </w:p>
    <w:p>
      <w:pPr>
        <w:spacing w:after="20" w:line="250"/>
        <w:ind w:left="260"/>
      </w:pPr>
      <w:r>
        <w:rPr>
          <w:rFonts w:ascii="Consolas" w:cs="Consolas" w:eastAsia="Consolas" w:hAnsi="Consolas"/>
          <w:color w:val="1F3A52"/>
          <w:sz w:val="17"/>
          <w:szCs w:val="17"/>
        </w:rPr>
        <w:t xml:space="preserve">   0, 0.3, 0.6, 0.9, 1.2, 1.5, 1.8</w:t>
      </w:r>
    </w:p>
    <w:p>
      <w:pPr>
        <w:spacing w:after="20" w:line="250"/>
        <w:ind w:left="260"/>
      </w:pPr>
      <w:r>
        <w:rPr>
          <w:rFonts w:ascii="Consolas" w:cs="Consolas" w:eastAsia="Consolas" w:hAnsi="Consolas"/>
          <w:color w:val="1F3A52"/>
          <w:sz w:val="17"/>
          <w:szCs w:val="17"/>
        </w:rPr>
        <w:t xml:space="preserve">criterion under study: Z &lt;= 0 (retains half the cohort)</w:t>
      </w:r>
    </w:p>
    <w:p>
      <w:pPr>
        <w:spacing w:after="170" w:line="280"/>
        <w:jc w:val="both"/>
      </w:pPr>
      <w:r>
        <w:rPr>
          <w:rFonts w:ascii="Calibri" w:cs="Calibri" w:eastAsia="Calibri" w:hAnsi="Calibri"/>
          <w:sz w:val="20"/>
          <w:szCs w:val="20"/>
        </w:rPr>
        <w:t xml:space="preserve">The conditional hazard ratio is exp(bA) = 0.6 in every stratum of Z at every point on the sweep, so the criterion changes no individual's relative benefit. bZ = 0 is the falsification point: with no prognostic heterogeneity there is nothing to collapse over and the artefact must vanish.</w:t>
      </w:r>
    </w:p>
    <w:p>
      <w:pPr>
        <w:spacing w:after="70" w:line="280"/>
        <w:jc w:val="both"/>
      </w:pPr>
      <w:r>
        <w:rPr>
          <w:rFonts w:ascii="Calibri" w:cs="Calibri" w:eastAsia="Calibri" w:hAnsi="Calibri"/>
          <w:b/>
          <w:bCs/>
          <w:sz w:val="20"/>
          <w:szCs w:val="20"/>
        </w:rPr>
        <w:t xml:space="preserve">S1.4 Fractional factorial over the threshold (Table S2)</w:t>
      </w:r>
    </w:p>
    <w:p>
      <w:pPr>
        <w:spacing w:after="20" w:line="250"/>
        <w:ind w:left="260"/>
      </w:pPr>
      <w:r>
        <w:rPr>
          <w:rFonts w:ascii="Consolas" w:cs="Consolas" w:eastAsia="Consolas" w:hAnsi="Consolas"/>
          <w:color w:val="1F3A52"/>
          <w:sz w:val="17"/>
          <w:szCs w:val="17"/>
        </w:rPr>
        <w:t xml:space="preserve">2^(6-2) resolution IV, generators E = ABC and F = ABD, 16 runs.</w:t>
      </w:r>
    </w:p>
    <w:p>
      <w:pPr>
        <w:spacing w:after="20" w:line="250"/>
        <w:ind w:left="260"/>
      </w:pPr>
      <w:r>
        <w:rPr>
          <w:rFonts w:ascii="Consolas" w:cs="Consolas" w:eastAsia="Consolas" w:hAnsi="Consolas"/>
          <w:color w:val="1F3A52"/>
          <w:sz w:val="17"/>
          <w:szCs w:val="17"/>
        </w:rPr>
        <w:t xml:space="preserve">A  number of criteria p                6        vs   8</w:t>
      </w:r>
    </w:p>
    <w:p>
      <w:pPr>
        <w:spacing w:after="20" w:line="250"/>
        <w:ind w:left="260"/>
      </w:pPr>
      <w:r>
        <w:rPr>
          <w:rFonts w:ascii="Consolas" w:cs="Consolas" w:eastAsia="Consolas" w:hAnsi="Consolas"/>
          <w:color w:val="1F3A52"/>
          <w:sz w:val="17"/>
          <w:szCs w:val="17"/>
        </w:rPr>
        <w:t xml:space="preserve">B  full-protocol retention             0.30     vs  0.12</w:t>
      </w:r>
    </w:p>
    <w:p>
      <w:pPr>
        <w:spacing w:after="20" w:line="250"/>
        <w:ind w:left="260"/>
      </w:pPr>
      <w:r>
        <w:rPr>
          <w:rFonts w:ascii="Consolas" w:cs="Consolas" w:eastAsia="Consolas" w:hAnsi="Consolas"/>
          <w:color w:val="1F3A52"/>
          <w:sz w:val="17"/>
          <w:szCs w:val="17"/>
        </w:rPr>
        <w:t xml:space="preserve">   per-criterion retention = retention^(1/p)</w:t>
      </w:r>
    </w:p>
    <w:p>
      <w:pPr>
        <w:spacing w:after="20" w:line="250"/>
        <w:ind w:left="260"/>
      </w:pPr>
      <w:r>
        <w:rPr>
          <w:rFonts w:ascii="Consolas" w:cs="Consolas" w:eastAsia="Consolas" w:hAnsi="Consolas"/>
          <w:color w:val="1F3A52"/>
          <w:sz w:val="17"/>
          <w:szCs w:val="17"/>
        </w:rPr>
        <w:t xml:space="preserve">C  effect modification    sparse: gamma_1 = -|g|, gamma_3 = +0.80|g|</w:t>
      </w:r>
    </w:p>
    <w:p>
      <w:pPr>
        <w:spacing w:after="20" w:line="250"/>
        <w:ind w:left="260"/>
      </w:pPr>
      <w:r>
        <w:rPr>
          <w:rFonts w:ascii="Consolas" w:cs="Consolas" w:eastAsia="Consolas" w:hAnsi="Consolas"/>
          <w:color w:val="1F3A52"/>
          <w:sz w:val="17"/>
          <w:szCs w:val="17"/>
        </w:rPr>
        <w:t xml:space="preserve">                          dense : gamma_1..5 = -|g|, -0.75|g|, +0.80|g|,</w:t>
      </w:r>
    </w:p>
    <w:p>
      <w:pPr>
        <w:spacing w:after="20" w:line="250"/>
        <w:ind w:left="260"/>
      </w:pPr>
      <w:r>
        <w:rPr>
          <w:rFonts w:ascii="Consolas" w:cs="Consolas" w:eastAsia="Consolas" w:hAnsi="Consolas"/>
          <w:color w:val="1F3A52"/>
          <w:sz w:val="17"/>
          <w:szCs w:val="17"/>
        </w:rPr>
        <w:t xml:space="preserve">                                                -0.50|g|, +0.40|g|</w:t>
      </w:r>
    </w:p>
    <w:p>
      <w:pPr>
        <w:spacing w:after="20" w:line="250"/>
        <w:ind w:left="260"/>
      </w:pPr>
      <w:r>
        <w:rPr>
          <w:rFonts w:ascii="Consolas" w:cs="Consolas" w:eastAsia="Consolas" w:hAnsi="Consolas"/>
          <w:color w:val="1F3A52"/>
          <w:sz w:val="17"/>
          <w:szCs w:val="17"/>
        </w:rPr>
        <w:t xml:space="preserve">   |g| = 0.40 (sparse, strong)  vs  0.16 (dense, weak)</w:t>
      </w:r>
    </w:p>
    <w:p>
      <w:pPr>
        <w:spacing w:after="20" w:line="250"/>
        <w:ind w:left="260"/>
      </w:pPr>
      <w:r>
        <w:rPr>
          <w:rFonts w:ascii="Consolas" w:cs="Consolas" w:eastAsia="Consolas" w:hAnsi="Consolas"/>
          <w:color w:val="1F3A52"/>
          <w:sz w:val="17"/>
          <w:szCs w:val="17"/>
        </w:rPr>
        <w:t xml:space="preserve">D  censoring rate                      0.020    vs  0.180</w:t>
      </w:r>
    </w:p>
    <w:p>
      <w:pPr>
        <w:spacing w:after="20" w:line="250"/>
        <w:ind w:left="260"/>
      </w:pPr>
      <w:r>
        <w:rPr>
          <w:rFonts w:ascii="Consolas" w:cs="Consolas" w:eastAsia="Consolas" w:hAnsi="Consolas"/>
          <w:color w:val="1F3A52"/>
          <w:sz w:val="17"/>
          <w:szCs w:val="17"/>
        </w:rPr>
        <w:t xml:space="preserve">E  allocation P(A=1)                   0.50     vs  0.25</w:t>
      </w:r>
    </w:p>
    <w:p>
      <w:pPr>
        <w:spacing w:after="20" w:line="250"/>
        <w:ind w:left="260"/>
      </w:pPr>
      <w:r>
        <w:rPr>
          <w:rFonts w:ascii="Consolas" w:cs="Consolas" w:eastAsia="Consolas" w:hAnsi="Consolas"/>
          <w:color w:val="1F3A52"/>
          <w:sz w:val="17"/>
          <w:szCs w:val="17"/>
        </w:rPr>
        <w:t xml:space="preserve">F  assignment    randomised  vs  A ~ Bern(logit^-1(logit(alloc)+0.45(Z1+Z2)))</w:t>
      </w:r>
    </w:p>
    <w:p>
      <w:pPr>
        <w:spacing w:after="20" w:line="250"/>
        <w:ind w:left="260"/>
      </w:pPr>
      <w:r>
        <w:rPr>
          <w:rFonts w:ascii="Consolas" w:cs="Consolas" w:eastAsia="Consolas" w:hAnsi="Consolas"/>
          <w:color w:val="1F3A52"/>
          <w:sz w:val="17"/>
          <w:szCs w:val="17"/>
        </w:rPr>
        <w:t xml:space="preserve">                             with the propensity model using all of V1..Vp</w:t>
      </w:r>
    </w:p>
    <w:p>
      <w:pPr>
        <w:spacing w:after="20" w:line="250"/>
        <w:ind w:left="260"/>
      </w:pPr>
      <w:r>
        <w:rPr>
          <w:rFonts w:ascii="Consolas" w:cs="Consolas" w:eastAsia="Consolas" w:hAnsi="Consolas"/>
          <w:color w:val="1F3A52"/>
          <w:sz w:val="17"/>
          <w:szCs w:val="17"/>
        </w:rPr>
        <w:t xml:space="preserve">prognostic strength 0.55 per covariate; baseline rate 0.20; tau = 8</w:t>
      </w:r>
    </w:p>
    <w:p>
      <w:pPr>
        <w:spacing w:after="20" w:line="250"/>
        <w:ind w:left="260"/>
      </w:pPr>
      <w:r>
        <w:rPr>
          <w:rFonts w:ascii="Consolas" w:cs="Consolas" w:eastAsia="Consolas" w:hAnsi="Consolas"/>
          <w:color w:val="1F3A52"/>
          <w:sz w:val="17"/>
          <w:szCs w:val="17"/>
        </w:rPr>
        <w:t xml:space="preserve">ladder 600, 2000, 6000, 18 000 fitting patients</w:t>
      </w:r>
    </w:p>
    <w:p>
      <w:pPr>
        <w:spacing w:after="20" w:line="250"/>
        <w:ind w:left="260"/>
      </w:pPr>
      <w:r>
        <w:rPr>
          <w:rFonts w:ascii="Consolas" w:cs="Consolas" w:eastAsia="Consolas" w:hAnsi="Consolas"/>
          <w:color w:val="1F3A52"/>
          <w:sz w:val="17"/>
          <w:szCs w:val="17"/>
        </w:rPr>
        <w:t xml:space="preserve">replicates 100, 100, 70, 50 respectively; scoring set 60 000, fixed per run</w:t>
      </w:r>
    </w:p>
    <w:p>
      <w:pPr>
        <w:spacing w:after="170" w:line="280"/>
        <w:jc w:val="both"/>
      </w:pPr>
      <w:r>
        <w:rPr>
          <w:rFonts w:ascii="Calibri" w:cs="Calibri" w:eastAsia="Calibri" w:hAnsi="Calibri"/>
          <w:sz w:val="20"/>
          <w:szCs w:val="20"/>
        </w:rPr>
        <w:t xml:space="preserve">Every scenario contains at least one diluting criterion, because relaxation can lower the hazard ratio only if some retained criterion selects patients who benefit less. A rung on which more than half the replicates encountered an infeasible subset is dropped rather than reported as a low probability. The crossing is located by linear interpolation of the probability against log fitting size between the two bracketing rungs, and its interval by resampling the replicate indicators 400 times.</w:t>
      </w:r>
    </w:p>
    <w:p>
      <w:pPr>
        <w:spacing w:after="70" w:line="280"/>
        <w:jc w:val="both"/>
      </w:pPr>
      <w:r>
        <w:rPr>
          <w:rFonts w:ascii="Calibri" w:cs="Calibri" w:eastAsia="Calibri" w:hAnsi="Calibri"/>
          <w:b/>
          <w:bCs/>
          <w:sz w:val="20"/>
          <w:szCs w:val="20"/>
        </w:rPr>
        <w:t xml:space="preserve">S1.5 Interaction-leverage verification</w:t>
      </w:r>
    </w:p>
    <w:p>
      <w:pPr>
        <w:spacing w:after="20" w:line="250"/>
        <w:ind w:left="260"/>
      </w:pPr>
      <w:r>
        <w:rPr>
          <w:rFonts w:ascii="Consolas" w:cs="Consolas" w:eastAsia="Consolas" w:hAnsi="Consolas"/>
          <w:color w:val="1F3A52"/>
          <w:sz w:val="17"/>
          <w:szCs w:val="17"/>
        </w:rPr>
        <w:t xml:space="preserve">p = 4 criteria; criteria 1 and 2 at the stated eligibility rate q,</w:t>
      </w:r>
    </w:p>
    <w:p>
      <w:pPr>
        <w:spacing w:after="20" w:line="250"/>
        <w:ind w:left="260"/>
      </w:pPr>
      <w:r>
        <w:rPr>
          <w:rFonts w:ascii="Consolas" w:cs="Consolas" w:eastAsia="Consolas" w:hAnsi="Consolas"/>
          <w:color w:val="1F3A52"/>
          <w:sz w:val="17"/>
          <w:szCs w:val="17"/>
        </w:rPr>
        <w:t xml:space="preserve">criteria 3 and 4 at 0.85; g = -0.60; N = 40 000; prognostic 0.20;</w:t>
      </w:r>
    </w:p>
    <w:p>
      <w:pPr>
        <w:spacing w:after="20" w:line="250"/>
        <w:ind w:left="260"/>
      </w:pPr>
      <w:r>
        <w:rPr>
          <w:rFonts w:ascii="Consolas" w:cs="Consolas" w:eastAsia="Consolas" w:hAnsi="Consolas"/>
          <w:color w:val="1F3A52"/>
          <w:sz w:val="17"/>
          <w:szCs w:val="17"/>
        </w:rPr>
        <w:t xml:space="preserve">baseline rate 0.20; censoring 0.03; tau = 8</w:t>
      </w:r>
    </w:p>
    <w:p>
      <w:pPr>
        <w:spacing w:after="20" w:line="250"/>
        <w:ind w:left="260"/>
      </w:pPr>
      <w:r>
        <w:rPr>
          <w:rFonts w:ascii="Consolas" w:cs="Consolas" w:eastAsia="Consolas" w:hAnsi="Consolas"/>
          <w:color w:val="1F3A52"/>
          <w:sz w:val="17"/>
          <w:szCs w:val="17"/>
        </w:rPr>
        <w:t xml:space="preserve">bonus indicator  AND: E1 &amp; E2    OR: E1 | E2    XOR: E1 xor E2</w:t>
      </w:r>
    </w:p>
    <w:p>
      <w:pPr>
        <w:spacing w:after="20" w:line="250"/>
        <w:ind w:left="260"/>
      </w:pPr>
      <w:r>
        <w:rPr>
          <w:rFonts w:ascii="Consolas" w:cs="Consolas" w:eastAsia="Consolas" w:hAnsi="Consolas"/>
          <w:color w:val="1F3A52"/>
          <w:sz w:val="17"/>
          <w:szCs w:val="17"/>
        </w:rPr>
        <w:t xml:space="preserve">eta = log(0.80)*A + sum_k 0.20*Z_k + g * A * bonus</w:t>
      </w:r>
    </w:p>
    <w:p>
      <w:pPr>
        <w:spacing w:after="170" w:line="280"/>
        <w:jc w:val="both"/>
      </w:pPr>
      <w:r>
        <w:rPr>
          <w:rFonts w:ascii="Calibri" w:cs="Calibri" w:eastAsia="Calibri" w:hAnsi="Calibri"/>
          <w:sz w:val="20"/>
          <w:szCs w:val="20"/>
        </w:rPr>
        <w:t xml:space="preserve">Under independent criteria at a common rate q the coefficients multiplying g are (1−q)² for the AND form, −(1−q)² for OR and −2(1−q)² for XOR.</w:t>
      </w:r>
    </w:p>
    <w:p>
      <w:pPr>
        <w:spacing w:after="70" w:line="280"/>
        <w:jc w:val="both"/>
      </w:pPr>
      <w:r>
        <w:rPr>
          <w:rFonts w:ascii="Calibri" w:cs="Calibri" w:eastAsia="Calibri" w:hAnsi="Calibri"/>
          <w:b/>
          <w:bCs/>
          <w:sz w:val="20"/>
          <w:szCs w:val="20"/>
        </w:rPr>
        <w:t xml:space="preserve">S1.6 One primary analysis, and the checks that enforce it</w:t>
      </w:r>
    </w:p>
    <w:p>
      <w:pPr>
        <w:spacing w:after="120" w:line="280"/>
        <w:jc w:val="both"/>
      </w:pPr>
      <w:r>
        <w:rPr>
          <w:rFonts w:ascii="Calibri" w:cs="Calibri" w:eastAsia="Calibri" w:hAnsi="Calibri"/>
          <w:sz w:val="20"/>
          <w:szCs w:val="20"/>
        </w:rPr>
        <w:t xml:space="preserve">Every observed-cohort point estimate quoted in this paper and in this supplement — the out-of-sample comparison in Table 1, the matched statistics at all four tolerances, the frontier and dominance counts, and the restricted-mean rule variant — is produced by a single script in one pass per cohort and written to one result file, which the manuscript reads at build time. The nested bootstrap supplies uncertainty only and never a point estimate, so the two cannot disagree.</w:t>
      </w:r>
    </w:p>
    <w:p>
      <w:pPr>
        <w:spacing w:after="20" w:line="250"/>
        <w:ind w:left="260"/>
      </w:pPr>
      <w:r>
        <w:rPr>
          <w:rFonts w:ascii="Consolas" w:cs="Consolas" w:eastAsia="Consolas" w:hAnsi="Consolas"/>
          <w:color w:val="1F3A52"/>
          <w:sz w:val="17"/>
          <w:szCs w:val="17"/>
        </w:rPr>
        <w:t xml:space="preserve">colon      time, status   tau = 1825 d   500 splits</w:t>
      </w:r>
    </w:p>
    <w:p>
      <w:pPr>
        <w:spacing w:after="20" w:line="250"/>
        <w:ind w:left="260"/>
      </w:pPr>
      <w:r>
        <w:rPr>
          <w:rFonts w:ascii="Consolas" w:cs="Consolas" w:eastAsia="Consolas" w:hAnsi="Consolas"/>
          <w:color w:val="1F3A52"/>
          <w:sz w:val="17"/>
          <w:szCs w:val="17"/>
        </w:rPr>
        <w:t xml:space="preserve">Rotterdam  dtime, death   tau = 2555 d   400 splits</w:t>
      </w:r>
    </w:p>
    <w:p>
      <w:pPr>
        <w:spacing w:after="170" w:line="280"/>
        <w:jc w:val="both"/>
      </w:pPr>
      <w:r>
        <w:rPr>
          <w:rFonts w:ascii="Calibri" w:cs="Calibri" w:eastAsia="Calibri" w:hAnsi="Calibri"/>
          <w:sz w:val="20"/>
          <w:szCs w:val="20"/>
        </w:rPr>
        <w:t xml:space="preserve">Six checks run whenever the numbers are exported and stop the build if violated. Three are on the exported numbers: the Rotterdam endpoint must be the death time paired with the death indicator; the horizons must be 1825 and 2555 days; and the primary and nested estimates of the same quantity must agree to within what Monte Carlo variation could explain. The fourth is on the source, because a check on the numbers alone would not have caught the error that prompted it: every analysis script is scanned and the export refuses if any line pairs the relapse-free time with the death indicator, or calls a Rotterdam dataset at the colon horizon. The fifth refuses to run if any of the five superseded result objects reappears in the read path. The sixth asserts 18 integer counts — both cohort sizes, the criterion and subset counts, both horizons, every split and resample count including those of the three-way design, the simulation replicate counts and the number of factorial scenarios — against the analysis output, because the provenance check over the manuscript sources tests decimals and percentages but not bare integers.</w:t>
      </w:r>
    </w:p>
    <w:p>
      <w:pPr>
        <w:pStyle w:val="Heading1"/>
        <w:spacing w:after="140" w:before="300"/>
      </w:pPr>
      <w:r>
        <w:rPr>
          <w:rFonts w:ascii="Calibri" w:cs="Calibri" w:eastAsia="Calibri" w:hAnsi="Calibri"/>
        </w:rPr>
        <w:t xml:space="preserve">Figure S1. Full-page study design</w:t>
      </w:r>
    </w:p>
    <w:p>
      <w:pPr>
        <w:spacing w:after="120" w:line="280"/>
        <w:jc w:val="both"/>
      </w:pPr>
      <w:r>
        <w:rPr>
          <w:rFonts w:ascii="Calibri" w:cs="Calibri" w:eastAsia="Calibri" w:hAnsi="Calibri"/>
          <w:sz w:val="20"/>
          <w:szCs w:val="20"/>
        </w:rPr>
        <w:t xml:space="preserve">Figure 1 of the main text at full width.</w:t>
      </w:r>
    </w:p>
    <w:p>
      <w:pPr>
        <w:spacing w:after="200"/>
        <w:jc w:val="center"/>
      </w:pPr>
      <w:r>
        <w:drawing>
          <wp:inline distT="0" distB="0" distL="0" distR="0">
            <wp:extent cx="6286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200400"/>
                    </a:xfrm>
                    <a:prstGeom prst="rect">
                      <a:avLst/>
                    </a:prstGeom>
                  </pic:spPr>
                </pic:pic>
              </a:graphicData>
            </a:graphic>
          </wp:inline>
        </w:drawing>
      </w:r>
    </w:p>
    <w:p>
      <w:r>
        <w:br w:type="page"/>
      </w:r>
    </w:p>
    <w:p>
      <w:pPr>
        <w:pStyle w:val="Heading1"/>
        <w:spacing w:after="140" w:before="300"/>
      </w:pPr>
      <w:r>
        <w:rPr>
          <w:rFonts w:ascii="Calibri" w:cs="Calibri" w:eastAsia="Calibri" w:hAnsi="Calibri"/>
        </w:rPr>
        <w:t xml:space="preserve">Figure S2. Full-page criteria plate plot</w:t>
      </w:r>
    </w:p>
    <w:p>
      <w:pPr>
        <w:spacing w:after="120" w:line="280"/>
        <w:jc w:val="both"/>
      </w:pPr>
      <w:r>
        <w:rPr>
          <w:rFonts w:ascii="Calibri" w:cs="Calibri" w:eastAsia="Calibri" w:hAnsi="Calibri"/>
          <w:sz w:val="20"/>
          <w:szCs w:val="20"/>
        </w:rPr>
        <w:t xml:space="preserve">The colon criteria plate plot at full page size, reproducing Figure 5 of the main text.</w:t>
      </w:r>
    </w:p>
    <w:p>
      <w:pPr>
        <w:spacing w:after="100"/>
        <w:jc w:val="center"/>
      </w:pPr>
      <w:r>
        <w:drawing>
          <wp:inline distT="0" distB="0" distL="0" distR="0">
            <wp:extent cx="5715000" cy="679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791325"/>
                    </a:xfrm>
                    <a:prstGeom prst="rect">
                      <a:avLst/>
                    </a:prstGeom>
                  </pic:spPr>
                </pic:pic>
              </a:graphicData>
            </a:graphic>
          </wp:inline>
        </w:drawing>
      </w:r>
    </w:p>
    <w:p>
      <w:r>
        <w:br w:type="page"/>
      </w:r>
    </w:p>
    <w:p>
      <w:pPr>
        <w:pStyle w:val="Heading1"/>
        <w:spacing w:after="140" w:before="300"/>
      </w:pPr>
      <w:r>
        <w:rPr>
          <w:rFonts w:ascii="Calibri" w:cs="Calibri" w:eastAsia="Calibri" w:hAnsi="Calibri"/>
        </w:rPr>
        <w:t xml:space="preserve">Figure S3. Propensity distributions inside the full protocol</w:t>
      </w:r>
    </w:p>
    <w:p>
      <w:pPr>
        <w:spacing w:after="120" w:line="280"/>
        <w:jc w:val="both"/>
      </w:pPr>
      <w:r>
        <w:rPr>
          <w:rFonts w:ascii="Calibri" w:cs="Calibri" w:eastAsia="Calibri" w:hAnsi="Calibri"/>
          <w:sz w:val="20"/>
          <w:szCs w:val="20"/>
        </w:rPr>
        <w:t xml:space="preserve">Estimated propensity scores by treatment arm within the full protocol of each cohort, with the 0.05 and 0.95 truncation bounds marked and the common-support region indicated. The Rotterdam panel shows the near-separation that makes its weighted estimates descriptive rather than causal.</w:t>
      </w:r>
    </w:p>
    <w:p>
      <w:pPr>
        <w:spacing w:after="200"/>
        <w:jc w:val="center"/>
      </w:pPr>
      <w:r>
        <w:drawing>
          <wp:inline distT="0" distB="0" distL="0" distR="0">
            <wp:extent cx="59055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362200"/>
                    </a:xfrm>
                    <a:prstGeom prst="rect">
                      <a:avLst/>
                    </a:prstGeom>
                  </pic:spPr>
                </pic:pic>
              </a:graphicData>
            </a:graphic>
          </wp:inline>
        </w:drawing>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b8ccc2dc8ce4ed6cfe2b30c5c8ba74c03a83ee.png"/><Relationship Id="rId8" Type="http://schemas.openxmlformats.org/officeDocument/2006/relationships/image" Target="media/af191c3ca7a01f565accac775a1fdcf4bdd7f124.png"/><Relationship Id="rId9" Type="http://schemas.openxmlformats.org/officeDocument/2006/relationships/image" Target="media/08e97c4f50945bb6f74de6903ef1ee3eaec9240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2026-08-31T15:49:42.564Z</dcterms:created>
  <dcterms:modified xsi:type="dcterms:W3CDTF">2026-08-31T15:49:42.564Z</dcterms:modified>
</cp:coreProperties>
</file>

<file path=docProps/custom.xml><?xml version="1.0" encoding="utf-8"?>
<Properties xmlns="http://schemas.openxmlformats.org/officeDocument/2006/custom-properties" xmlns:vt="http://schemas.openxmlformats.org/officeDocument/2006/docPropsVTypes"/>
</file>