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Noto Sans CJK SC" w:cs="Noto Sans CJK SC" w:eastAsia="Noto Sans CJK SC" w:hAnsi="Noto Sans CJK SC"/>
          <w:b/>
          <w:bCs/>
          <w:sz w:val="28"/>
          <w:szCs w:val="28"/>
        </w:rPr>
        <w:t xml:space="preserve">这篇文章讲了什么</w:t>
      </w:r>
    </w:p>
    <w:p>
      <w:pPr>
        <w:spacing w:after="170"/>
        <w:jc w:val="center"/>
      </w:pPr>
      <w:r>
        <w:rPr>
          <w:rFonts w:ascii="Noto Serif CJK SC" w:cs="Noto Serif CJK SC" w:eastAsia="Noto Serif CJK SC" w:hAnsi="Noto Serif CJK SC"/>
          <w:color w:val="666666"/>
          <w:sz w:val="17"/>
          <w:szCs w:val="17"/>
        </w:rPr>
        <w:t xml:space="preserve">三页内容提要 · 只讲文章的主张与证据，不讲修改历程</w:t>
      </w:r>
    </w:p>
    <w:p>
      <w:pPr>
        <w:spacing w:after="78" w:before="170"/>
      </w:pPr>
      <w:r>
        <w:rPr>
          <w:rFonts w:ascii="Noto Sans CJK SC" w:cs="Noto Sans CJK SC" w:eastAsia="Noto Sans CJK SC" w:hAnsi="Noto Sans CJK SC"/>
          <w:b/>
          <w:bCs/>
          <w:color w:val="1A4B7A"/>
          <w:sz w:val="21"/>
          <w:szCs w:val="21"/>
        </w:rPr>
        <w:t xml:space="preserve">一、一句话</w:t>
      </w:r>
    </w:p>
    <w:p>
      <w:pPr>
        <w:spacing w:after="52" w:line="24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Trial Pathfinder（Liu 等，Nature 2021）用 Shapley 值挑出「限制了人数、却没给疗效估计带来好处」的入组标准并放宽，宣称由此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同时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得到更多病人和更好的疗效估计。我们把这两个承诺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拆开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做样本外检验，结论是：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前一条基本由方法的构造决定，后一条这两个公开队列判不出来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；而且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单靠队列人数、事件数或有效样本量，定不出「多少数据才够」的通用门槛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。这是一篇否定性的方法学论文。</w:t>
      </w:r>
    </w:p>
    <w:p>
      <w:pPr>
        <w:spacing w:after="78" w:before="170"/>
      </w:pPr>
      <w:r>
        <w:rPr>
          <w:rFonts w:ascii="Noto Sans CJK SC" w:cs="Noto Sans CJK SC" w:eastAsia="Noto Sans CJK SC" w:hAnsi="Noto Sans CJK SC"/>
          <w:b/>
          <w:bCs/>
          <w:color w:val="1A4B7A"/>
          <w:sz w:val="21"/>
          <w:szCs w:val="21"/>
        </w:rPr>
        <w:t xml:space="preserve">二、为什么值得重做一遍</w:t>
      </w:r>
    </w:p>
    <w:p>
      <w:pPr>
        <w:spacing w:after="52" w:line="24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三点。第一，已有的评价都是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样本内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的——在同一批病人身上选标准、又在同一批病人身上打分，这是乐观偏倚的经典场景。第二，「更多病人」和「更好估计」被当成一对结果一起报告，但没有理由认为两者需要同样多的数据，甚至它们根本不是同一类命题。第三，风险比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不可折叠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：只要缩小人群，即使每一层里的条件效应完全没变，风险比也会移动。</w:t>
      </w:r>
    </w:p>
    <w:p>
      <w:pPr>
        <w:spacing w:after="78" w:before="170"/>
      </w:pPr>
      <w:r>
        <w:rPr>
          <w:rFonts w:ascii="Noto Sans CJK SC" w:cs="Noto Sans CJK SC" w:eastAsia="Noto Sans CJK SC" w:hAnsi="Noto Sans CJK SC"/>
          <w:b/>
          <w:bCs/>
          <w:color w:val="1A4B7A"/>
          <w:sz w:val="21"/>
          <w:szCs w:val="21"/>
        </w:rPr>
        <w:t xml:space="preserve">三、怎么做的</w:t>
      </w:r>
    </w:p>
    <w:p>
      <w:pPr>
        <w:spacing w:after="44" w:line="250"/>
        <w:ind w:left="300" w:hanging="300"/>
        <w:jc w:val="both"/>
      </w:pPr>
      <w:r>
        <w:rPr>
          <w:rFonts w:ascii="Noto Sans CJK SC" w:cs="Noto Sans CJK SC" w:eastAsia="Noto Sans CJK SC" w:hAnsi="Noto Sans CJK SC"/>
          <w:b/>
          <w:bCs/>
          <w:color w:val="1A4B7A"/>
          <w:sz w:val="19"/>
          <w:szCs w:val="19"/>
        </w:rPr>
        <w:t xml:space="preserve">样本外  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按治疗组和事件分层随机对半分，只在一半上跑规则选标准，把选出的方案拿到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另一半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上打分，重复 500（colon）和 400（Rotterdam）次。</w:t>
      </w:r>
    </w:p>
    <w:p>
      <w:pPr>
        <w:spacing w:after="44" w:line="250"/>
        <w:ind w:left="300" w:hanging="300"/>
        <w:jc w:val="both"/>
      </w:pPr>
      <w:r>
        <w:rPr>
          <w:rFonts w:ascii="Noto Sans CJK SC" w:cs="Noto Sans CJK SC" w:eastAsia="Noto Sans CJK SC" w:hAnsi="Noto Sans CJK SC"/>
          <w:b/>
          <w:bCs/>
          <w:color w:val="1A4B7A"/>
          <w:sz w:val="19"/>
          <w:szCs w:val="19"/>
        </w:rPr>
        <w:t xml:space="preserve">全子集对照  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规则保留的是标准的一个子集，所以「比完整方案纳入更多人」不可能有别的结果。我们把全部 512 个子集都在留出那一半上打分，在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相同入组人数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下比较，并看规则离可达前沿有多远。</w:t>
      </w:r>
    </w:p>
    <w:p>
      <w:pPr>
        <w:spacing w:after="44" w:line="250"/>
        <w:ind w:left="300" w:hanging="300"/>
        <w:jc w:val="both"/>
      </w:pPr>
      <w:r>
        <w:rPr>
          <w:rFonts w:ascii="Noto Sans CJK SC" w:cs="Noto Sans CJK SC" w:eastAsia="Noto Sans CJK SC" w:hAnsi="Noto Sans CJK SC"/>
          <w:b/>
          <w:bCs/>
          <w:color w:val="1A4B7A"/>
          <w:sz w:val="19"/>
          <w:szCs w:val="19"/>
        </w:rPr>
        <w:t xml:space="preserve">嵌套重抽  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重复划分用的是同一批病人，跨划分的标准误低估总体不确定性。外层按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病人 ID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 对队列自助抽样（避免同一病人的副本落到划分两侧），尝试把划分噪声和病人抽样变异近似分开——对有些量，后者在我们能负担的蒙特卡洛精度下并不可辨识。</w:t>
      </w:r>
    </w:p>
    <w:p>
      <w:pPr>
        <w:spacing w:after="44" w:line="250"/>
        <w:ind w:left="300" w:hanging="300"/>
        <w:jc w:val="both"/>
      </w:pPr>
      <w:r>
        <w:rPr>
          <w:rFonts w:ascii="Noto Sans CJK SC" w:cs="Noto Sans CJK SC" w:eastAsia="Noto Sans CJK SC" w:hAnsi="Noto Sans CJK SC"/>
          <w:b/>
          <w:bCs/>
          <w:color w:val="1A4B7A"/>
          <w:sz w:val="19"/>
          <w:szCs w:val="19"/>
        </w:rPr>
        <w:t xml:space="preserve">模拟与因子设计  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真值已知、评分集固定 10 万人，只让拟合集大小变化；再用分辨率 IV 部分因子设计在六个因子上各取两水平，共 16 个情景，报告固定样本量下的成功概率。</w:t>
      </w:r>
    </w:p>
    <w:p>
      <w:pPr>
        <w:spacing w:after="52" w:line="24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两个公开队列做基准：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colon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（辅助结肠癌随机试验，n = 619，完整方案保留 176 人、56 事件）和 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Rotterdam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（乳腺癌登记队列，n = 2982，保留 419 人、191 事件）。事件数比人数小得多，也更要紧。</w:t>
      </w:r>
    </w:p>
    <w:p>
      <w:pPr>
        <w:spacing w:after="78" w:before="170"/>
      </w:pPr>
      <w:r>
        <w:rPr>
          <w:rFonts w:ascii="Noto Sans CJK SC" w:cs="Noto Sans CJK SC" w:eastAsia="Noto Sans CJK SC" w:hAnsi="Noto Sans CJK SC"/>
          <w:b/>
          <w:bCs/>
          <w:color w:val="1A4B7A"/>
          <w:sz w:val="21"/>
          <w:szCs w:val="21"/>
        </w:rPr>
        <w:t xml:space="preserve">四、五个发现</w:t>
      </w:r>
    </w:p>
    <w:p>
      <w:pPr>
        <w:spacing w:after="55" w:before="110"/>
      </w:pP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1. 「多纳入病人」主要是构造性的</w:t>
      </w:r>
    </w:p>
    <w:p>
      <w:pPr>
        <w:spacing w:after="52" w:line="24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规则保留的是完整方案标准的子集，所以合格人数只增不减——500 次划分里最小差值恰好是 0，从不为负。文献常报的那个「承诺兑现率」衡量的是规则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移除了起约束作用的标准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的频率，而不是移除得对不对。真正要问的是：在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同样多的人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下，它的疗效估计是否更好。</w:t>
      </w:r>
    </w:p>
    <w:p>
      <w:pPr>
        <w:spacing w:after="55" w:before="110"/>
      </w:pP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2. 相同入组人数下的优势：这两个队列判不出来</w:t>
      </w:r>
    </w:p>
    <w:p>
      <w:pPr>
        <w:spacing w:after="52" w:line="24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在合格人数相差 10% 以内的子集中，规则的风险比更低的比例是 63.4%（colon）和 57.1%（Rotterdam）；换成 RMST 差是 41.1% 和 59.0%，两个队列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方向相反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。重抽病人时，中间 80% 的范围是 [0.37–0.69] 和 [0.45–0.71]，宽度分别是 0.32 和 0.26。我们把它当作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统计量对队列构成有多敏感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来报告，不当作检验；文中没有做过任何有校准的总体层面比较。</w:t>
      </w:r>
    </w:p>
    <w:p>
      <w:pPr>
        <w:spacing w:after="55" w:before="110"/>
      </w:pP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3. 规则很少落在前沿上，但那个前沿本身是乐观的</w:t>
      </w:r>
    </w:p>
    <w:p>
      <w:pPr>
        <w:spacing w:after="52" w:line="24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若存在另一个子集，纳入人数不少于规则、风险比不高于规则，就说规则被支配。规则落在前沿上的比例只有 3.0% 和 1.0%，平均有 117 和 85 个子集支配它。但这个前沿是在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同一批留出数据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上从 512 个带噪声的估计里挑最优挑出来的，带「胜者诅咒」式的乐观偏倚：真值已知的模拟里，表面支配者只有 19.5% 在总体上真的支配，37.6% 能在另一半独立数据上重现。</w:t>
      </w:r>
    </w:p>
    <w:p>
      <w:pPr>
        <w:spacing w:after="52" w:line="24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在真实队列里我们用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三分法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把这件事做干净：第一份拟合规则，第二份挑出支配它的子集，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这些子集固定之后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再拿到从未用过的第三份上重新评价。规则不被任何预选子集支配的比例是 21.0%（colon）和 12.0%（Rotterdam），而同一设计下挑选份上的经验口径只有 2.5% 和 2.7%。预选支配者在未用过那份上仍然支配的比例是 35.3% 和 41.4%。方向不变——大多数划分里规则仍被支配——但只报挑选份上的数会把差距夸大一个量级。</w:t>
      </w:r>
    </w:p>
    <w:p>
      <w:pPr>
        <w:spacing w:after="55" w:before="110"/>
      </w:pP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4. 疗效估计这条承诺：既不能说守住，也不能说没守住</w:t>
      </w:r>
    </w:p>
    <w:p>
      <w:pPr>
        <w:spacing w:after="52" w:line="24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样本外风险比更低的比例，colon 是 0.290、Rotterdam 是 0.522。重抽病人时它们的中间 80% 范围是 [0.04–0.60] 和 [0.20–0.80]，跨过大半个单位区间。所以这两个数是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这两份数据集的性质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，不是对方法成功率的估计；用它们下「承诺没守住」的判断是过头的。相比之下入组承诺稳得多（[0.92–1.00]），因为它是构造性的。</w:t>
      </w:r>
    </w:p>
    <w:p>
      <w:pPr>
        <w:spacing w:after="55" w:before="110"/>
      </w:pP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5. 「多少数据才够」没有通用答案</w:t>
      </w:r>
    </w:p>
    <w:p>
      <w:pPr>
        <w:spacing w:after="52" w:line="24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在已知真值的模拟里门槛是清楚的：拟合集从 300 人到 20000 人，疗效承诺的成功率从 0.273 升到 0.997。但换一个机制，这条曲线就换一个位置。跨 16 个情景，同一固定样本量下成功率的标准差在 0.28 到 0.39 之间；改用事件数或有效样本量分箱也没有把这个离散度压下去（0.34、0.35、0.34）。这三个数只是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在这一种分箱方式下数值相近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，不能证明三种「信息货币」等价。混杂会把门槛推高：同一个结局模型下，随机化那一臂在 5167 人处成功率是 0.937，正确调整的混杂臂只有 0.808；而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漏掉一个混杂因子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反而把表观可靠性拉回随机化水平（0.936），同时把估计量的总体极限抬高 8.6%、把选对标准的比例从 0.280 压到 0.116。也就是说，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表面上更可靠恰恰是偏倚的症状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。</w:t>
      </w:r>
    </w:p>
    <w:p>
      <w:pPr>
        <w:spacing w:after="55" w:before="110"/>
      </w:pP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核心数字一览</w:t>
      </w:r>
    </w:p>
    <w:tbl>
      <w:tblPr>
        <w:tblW w:type="dxa" w:w="9800"/>
        <w:tblBorders>
          <w:top w:val="single" w:color="AAAAAA" w:sz="4"/>
          <w:left w:val="none"/>
          <w:bottom w:val="single" w:color="AAAAAA" w:sz="4"/>
          <w:right w:val="none"/>
          <w:insideH w:val="single" w:color="DDDDDD" w:sz="2"/>
          <w:insideV w:val="none"/>
        </w:tblBorders>
      </w:tblPr>
      <w:tblGrid>
        <w:gridCol w:w="4000"/>
        <w:gridCol w:w="2900"/>
        <w:gridCol w:w="2900"/>
      </w:tblGrid>
      <w:tr>
        <w:trPr>
          <w:cantSplit/>
          <w:tblHeader/>
        </w:trPr>
        <w:tc>
          <w:tcPr>
            <w:tcW w:type="dxa" w:w="4000"/>
            <w:shd w:fill="EEF2F6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/>
                <w:bCs/>
                <w:sz w:val="16"/>
                <w:szCs w:val="16"/>
              </w:rPr>
              <w:t xml:space="preserve">量（方括号内为重抽病人的中间 80% 范围）</w:t>
            </w:r>
          </w:p>
        </w:tc>
        <w:tc>
          <w:tcPr>
            <w:tcW w:type="dxa" w:w="2900"/>
            <w:shd w:fill="EEF2F6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right"/>
            </w:pPr>
            <w:r>
              <w:rPr>
                <w:rFonts w:ascii="Noto Sans CJK SC" w:cs="Noto Sans CJK SC" w:eastAsia="Noto Sans CJK SC" w:hAnsi="Noto Sans CJK SC"/>
                <w:b/>
                <w:bCs/>
                <w:sz w:val="16"/>
                <w:szCs w:val="16"/>
              </w:rPr>
              <w:t xml:space="preserve">colon</w:t>
            </w:r>
          </w:p>
        </w:tc>
        <w:tc>
          <w:tcPr>
            <w:tcW w:type="dxa" w:w="2900"/>
            <w:shd w:fill="EEF2F6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right"/>
            </w:pPr>
            <w:r>
              <w:rPr>
                <w:rFonts w:ascii="Noto Sans CJK SC" w:cs="Noto Sans CJK SC" w:eastAsia="Noto Sans CJK SC" w:hAnsi="Noto Sans CJK SC"/>
                <w:b/>
                <w:bCs/>
                <w:sz w:val="16"/>
                <w:szCs w:val="16"/>
              </w:rPr>
              <w:t xml:space="preserve">Rotterdam</w:t>
            </w:r>
          </w:p>
        </w:tc>
      </w:tr>
      <w:tr>
        <w:trPr>
          <w:cantSplit/>
        </w:trPr>
        <w:tc>
          <w:tcPr>
            <w:tcW w:type="dxa" w:w="40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sz w:val="16"/>
                <w:szCs w:val="16"/>
              </w:rPr>
              <w:t xml:space="preserve">全队列：n / 完整方案保留人数 / 事件</w:t>
            </w:r>
          </w:p>
        </w:tc>
        <w:tc>
          <w:tcPr>
            <w:tcW w:type="dxa" w:w="2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righ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sz w:val="16"/>
                <w:szCs w:val="16"/>
              </w:rPr>
              <w:t xml:space="preserve">619 / 176 / 56</w:t>
            </w:r>
          </w:p>
        </w:tc>
        <w:tc>
          <w:tcPr>
            <w:tcW w:type="dxa" w:w="2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righ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sz w:val="16"/>
                <w:szCs w:val="16"/>
              </w:rPr>
              <w:t xml:space="preserve">2982 / 419 / 191</w:t>
            </w:r>
          </w:p>
        </w:tc>
      </w:tr>
      <w:tr>
        <w:trPr>
          <w:cantSplit/>
        </w:trPr>
        <w:tc>
          <w:tcPr>
            <w:tcW w:type="dxa" w:w="40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sz w:val="16"/>
                <w:szCs w:val="16"/>
              </w:rPr>
              <w:t xml:space="preserve">评分半样本上：完整方案 → 规则的合格人数（均值）</w:t>
            </w:r>
          </w:p>
        </w:tc>
        <w:tc>
          <w:tcPr>
            <w:tcW w:type="dxa" w:w="2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righ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sz w:val="16"/>
                <w:szCs w:val="16"/>
              </w:rPr>
              <w:t xml:space="preserve">88 → 149</w:t>
            </w:r>
          </w:p>
        </w:tc>
        <w:tc>
          <w:tcPr>
            <w:tcW w:type="dxa" w:w="2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righ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sz w:val="16"/>
                <w:szCs w:val="16"/>
              </w:rPr>
              <w:t xml:space="preserve">210 → 435</w:t>
            </w:r>
          </w:p>
        </w:tc>
      </w:tr>
      <w:tr>
        <w:trPr>
          <w:cantSplit/>
        </w:trPr>
        <w:tc>
          <w:tcPr>
            <w:tcW w:type="dxa" w:w="40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sz w:val="16"/>
                <w:szCs w:val="16"/>
              </w:rPr>
              <w:t xml:space="preserve">P(比完整方案纳入更多)</w:t>
            </w:r>
          </w:p>
        </w:tc>
        <w:tc>
          <w:tcPr>
            <w:tcW w:type="dxa" w:w="2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righ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sz w:val="16"/>
                <w:szCs w:val="16"/>
              </w:rPr>
              <w:t xml:space="preserve">98.8%  [0.92–1.00]</w:t>
            </w:r>
          </w:p>
        </w:tc>
        <w:tc>
          <w:tcPr>
            <w:tcW w:type="dxa" w:w="2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righ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sz w:val="16"/>
                <w:szCs w:val="16"/>
              </w:rPr>
              <w:t xml:space="preserve">100.0%  [1.00–1.00]</w:t>
            </w:r>
          </w:p>
        </w:tc>
      </w:tr>
      <w:tr>
        <w:trPr>
          <w:cantSplit/>
        </w:trPr>
        <w:tc>
          <w:tcPr>
            <w:tcW w:type="dxa" w:w="40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sz w:val="16"/>
                <w:szCs w:val="16"/>
              </w:rPr>
              <w:t xml:space="preserve">P(样本外风险比更低)</w:t>
            </w:r>
          </w:p>
        </w:tc>
        <w:tc>
          <w:tcPr>
            <w:tcW w:type="dxa" w:w="2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righ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sz w:val="16"/>
                <w:szCs w:val="16"/>
              </w:rPr>
              <w:t xml:space="preserve">29.0%  [0.04–0.60]</w:t>
            </w:r>
          </w:p>
        </w:tc>
        <w:tc>
          <w:tcPr>
            <w:tcW w:type="dxa" w:w="2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righ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sz w:val="16"/>
                <w:szCs w:val="16"/>
              </w:rPr>
              <w:t xml:space="preserve">52.3%  [0.20–0.80]</w:t>
            </w:r>
          </w:p>
        </w:tc>
      </w:tr>
      <w:tr>
        <w:trPr>
          <w:cantSplit/>
        </w:trPr>
        <w:tc>
          <w:tcPr>
            <w:tcW w:type="dxa" w:w="40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sz w:val="16"/>
                <w:szCs w:val="16"/>
              </w:rPr>
              <w:t xml:space="preserve">相同人数下风险比更低（10% 带）</w:t>
            </w:r>
          </w:p>
        </w:tc>
        <w:tc>
          <w:tcPr>
            <w:tcW w:type="dxa" w:w="2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righ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sz w:val="16"/>
                <w:szCs w:val="16"/>
              </w:rPr>
              <w:t xml:space="preserve">63.4%  [0.37–0.69]</w:t>
            </w:r>
          </w:p>
        </w:tc>
        <w:tc>
          <w:tcPr>
            <w:tcW w:type="dxa" w:w="2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righ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sz w:val="16"/>
                <w:szCs w:val="16"/>
              </w:rPr>
              <w:t xml:space="preserve">57.1%  [0.45–0.71]</w:t>
            </w:r>
          </w:p>
        </w:tc>
      </w:tr>
      <w:tr>
        <w:trPr>
          <w:cantSplit/>
        </w:trPr>
        <w:tc>
          <w:tcPr>
            <w:tcW w:type="dxa" w:w="40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sz w:val="16"/>
                <w:szCs w:val="16"/>
              </w:rPr>
              <w:t xml:space="preserve">相同人数下 RMST 更好（10% 带）</w:t>
            </w:r>
          </w:p>
        </w:tc>
        <w:tc>
          <w:tcPr>
            <w:tcW w:type="dxa" w:w="2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righ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sz w:val="16"/>
                <w:szCs w:val="16"/>
              </w:rPr>
              <w:t xml:space="preserve">41.1%  [0.31–0.57]</w:t>
            </w:r>
          </w:p>
        </w:tc>
        <w:tc>
          <w:tcPr>
            <w:tcW w:type="dxa" w:w="2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righ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sz w:val="16"/>
                <w:szCs w:val="16"/>
              </w:rPr>
              <w:t xml:space="preserve">59.0%  [0.43–0.71]</w:t>
            </w:r>
          </w:p>
        </w:tc>
      </w:tr>
      <w:tr>
        <w:trPr>
          <w:cantSplit/>
        </w:trPr>
        <w:tc>
          <w:tcPr>
            <w:tcW w:type="dxa" w:w="40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sz w:val="16"/>
                <w:szCs w:val="16"/>
              </w:rPr>
              <w:t xml:space="preserve">落在人数—风险比前沿上</w:t>
            </w:r>
          </w:p>
        </w:tc>
        <w:tc>
          <w:tcPr>
            <w:tcW w:type="dxa" w:w="2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righ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sz w:val="16"/>
                <w:szCs w:val="16"/>
              </w:rPr>
              <w:t xml:space="preserve">3.0%  [0.00–0.08]</w:t>
            </w:r>
          </w:p>
        </w:tc>
        <w:tc>
          <w:tcPr>
            <w:tcW w:type="dxa" w:w="2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righ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sz w:val="16"/>
                <w:szCs w:val="16"/>
              </w:rPr>
              <w:t xml:space="preserve">1.0%  [0.00–0.12]</w:t>
            </w:r>
          </w:p>
        </w:tc>
      </w:tr>
      <w:tr>
        <w:trPr>
          <w:cantSplit/>
        </w:trPr>
        <w:tc>
          <w:tcPr>
            <w:tcW w:type="dxa" w:w="40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sz w:val="16"/>
                <w:szCs w:val="16"/>
              </w:rPr>
              <w:t xml:space="preserve">三分法：不被任何预选子集支配</w:t>
            </w:r>
          </w:p>
        </w:tc>
        <w:tc>
          <w:tcPr>
            <w:tcW w:type="dxa" w:w="2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righ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sz w:val="16"/>
                <w:szCs w:val="16"/>
              </w:rPr>
              <w:t xml:space="preserve">21.0%  [0.04–0.28]</w:t>
            </w:r>
          </w:p>
        </w:tc>
        <w:tc>
          <w:tcPr>
            <w:tcW w:type="dxa" w:w="2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righ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sz w:val="16"/>
                <w:szCs w:val="16"/>
              </w:rPr>
              <w:t xml:space="preserve">12.0%  [0.08–0.28]</w:t>
            </w:r>
          </w:p>
        </w:tc>
      </w:tr>
      <w:tr>
        <w:trPr>
          <w:cantSplit/>
        </w:trPr>
        <w:tc>
          <w:tcPr>
            <w:tcW w:type="dxa" w:w="40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sz w:val="16"/>
                <w:szCs w:val="16"/>
              </w:rPr>
              <w:t xml:space="preserve">三分法：同一设计挑选份上的经验口径</w:t>
            </w:r>
          </w:p>
        </w:tc>
        <w:tc>
          <w:tcPr>
            <w:tcW w:type="dxa" w:w="2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righ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sz w:val="16"/>
                <w:szCs w:val="16"/>
              </w:rPr>
              <w:t xml:space="preserve">2.5%</w:t>
            </w:r>
          </w:p>
        </w:tc>
        <w:tc>
          <w:tcPr>
            <w:tcW w:type="dxa" w:w="2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righ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sz w:val="16"/>
                <w:szCs w:val="16"/>
              </w:rPr>
              <w:t xml:space="preserve">2.7%</w:t>
            </w:r>
          </w:p>
        </w:tc>
      </w:tr>
      <w:tr>
        <w:trPr>
          <w:cantSplit/>
        </w:trPr>
        <w:tc>
          <w:tcPr>
            <w:tcW w:type="dxa" w:w="40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sz w:val="16"/>
                <w:szCs w:val="16"/>
              </w:rPr>
              <w:t xml:space="preserve">三分法：预选支配者在未用份上重现</w:t>
            </w:r>
          </w:p>
        </w:tc>
        <w:tc>
          <w:tcPr>
            <w:tcW w:type="dxa" w:w="2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righ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sz w:val="16"/>
                <w:szCs w:val="16"/>
              </w:rPr>
              <w:t xml:space="preserve">35.3%  [0.31–0.50]</w:t>
            </w:r>
          </w:p>
        </w:tc>
        <w:tc>
          <w:tcPr>
            <w:tcW w:type="dxa" w:w="2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righ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sz w:val="16"/>
                <w:szCs w:val="16"/>
              </w:rPr>
              <w:t xml:space="preserve">41.4%  [0.29–0.50]</w:t>
            </w:r>
          </w:p>
        </w:tc>
      </w:tr>
    </w:tbl>
    <w:p>
      <w:pPr>
        <w:spacing w:after="150"/>
      </w:pPr>
      <w:r>
        <w:rPr>
          <w:rFonts w:ascii="Noto Serif CJK SC" w:cs="Noto Serif CJK SC" w:eastAsia="Noto Serif CJK SC" w:hAnsi="Noto Serif CJK SC"/>
          <w:b w:val="false"/>
          <w:bCs w:val="false"/>
          <w:color w:val="666666"/>
          <w:sz w:val="15"/>
          <w:szCs w:val="15"/>
        </w:rPr>
        <w:t xml:space="preserve">点估计来自 500（colon）／400（Rotterdam）次重复划分，三分法为 400／300 次。方括号是外层按病人 ID 自助抽样后中间 80% 的范围，</w:t>
      </w:r>
      <w:r>
        <w:rPr>
          <w:rFonts w:ascii="Noto Sans CJK SC" w:cs="Noto Sans CJK SC" w:eastAsia="Noto Sans CJK SC" w:hAnsi="Noto Sans CJK SC"/>
          <w:b/>
          <w:bCs/>
          <w:color w:val="666666"/>
          <w:sz w:val="15"/>
          <w:szCs w:val="15"/>
        </w:rPr>
        <w:t xml:space="preserve">不是置信区间</w:t>
      </w:r>
      <w:r>
        <w:rPr>
          <w:rFonts w:ascii="Noto Serif CJK SC" w:cs="Noto Serif CJK SC" w:eastAsia="Noto Serif CJK SC" w:hAnsi="Noto Serif CJK SC"/>
          <w:b w:val="false"/>
          <w:bCs w:val="false"/>
          <w:color w:val="666666"/>
          <w:sz w:val="15"/>
          <w:szCs w:val="15"/>
        </w:rPr>
        <w:t xml:space="preserve">：覆盖率未经验证，全文没有结论建立在它是否跨过某个值之上。Rotterdam 涉及风险比的结果只作描述。</w:t>
      </w:r>
    </w:p>
    <w:p>
      <w:pPr>
        <w:spacing w:after="78" w:before="170"/>
      </w:pPr>
      <w:r>
        <w:rPr>
          <w:rFonts w:ascii="Noto Sans CJK SC" w:cs="Noto Sans CJK SC" w:eastAsia="Noto Sans CJK SC" w:hAnsi="Noto Sans CJK SC"/>
          <w:b/>
          <w:bCs/>
          <w:color w:val="1A4B7A"/>
          <w:sz w:val="21"/>
          <w:szCs w:val="21"/>
        </w:rPr>
        <w:t xml:space="preserve">五、文章明确不主张什么</w:t>
      </w:r>
    </w:p>
    <w:p>
      <w:pPr>
        <w:spacing w:after="52" w:line="24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这一节很重要，因为这篇稿子的价值有一半在边界上。我们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不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说 Trial Pathfinder 是错的——总体层面上我们复现的规则确实收敛到最优标准集。我们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不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说疗效承诺没守住，只说这两个队列判不出来。我们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不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说「无条件的数据量要求不存在」，只说在所考察的机制里、单靠队列规模定不出来，而且我们也说不出决定它的是哪个量。我们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不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把病人重抽范围当作置信区间：它们的覆盖率没有对着已知总体验证过，流程里还有 Shapley 取符号和前沿挑选两个非光滑步骤，所以全文没有任何结论建立在「范围是否跨过 0.5 或 0」之上；等效性方面只说明未预设等效界值、也未做等效性检验。Rotterdam 的重叠很差（完整方案的 419 人里有 132 人的倾向值压在截断边界上，加权后有效样本量只剩 37%），所以它所有涉及风险比的结果都只作描述。</w:t>
      </w:r>
    </w:p>
    <w:p>
      <w:pPr>
        <w:spacing w:after="78" w:before="170"/>
      </w:pPr>
      <w:r>
        <w:rPr>
          <w:rFonts w:ascii="Noto Sans CJK SC" w:cs="Noto Sans CJK SC" w:eastAsia="Noto Sans CJK SC" w:hAnsi="Noto Sans CJK SC"/>
          <w:b/>
          <w:bCs/>
          <w:color w:val="1A4B7A"/>
          <w:sz w:val="21"/>
          <w:szCs w:val="21"/>
        </w:rPr>
        <w:t xml:space="preserve">六、三个能被单独拿走用的副产品</w:t>
      </w:r>
    </w:p>
    <w:p>
      <w:pPr>
        <w:spacing w:after="44" w:line="250"/>
        <w:ind w:left="300" w:hanging="300"/>
        <w:jc w:val="both"/>
      </w:pPr>
      <w:r>
        <w:rPr>
          <w:rFonts w:ascii="Noto Sans CJK SC" w:cs="Noto Sans CJK SC" w:eastAsia="Noto Sans CJK SC" w:hAnsi="Noto Sans CJK SC"/>
          <w:b/>
          <w:bCs/>
          <w:color w:val="1A4B7A"/>
          <w:sz w:val="19"/>
          <w:szCs w:val="19"/>
        </w:rPr>
        <w:t xml:space="preserve">交互杠杆  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闭式量 L = 1 − p(ij)/p(i) − p(ij)/p(j) + p(ij)，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只用入组率、不碰结局数据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，动手前就能算。AND／OR／XOR 三种形式的系数分别是 (1−q)²、−(1−q)²、−2(1−q)²。杠杆低不等于「结构上测不出」，而是按已知因子的衰减。</w:t>
      </w:r>
    </w:p>
    <w:p>
      <w:pPr>
        <w:spacing w:after="44" w:line="250"/>
        <w:ind w:left="300" w:hanging="300"/>
        <w:jc w:val="both"/>
      </w:pPr>
      <w:r>
        <w:rPr>
          <w:rFonts w:ascii="Noto Sans CJK SC" w:cs="Noto Sans CJK SC" w:eastAsia="Noto Sans CJK SC" w:hAnsi="Noto Sans CJK SC"/>
          <w:b/>
          <w:bCs/>
          <w:color w:val="1A4B7A"/>
          <w:sz w:val="19"/>
          <w:szCs w:val="19"/>
        </w:rPr>
        <w:t xml:space="preserve">蕴含检测器  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若标准 i 逻辑上蕴含 j，这对的交互是算术恒等式，无论样本量多大都无信息，必须从检验族里剔除。</w:t>
      </w:r>
    </w:p>
    <w:p>
      <w:pPr>
        <w:spacing w:after="44" w:line="250"/>
        <w:ind w:left="300" w:hanging="300"/>
        <w:jc w:val="both"/>
      </w:pPr>
      <w:r>
        <w:rPr>
          <w:rFonts w:ascii="Noto Sans CJK SC" w:cs="Noto Sans CJK SC" w:eastAsia="Noto Sans CJK SC" w:hAnsi="Noto Sans CJK SC"/>
          <w:b/>
          <w:bCs/>
          <w:color w:val="1A4B7A"/>
          <w:sz w:val="19"/>
          <w:szCs w:val="19"/>
        </w:rPr>
        <w:t xml:space="preserve">双估计量并行  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同时报风险比和 RMST 差。条件风险比固定为 0.6 的模拟里，一条没有改变任何人相对获益的标准，其对数风险比 Shapley 值却随预后异质性从 -0.0008 移到 -0.066（大体随异质性增大，但不严格单调）；异质性为零时假象消失。这就是不可折叠性在这套流程里的具体表现。</w:t>
      </w:r>
    </w:p>
    <w:p>
      <w:pPr>
        <w:spacing w:after="78" w:before="170"/>
      </w:pPr>
      <w:r>
        <w:rPr>
          <w:rFonts w:ascii="Noto Sans CJK SC" w:cs="Noto Sans CJK SC" w:eastAsia="Noto Sans CJK SC" w:hAnsi="Noto Sans CJK SC"/>
          <w:b/>
          <w:bCs/>
          <w:color w:val="1A4B7A"/>
          <w:sz w:val="21"/>
          <w:szCs w:val="21"/>
        </w:rPr>
        <w:t xml:space="preserve">七、给要动手做的人的四步</w:t>
      </w:r>
    </w:p>
    <w:p>
      <w:pPr>
        <w:spacing w:after="52" w:line="24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（1）先把出于安全性、耐受性、给药可行性的标准标记为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不可放宽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，它们不进入优化。（2）看结局之前先算交互杠杆和逻辑蕴含，把注定无信息的格子去掉。（3）检查完整方案内部的正性／重叠——重叠不好的话，后面所有因果读法都不成立。（4）判断方案里有没有一条标准集中了足够的差异获益；没有的话，就只报告人群扩大，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不报告疗效改善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。</w:t>
      </w:r>
    </w:p>
    <w:p>
      <w:pPr>
        <w:spacing w:after="78" w:before="170"/>
      </w:pPr>
      <w:r>
        <w:rPr>
          <w:rFonts w:ascii="Noto Sans CJK SC" w:cs="Noto Sans CJK SC" w:eastAsia="Noto Sans CJK SC" w:hAnsi="Noto Sans CJK SC"/>
          <w:b/>
          <w:bCs/>
          <w:color w:val="1A4B7A"/>
          <w:sz w:val="21"/>
          <w:szCs w:val="21"/>
        </w:rPr>
        <w:t xml:space="preserve">八、局限</w:t>
      </w:r>
    </w:p>
    <w:p>
      <w:pPr>
        <w:spacing w:after="52" w:line="24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两个队列都不大，事件数分别只有 56 和 191，所以「判不出来」在相当程度上是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这两份数据的局限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，不是对方法的判决——这一点我们反复写明。标准是从可得协变量构造的，不是任何试验的方案原文，所以这研究的是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流程的一般行为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，不是对某个试验入组标准的评价。模拟只覆盖我们能想到的机制，因子设计只有 16 个固定设计点。</w:t>
      </w:r>
    </w:p>
    <w:sectPr>
      <w:pgSz w:w="12240" w:h="15840" w:orient="portrait"/>
      <w:pgMar w:top="640" w:right="900" w:bottom="6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2026-09-05T03:49:00.621Z</dcterms:created>
  <dcterms:modified xsi:type="dcterms:W3CDTF">2026-09-05T03:49:00.623Z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