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oto Sans CJK SC" w:cs="Noto Sans CJK SC" w:eastAsia="Noto Sans CJK SC" w:hAnsi="Noto Sans CJK SC"/>
          <w:b/>
          <w:bCs/>
          <w:sz w:val="28"/>
          <w:szCs w:val="28"/>
        </w:rPr>
        <w:t xml:space="preserve">数据驱动放宽临床试验入组标准：这项工作做了什么</w:t>
      </w:r>
    </w:p>
    <w:p>
      <w:pPr>
        <w:spacing w:after="200"/>
        <w:jc w:val="center"/>
      </w:pPr>
      <w:r>
        <w:rPr>
          <w:rFonts w:ascii="Noto Serif CJK SC" w:cs="Noto Serif CJK SC" w:eastAsia="Noto Serif CJK SC" w:hAnsi="Noto Serif CJK SC"/>
          <w:color w:val="666666"/>
          <w:sz w:val="17"/>
          <w:szCs w:val="17"/>
        </w:rPr>
        <w:t xml:space="preserve">三页解读 · 第二轮大修版（中心结论已再次改变）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一、一句话</w:t>
      </w:r>
    </w:p>
    <w:p>
      <w:pPr>
        <w:spacing w:after="14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Trial Pathfinder（Liu 等，Nature 2021）用 Shapley 值找出「限制了人数却没带来疗效」的入组标准并放宽，宣称由此既能多纳入病人、又能得到更好的疗效估计。我们把这两个承诺分开做了样本外检验，两轮审稿之后的结论是：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多纳入病人这一条主要由规则的构造决定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——把规则放到「所有 512 个子集」里去比，在相同入组人数下它的风险比优势真实但不大，而它落在「人数—风险比」帕累托前沿上的比例只有 1.6% 和 3.0%。至于疗效估计要多少数据才够，我们的答案是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给不出来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：决定这件事的是「最强的那条稀释性标准有多强」，而那恰恰是这个分析本身要去发现的量。这是一个否定性结论，也是我们认为最有用的一条。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二、原文做了什么，我们问了什么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肿瘤试验的入组标准往往过严。Trial Pathfinder 把每条标准看成合作博弈的参与者，用 Shapley 值分摊各自对疗效估计的边际贡献，值为负的保留、其余放宽；在一个肺癌真实世界数据库上它同时放大了合格人群、降低了风险比。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我们注意到三件事：已有评价都是样本内的（标准和效果在同一批人身上）；「更多病人」和「更好估计」被当成一对报告，但没有理由认为两者需要同样多的数据、甚至是同一类命题；风险比不可折叠，缩小人群本身就会让它移动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三、怎么做的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样本外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按治疗组和事件分层随机对半分，只在一半上选标准，再把方案拿到另一半上评分，重复 400–500 次。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全子集对照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既然规则保留的是标准的子集，「比完整方案纳入更多」不可能有别的结果。所以把全部 512 个子集都在留出的一半上评分，在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相同入组人数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下比较，并看规则离可达前沿有多远。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嵌套自助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重复划分用的是同一批病人，跨划分标准误低估了总体不确定性。外层对队列自助抽样（按病人 ID 划分，避免泄漏），把算法稳定性和总体不确定性分开。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因子设计模拟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评分集固定 10 万人、真值已知，只让拟合集变化；再用 2⁴ 分辨率 IV 部分因子设计在六个因子上各取两水平，共 16 个情景，报告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固定样本量下的成功概率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而不是估计阈值。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两个公开队列做基准：colon（辅助结肠癌随机试验，n = 619，完整方案保留 176 人 / 56 个事件）和 Rotterdam（乳腺癌登记队列，n = 2982，保留 419 人 / 191 个事件）。注意事件数比人数小得多，也更要紧。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四、五个发现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1. 「多纳入病人」主要是构造性的，规则也很少落在最优前沿上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500 次划分里，合格人数的最小差值恰好是 0，从不为负——这正是子集关系决定的。规则在 99.0% 的划分里移除了至少一条标准，另有 1.2% 移除的标准在评分半边不起约束作用，两者之差 0.978 就是我们和文献一直在报的那个「承诺兑现率」。它衡量的是规则移除起约束作用的标准的频率，而不是移除得对不对。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第一轮我们用「随机去掉同样条数」做对照，审稿人指出这不公平：规则和随机方案纳入的人数差很多（Rotterdam 442 vs 664），风险比是在不同的人群规模上比的。第二轮改成把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全部 512 个子集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都在留出的那一半上评分：在合格人数相差 10% 以内的子集中，规则的风险比更低的比例是 59.8%（colon）和 54.8%（Rotterdam）——真实但不大；在 RMST 上则是 42.7% 和 51.5%，不比随机好。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更说明问题的是前沿分析：如果存在另一个子集，纳入人数不少于规则、风险比不高于规则，就说规则被支配了。规则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落在前沿上的比例只有 1.6% 和 3.0%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，中位有 72 和 60 个子集支配它。也就是说，规则并不是在优化「多纳人 vs 低风险比」这个取舍，而且样本外通常离可达前沿有相当距离。只跟完整方案比，这一切都看不见。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2. 疗效估计这条承诺，两个队列都没守住，而且我们其实说不准</w:t>
      </w:r>
    </w:p>
    <w:tbl>
      <w:tblPr>
        <w:tblW w:type="dxa" w:w="7500"/>
        <w:tblBorders>
          <w:top w:val="single" w:color="AAAAAA" w:sz="4"/>
          <w:left w:val="none"/>
          <w:bottom w:val="single" w:color="AAAAAA" w:sz="4"/>
          <w:right w:val="none"/>
          <w:insideH w:val="single" w:color="DDDDDD" w:sz="2"/>
          <w:insideV w:val="none"/>
        </w:tblBorders>
      </w:tblPr>
      <w:tblGrid>
        <w:gridCol w:w="2900"/>
        <w:gridCol w:w="2300"/>
        <w:gridCol w:w="2300"/>
      </w:tblGrid>
      <w:tr>
        <w:trPr>
          <w:cantSplit/>
          <w:tblHeader/>
        </w:trPr>
        <w:tc>
          <w:tcPr>
            <w:tcW w:type="dxa" w:w="29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样本外对比</w:t>
            </w:r>
          </w:p>
        </w:tc>
        <w:tc>
          <w:tcPr>
            <w:tcW w:type="dxa" w:w="23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colon (n=619)</w:t>
            </w:r>
          </w:p>
        </w:tc>
        <w:tc>
          <w:tcPr>
            <w:tcW w:type="dxa" w:w="2300"/>
            <w:shd w:fill="EEF2F6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ans CJK SC" w:cs="Noto Sans CJK SC" w:eastAsia="Noto Sans CJK SC" w:hAnsi="Noto Sans CJK SC"/>
                <w:b/>
                <w:bCs/>
                <w:sz w:val="17"/>
                <w:szCs w:val="17"/>
              </w:rPr>
              <w:t xml:space="preserve">Rotterdam (n=2982)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多纳入人数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+59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+229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风险比之差；P(更低)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+0.078；0.270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+0.001；0.497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RMST 之差；P(更大)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−5.8 天；0.452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+6.9 天；0.580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P(更低) 的 95% 区间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[0.00, 0.72]</w:t>
            </w:r>
          </w:p>
        </w:tc>
        <w:tc>
          <w:tcPr>
            <w:tcW w:type="dxa" w:w="23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 w:line="250"/>
              <w:jc w:val="righ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sz w:val="17"/>
                <w:szCs w:val="17"/>
              </w:rPr>
              <w:t xml:space="preserve">[0.15, 0.81]</w:t>
            </w:r>
          </w:p>
        </w:tc>
      </w:tr>
    </w:tbl>
    <w:p>
      <w:pPr>
        <w:spacing w:after="150"/>
      </w:pP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最后一行来自嵌套自助（70 次外层重抽 × 18 次内层划分）。第二轮审稿指出我们原来的实现有泄漏：自助样本里同一个病人的多个副本可能被分到划分的两侧。改成按病人 ID 划分后区间反而变窄了。跨划分标准误 0.0105，其中真正的跨队列成分是 0.151——是前者的 </w:t>
      </w:r>
      <w:r>
        <w:rPr>
          <w:rFonts w:ascii="Noto Sans CJK SC" w:cs="Noto Sans CJK SC" w:eastAsia="Noto Sans CJK SC" w:hAnsi="Noto Sans CJK SC"/>
          <w:b/>
          <w:bCs/>
          <w:color w:val="666666"/>
          <w:sz w:val="15"/>
          <w:szCs w:val="15"/>
        </w:rPr>
        <w:t xml:space="preserve">14 倍</w:t>
      </w:r>
      <w:r>
        <w:rPr>
          <w:rFonts w:ascii="Noto Serif CJK SC" w:cs="Noto Serif CJK SC" w:eastAsia="Noto Serif CJK SC" w:hAnsi="Noto Serif CJK SC"/>
          <w:b w:val="false"/>
          <w:bCs w:val="false"/>
          <w:color w:val="666666"/>
          <w:sz w:val="15"/>
          <w:szCs w:val="15"/>
        </w:rPr>
        <w:t xml:space="preserve">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区间几乎覆盖了整个取值范围。也就是说，colon 这个队列分不清「十次里有九次守住」和「一次都守不住」。0.270 和 0.497 是这两个数据集的性质，不是对方法在新队列里成功率的估计。而样本内评价连这两种变异都看不到。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3. 关键不是队列多大，也不是「集中不集中」，而是最强的稀释信号有多强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第一轮我们说：16 个情景里 9 个在 18000 人以内达不到阈值，删失几乎全落在「效应修饰是否集中」这个因子上。审稿人指出两个问题。一是只用「能观察到阈值」的 6 个情景算离散度，是有选择偏倚的；改用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固定样本量下的成功概率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（16 个情景全都有值，不存在删失）后，我们原来说的「事件数、有效样本量比人数更不稳」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——按三种口径分箱，组内离散度分别是 0.34、0.35、0.34，无法区分。这条建议已撤回。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二是「集中 vs 分散」这个对比本身可能是机械的：我们把每条标准的系数直接除以份数，分散那一臂的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稀释系数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也跟着从 0.32 掉到 0.128，而稀释正是规则必须检出的东西（只有放宽一条「选进了获益更少的人」的标准，风险比才会降）。审稿人是对的。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我们另做一组模拟把两者拆开：总效应修饰固定为 0.85，只改分布方式。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把「富集」摊薄完全没关系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——稀释系数固定 0.30 时，在 600/2000/6000/18000 人处的成功概率，富集集中在一条是 0.26 / 0.37 / 0.58 / 0.85，摊到两条是 0.23 / 0.43 / 0.79 / 0.87，摊到四条是 0.17 / 0.39 / 0.78 / 0.95。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把「稀释」劈成两半才是致命的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：总量不变、稀释系数减半后变成 0.07 / 0.11 / 0.19 / 0.43。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所以真正决定数据需求的是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最强那条稀释性标准的系数大小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而这恰恰是分析本身要估计的量——正性/重叠、逻辑蕴含、交互杠杆都能事前算，唯独它不能。因此无论用人数、事件数还是有效样本量，都给不出一个事前的数据需求。这就是本文的中心结论，它是否定性的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4. 低于阈值时，选出的方案会比原方案略差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用「后悔值」来衡量。先把它定义清楚：这是在对数风险比这一个目标上，所选方案与「使风险比最低的那个子集」之间的差距，不考虑人数、安全性或任何别的临床目标；不同方案对应不同目标人群，所以「后悔值更大」意思是离最低风险比更远，不等于对病人更差。完整方案自己的后悔值是 0.0544。规则在 300 个拟合病人时的后悔值是 0.0727，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比完整方案还大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；约 1000 人处打平；到 20000 人降到 0.0078。也就是说，对这个规模的队列，在这一个目标上，预期结果不是「改进幅度较小」，而是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得到一个略微更偏离最优的方案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，并且把更多病人纳入其中。这是关于一个生成模型、一个单目标的陈述，不是说该方案在临床上更差。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5. 混杂调整不充分时，方法看起来更成功，实际选得更差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三条臂共享同一个结局模型，所以真实因果效应在三条臂里完全一样，变的只是治疗分配和能调整什么。正确调整混杂后，5167 人处的成功概率从随机化的 0.937 降到 0.808——大约需要两倍样本。但从倾向性模型里漏掉一个混杂因子，概率回到 0.936，看上去和随机化一样好。真相是：被检测的那个量本身被偏倚放大了（0.0310 → 0.0408，大 32%），而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正确选中标准集的概率同时从 0.280 掉到 0.116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。看起来一样可靠，但正确选中率下降了一半以上。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推论：在真实世界数据上看到方法「表现良好」，不是调整充分的证据。可用的敏感性分析是比较不同丰富程度的调整集、看差距是否随调整变充分而缩小——但这只在新增变量确实是混杂因子时成立；加进工具变量会放大偏倚，加进对撞因子会制造偏倚。它是一个值得留意的警报，不是一个能定案的检验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五、两轮审稿指出的错误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错误一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我们原稿说 Shapley 效率公理在风险比尺度上只近似成立。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这一点不成立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：穷举枚举下任何尺度都精确成立（验证到 2.2e-16 和 8.3e-17）。尺度决定的是「分解的是哪个总量」——比值的对数还是比值之差——这是解释性理由，不是公理性理由。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「多纳入病人」被我们当成一条经过验证的收益来写，其实是构造性的（见发现 1）。已全文改写，并补上随机放宽对照。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漏查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审稿人要求补倾向性细节，查下来发现 Rotterdam 在完整方案内存在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正性假设问题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：419 人里 132 个倾向值顶在截断边界，8 个协变量有 6 个加权后仍失衡，加权有效样本量只有名义的 37%。原因是化疗几乎只给了年轻绝经前女性——55 到 70 岁的 116 人里只有 12 人接受化疗。加样条只会更差。该队列的风险比现在按描述性报告，因果解读只靠随机化队列和模拟。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错误三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第二轮：嵌套自助有泄漏——自助样本里同一病人的副本可能落到划分两侧。已按病人 ID 划分并加了断言，重算后区间变窄。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错误四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第二轮：只用「能观察到阈值」的 6 个情景算离散度，有选择偏倚；据此得出的「事件数比人数更不稳」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不成立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，已撤回。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错误五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第二轮：非可折叠性一节写「被选中的低风险人群有更多绝对生存空间可赚」，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方向反了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。数字本身就说明：RMST 差从全队列的 0.664 降到子群的 0.599（最弱设定）、0.425 降到 0.322（最强设定）。低风险人群绝对获益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更少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，因为他们本来就活得过截断时间。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六、三个能被单独拿走用的副产品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交互杠杆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闭式量 L = 1 − p(ij)/p(i) − p(ij)/p(j) + p(ij)，只用入组率、不用任何结局数据。原稿把「杠杆低」说成「结构上测不出」，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这个说法不够准确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：它是按一个已知因子的衰减，衰减后的信号仍然取决于效应大小和样本量。真正「结构上测不出」的只有逻辑蕴含（四点差恰为零）。我们另外推导了两种交互形式的系数，在独立标准下分别是 (1−q)²、−(1−q)² 和 −2(1−q)²——都是同一个量的倍数。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蕴含检测器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若标准 i 逻辑上蕴含 j，这对的交互是算术恒等式，必须从检验族里剔除。这是唯一无论样本量多大都无信息的一类格子。</w:t>
      </w:r>
    </w:p>
    <w:p>
      <w:pPr>
        <w:spacing w:after="70" w:line="285"/>
        <w:ind w:left="300" w:hanging="300"/>
        <w:jc w:val="both"/>
      </w:pPr>
      <w:r>
        <w:rPr>
          <w:rFonts w:ascii="Noto Sans CJK SC" w:cs="Noto Sans CJK SC" w:eastAsia="Noto Sans CJK SC" w:hAnsi="Noto Sans CJK SC"/>
          <w:b/>
          <w:bCs/>
          <w:color w:val="1A4B7A"/>
          <w:sz w:val="19"/>
          <w:szCs w:val="19"/>
        </w:rPr>
        <w:t xml:space="preserve">双估计量并行  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同时报告风险比和 RMST 差。在条件风险比固定为 0.6（每个亚组都一样）的模拟里，一条标准没改变任何人的相对获益，它在对数风险比上的 Shapley 值却随预后异质性从 −0.0008 长到 −0.066，边际风险比从 0.599 漂到 0.804；异质性为零时假象消失，这是证伪点。RMST 差的移动则是真实的。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七、这篇文章的定位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它不是在说 Trial Pathfinder 错了。原文的做法在它自己的数据规模上有其道理，我们复制出来的规则在总体层面确实收敛到最优标准集。我们做的是：把两个被捆绑报告的承诺拆开，指出其中一个是构造性的、另一个有严苛的前提条件；给出那个前提到底取决于什么（效应修饰是否集中，而不是队列多大）；并指出低于阈值时代价是负的。同时提供三个动手前就能算的诊断量，让研究者先判断自己的队列能支撑哪一个结论。</w:t>
      </w:r>
    </w:p>
    <w:p>
      <w:pPr>
        <w:spacing w:after="90" w:before="200"/>
      </w:pPr>
      <w:r>
        <w:rPr>
          <w:rFonts w:ascii="Noto Sans CJK SC" w:cs="Noto Sans CJK SC" w:eastAsia="Noto Sans CJK SC" w:hAnsi="Noto Sans CJK SC"/>
          <w:b/>
          <w:bCs/>
          <w:color w:val="1A4B7A"/>
          <w:sz w:val="21"/>
          <w:szCs w:val="21"/>
        </w:rPr>
        <w:t xml:space="preserve">八、可能会被问到的三个问题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既然规则在入组上不优于随机放宽，那它的价值在哪里？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因为入组人数通常不是唯一目的。随机放宽确实能多招人，但招进来的人群里疗效估计会更差（colon 平均风险比 0.686 vs 规则的 0.663，Rotterdam 0.805 vs 0.718）。规则换来的是估计质量，代价是比它能做到的少招一些人。我们认为这个取舍值得明确报告，而只跟完整方案比时它不会显现出来。</w:t>
      </w:r>
    </w:p>
    <w:p>
      <w:pPr>
        <w:spacing w:after="55" w:before="110"/>
      </w:pP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实际操作上我该怎么做？</w:t>
      </w:r>
    </w:p>
    <w:p>
      <w:pPr>
        <w:spacing w:after="100" w:line="285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四步。第一，先把出于安全性、耐受性、给药可行性、药理考虑的标准标记为</w:t>
      </w:r>
      <w:r>
        <w:rPr>
          <w:rFonts w:ascii="Noto Sans CJK SC" w:cs="Noto Sans CJK SC" w:eastAsia="Noto Sans CJK SC" w:hAnsi="Noto Sans CJK SC"/>
          <w:b/>
          <w:bCs/>
          <w:sz w:val="19"/>
          <w:szCs w:val="19"/>
        </w:rPr>
        <w:t xml:space="preserve">不可放宽</w:t>
      </w:r>
      <w:r>
        <w:rPr>
          <w:rFonts w:ascii="Noto Serif CJK SC" w:cs="Noto Serif CJK SC" w:eastAsia="Noto Serif CJK SC" w:hAnsi="Noto Serif CJK SC"/>
          <w:b w:val="false"/>
          <w:bCs w:val="false"/>
          <w:sz w:val="19"/>
          <w:szCs w:val="19"/>
        </w:rPr>
        <w:t xml:space="preserve">，这些不该交给风险比来裁决。第二，在看任何结局之前算交互杠杆和逻辑蕴含。第三，检查完整方案内部的正性/重叠情况——这是最严格的那个人群，最容易出问题。第四，判断自己的方案里有没有一条标准集中了足够差异获益；如果没有，就只报告人群扩大，不要报告疗效改善。</w:t>
      </w:r>
    </w:p>
    <w:sectPr>
      <w:pgSz w:w="12240" w:h="15840" w:orient="portrait"/>
      <w:pgMar w:top="950" w:right="1100" w:bottom="9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2026-08-30T11:32:09.493Z</dcterms:created>
  <dcterms:modified xsi:type="dcterms:W3CDTF">2026-08-30T11:32:09.493Z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