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Calibri" w:cs="Calibri" w:eastAsia="Calibri" w:hAnsi="Calibri"/>
          <w:b/>
          <w:bCs/>
          <w:sz w:val="30"/>
          <w:szCs w:val="30"/>
        </w:rPr>
        <w:t xml:space="preserve">What data-driven relaxation of trial eligibility criteria can and cannot promise: an out-of-sample validation, and why the data requirement cannot be stated in advance</w:t>
      </w:r>
    </w:p>
    <w:p>
      <w:pPr>
        <w:spacing w:after="100" w:line="300"/>
      </w:pPr>
      <w:r>
        <w:rPr>
          <w:rFonts w:ascii="Calibri" w:cs="Calibri" w:eastAsia="Calibri" w:hAnsi="Calibri"/>
          <w:sz w:val="22"/>
          <w:szCs w:val="22"/>
        </w:rPr>
        <w:t xml:space="preserve">Author One</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Author Two</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Corresponding Author</w:t>
      </w:r>
      <w:r>
        <w:rPr>
          <w:rFonts w:ascii="Calibri" w:cs="Calibri" w:eastAsia="Calibri" w:hAnsi="Calibri"/>
          <w:sz w:val="22"/>
          <w:szCs w:val="22"/>
          <w:vertAlign w:val="superscript"/>
        </w:rPr>
        <w:t xml:space="preserve">1,*</w:t>
      </w:r>
    </w:p>
    <w:p>
      <w:pPr>
        <w:spacing w:after="100" w:line="300"/>
      </w:pPr>
      <w:r>
        <w:rPr>
          <w:rFonts w:ascii="Calibri" w:cs="Calibri" w:eastAsia="Calibri" w:hAnsi="Calibri"/>
          <w:sz w:val="22"/>
          <w:szCs w:val="22"/>
          <w:vertAlign w:val="superscript"/>
        </w:rPr>
        <w:t xml:space="preserve">1 </w:t>
      </w:r>
      <w:r>
        <w:rPr>
          <w:rFonts w:ascii="Calibri" w:cs="Calibri" w:eastAsia="Calibri" w:hAnsi="Calibri"/>
          <w:sz w:val="22"/>
          <w:szCs w:val="22"/>
        </w:rPr>
        <w:t xml:space="preserve">Affiliation to be completed. </w:t>
      </w:r>
      <w:r>
        <w:rPr>
          <w:rFonts w:ascii="Calibri" w:cs="Calibri" w:eastAsia="Calibri" w:hAnsi="Calibri"/>
          <w:sz w:val="22"/>
          <w:szCs w:val="22"/>
          <w:vertAlign w:val="superscript"/>
        </w:rPr>
        <w:t xml:space="preserve">2 </w:t>
      </w:r>
      <w:r>
        <w:rPr>
          <w:rFonts w:ascii="Calibri" w:cs="Calibri" w:eastAsia="Calibri" w:hAnsi="Calibri"/>
          <w:sz w:val="22"/>
          <w:szCs w:val="22"/>
        </w:rPr>
        <w:t xml:space="preserve">Affiliation to be completed.</w:t>
      </w:r>
    </w:p>
    <w:p>
      <w:pPr>
        <w:spacing w:after="320" w:line="300"/>
      </w:pPr>
      <w:r>
        <w:rPr>
          <w:rFonts w:ascii="Calibri" w:cs="Calibri" w:eastAsia="Calibri" w:hAnsi="Calibri"/>
          <w:b/>
          <w:bCs/>
          <w:sz w:val="22"/>
          <w:szCs w:val="22"/>
        </w:rPr>
        <w:t xml:space="preserve">* Correspondence: </w:t>
      </w:r>
      <w:r>
        <w:rPr>
          <w:rFonts w:ascii="Calibri" w:cs="Calibri" w:eastAsia="Calibri" w:hAnsi="Calibri"/>
          <w:sz w:val="22"/>
          <w:szCs w:val="22"/>
        </w:rPr>
        <w:t xml:space="preserve">runshu.wang@gmail.com</w:t>
      </w:r>
    </w:p>
    <w:p>
      <w:pPr>
        <w:pStyle w:val="Heading1"/>
        <w:spacing w:after="130" w:before="280"/>
      </w:pPr>
      <w:r>
        <w:rPr>
          <w:rFonts w:ascii="Calibri" w:cs="Calibri" w:eastAsia="Calibri" w:hAnsi="Calibri"/>
        </w:rPr>
        <w:t xml:space="preserve">Abstract</w:t>
      </w:r>
    </w:p>
    <w:p>
      <w:pPr>
        <w:spacing w:after="140" w:line="300"/>
      </w:pPr>
      <w:r>
        <w:rPr>
          <w:rFonts w:ascii="Calibri" w:cs="Calibri" w:eastAsia="Calibri" w:hAnsi="Calibri"/>
          <w:b/>
          <w:bCs/>
          <w:sz w:val="22"/>
          <w:szCs w:val="22"/>
        </w:rPr>
        <w:t xml:space="preserve">Background. </w:t>
      </w:r>
      <w:r>
        <w:rPr>
          <w:rFonts w:ascii="Calibri" w:cs="Calibri" w:eastAsia="Calibri" w:hAnsi="Calibri"/>
          <w:sz w:val="22"/>
          <w:szCs w:val="22"/>
        </w:rPr>
        <w:t xml:space="preserve">Rules that relax clinical-trial eligibility criteria using real-world data make two promises: that more patients become eligible, and that the estimated treatment effect does not suffer. To our knowledge neither has been validated out of sample, and no guidance exists on how much data such a rule needs.</w:t>
      </w:r>
    </w:p>
    <w:p>
      <w:pPr>
        <w:spacing w:after="140" w:line="300"/>
      </w:pPr>
      <w:r>
        <w:rPr>
          <w:rFonts w:ascii="Calibri" w:cs="Calibri" w:eastAsia="Calibri" w:hAnsi="Calibri"/>
          <w:b/>
          <w:bCs/>
          <w:sz w:val="22"/>
          <w:szCs w:val="22"/>
        </w:rPr>
        <w:t xml:space="preserve">Methods. </w:t>
      </w:r>
      <w:r>
        <w:rPr>
          <w:rFonts w:ascii="Calibri" w:cs="Calibri" w:eastAsia="Calibri" w:hAnsi="Calibri"/>
          <w:sz w:val="22"/>
          <w:szCs w:val="22"/>
        </w:rPr>
        <w:t xml:space="preserve">We implemented the published rule — retain every criterion whose Shapley value on the log hazard ratio is negative — and evaluated it by repeated stratified sample splitting in two fully public cohorts: a randomised adjuvant colon-cancer trial (n = 619) and the Rotterdam breast-cancer registry (n = 2982). Because the eligible count is monotone in the criteria removed, the rule was compared not against the full protocol alone but against all 512 subsets scored on the held-out half, matched on eligible count and placed against the attainable frontier. An outer bootstrap, split by patient identifier, separates algorithmic stability from population uncertainty. Simulation with a fixed 100 000-patient scoring set isolated fitting-cohort size across a resolution-IV factorial in six factors, reported as success probability at fixed sizes rather than as an estimated threshold, and a further sweep separated how widely the effect modification is spread from how strong the criterion the rule must detect is.</w:t>
      </w:r>
    </w:p>
    <w:p>
      <w:pPr>
        <w:spacing w:after="140" w:line="300"/>
      </w:pPr>
      <w:r>
        <w:rPr>
          <w:rFonts w:ascii="Calibri" w:cs="Calibri" w:eastAsia="Calibri" w:hAnsi="Calibri"/>
          <w:b/>
          <w:bCs/>
          <w:sz w:val="22"/>
          <w:szCs w:val="22"/>
        </w:rPr>
        <w:t xml:space="preserve">Results. </w:t>
      </w:r>
      <w:r>
        <w:rPr>
          <w:rFonts w:ascii="Calibri" w:cs="Calibri" w:eastAsia="Calibri" w:hAnsi="Calibri"/>
          <w:sz w:val="22"/>
          <w:szCs w:val="22"/>
        </w:rPr>
        <w:t xml:space="preserve">Matched on eligible count, the rule reached a lower hazard ratio than a comparable subset in 59.8% of colon splits and 54.8% of Rotterdam splits, and was at or below chance on the restricted mean difference; its choice lay on the eligible-count-versus-hazard-ratio frontier in 1.6% and 3.0% of splits, with a median of 72 and 60 subsets dominating it. The effect-estimate promise was not kept in either cohort (0.270 and 0.497), with between-cohort standard deviations fourteen and twelve times the naive across-split figure and 95% intervals spanning most of the range. Across the factorial the success probability varied by about 0.34 in standard deviation at every fixed sample size, and equally whether scenarios were grouped by patients, events or effective sample size. The governing quantity is not how concentrated the effect modification is but the magnitude of the largest diluting coefficient: spreading the enrichment over four criteria left success unchanged, while halving the diluting signal across two criteria reduced it from 0.85 to 0.43 at 18 000 fitting patients. Omitting one confounder returned apparent reliability to randomised levels while inflating the estimator's population limit by 32% and halving correct selection. Rotterdam showed a severe lack of empirical overlap inside the full protocol.</w:t>
      </w:r>
    </w:p>
    <w:p>
      <w:pPr>
        <w:spacing w:after="140" w:line="300"/>
      </w:pPr>
      <w:r>
        <w:rPr>
          <w:rFonts w:ascii="Calibri" w:cs="Calibri" w:eastAsia="Calibri" w:hAnsi="Calibri"/>
          <w:b/>
          <w:bCs/>
          <w:sz w:val="22"/>
          <w:szCs w:val="22"/>
        </w:rPr>
        <w:t xml:space="preserve">Conclusions. </w:t>
      </w:r>
      <w:r>
        <w:rPr>
          <w:rFonts w:ascii="Calibri" w:cs="Calibri" w:eastAsia="Calibri" w:hAnsi="Calibri"/>
          <w:sz w:val="22"/>
          <w:szCs w:val="22"/>
        </w:rPr>
        <w:t xml:space="preserve">Data-driven relaxation widens the eligible population, but that widening follows largely from the structure of the rule, and at matched inclusiveness the rule is rarely near the attainable frontier. The data requirement for the effect-estimate promise is governed by the magnitude of the strongest diluting effect-modification coefficient — the very quantity the analysis exists to discover — so it cannot be stated in advance in patients, events or effective sample size. What can be checked beforehand is positivity inside the full protocol, logical implication and interaction leverage; what cannot is whether there is a signal large enough to find.</w:t>
      </w:r>
    </w:p>
    <w:p>
      <w:pPr>
        <w:spacing w:after="260" w:line="300"/>
      </w:pPr>
      <w:r>
        <w:rPr>
          <w:rFonts w:ascii="Calibri" w:cs="Calibri" w:eastAsia="Calibri" w:hAnsi="Calibri"/>
          <w:b/>
          <w:bCs/>
          <w:sz w:val="22"/>
          <w:szCs w:val="22"/>
        </w:rPr>
        <w:t xml:space="preserve">Keywords: </w:t>
      </w:r>
      <w:r>
        <w:rPr>
          <w:rFonts w:ascii="Calibri" w:cs="Calibri" w:eastAsia="Calibri" w:hAnsi="Calibri"/>
          <w:sz w:val="22"/>
          <w:szCs w:val="22"/>
        </w:rPr>
        <w:t xml:space="preserve">eligibility criteria; trial emulation; real-world data; Shapley value; non-collapsibility; restricted mean survival time; out-of-sample validation; sample size</w:t>
      </w:r>
    </w:p>
    <w:p>
      <w:pPr>
        <w:pStyle w:val="Heading1"/>
        <w:spacing w:after="130" w:before="280"/>
      </w:pPr>
      <w:r>
        <w:rPr>
          <w:rFonts w:ascii="Calibri" w:cs="Calibri" w:eastAsia="Calibri" w:hAnsi="Calibri"/>
        </w:rPr>
        <w:t xml:space="preserve">Background</w:t>
      </w:r>
    </w:p>
    <w:p>
      <w:pPr>
        <w:spacing w:after="140" w:line="300"/>
      </w:pPr>
      <w:r>
        <w:rPr>
          <w:rFonts w:ascii="Calibri" w:cs="Calibri" w:eastAsia="Calibri" w:hAnsi="Calibri"/>
          <w:sz w:val="22"/>
          <w:szCs w:val="22"/>
        </w:rPr>
        <w:t xml:space="preserve">Overly restrictive eligibility criteria are a recognised barrier to trial accrual and to generalisability. Criteria are often inherited from legacy protocols rather than justified for the trial at hand, and professional bodies and regulators have called for them to be broadened where they safely can be.</w:t>
      </w:r>
      <w:r>
        <w:rPr>
          <w:rFonts w:ascii="Calibri" w:cs="Calibri" w:eastAsia="Calibri" w:hAnsi="Calibri"/>
          <w:sz w:val="22"/>
          <w:szCs w:val="22"/>
          <w:vertAlign w:val="superscript"/>
        </w:rPr>
        <w:t xml:space="preserve">3,4</w:t>
      </w:r>
    </w:p>
    <w:p>
      <w:pPr>
        <w:spacing w:after="140" w:line="300"/>
      </w:pPr>
      <w:r>
        <w:rPr>
          <w:rFonts w:ascii="Calibri" w:cs="Calibri" w:eastAsia="Calibri" w:hAnsi="Calibri"/>
          <w:sz w:val="22"/>
          <w:szCs w:val="22"/>
        </w:rPr>
        <w:t xml:space="preserve">A computational answer has emerged: emulate the trial in a real-world cohort, vary the criteria in silico, and let the data indicate which can be dropped. Trial Pathfinder</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is the most influential instance. It encodes each criterion as a filter, estimates the treatment effect under every combination, and assigns each criterion a Shapley value</w:t>
      </w:r>
      <w:r>
        <w:rPr>
          <w:rFonts w:ascii="Calibri" w:cs="Calibri" w:eastAsia="Calibri" w:hAnsi="Calibri"/>
          <w:sz w:val="22"/>
          <w:szCs w:val="22"/>
          <w:vertAlign w:val="superscript"/>
        </w:rPr>
        <w:t xml:space="preserve">7</w:t>
      </w:r>
      <w:r>
        <w:rPr>
          <w:rFonts w:ascii="Calibri" w:cs="Calibri" w:eastAsia="Calibri" w:hAnsi="Calibri"/>
          <w:sz w:val="22"/>
          <w:szCs w:val="22"/>
        </w:rPr>
        <w:t xml:space="preserve"> quantifying its contribution to the hazard ratio; criteria with a negative value are retained and the rest relaxed. Across ten advanced non-small-cell lung cancer trials it more than doubled the eligible pool while lowering the hazard ratio by 0.05 on average, and the framework has since been applied to multiple myeloma and to asthma and chronic obstructive pulmonary disease.</w:t>
      </w:r>
      <w:r>
        <w:rPr>
          <w:rFonts w:ascii="Calibri" w:cs="Calibri" w:eastAsia="Calibri" w:hAnsi="Calibri"/>
          <w:sz w:val="22"/>
          <w:szCs w:val="22"/>
          <w:vertAlign w:val="superscript"/>
        </w:rPr>
        <w:t xml:space="preserve">5,6</w:t>
      </w:r>
    </w:p>
    <w:p>
      <w:pPr>
        <w:spacing w:after="140" w:line="300"/>
      </w:pPr>
      <w:r>
        <w:rPr>
          <w:rFonts w:ascii="Calibri" w:cs="Calibri" w:eastAsia="Calibri" w:hAnsi="Calibri"/>
          <w:sz w:val="22"/>
          <w:szCs w:val="22"/>
        </w:rPr>
        <w:t xml:space="preserve">Three things motivated this work. The evaluations we are aware of are in-sample — criteria selected and scored in the same patients — the classical setting for optimistic bias; we have not attempted the systematic accounting that would license a claim about the whole literature and do not make one. The procedure makes two promises reported as a pair, more patients and a better effect estimate, with no reason for them to need the same data or to be the same kind of claim. And the hazard ratio is non-collapsible: restricting a cohort moves it even when the conditional effect is identical in every stratum.</w:t>
      </w:r>
      <w:r>
        <w:rPr>
          <w:rFonts w:ascii="Calibri" w:cs="Calibri" w:eastAsia="Calibri" w:hAnsi="Calibri"/>
          <w:sz w:val="22"/>
          <w:szCs w:val="22"/>
          <w:vertAlign w:val="superscript"/>
        </w:rPr>
        <w:t xml:space="preserve">9,10</w:t>
      </w:r>
    </w:p>
    <w:p>
      <w:pPr>
        <w:spacing w:after="140" w:line="300"/>
      </w:pPr>
      <w:r>
        <w:rPr>
          <w:rFonts w:ascii="Calibri" w:cs="Calibri" w:eastAsia="Calibri" w:hAnsi="Calibri"/>
          <w:sz w:val="22"/>
          <w:szCs w:val="22"/>
        </w:rPr>
        <w:t xml:space="preserve">We ask three questions. Does the published rule keep its promises when the protocol it produces is scored on patients that had no part in choosing it? If not, is that a property of the rule or of the data available to fit it? And what can an investigator check in advance to know whether their cohort can support the analysis at all?</w:t>
      </w:r>
    </w:p>
    <w:p>
      <w:pPr>
        <w:pStyle w:val="Heading1"/>
        <w:spacing w:after="130" w:before="280"/>
      </w:pPr>
      <w:r>
        <w:rPr>
          <w:rFonts w:ascii="Calibri" w:cs="Calibri" w:eastAsia="Calibri" w:hAnsi="Calibri"/>
        </w:rPr>
        <w:t xml:space="preserve">Methods</w:t>
      </w:r>
    </w:p>
    <w:p>
      <w:pPr>
        <w:spacing w:after="60" w:before="200"/>
        <w:jc w:val="center"/>
      </w:pPr>
      <w:r>
        <w:drawing>
          <wp:inline distT="0" distB="0" distL="0" distR="0">
            <wp:extent cx="6096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1051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1. Study design. The rule is fitted on one half of the cohort and the protocol it produces is scored on the other, alongside the original full protocol, so neither candidate had a hand in choosing itself. A parallel simulation holds the scoring set at 100 000 patients so that the remaining axis is fitting-cohort size alone, and varies the treatment-assignment mechanism across three arms sharing one outcome model.</w:t>
      </w:r>
    </w:p>
    <w:p>
      <w:pPr>
        <w:pStyle w:val="Heading2"/>
        <w:spacing w:after="130" w:before="280"/>
      </w:pPr>
      <w:r>
        <w:rPr>
          <w:rFonts w:ascii="Calibri" w:cs="Calibri" w:eastAsia="Calibri" w:hAnsi="Calibri"/>
        </w:rPr>
        <w:t xml:space="preserve">Estimand, and what each promise claims</w:t>
      </w:r>
    </w:p>
    <w:p>
      <w:pPr>
        <w:spacing w:after="140" w:line="300"/>
      </w:pPr>
      <w:r>
        <w:rPr>
          <w:rFonts w:ascii="Calibri" w:cs="Calibri" w:eastAsia="Calibri" w:hAnsi="Calibri"/>
          <w:sz w:val="22"/>
          <w:szCs w:val="22"/>
        </w:rPr>
        <w:t xml:space="preserve">Relaxing a criterion changes the eligible population and therefore the estimand. The target under a protocol S is the marginal treatment contrast in the population S selects — the marginal hazard ratio, and the difference in restricted mean survival time to a horizon</w:t>
      </w:r>
      <w:r>
        <w:rPr>
          <w:rFonts w:ascii="Calibri" w:cs="Calibri" w:eastAsia="Calibri" w:hAnsi="Calibri"/>
          <w:sz w:val="22"/>
          <w:szCs w:val="22"/>
          <w:vertAlign w:val="superscript"/>
        </w:rPr>
        <w:t xml:space="preserve">11,12</w:t>
      </w:r>
      <w:r>
        <w:rPr>
          <w:rFonts w:ascii="Calibri" w:cs="Calibri" w:eastAsia="Calibri" w:hAnsi="Calibri"/>
          <w:sz w:val="22"/>
          <w:szCs w:val="22"/>
        </w:rPr>
        <w:t xml:space="preserve"> — so comparing two protocols compares two estimands, not two estimators of one quantity. A lower hazard ratio under the relaxed protocol is a more favourable estimated contrast in a wider population, not a more accurate estimate of a fixed effect. We use that language throughout and confine claims about estimation accuracy to simulation, where truth is known.</w:t>
      </w:r>
    </w:p>
    <w:p>
      <w:pPr>
        <w:spacing w:after="140" w:line="300"/>
      </w:pPr>
      <w:r>
        <w:rPr>
          <w:rFonts w:ascii="Calibri" w:cs="Calibri" w:eastAsia="Calibri" w:hAnsi="Calibri"/>
          <w:sz w:val="22"/>
          <w:szCs w:val="22"/>
        </w:rPr>
        <w:t xml:space="preserve">The two promises are also not the same kind of claim. The rule retains a subset of the criteria, so the cohort it admits is a superset of the full protocol's and the eligible count cannot fall. “More patients become eligible” holds whenever a binding criterion is removed, and the probability reported for it describes how often the rule removes a binding criterion rather than validating which criteria it chose to remove. To give that side a test with content we benchmark the rule against random relaxations that drop the same number of criteria.</w:t>
      </w:r>
    </w:p>
    <w:p>
      <w:pPr>
        <w:pStyle w:val="Heading2"/>
        <w:spacing w:after="130" w:before="280"/>
      </w:pPr>
      <w:r>
        <w:rPr>
          <w:rFonts w:ascii="Calibri" w:cs="Calibri" w:eastAsia="Calibri" w:hAnsi="Calibri"/>
        </w:rPr>
        <w:t xml:space="preserve">Cohorts, criteria and weighting</w:t>
      </w:r>
    </w:p>
    <w:p>
      <w:pPr>
        <w:spacing w:after="140" w:line="300"/>
      </w:pPr>
      <w:r>
        <w:rPr>
          <w:rFonts w:ascii="Calibri" w:cs="Calibri" w:eastAsia="Calibri" w:hAnsi="Calibri"/>
          <w:sz w:val="22"/>
          <w:szCs w:val="22"/>
        </w:rPr>
        <w:t xml:space="preserve">Both cohorts ship with the R package survival</w:t>
      </w:r>
      <w:r>
        <w:rPr>
          <w:rFonts w:ascii="Calibri" w:cs="Calibri" w:eastAsia="Calibri" w:hAnsi="Calibri"/>
          <w:sz w:val="22"/>
          <w:szCs w:val="22"/>
          <w:vertAlign w:val="superscript"/>
        </w:rPr>
        <w:t xml:space="preserve">22</w:t>
      </w:r>
      <w:r>
        <w:rPr>
          <w:rFonts w:ascii="Calibri" w:cs="Calibri" w:eastAsia="Calibri" w:hAnsi="Calibri"/>
          <w:sz w:val="22"/>
          <w:szCs w:val="22"/>
        </w:rPr>
        <w:t xml:space="preserve">, so every result is reproducible without a data application. The first is the adjuvant colon-cancer trial of levamisole and fluorouracil</w:t>
      </w:r>
      <w:r>
        <w:rPr>
          <w:rFonts w:ascii="Calibri" w:cs="Calibri" w:eastAsia="Calibri" w:hAnsi="Calibri"/>
          <w:sz w:val="22"/>
          <w:szCs w:val="22"/>
          <w:vertAlign w:val="superscript"/>
        </w:rPr>
        <w:t xml:space="preserve">20</w:t>
      </w:r>
      <w:r>
        <w:rPr>
          <w:rFonts w:ascii="Calibri" w:cs="Calibri" w:eastAsia="Calibri" w:hAnsi="Calibri"/>
          <w:sz w:val="22"/>
          <w:szCs w:val="22"/>
        </w:rPr>
        <w:t xml:space="preserve">, restricted to the Lev+5FU and observation arms (n = 619, 304 treated, 291 deaths), where randomisation makes the mapping from criteria to hazard ratio free of confounding. The second is the Rotterdam breast-cancer registry</w:t>
      </w:r>
      <w:r>
        <w:rPr>
          <w:rFonts w:ascii="Calibri" w:cs="Calibri" w:eastAsia="Calibri" w:hAnsi="Calibri"/>
          <w:sz w:val="22"/>
          <w:szCs w:val="22"/>
          <w:vertAlign w:val="superscript"/>
        </w:rPr>
        <w:t xml:space="preserve">21</w:t>
      </w:r>
      <w:r>
        <w:rPr>
          <w:rFonts w:ascii="Calibri" w:cs="Calibri" w:eastAsia="Calibri" w:hAnsi="Calibri"/>
          <w:sz w:val="22"/>
          <w:szCs w:val="22"/>
        </w:rPr>
        <w:t xml:space="preserve"> (n = 2982, 580 receiving chemotherapy, 1272 deaths).</w:t>
      </w:r>
    </w:p>
    <w:p>
      <w:pPr>
        <w:spacing w:after="140" w:line="300"/>
      </w:pPr>
      <w:r>
        <w:rPr>
          <w:rFonts w:ascii="Calibri" w:cs="Calibri" w:eastAsia="Calibri" w:hAnsi="Calibri"/>
          <w:sz w:val="22"/>
          <w:szCs w:val="22"/>
        </w:rPr>
        <w:t xml:space="preserve">Nine criteria were constructed for each cohort from available covariates. These are plausible criteria for methodological illustration, not the trials' protocol text, so this studies the general behaviour of the procedure rather than evaluating any trial's criteria. Neither set contains a logical implication. Supplementary Table S1 gives each criterion with its definition, marginal eligibility, missingness, retained events by arm and the correlation matrix. The full protocol retains 176 patients with 56 events in colon and 419 with 191 events in Rotterdam; the event counts are the smaller number in both cases and matter more.</w:t>
      </w:r>
    </w:p>
    <w:p>
      <w:pPr>
        <w:spacing w:after="140" w:line="300"/>
      </w:pPr>
      <w:r>
        <w:rPr>
          <w:rFonts w:ascii="Calibri" w:cs="Calibri" w:eastAsia="Calibri" w:hAnsi="Calibri"/>
          <w:sz w:val="22"/>
          <w:szCs w:val="22"/>
        </w:rPr>
        <w:t xml:space="preserve">Treatment effects come from a Cox model under inverse-probability-of-treatment weighting</w:t>
      </w:r>
      <w:r>
        <w:rPr>
          <w:rFonts w:ascii="Calibri" w:cs="Calibri" w:eastAsia="Calibri" w:hAnsi="Calibri"/>
          <w:sz w:val="22"/>
          <w:szCs w:val="22"/>
          <w:vertAlign w:val="superscript"/>
        </w:rPr>
        <w:t xml:space="preserve">13,14</w:t>
      </w:r>
      <w:r>
        <w:rPr>
          <w:rFonts w:ascii="Calibri" w:cs="Calibri" w:eastAsia="Calibri" w:hAnsi="Calibri"/>
          <w:sz w:val="22"/>
          <w:szCs w:val="22"/>
        </w:rPr>
        <w:t xml:space="preserve">, with a main-effects logistic propensity model, unstabilised weights and truncation at [0.05, 0.95] — the specification the original work implies — re-estimated inside every subset, split and bootstrap replicate rather than fitted once and reused.</w:t>
      </w:r>
    </w:p>
    <w:p>
      <w:pPr>
        <w:spacing w:after="140" w:line="300"/>
      </w:pPr>
      <w:r>
        <w:rPr>
          <w:rFonts w:ascii="Calibri" w:cs="Calibri" w:eastAsia="Calibri" w:hAnsi="Calibri"/>
          <w:sz w:val="22"/>
          <w:szCs w:val="22"/>
        </w:rPr>
        <w:t xml:space="preserve">That specification behaves very differently in the two cohorts. In colon nothing is truncated, no covariate exceeds a standardised mean difference of 0.011 after weighting, and the effective sample size is 98% of nominal. In Rotterdam, within the full protocol, 132 of 419 propensities sit at the truncation bound, six of eight covariates remain above 0.10, and the effective sample size is 37% of nominal, because assignment is near-deterministic: of 116 full-protocol patients aged 55 to 70, twelve received chemotherapy. Splines, stabilised weights and trimming do not repair it (Table S1b, Figure S3). This is a severe lack of empirical overlap — a practical positivity violation, though a finite sample cannot establish that the theoretical assumption fails</w:t>
      </w:r>
      <w:r>
        <w:rPr>
          <w:rFonts w:ascii="Calibri" w:cs="Calibri" w:eastAsia="Calibri" w:hAnsi="Calibri"/>
          <w:sz w:val="22"/>
          <w:szCs w:val="22"/>
          <w:vertAlign w:val="superscript"/>
        </w:rPr>
        <w:t xml:space="preserve">15</w:t>
      </w:r>
      <w:r>
        <w:rPr>
          <w:rFonts w:ascii="Calibri" w:cs="Calibri" w:eastAsia="Calibri" w:hAnsi="Calibri"/>
          <w:sz w:val="22"/>
          <w:szCs w:val="22"/>
        </w:rPr>
        <w:t xml:space="preserve"> — so Rotterdam's hazard ratios are reported as descriptive and the causal reading rests on the randomised cohort and on simulation. Restriction does not create it: across all 512 subsets the weighted effective-sample-size fraction is flat in the number of criteria applied in both cohorts (Table S1c). Because colon is randomised we also compared the estimated propensity model with the known assignment probability and with no weighting; the headline hazard ratios move by about 0.01 and the selected set differs by one criterion of nine.</w:t>
      </w:r>
    </w:p>
    <w:p>
      <w:pPr>
        <w:pStyle w:val="Heading2"/>
        <w:spacing w:after="130" w:before="280"/>
      </w:pPr>
      <w:r>
        <w:rPr>
          <w:rFonts w:ascii="Calibri" w:cs="Calibri" w:eastAsia="Calibri" w:hAnsi="Calibri"/>
        </w:rPr>
        <w:t xml:space="preserve">Value function, and the scale of the decomposition</w:t>
      </w:r>
    </w:p>
    <w:p>
      <w:pPr>
        <w:spacing w:after="140" w:line="300"/>
      </w:pPr>
      <w:r>
        <w:rPr>
          <w:rFonts w:ascii="Calibri" w:cs="Calibri" w:eastAsia="Calibri" w:hAnsi="Calibri"/>
          <w:sz w:val="22"/>
          <w:szCs w:val="22"/>
        </w:rPr>
        <w:t xml:space="preserve">For a subset S the value function returns the log hazard ratio, the restricted mean difference and the log eligible count on the cohort S selects. Patients missing a criterion's variable are not filtered by it, following the original convention; we compare that with missing-as-ineligible and with imputation, noting that only one criterion in one cohort has any missingness (colon differentiation, 2.1%).</w:t>
      </w:r>
    </w:p>
    <w:p>
      <w:pPr>
        <w:spacing w:after="140" w:line="300"/>
      </w:pPr>
      <w:r>
        <w:rPr>
          <w:rFonts w:ascii="Calibri" w:cs="Calibri" w:eastAsia="Calibri" w:hAnsi="Calibri"/>
          <w:sz w:val="22"/>
          <w:szCs w:val="22"/>
        </w:rPr>
        <w:t xml:space="preserve">On the choice of scale we correct a claim made in an earlier version of this work. The efficiency axiom holds exactly for any real-valued value function computed by exact enumeration, on the hazard-ratio scale as much as on the log scale; it does not require a logarithm. On colon the Shapley values sum to the total to within 2.2e-16 on the log scale and 8.3e-17 on the hazard-ratio scale. What the scale determines is which aggregate is decomposed: on the log scale the total is log(HR under the full protocol / HR under none) = -0.2272, the multiplicative change, and on the hazard-ratio scale the arithmetic difference -0.1485. For a ratio measure the multiplicative change is the interpretable aggregate, which is our reason for the log scale — an interpretive argument, not an axiomatic one. The two scales select an identical criterion set on each full cohort. What does break efficiency numerically is an infeasible subset, whose value is undefined and drops silently from the sum; we ridge-penalise to avoid this and report the count (0 of 512 in colon).</w:t>
      </w:r>
    </w:p>
    <w:p>
      <w:pPr>
        <w:pStyle w:val="Heading2"/>
        <w:spacing w:after="130" w:before="280"/>
      </w:pPr>
      <w:r>
        <w:rPr>
          <w:rFonts w:ascii="Calibri" w:cs="Calibri" w:eastAsia="Calibri" w:hAnsi="Calibri"/>
        </w:rPr>
        <w:t xml:space="preserve">Interaction leverage: attenuation, not invisibility</w:t>
      </w:r>
    </w:p>
    <w:p>
      <w:pPr>
        <w:spacing w:after="140" w:line="300"/>
      </w:pPr>
      <w:r>
        <w:rPr>
          <w:rFonts w:ascii="Calibri" w:cs="Calibri" w:eastAsia="Calibri" w:hAnsi="Calibri"/>
          <w:sz w:val="22"/>
          <w:szCs w:val="22"/>
        </w:rPr>
        <w:t xml:space="preserve">Pairwise interactions use the Grabisch–Roubens index</w:t>
      </w:r>
      <w:r>
        <w:rPr>
          <w:rFonts w:ascii="Calibri" w:cs="Calibri" w:eastAsia="Calibri" w:hAnsi="Calibri"/>
          <w:sz w:val="22"/>
          <w:szCs w:val="22"/>
          <w:vertAlign w:val="superscript"/>
        </w:rPr>
        <w:t xml:space="preserve">8</w:t>
      </w:r>
      <w:r>
        <w:rPr>
          <w:rFonts w:ascii="Calibri" w:cs="Calibri" w:eastAsia="Calibri" w:hAnsi="Calibri"/>
          <w:sz w:val="22"/>
          <w:szCs w:val="22"/>
        </w:rPr>
        <w:t xml:space="preserve">. Two diagnostics need no outcome data. The first detects criteria that logically imply one another: if i implies j then S ∪ {i,j} selects exactly the cohort S ∪ {i} does for every S, so the pair's four-point contrast is exactly zero. Such a cell is structurally unidentifiable, and this is the only case in which that phrase is warranted.</w:t>
      </w:r>
    </w:p>
    <w:p>
      <w:pPr>
        <w:spacing w:after="140" w:line="300"/>
      </w:pPr>
      <w:r>
        <w:rPr>
          <w:rFonts w:ascii="Calibri" w:cs="Calibri" w:eastAsia="Calibri" w:hAnsi="Calibri"/>
          <w:sz w:val="22"/>
          <w:szCs w:val="22"/>
        </w:rPr>
        <w:t xml:space="preserve">The second asks how far the eligibility rates alone attenuate a pair's contrast. For the structure in which extra benefit accrues only to patients meeting both criteria, the contrast is proportional to L(i,j) = 1 − p(ij)/p(i) − p(ij)/p(j) + p(ij). An earlier version overstated its reach, so we derived the coefficient for two further forms; under independent criteria at a common rate q they are (1−q)² for benefit under both criteria, −(1−q)² for benefit under either and −2(1−q)² for benefit under exactly one, all multiples of the same quantity. Simulation confirms the first to within a few per cent, so it is an accurate coefficient for that structure; the other two are over-predicted by 10–30% because the derivation ignores reweighting when the bonus reaches much of the cohort, and we treat them as order-of-magnitude diagnostics (Text S1.5).</w:t>
      </w:r>
    </w:p>
    <w:p>
      <w:pPr>
        <w:spacing w:after="140" w:line="300"/>
      </w:pPr>
      <w:r>
        <w:rPr>
          <w:rFonts w:ascii="Calibri" w:cs="Calibri" w:eastAsia="Calibri" w:hAnsi="Calibri"/>
          <w:sz w:val="22"/>
          <w:szCs w:val="22"/>
        </w:rPr>
        <w:t xml:space="preserve">The correct reading is attenuation, not disappearance — by a coefficient that is known for the both-criteria structure and approximate for the others. At q = 0.85 that factor is 0.022 and at 0.90 it is 0.010, and a contrast shrunk that far remains detectable given enough data and a large enough effect. Leverage says how much signal a pair can carry per unit of effect modification; it does not say that no effect modification exists, and a null interaction in a low-leverage cell is not evidence that none does.</w:t>
      </w:r>
    </w:p>
    <w:p>
      <w:pPr>
        <w:pStyle w:val="Heading2"/>
        <w:spacing w:after="130" w:before="280"/>
      </w:pPr>
      <w:r>
        <w:rPr>
          <w:rFonts w:ascii="Calibri" w:cs="Calibri" w:eastAsia="Calibri" w:hAnsi="Calibri"/>
        </w:rPr>
        <w:t xml:space="preserve">Out-of-sample evaluation, simulation and the factorial</w:t>
      </w:r>
    </w:p>
    <w:p>
      <w:pPr>
        <w:spacing w:after="140" w:line="300"/>
      </w:pPr>
      <w:r>
        <w:rPr>
          <w:rFonts w:ascii="Calibri" w:cs="Calibri" w:eastAsia="Calibri" w:hAnsi="Calibri"/>
          <w:sz w:val="22"/>
          <w:szCs w:val="22"/>
        </w:rPr>
        <w:t xml:space="preserve">Patients were split at random into a fitting and a scoring set, stratified by treatment arm and event status. The rule was applied to the fitting set alone and its protocol scored on the scoring set alongside the full protocol, over 500 splits in colon and 400 in Rotterdam, at fitting fractions of 0.5 and 0.7. These splits reuse the same patients, so a standard error computed across them as though they were independent replicates is too small; we therefore add an outer bootstrap of the cohort with the split procedure run inside each resample. Because a resample contains duplicate copies of a patient, the inner split is taken over unique patient identifiers and all copies follow their identifier to one side, so no patient contributes to both halves; an earlier version of this analysis split the resampled rows directly and did not have that property. We report the naive across-split error, the inner Monte Carlo component, the between-cohort component obtained by subtracting the second from the total, and percentile intervals of the outer distribution.</w:t>
      </w:r>
    </w:p>
    <w:p>
      <w:pPr>
        <w:spacing w:after="140" w:line="300"/>
      </w:pPr>
      <w:r>
        <w:rPr>
          <w:rFonts w:ascii="Calibri" w:cs="Calibri" w:eastAsia="Calibri" w:hAnsi="Calibri"/>
          <w:sz w:val="22"/>
          <w:szCs w:val="22"/>
        </w:rPr>
        <w:t xml:space="preserve">Sample splitting also confounds how much data the rule has to find the right criteria with how precisely the result can be scored. To separate them we generated data from a known model and fixed the scoring set at 100 000 patients, varying only the fitting size. Text S1 gives the generating equations and every parameter. No parameter was estimated from either cohort, so the agreement between the simulated curve and the observed colon values reported below is a prediction rather than a calibration — though a single agreement at one point, and the same curve does not describe Rotterdam.</w:t>
      </w:r>
    </w:p>
    <w:p>
      <w:pPr>
        <w:spacing w:after="140" w:line="300"/>
      </w:pPr>
      <w:r>
        <w:rPr>
          <w:rFonts w:ascii="Calibri" w:cs="Calibri" w:eastAsia="Calibri" w:hAnsi="Calibri"/>
          <w:sz w:val="22"/>
          <w:szCs w:val="22"/>
        </w:rPr>
        <w:t xml:space="preserve">The threshold that curve locates belongs to one mechanism, which cannot support general guidance, so we re-estimated it across a 2⁴ resolution-IV fractional factorial in six factors: number of criteria (6 or 8), full-protocol retention (0.30 or 0.12), effect modification concentrated in one criterion or spread across five, censoring rate, allocation ratio and assignment mechanism. Every scenario contains at least one diluting criterion, since relaxation can lower the hazard ratio only if some retained criterion selects patients who benefit less. In each scenario the crossing of 0.80 was located by interpolation on a ladder of fitting sizes with a bootstrap interval, and reported in three currencies — fitting patients, full-protocol events, and effective sample size after weighting.</w:t>
      </w:r>
    </w:p>
    <w:p>
      <w:pPr>
        <w:spacing w:after="140" w:line="300"/>
      </w:pPr>
      <w:r>
        <w:rPr>
          <w:rFonts w:ascii="Calibri" w:cs="Calibri" w:eastAsia="Calibri" w:hAnsi="Calibri"/>
          <w:sz w:val="22"/>
          <w:szCs w:val="22"/>
        </w:rPr>
        <w:t xml:space="preserve">Three arms sharing one outcome model then isolated the assignment mechanism: randomised; confounded with all confounders in the propensity model; and confounded with one omitted. Because the outcome model is common, the true causal contrast is identical in all three by construction. A separate simulation examined non-collapsibility alone, with the conditional hazard ratio fixed at 0.6 in every stratum of a prognostic covariate and its strength swept from zero, where there is no heterogeneity to collapse over and the artefact must vanish.</w:t>
      </w:r>
    </w:p>
    <w:p>
      <w:pPr>
        <w:pStyle w:val="Heading2"/>
        <w:spacing w:after="130" w:before="280"/>
      </w:pPr>
      <w:r>
        <w:rPr>
          <w:rFonts w:ascii="Calibri" w:cs="Calibri" w:eastAsia="Calibri" w:hAnsi="Calibri"/>
        </w:rPr>
        <w:t xml:space="preserve">Uncertainty and implementation</w:t>
      </w:r>
    </w:p>
    <w:p>
      <w:pPr>
        <w:spacing w:after="140" w:line="300"/>
      </w:pPr>
      <w:r>
        <w:rPr>
          <w:rFonts w:ascii="Calibri" w:cs="Calibri" w:eastAsia="Calibri" w:hAnsi="Calibri"/>
          <w:sz w:val="22"/>
          <w:szCs w:val="22"/>
        </w:rPr>
        <w:t xml:space="preserve">Intervals are bias-corrected and accelerated bootstrap intervals</w:t>
      </w:r>
      <w:r>
        <w:rPr>
          <w:rFonts w:ascii="Calibri" w:cs="Calibri" w:eastAsia="Calibri" w:hAnsi="Calibri"/>
          <w:sz w:val="22"/>
          <w:szCs w:val="22"/>
          <w:vertAlign w:val="superscript"/>
        </w:rPr>
        <w:t xml:space="preserve">17</w:t>
      </w:r>
      <w:r>
        <w:rPr>
          <w:rFonts w:ascii="Calibri" w:cs="Calibri" w:eastAsia="Calibri" w:hAnsi="Calibri"/>
          <w:sz w:val="22"/>
          <w:szCs w:val="22"/>
        </w:rPr>
        <w:t xml:space="preserve"> with a grouped jackknife; significance comes from interval inversion and is Benjamini–Hochberg adjusted</w:t>
      </w:r>
      <w:r>
        <w:rPr>
          <w:rFonts w:ascii="Calibri" w:cs="Calibri" w:eastAsia="Calibri" w:hAnsi="Calibri"/>
          <w:sz w:val="22"/>
          <w:szCs w:val="22"/>
          <w:vertAlign w:val="superscript"/>
        </w:rPr>
        <w:t xml:space="preserve">18</w:t>
      </w:r>
      <w:r>
        <w:rPr>
          <w:rFonts w:ascii="Calibri" w:cs="Calibri" w:eastAsia="Calibri" w:hAnsi="Calibri"/>
          <w:sz w:val="22"/>
          <w:szCs w:val="22"/>
        </w:rPr>
        <w:t xml:space="preserve"> across the pair family after removing logically determined cells. A global permutation test on the interaction matrix gives a single-degree-of-freedom alternative to many marginal tests. Monte Carlo standard errors accompany every simulated probability. Proportional hazards is assessed with the Grambsch–Therneau test on the treatment term.</w:t>
      </w:r>
      <w:r>
        <w:rPr>
          <w:rFonts w:ascii="Calibri" w:cs="Calibri" w:eastAsia="Calibri" w:hAnsi="Calibri"/>
          <w:sz w:val="22"/>
          <w:szCs w:val="22"/>
          <w:vertAlign w:val="superscript"/>
        </w:rPr>
        <w:t xml:space="preserve">19</w:t>
      </w:r>
    </w:p>
    <w:p>
      <w:pPr>
        <w:spacing w:after="140" w:line="300"/>
      </w:pPr>
      <w:r>
        <w:rPr>
          <w:rFonts w:ascii="Calibri" w:cs="Calibri" w:eastAsia="Calibri" w:hAnsi="Calibri"/>
          <w:sz w:val="22"/>
          <w:szCs w:val="22"/>
        </w:rPr>
        <w:t xml:space="preserve">Because the model is always one binary covariate with weights, the weighted Cox partial likelihood is solved by Newton–Raphson directly and the weighted restricted mean from the Kaplan–Meier estimator directly, with the cohort sorted by time once so that subsetting preserves order. The kernels agree with the survival package to under 1e-12 and are roughly eighteen times faster, which is what makes exhaustive enumeration with a 2000-replicate bootstrap affordable. Everything is available as the R package trialplate, with correctness assertions covering the efficiency axiom on both scales, matrix symmetry, the null-player axiom, agreement of exact enumeration with permutation Monte Carlo, the implication detector, seed reproducibility and the leverage identities. Every number quoted in this paper is exported from the analysis scripts into a machine-readable file that the manuscript reads at build time, so no figure in the text can drift from the code that produced it.</w:t>
      </w:r>
    </w:p>
    <w:p>
      <w:pPr>
        <w:pStyle w:val="Heading1"/>
        <w:spacing w:after="130" w:before="280"/>
      </w:pPr>
      <w:r>
        <w:rPr>
          <w:rFonts w:ascii="Calibri" w:cs="Calibri" w:eastAsia="Calibri" w:hAnsi="Calibri"/>
        </w:rPr>
        <w:t xml:space="preserve">Results</w:t>
      </w:r>
    </w:p>
    <w:p>
      <w:pPr>
        <w:pStyle w:val="Heading2"/>
        <w:spacing w:after="130" w:before="280"/>
      </w:pPr>
      <w:r>
        <w:rPr>
          <w:rFonts w:ascii="Calibri" w:cs="Calibri" w:eastAsia="Calibri" w:hAnsi="Calibri"/>
        </w:rPr>
        <w:t xml:space="preserve">The two promises are different kinds of claim</w:t>
      </w:r>
    </w:p>
    <w:p>
      <w:pPr>
        <w:spacing w:after="140" w:line="300"/>
      </w:pPr>
      <w:r>
        <w:rPr>
          <w:rFonts w:ascii="Calibri" w:cs="Calibri" w:eastAsia="Calibri" w:hAnsi="Calibri"/>
          <w:sz w:val="22"/>
          <w:szCs w:val="22"/>
        </w:rPr>
        <w:t xml:space="preserve">The eligible count behaved as the monotonicity argument requires: across 500 colon splits the minimum difference was exactly zero, never negative. The rule removed at least one criterion in 99.0% of splits, and in a further 1.2% the removals did not bind on the scoring half. The probability that more patients are admitted, 0.978, is the difference between those two — so it describes how often the rule removes a binding criterion, rather than whether the criteria it removed were the right ones.</w:t>
      </w:r>
    </w:p>
    <w:p>
      <w:pPr>
        <w:spacing w:after="140" w:line="300"/>
      </w:pPr>
      <w:r>
        <w:rPr>
          <w:rFonts w:ascii="Calibri" w:cs="Calibri" w:eastAsia="Calibri" w:hAnsi="Calibri"/>
          <w:sz w:val="22"/>
          <w:szCs w:val="22"/>
        </w:rPr>
        <w:t xml:space="preserve">Whether the rule is doing more than removing criteria needs a comparison at the same level of inclusiveness, which our first attempt did not provide: it matched random relaxations on the number of criteria removed, and since the rule admitted 442 patients against random relaxation's 664 in Rotterdam, the hazard ratios were being compared at different eligible counts. We therefore score every one of the 512 subsets on the held-out half and place the rule among them.</w:t>
      </w:r>
    </w:p>
    <w:p>
      <w:pPr>
        <w:spacing w:after="140" w:line="300"/>
      </w:pPr>
      <w:r>
        <w:rPr>
          <w:rFonts w:ascii="Calibri" w:cs="Calibri" w:eastAsia="Calibri" w:hAnsi="Calibri"/>
          <w:sz w:val="22"/>
          <w:szCs w:val="22"/>
        </w:rPr>
        <w:t xml:space="preserve">Matched on eligible count to within ten per cent — a median of 123 comparators per split in colon and 66 in Rotterdam — the rule achieves a lower log hazard ratio than a matched subset in 59.8% of comparisons in colon (95% interval 56.8% to 62.8%) and 54.8% in Rotterdam (50.9% to 58.5%). On the restricted mean difference it is at or below chance: 42.7% and 51.5%. So at equal inclusiveness the advantage is real on the hazard ratio but small, and absent on the absolute-benefit estimand.</w:t>
      </w:r>
    </w:p>
    <w:p>
      <w:pPr>
        <w:spacing w:after="140" w:line="300"/>
      </w:pPr>
      <w:r>
        <w:rPr>
          <w:rFonts w:ascii="Calibri" w:cs="Calibri" w:eastAsia="Calibri" w:hAnsi="Calibri"/>
          <w:sz w:val="22"/>
          <w:szCs w:val="22"/>
        </w:rPr>
        <w:t xml:space="preserve">The frontier comparison is less kind. A subset dominates the rule's choice if it admits at least as many patients at a hazard ratio at least as low. The rule's choice was on that frontier in 1.6% of colon splits and 3.0% of Rotterdam splits, with a median of 72 and 60 subsets dominating it. Whatever the Shapley rule optimises, it is not the eligible-count-versus-hazard-ratio trade-off, and out of sample it is usually some distance from the attainable frontier in both.</w:t>
      </w:r>
    </w:p>
    <w:p>
      <w:pPr>
        <w:spacing w:after="140" w:line="300"/>
      </w:pPr>
      <w:r>
        <w:rPr>
          <w:rFonts w:ascii="Calibri" w:cs="Calibri" w:eastAsia="Calibri" w:hAnsi="Calibri"/>
          <w:sz w:val="22"/>
          <w:szCs w:val="22"/>
        </w:rPr>
        <w:t xml:space="preserve">The earlier same-size comparison, retained for completeness with intervals across splits: the rule beat a random relaxation removing the same number of criteria on the hazard ratio in 57.6% (54.5% to 60.7%) of colon comparisons and 68.6% (66.0% to 71.4%) in Rotterdam, and on eligible count in 59.7% and 13.7%. These intervals are computed across splits and are therefore narrower than the population uncertainty of the next section.</w:t>
      </w:r>
    </w:p>
    <w:p>
      <w:pPr>
        <w:spacing w:after="140" w:line="300"/>
      </w:pPr>
      <w:r>
        <w:rPr>
          <w:rFonts w:ascii="Calibri" w:cs="Calibri" w:eastAsia="Calibri" w:hAnsi="Calibri"/>
          <w:sz w:val="22"/>
          <w:szCs w:val="22"/>
        </w:rPr>
        <w:t xml:space="preserve">The effect-estimate promise was not kept in either cohort. In colon the out-of-sample hazard ratio was 0.078 higher under the data-driven protocol, lower in only 27.0% of splits; in Rotterdam the difference was 0.001 and the probability 0.497. Raising the fitting fraction to 0.7 moved these to 0.336 and 0.527, in the expected direction but not far enough. The absolute-benefit column moved consistently in neither.</w:t>
      </w:r>
    </w:p>
    <w:tbl>
      <w:tblPr>
        <w:tblW w:type="dxa" w:w="9360"/>
        <w:tblBorders>
          <w:top w:val="single" w:color="9AA4AF" w:sz="6"/>
          <w:left w:val="none"/>
          <w:bottom w:val="single" w:color="9AA4AF" w:sz="6"/>
          <w:right w:val="none"/>
          <w:insideH w:val="single" w:color="D7DEE5" w:sz="2"/>
          <w:insideV w:val="none"/>
        </w:tblBorders>
      </w:tblPr>
      <w:tblGrid>
        <w:gridCol w:w="3100"/>
        <w:gridCol w:w="3130"/>
        <w:gridCol w:w="3130"/>
      </w:tblGrid>
      <w:tr>
        <w:trPr>
          <w:tblHeader/>
        </w:trPr>
        <w:tc>
          <w:tcPr>
            <w:tcW w:type="dxa" w:w="31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Out-of-sample comparison</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colon (n = 619)</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Rotterdam (n = 2982)</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Fitting set (fraction 0.5); splits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309;  500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1491;  400</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Original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88, HR = 0.592, RMST = +75.8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210, HR = 0.740, RMST = +143.9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Data-driven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148, HR = 0.670, RMST = +70.0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440, HR = 0.742, RMST = +150.8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Eligible patients: difference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+59 (SE 2)</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+229 (SE 6)</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Hazard ratio: difference; P(lower)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+0.0781; 0.270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+0.0012; 0.497</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RMST: difference; P(greater)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−5.8 d; 0.452</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+6.9 d; 0.580</w:t>
            </w:r>
          </w:p>
        </w:tc>
      </w:tr>
    </w:tbl>
    <w:p>
      <w:pPr>
        <w:spacing w:after="240" w:line="300"/>
      </w:pPr>
      <w:r>
        <w:rPr>
          <w:rFonts w:ascii="Calibri" w:cs="Calibri" w:eastAsia="Calibri" w:hAnsi="Calibri"/>
          <w:color w:val="555555"/>
          <w:sz w:val="18"/>
          <w:szCs w:val="18"/>
        </w:rPr>
        <w:t xml:space="preserve">Table 1. Out-of-sample comparison against the original full protocol. The eligible-count row is monotone by construction and is reported for completeness rather than as a test. Rotterdam hazard ratios are descriptive: that cohort shows a severe lack of empirical overlap inside the full protocol.</w:t>
      </w:r>
    </w:p>
    <w:p>
      <w:pPr>
        <w:pStyle w:val="Heading2"/>
        <w:spacing w:after="130" w:before="280"/>
      </w:pPr>
      <w:r>
        <w:rPr>
          <w:rFonts w:ascii="Calibri" w:cs="Calibri" w:eastAsia="Calibri" w:hAnsi="Calibri"/>
        </w:rPr>
        <w:t xml:space="preserve">Repeated splits are not independent replicates</w:t>
      </w:r>
    </w:p>
    <w:p>
      <w:pPr>
        <w:spacing w:after="140" w:line="300"/>
      </w:pPr>
      <w:r>
        <w:rPr>
          <w:rFonts w:ascii="Calibri" w:cs="Calibri" w:eastAsia="Calibri" w:hAnsi="Calibri"/>
          <w:sz w:val="22"/>
          <w:szCs w:val="22"/>
        </w:rPr>
        <w:t xml:space="preserve">Resampling the cohort around the whole split procedure separates algorithmic stability from population uncertainty. Because a bootstrap resample contains duplicate copies of a patient, the inner split is taken over unique patient identifiers so that no patient contributes to both halves; an earlier version of this analysis split the resampled rows directly, which allowed copies of one patient to fall on opposite sides, and the numbers below are the corrected ones. Correcting it narrowed rather than widened the intervals.</w:t>
      </w:r>
    </w:p>
    <w:p>
      <w:pPr>
        <w:spacing w:after="140" w:line="300"/>
      </w:pPr>
      <w:r>
        <w:rPr>
          <w:rFonts w:ascii="Calibri" w:cs="Calibri" w:eastAsia="Calibri" w:hAnsi="Calibri"/>
          <w:sz w:val="22"/>
          <w:szCs w:val="22"/>
        </w:rPr>
        <w:t xml:space="preserve">With 70 outer resamples and 18 inner splits each, the standard deviation of the colon probability of a lower out-of-sample hazard ratio across resamples is 0.184. Of that, 0.105 is the inner Monte Carlo component implied by 18 splits and 0.151 is the between-cohort component obtained by subtracting it. The naive across-split standard error is 0.0105, so the between-cohort component alone is 14 times it. The 95% percentile interval runs from 0.00 to 0.72; in Rotterdam, from 0.15 to 0.81. We use percentile rather than accelerated intervals because the statistic is a proportion of proportions and the acceleration estimate is unstable at this outer count.</w:t>
      </w:r>
    </w:p>
    <w:p>
      <w:pPr>
        <w:spacing w:after="140" w:line="300"/>
      </w:pPr>
      <w:r>
        <w:rPr>
          <w:rFonts w:ascii="Calibri" w:cs="Calibri" w:eastAsia="Calibri" w:hAnsi="Calibri"/>
          <w:sz w:val="22"/>
          <w:szCs w:val="22"/>
        </w:rPr>
        <w:t xml:space="preserve">These intervals cover most of the range: the point estimates of 0.270 and 0.497 are properties of these datasets rather than estimates of how often the procedure would succeed elsewhere, and an in-sample evaluation on a single cohort has access to neither source of variability. The eligibility probability is better determined, interval [0.89, 1.00] in colon, as one expects of a quantity that is monotone by construction.</w:t>
      </w:r>
    </w:p>
    <w:p>
      <w:pPr>
        <w:pStyle w:val="Heading2"/>
        <w:spacing w:after="130" w:before="280"/>
      </w:pPr>
      <w:r>
        <w:rPr>
          <w:rFonts w:ascii="Calibri" w:cs="Calibri" w:eastAsia="Calibri" w:hAnsi="Calibri"/>
        </w:rPr>
        <w:t xml:space="preserve">No universal data requirement can be stated, and the reason is not sample size</w:t>
      </w:r>
    </w:p>
    <w:p>
      <w:pPr>
        <w:spacing w:after="140" w:line="300"/>
      </w:pPr>
      <w:r>
        <w:rPr>
          <w:rFonts w:ascii="Calibri" w:cs="Calibri" w:eastAsia="Calibri" w:hAnsi="Calibri"/>
          <w:sz w:val="22"/>
          <w:szCs w:val="22"/>
        </w:rPr>
        <w:t xml:space="preserve">With the scoring set fixed at 100 000 patients, the eligibility promise was kept at every fitting size, from 0.950 at 300 patients to 1.000 at 20 000. The effect-estimate promise rose from 0.273 to 0.997 over the same range, crossing 0.8 near 3000 and reaching 0.937 at 5167. At the population level the rule was correct: it identified the diluting criterion and its protocol lowered the hazard ratio from 0.6637 to 0.6327 while raising the eligible count from 55 179 to 78 847. The observed colon values sit close to this curve — 0.270 against a predicted 0.279 at 309 fitting patients, and 0.336 against 0.339 at 433 — but the interval around those observed values, from the previous section, spans most of the unit interval, so the agreement has almost no power to discriminate and we draw no validation from it.</w:t>
      </w:r>
    </w:p>
    <w:p>
      <w:pPr>
        <w:spacing w:after="140" w:line="300"/>
      </w:pPr>
      <w:r>
        <w:rPr>
          <w:rFonts w:ascii="Calibri" w:cs="Calibri" w:eastAsia="Calibri" w:hAnsi="Calibri"/>
          <w:sz w:val="22"/>
          <w:szCs w:val="22"/>
        </w:rPr>
        <w:t xml:space="preserve">That curve belongs to one generating mechanism. Across the resolution-IV factorial the threshold does not transfer: in 9 of 16 scenarios the crossing was above the largest fitting size we evaluated, 18 000, and in one it was below the smallest. Estimating a threshold and then summarising only the scenarios where one was observable conditions on the outcome, so we report instead the success probability at fixed fitting sizes, which every scenario supplies whether or not it has an attainable threshold.</w:t>
      </w:r>
    </w:p>
    <w:tbl>
      <w:tblPr>
        <w:tblW w:type="dxa" w:w="9360"/>
        <w:tblBorders>
          <w:top w:val="single" w:color="9AA4AF" w:sz="6"/>
          <w:left w:val="none"/>
          <w:bottom w:val="single" w:color="9AA4AF" w:sz="6"/>
          <w:right w:val="none"/>
          <w:insideH w:val="single" w:color="D7DEE5" w:sz="2"/>
          <w:insideV w:val="none"/>
        </w:tblBorders>
      </w:tblPr>
      <w:tblGrid>
        <w:gridCol w:w="2600"/>
        <w:gridCol w:w="3400"/>
        <w:gridCol w:w="3360"/>
      </w:tblGrid>
      <w:tr>
        <w:trPr>
          <w:tblHeader/>
        </w:trPr>
        <w:tc>
          <w:tcPr>
            <w:tcW w:type="dxa" w:w="26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Fitting patients</w:t>
            </w:r>
          </w:p>
        </w:tc>
        <w:tc>
          <w:tcPr>
            <w:tcW w:type="dxa" w:w="340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Effect modification concentrated: median [min, max]</w:t>
            </w:r>
          </w:p>
        </w:tc>
        <w:tc>
          <w:tcPr>
            <w:tcW w:type="dxa" w:w="336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Spread over five criteria: median [min, max]</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0.54 [0.19, 0.88]</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0.04 [0.00, 0.25]</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2 000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0.70 [0.45, 0.93]</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0.08 [0.00, 0.41]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0.91 [0.57, 0.99]</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0.13 [0.00, 0.71]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18 000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0.99 [0.66, 1.00]</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0.27 [0.00, 0.78]</w:t>
            </w:r>
          </w:p>
        </w:tc>
      </w:tr>
    </w:tbl>
    <w:p>
      <w:pPr>
        <w:spacing w:after="240" w:line="300"/>
      </w:pPr>
      <w:r>
        <w:rPr>
          <w:rFonts w:ascii="Calibri" w:cs="Calibri" w:eastAsia="Calibri" w:hAnsi="Calibri"/>
          <w:color w:val="555555"/>
          <w:sz w:val="18"/>
          <w:szCs w:val="18"/>
        </w:rPr>
        <w:t xml:space="preserve">Table 2. Probability of a lower out-of-sample hazard ratio at fixed fitting-cohort size, across all sixteen factorial scenarios, eight per column. Monte Carlo standard error is at most 0.071. No threshold is estimated, so nothing is censored and no scenario is excluded.</w:t>
      </w:r>
    </w:p>
    <w:p>
      <w:pPr>
        <w:spacing w:after="140" w:line="300"/>
      </w:pPr>
      <w:r>
        <w:rPr>
          <w:rFonts w:ascii="Calibri" w:cs="Calibri" w:eastAsia="Calibri" w:hAnsi="Calibri"/>
          <w:sz w:val="22"/>
          <w:szCs w:val="22"/>
        </w:rPr>
        <w:t xml:space="preserve">The spread across scenarios at any fixed size is very large: the standard deviation of the success probability is 0.33 at 2000 fitting patients and 0.39 at 6000, on a scale bounded by one. An interval-censored regression using the censored runs as the interval information they are does not resolve it, because the arrangement factor completely separates the design and its coefficient is unbounded; it is in the supplement as supporting material only (Table S2b).</w:t>
      </w:r>
    </w:p>
    <w:p>
      <w:pPr>
        <w:spacing w:after="140" w:line="300"/>
      </w:pPr>
      <w:r>
        <w:rPr>
          <w:rFonts w:ascii="Calibri" w:cs="Calibri" w:eastAsia="Calibri" w:hAnsi="Calibri"/>
          <w:sz w:val="22"/>
          <w:szCs w:val="22"/>
        </w:rPr>
        <w:t xml:space="preserve">We withdraw a claim made in the first revision, that the threshold is more variable in events and effective sample size than in patients: that was computed over the six scenarios in which a threshold was observable, a selected subset. Binning all sixteen by each currency instead, the three are indistinguishable — 0.34, 0.35 and 0.34. None is more portable, and none determines the answer.</w:t>
      </w:r>
    </w:p>
    <w:p>
      <w:pPr>
        <w:spacing w:after="140" w:line="300"/>
      </w:pPr>
      <w:r>
        <w:rPr>
          <w:rFonts w:ascii="Calibri" w:cs="Calibri" w:eastAsia="Calibri" w:hAnsi="Calibri"/>
          <w:sz w:val="22"/>
          <w:szCs w:val="22"/>
        </w:rPr>
        <w:t xml:space="preserve">The 0.80 reliability target is a convention borrowed from power calculations and nothing depends on it: at 0.70 and 0.90 the median located threshold is 2000 and 4811 fitting patients and the separation between the two arrangements is unchanged (Table S2b).</w:t>
      </w:r>
    </w:p>
    <w:p>
      <w:pPr>
        <w:spacing w:after="140" w:line="300"/>
      </w:pPr>
      <w:r>
        <w:rPr>
          <w:rFonts w:ascii="Calibri" w:cs="Calibri" w:eastAsia="Calibri" w:hAnsi="Calibri"/>
          <w:sz w:val="22"/>
          <w:szCs w:val="22"/>
        </w:rPr>
        <w:t xml:space="preserve">The factorial contrasted modification concentrated in one criterion with modification spread over five, and describing the result as being about concentration turned out to be wrong. In that design the per-criterion coefficient was simply divided, so the diffuse arm also had a weaker DILUTING coefficient — 0.128 against 0.32 — and dilution is what the rule must detect, since relaxation can lower the hazard ratio only by dropping a criterion that selects patients who benefit less. Concentration and detection strength were confounded.</w:t>
      </w:r>
    </w:p>
    <w:p>
      <w:pPr>
        <w:spacing w:after="140" w:line="300"/>
      </w:pPr>
      <w:r>
        <w:rPr>
          <w:rFonts w:ascii="Calibri" w:cs="Calibri" w:eastAsia="Calibri" w:hAnsi="Calibri"/>
          <w:sz w:val="22"/>
          <w:szCs w:val="22"/>
        </w:rPr>
        <w:t xml:space="preserve">A separate sweep separates them, holding the total modification fixed at 0.85 and varying only its arrangement. Spreading the ENRICHMENT does not matter: with the diluting coefficient fixed at 0.30, success at 600, 2000, 6000 and 18 000 fitting patients runs 0.26 / 0.37 / 0.58 / 0.85 with enrichment in one criterion, 0.23 / 0.43 / 0.79 / 0.87 split over two, and 0.17 / 0.39 / 0.78 / 0.95 split over four. Splitting the DILUTION is what costs: with the same total but the diluting signal halved across two criteria, the same four sizes give 0.07 / 0.11 / 0.19 / 0.43.</w:t>
      </w:r>
    </w:p>
    <w:p>
      <w:pPr>
        <w:spacing w:after="140" w:line="300"/>
      </w:pPr>
      <w:r>
        <w:rPr>
          <w:rFonts w:ascii="Calibri" w:cs="Calibri" w:eastAsia="Calibri" w:hAnsi="Calibri"/>
          <w:sz w:val="22"/>
          <w:szCs w:val="22"/>
        </w:rPr>
        <w:t xml:space="preserve">So the quantity that governs the data requirement is not how concentrated the effect modification is but how large the single largest diluting coefficient is. That is a sharper statement and a less comfortable one, because it is precisely the quantity the analysis exists to discover. Positivity, logical implication and interaction leverage can all be computed before any outcome is examined; the magnitude of the strongest diluting effect-modification coefficient cannot. The data requirement therefore depends on an unknown of exactly the kind the procedure is meant to estimate, and no rule expressed in patients, events or effective sample size can substitute for it. We regard that as the main methodological result of this work, and it is a negative one.</w:t>
      </w:r>
    </w:p>
    <w:p>
      <w:pPr>
        <w:spacing w:after="60" w:before="200"/>
        <w:jc w:val="center"/>
      </w:pPr>
      <w:r>
        <w:drawing>
          <wp:inline distT="0" distB="0" distL="0" distR="0">
            <wp:extent cx="5886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86450" cy="247650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3. Left: probability that each promise is kept by fitting-cohort size in the single-mechanism simulation, scoring set fixed at 100 000, with Monte Carlo intervals. The observed cohort points carry the outer-bootstrap intervals from the nested resampling, which span most of the unit interval; their apparent agreement with the simulated curve has little discriminating power and we draw no validation from it. Right: the probability that the rule recovers the exactly correct criterion set.</w:t>
      </w:r>
    </w:p>
    <w:p>
      <w:pPr>
        <w:pStyle w:val="Heading2"/>
        <w:spacing w:after="130" w:before="280"/>
      </w:pPr>
      <w:r>
        <w:rPr>
          <w:rFonts w:ascii="Calibri" w:cs="Calibri" w:eastAsia="Calibri" w:hAnsi="Calibri"/>
        </w:rPr>
        <w:t xml:space="preserve">Below the threshold the selected protocol can be slightly worse than the original</w:t>
      </w:r>
    </w:p>
    <w:p>
      <w:pPr>
        <w:spacing w:after="140" w:line="300"/>
      </w:pPr>
      <w:r>
        <w:rPr>
          <w:rFonts w:ascii="Calibri" w:cs="Calibri" w:eastAsia="Calibri" w:hAnsi="Calibri"/>
          <w:sz w:val="22"/>
          <w:szCs w:val="22"/>
        </w:rPr>
        <w:t xml:space="preserve">Exact recovery of the criterion set rose from 0.050 at 300 fitting patients to 0.635 at 20000, but that is an unnecessarily strict standard when several protocols perform almost identically. The softer measures move monotonically: Hamming distance fell from 2.98 criteria to 0.51, Jaccard similarity rose from 0.594 to 0.928, false retention fell from 0.380 to 0.000 and false relaxation from 0.372 to 0.072. Over-relaxation is the error that persists.</w:t>
      </w:r>
    </w:p>
    <w:p>
      <w:pPr>
        <w:spacing w:after="140" w:line="300"/>
      </w:pPr>
      <w:r>
        <w:rPr>
          <w:rFonts w:ascii="Calibri" w:cs="Calibri" w:eastAsia="Calibri" w:hAnsi="Calibri"/>
          <w:sz w:val="22"/>
          <w:szCs w:val="22"/>
        </w:rPr>
        <w:t xml:space="preserve">Regret needs defining before it is read. Ours is on the log hazard-ratio scale: the difference between the population log hazard ratio under the selected protocol and under the subset that minimises it, both evaluated on the fixed 100 000-patient scoring set. It is a single-objective measure that ignores eligible count, safety and every other clinical consideration, and because different protocols target different populations a larger regret means further from the lowest attainable hazard ratio rather than worse for a patient. The full protocol has a regret of its own, which is what makes the two comparable. In this generating model the rule's population limit set coincides with the minimising subset, so its asymptotic regret is zero; the Shapley-sign rule carries no general guarantee of reaching the global optimum when interactions are present and we claim this for this scenario only. Regret falls from 0.0727 at 300 fitting patients to 0.0078 at 20000. The full protocol's regret is 0.0544. The two cross near a thousand fitting patients: below that, the protocol the rule produces sits slightly further from the lowest attainable hazard ratio than the full protocol does. Read narrowly — as a statement about this one generating model and this one objective — it means the expected outcome for a small cohort is not a smaller improvement but a marginally worse position on that objective, applied to a larger group of patients. It is not a claim that the resulting protocol is clinically worse, which would need the other objectives weighed alongside it.</w:t>
      </w:r>
    </w:p>
    <w:p>
      <w:pPr>
        <w:pStyle w:val="Heading2"/>
        <w:spacing w:after="130" w:before="280"/>
      </w:pPr>
      <w:r>
        <w:rPr>
          <w:rFonts w:ascii="Calibri" w:cs="Calibri" w:eastAsia="Calibri" w:hAnsi="Calibri"/>
        </w:rPr>
        <w:t xml:space="preserve">Confounding moves the threshold, and unmeasured confounding hides itself</w:t>
      </w:r>
    </w:p>
    <w:p>
      <w:pPr>
        <w:spacing w:after="140" w:line="300"/>
      </w:pPr>
      <w:r>
        <w:rPr>
          <w:rFonts w:ascii="Calibri" w:cs="Calibri" w:eastAsia="Calibri" w:hAnsi="Calibri"/>
          <w:sz w:val="22"/>
          <w:szCs w:val="22"/>
        </w:rPr>
        <w:t xml:space="preserve">Correctly adjusted confounding lowered the curve throughout: at 5167 fitting patients the probability fell from 0.937 to 0.808, so roughly twice the sample is needed for a given reliability.</w:t>
      </w:r>
    </w:p>
    <w:p>
      <w:pPr>
        <w:spacing w:after="140" w:line="300"/>
      </w:pPr>
      <w:r>
        <w:rPr>
          <w:rFonts w:ascii="Calibri" w:cs="Calibri" w:eastAsia="Calibri" w:hAnsi="Calibri"/>
          <w:sz w:val="22"/>
          <w:szCs w:val="22"/>
        </w:rPr>
        <w:t xml:space="preserve">The third arm is the more consequential result and requires care with language. Because all three arms share one outcome model, the true causal contrast is identical in all three by construction; what differs is the population limit of the weighted estimator under each adjustment. Omitting one confounder returned the reliability curve to randomised levels — 0.936 at 5167 against 0.937 — which might easily be read as reassurance. The estimator's population limit for the gap between protocols rose to 0.0408 from 0.0310, 32% larger, with the whole hazard ratio displaced from 0.664 to 0.757. Meanwhile the probability of recovering the correct criterion set fell from 0.280 to 0.116. The procedure appeared equally reliable while its selection was in fact less accurate, because the quantity it was detecting had itself been inflated by bias.</w:t>
      </w:r>
    </w:p>
    <w:p>
      <w:pPr>
        <w:spacing w:after="140" w:line="300"/>
      </w:pPr>
      <w:r>
        <w:rPr>
          <w:rFonts w:ascii="Calibri" w:cs="Calibri" w:eastAsia="Calibri" w:hAnsi="Calibri"/>
          <w:sz w:val="22"/>
          <w:szCs w:val="22"/>
        </w:rPr>
        <w:t xml:space="preserve">Observing that the method performs well on real-world data therefore does not by itself indicate that adjustment was adequate. A useful sensitivity analysis compares the estimated gap under richer and poorer adjustment and expects it to shrink as adjustment improves — but that expectation holds only when the added variables are plausibly confounders. Adding an instrument can amplify residual bias</w:t>
      </w:r>
      <w:r>
        <w:rPr>
          <w:rFonts w:ascii="Calibri" w:cs="Calibri" w:eastAsia="Calibri" w:hAnsi="Calibri"/>
          <w:sz w:val="22"/>
          <w:szCs w:val="22"/>
          <w:vertAlign w:val="superscript"/>
        </w:rPr>
        <w:t xml:space="preserve">16</w:t>
      </w:r>
      <w:r>
        <w:rPr>
          <w:rFonts w:ascii="Calibri" w:cs="Calibri" w:eastAsia="Calibri" w:hAnsi="Calibri"/>
          <w:sz w:val="22"/>
          <w:szCs w:val="22"/>
        </w:rPr>
        <w:t xml:space="preserve"> and adding a collider or mediator can create it, so the direction of travel is a warning worth heeding among substantively defensible adjustment sets, not a test that settles the question.</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4. Three treatment-assignment mechanisms sharing one outcome model, with Monte Carlo intervals. Left: correctly adjusted confounding lowers the curve; omitting one confounder returns it to randomised levels. Centre: the population limit of the estimated gap is 32% larger under unmeasured confounding — the true causal gap is identical in all three arms. Right: correct selection meanwhile falls by more than half.</w:t>
      </w:r>
    </w:p>
    <w:p>
      <w:pPr>
        <w:pStyle w:val="Heading2"/>
        <w:spacing w:after="130" w:before="280"/>
      </w:pPr>
      <w:r>
        <w:rPr>
          <w:rFonts w:ascii="Calibri" w:cs="Calibri" w:eastAsia="Calibri" w:hAnsi="Calibri"/>
        </w:rPr>
        <w:t xml:space="preserve">Why the hazard ratio is the fragile leg</w:t>
      </w:r>
    </w:p>
    <w:p>
      <w:pPr>
        <w:spacing w:after="140" w:line="300"/>
      </w:pPr>
      <w:r>
        <w:rPr>
          <w:rFonts w:ascii="Calibri" w:cs="Calibri" w:eastAsia="Calibri" w:hAnsi="Calibri"/>
          <w:sz w:val="22"/>
          <w:szCs w:val="22"/>
        </w:rPr>
        <w:t xml:space="preserve">Under proportional hazards with the conditional hazard ratio fixed at 0.6 in every stratum, a criterion defined on the prognostic covariate changes no individual's relative benefit, yet its Shapley value on the log hazard ratio grew monotonically with prognostic strength, from −0.0008 with no heterogeneity to −0.066 at the strongest setting, while the marginal hazard ratio drifted from 0.599 to 0.804. The value at zero heterogeneity is the falsification point and the artefact vanished there. The restricted mean difference also moved, and in the opposite direction: it fell from 0.664 in the whole cohort to 0.599 in the selected group at the weakest setting and from 0.425 to 0.322 at the strongest, so its Shapley value is negative throughout. That is the expected direction and it corresponds to a real fact — a lower-risk group has less absolute survival to gain, because more of it survives the horizon regardless of treatment. The hazard-ratio movement corresponds to no fact of either kind, which is the concrete reason a lower hazard ratio must not be read as a better estimate.</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5. Non-collapsibility as a dose–response. The conditional hazard ratio is 0.6 in every stratum at every point on these curves, so the criterion changes no individual's relative benefit; the Shapley value on the log hazard ratio nonetheless grows with prognostic strength and vanishes where there is no heterogeneity to collapse over.</w:t>
      </w:r>
    </w:p>
    <w:p>
      <w:pPr>
        <w:pStyle w:val="Heading2"/>
        <w:spacing w:after="130" w:before="280"/>
      </w:pPr>
      <w:r>
        <w:rPr>
          <w:rFonts w:ascii="Calibri" w:cs="Calibri" w:eastAsia="Calibri" w:hAnsi="Calibri"/>
        </w:rPr>
        <w:t xml:space="preserve">Pairwise interactions here are attenuated, not absent</w:t>
      </w:r>
    </w:p>
    <w:p>
      <w:pPr>
        <w:spacing w:after="140" w:line="300"/>
      </w:pPr>
      <w:r>
        <w:rPr>
          <w:rFonts w:ascii="Calibri" w:cs="Calibri" w:eastAsia="Calibri" w:hAnsi="Calibri"/>
          <w:sz w:val="22"/>
          <w:szCs w:val="22"/>
        </w:rPr>
        <w:t xml:space="preserve">The plate plot, adapted here from network meta-analysis</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displays both estimands in one panel (Figure 6). Leverage is signed: positive correlation raises the joint eligibility rate above the product of the marginals, and once it rises far enough the factor can become negative, meaning the contrast flips sign rather than vanishing. Magnitude therefore measures attenuation. In colon the median magnitude was 0.013 and the maximum 0.086, with no pair of 36 above 0.10 and 35 of 36 below 0.05; in Rotterdam the median was 0.022, four pairs exceeded 0.10 and 26 of 36 fell below 0.05.</w:t>
      </w:r>
    </w:p>
    <w:p>
      <w:pPr>
        <w:spacing w:after="140" w:line="300"/>
      </w:pPr>
      <w:r>
        <w:rPr>
          <w:rFonts w:ascii="Calibri" w:cs="Calibri" w:eastAsia="Calibri" w:hAnsi="Calibri"/>
          <w:sz w:val="22"/>
          <w:szCs w:val="22"/>
        </w:rPr>
        <w:t xml:space="preserve">The consequence is a power statement, not a structural one. A global permutation test on the colon interaction matrix returned p = 0.26 on the hazard ratio and 0.21 on the restricted mean, and no main effect survived multiplicity adjustment on either estimand. Because the contrast in these cells is attenuated by a factor of order 0.01 to 0.09, those nulls carry little information about effect modification: they bound what could have been detected at this attenuation and sample size and nothing more. The one class of cells about which a null is definitive is the logically implied pair, where the contrast is exactly zero and which the implication detector removes before testing.</w:t>
      </w:r>
    </w:p>
    <w:p>
      <w:pPr>
        <w:spacing w:after="140" w:line="300"/>
      </w:pPr>
      <w:r>
        <w:rPr>
          <w:rFonts w:ascii="Calibri" w:cs="Calibri" w:eastAsia="Calibri" w:hAnsi="Calibri"/>
          <w:sz w:val="22"/>
          <w:szCs w:val="22"/>
        </w:rPr>
        <w:t xml:space="preserve">Against known truth over 420 replicates at n = 1500, the bias-corrected and accelerated interval attained 0.950 coverage (Monte Carlo SE 0.011) for a null interaction, against a nominal 0.95, while the percentile interval over-covered at 0.964. Since most cells of a real interaction matrix are null and their false-positive behaviour determines what gets reported, that is the comparison that matters. For a genuinely non-null interaction both under-covered, at 0.933 and 0.931 (Monte Carlo SE 0.012). We recommend at least 1000 bootstrap replicates and 50 jackknife groups, and treating intervals for large interactions as mildly anticonservative.</w:t>
      </w:r>
    </w:p>
    <w:p>
      <w:pPr>
        <w:spacing w:after="60" w:before="200"/>
        <w:jc w:val="center"/>
      </w:pPr>
      <w:r>
        <w:drawing>
          <wp:inline distT="0" distB="0" distL="0" distR="0">
            <wp:extent cx="3810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524375"/>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6. The criteria plate plot for colon. Upper triangle, pairwise interaction on the log hazard ratio; lower triangle, on the restricted mean difference; diagonal, per-criterion main effects on both estimands, shaded by the fraction of the cohort the criterion excludes. Light hatching marks cells whose leverage is below 0.05 in magnitude — 35 of 36 here — and dense hatching cells that are arithmetic identities. A full-page version is Supplementary Figure S2.</w:t>
      </w:r>
    </w:p>
    <w:p>
      <w:pPr>
        <w:pStyle w:val="Heading1"/>
        <w:spacing w:after="130" w:before="280"/>
      </w:pPr>
      <w:r>
        <w:rPr>
          <w:rFonts w:ascii="Calibri" w:cs="Calibri" w:eastAsia="Calibri" w:hAnsi="Calibri"/>
        </w:rPr>
        <w:t xml:space="preserve">Discussion</w:t>
      </w:r>
    </w:p>
    <w:p>
      <w:pPr>
        <w:spacing w:after="140" w:line="300"/>
      </w:pPr>
      <w:r>
        <w:rPr>
          <w:rFonts w:ascii="Calibri" w:cs="Calibri" w:eastAsia="Calibri" w:hAnsi="Calibri"/>
          <w:sz w:val="22"/>
          <w:szCs w:val="22"/>
        </w:rPr>
        <w:t xml:space="preserve">Data-driven relaxation admits more patients, and it is worth being precise about what that shows. The rule retains a subset of the criteria, so the eligible set can only grow, and the probability reported for this promise measures how often a binding criterion is removed. Scored against all 512 subsets on the held-out half, the rule's choice lay on the eligible-count-versus-hazard-ratio frontier in 1.6% of colon splits and 3.0% of Rotterdam splits, with a median of 72 and 60 subsets admitting at least as many patients at a hazard ratio at least as low. Matched on eligible count its hazard-ratio advantage is real but modest, and on the absolute-benefit estimand it is at or below chance. The rule is therefore not optimising the trade-off between the two promises, and a comparison against the full protocol alone cannot show this.</w:t>
      </w:r>
    </w:p>
    <w:p>
      <w:pPr>
        <w:spacing w:after="140" w:line="300"/>
      </w:pPr>
      <w:r>
        <w:rPr>
          <w:rFonts w:ascii="Calibri" w:cs="Calibri" w:eastAsia="Calibri" w:hAnsi="Calibri"/>
          <w:sz w:val="22"/>
          <w:szCs w:val="22"/>
        </w:rPr>
        <w:t xml:space="preserve">What a wider eligible population is worth clinically is a separate question no outcome model answers, and criteria are not all of a kind: those encoding safety, tolerability, feasibility or pharmacology should be designated non-relaxable before the procedure runs rather than left to a hazard ratio to adjudicate.</w:t>
      </w:r>
    </w:p>
    <w:p>
      <w:pPr>
        <w:spacing w:after="140" w:line="300"/>
      </w:pPr>
      <w:r>
        <w:rPr>
          <w:rFonts w:ascii="Calibri" w:cs="Calibri" w:eastAsia="Calibri" w:hAnsi="Calibri"/>
          <w:sz w:val="22"/>
          <w:szCs w:val="22"/>
        </w:rPr>
        <w:t xml:space="preserve">Whether the effect-estimate improvement is attainable at all depends on something that cannot be checked in advance. Across the factorial the success probability varies by roughly 0.34 in standard deviation at every fixed sample size, and grouping scenarios by events or by effective sample size rather than by patients does not reduce that spread at all — a claim we made in the previous revision and withdraw here, because it was computed only over the scenarios in which a threshold happened to be observable. The quantity that does govern the requirement is the magnitude of the largest diluting effect-modification coefficient: arranging the same total modification differently leaves success unchanged when the enrichment is spread and collapses it when the diluting signal is halved. Since that coefficient is what the analysis exists to estimate, no data requirement in patients, events or effective sample size can be given ahead of the analysis. We think this negative result is the more useful contribution, and it separates cleanly what an investigator can check beforehand — positivity inside the full protocol, logical implication, interaction leverage — from what they cannot.</w:t>
      </w:r>
    </w:p>
    <w:p>
      <w:pPr>
        <w:spacing w:after="140" w:line="300"/>
      </w:pPr>
      <w:r>
        <w:rPr>
          <w:rFonts w:ascii="Calibri" w:cs="Calibri" w:eastAsia="Calibri" w:hAnsi="Calibri"/>
          <w:sz w:val="22"/>
          <w:szCs w:val="22"/>
        </w:rPr>
        <w:t xml:space="preserve">The regret comparison adds a further consideration for small cohorts, where the protocol the rule produces sits slightly further from the lowest attainable hazard ratio than the original full protocol does. That is a single-objective statement about one generating model and not a claim of clinical inferiority, but it does mean the caution for an investigator with a small cohort is not only that the expected improvement may fail to materialise.</w:t>
      </w:r>
    </w:p>
    <w:p>
      <w:pPr>
        <w:spacing w:after="140" w:line="300"/>
      </w:pPr>
      <w:r>
        <w:rPr>
          <w:rFonts w:ascii="Calibri" w:cs="Calibri" w:eastAsia="Calibri" w:hAnsi="Calibri"/>
          <w:sz w:val="22"/>
          <w:szCs w:val="22"/>
        </w:rPr>
        <w:t xml:space="preserve">The unmeasured-confounding arm is the finding we would most want carried forward. Residual confounding inflated the quantity being detected and thereby made the procedure appear more reliable while its selection became less accurate, which runs against the usual intuition that a clear signal is reassuring. The recommendation that follows — compare adjustment sets and expect the gap to shrink — is a heuristic with real exceptions and should be used among substantively defensible sets rather than as a test.</w:t>
      </w:r>
    </w:p>
    <w:p>
      <w:pPr>
        <w:spacing w:after="140" w:line="300"/>
      </w:pPr>
      <w:r>
        <w:rPr>
          <w:rFonts w:ascii="Calibri" w:cs="Calibri" w:eastAsia="Calibri" w:hAnsi="Calibri"/>
          <w:sz w:val="22"/>
          <w:szCs w:val="22"/>
        </w:rPr>
        <w:t xml:space="preserve">Rotterdam is a cautionary example of a different kind. Chemotherapy there went almost exclusively to younger, premenopausal women, so within the restrictive full protocol there is very little overlap and no specification we tried restores balance — exactly the check we argue should come first. Restriction does not create it; overlap was flat in the number of criteria applied in both cohorts.</w:t>
      </w:r>
    </w:p>
    <w:p>
      <w:pPr>
        <w:spacing w:after="140" w:line="300"/>
      </w:pPr>
      <w:r>
        <w:rPr>
          <w:rFonts w:ascii="Calibri" w:cs="Calibri" w:eastAsia="Calibri" w:hAnsi="Calibri"/>
          <w:sz w:val="22"/>
          <w:szCs w:val="22"/>
        </w:rPr>
        <w:t xml:space="preserve">Three by-products may be useful independently. Interaction leverage is a closed-form quantity requiring no outcome data that says how far a pair's interaction is attenuated by the eligibility rates alone; we have corrected the claim made for it — low leverage is attenuation rather than structural invisibility — and derived the coefficient for three interaction forms, all multiples of (1−q)(1−q) under independence, exact for the both-criteria structure and approximate for the other two. The implication detector removes cells that are arithmetic identities, the only cells genuinely uninformative regardless of sample size. And carrying both estimands makes visible where a criterion's relative and absolute effects disagree, a substantive question that should be settled on clinical grounds rather than by a software default.</w:t>
      </w:r>
    </w:p>
    <w:p>
      <w:pPr>
        <w:spacing w:after="140" w:line="300"/>
      </w:pPr>
      <w:r>
        <w:rPr>
          <w:rFonts w:ascii="Calibri" w:cs="Calibri" w:eastAsia="Calibri" w:hAnsi="Calibri"/>
          <w:sz w:val="22"/>
          <w:szCs w:val="22"/>
        </w:rPr>
        <w:t xml:space="preserve">Several limitations bound these conclusions. The criteria were constructed from available covariates rather than transcribed from protocols, so this demonstrates a general property rather than evaluating any trial, and neither cohort is the database used in the original work. The factorial is resolution IV, so two-factor interactions are aliased in pairs; the criterion-count factor spans only 6 against 8, because exhaustive enumeration costs 2^p evaluations per replicate; and propensity overlap, weight variability, missingness and model misspecification are represented crudely or not at all. All simulated quantities depend on their generating models. The absolute-benefit column depends on an analyst choice of horizon, and in colon its sign flips across a plausible range of that choice. The leverage expressions are derived for three specific interaction forms.</w:t>
      </w:r>
    </w:p>
    <w:p>
      <w:pPr>
        <w:pStyle w:val="Heading1"/>
        <w:spacing w:after="130" w:before="280"/>
      </w:pPr>
      <w:r>
        <w:rPr>
          <w:rFonts w:ascii="Calibri" w:cs="Calibri" w:eastAsia="Calibri" w:hAnsi="Calibri"/>
        </w:rPr>
        <w:t xml:space="preserve">Conclusions</w:t>
      </w:r>
    </w:p>
    <w:p>
      <w:pPr>
        <w:spacing w:after="140" w:line="300"/>
      </w:pPr>
      <w:r>
        <w:rPr>
          <w:rFonts w:ascii="Calibri" w:cs="Calibri" w:eastAsia="Calibri" w:hAnsi="Calibri"/>
          <w:sz w:val="22"/>
          <w:szCs w:val="22"/>
        </w:rPr>
        <w:t xml:space="preserve">Relaxing trial eligibility criteria from data widens the eligible population, but that widening follows largely from the structure of the rule, and scored against the subsets attainable on held-out patients the rule's choice is rarely near the eligible-count-versus-hazard-ratio frontier. Its contribution is to the effect estimate, and it is modest at matched inclusiveness. How much data that contribution requires cannot be stated in advance: it is governed by the magnitude of the strongest diluting effect-modification coefficient, which is the quantity the analysis exists to discover, and no expression in patients, events or effective sample size stands in for it. Incomplete confounding adjustment can make the procedure appear more successful while its selection is less accurate, so apparent success on real-world data should not be taken as evidence of adequate adjustment. What an investigator can establish beforehand is narrower than we previously suggested — empirical overlap inside the full protocol, logical implication among criteria, and interaction leverage — and it does not include whether the effect-estimate promise is within reach.</w:t>
      </w:r>
    </w:p>
    <w:p>
      <w:pPr>
        <w:pStyle w:val="Heading1"/>
        <w:spacing w:after="130" w:before="280"/>
      </w:pPr>
      <w:r>
        <w:rPr>
          <w:rFonts w:ascii="Calibri" w:cs="Calibri" w:eastAsia="Calibri" w:hAnsi="Calibri"/>
        </w:rPr>
        <w:t xml:space="preserve">Declarations</w:t>
      </w:r>
    </w:p>
    <w:p>
      <w:pPr>
        <w:spacing w:after="110" w:line="300"/>
      </w:pPr>
      <w:r>
        <w:rPr>
          <w:rFonts w:ascii="Calibri" w:cs="Calibri" w:eastAsia="Calibri" w:hAnsi="Calibri"/>
          <w:b/>
          <w:bCs/>
          <w:sz w:val="22"/>
          <w:szCs w:val="22"/>
        </w:rPr>
        <w:t xml:space="preserve">Ethics approval and consent to participate. </w:t>
      </w:r>
      <w:r>
        <w:rPr>
          <w:rFonts w:ascii="Calibri" w:cs="Calibri" w:eastAsia="Calibri" w:hAnsi="Calibri"/>
          <w:sz w:val="22"/>
          <w:szCs w:val="22"/>
        </w:rPr>
        <w:t xml:space="preserve">Not applicable. Both datasets are fully de-identified, publicly distributed with the R package survival, and were previously published; no new human-subjects data were collected.</w:t>
      </w:r>
    </w:p>
    <w:p>
      <w:pPr>
        <w:spacing w:after="110" w:line="300"/>
      </w:pPr>
      <w:r>
        <w:rPr>
          <w:rFonts w:ascii="Calibri" w:cs="Calibri" w:eastAsia="Calibri" w:hAnsi="Calibri"/>
          <w:b/>
          <w:bCs/>
          <w:sz w:val="22"/>
          <w:szCs w:val="22"/>
        </w:rPr>
        <w:t xml:space="preserve">Consent for publication. </w:t>
      </w:r>
      <w:r>
        <w:rPr>
          <w:rFonts w:ascii="Calibri" w:cs="Calibri" w:eastAsia="Calibri" w:hAnsi="Calibri"/>
          <w:sz w:val="22"/>
          <w:szCs w:val="22"/>
        </w:rPr>
        <w:t xml:space="preserve">Not applicable.</w:t>
      </w:r>
    </w:p>
    <w:p>
      <w:pPr>
        <w:spacing w:after="110" w:line="300"/>
      </w:pPr>
      <w:r>
        <w:rPr>
          <w:rFonts w:ascii="Calibri" w:cs="Calibri" w:eastAsia="Calibri" w:hAnsi="Calibri"/>
          <w:b/>
          <w:bCs/>
          <w:sz w:val="22"/>
          <w:szCs w:val="22"/>
        </w:rPr>
        <w:t xml:space="preserve">Availability of data and materials. </w:t>
      </w:r>
      <w:r>
        <w:rPr>
          <w:rFonts w:ascii="Calibri" w:cs="Calibri" w:eastAsia="Calibri" w:hAnsi="Calibri"/>
          <w:sz w:val="22"/>
          <w:szCs w:val="22"/>
        </w:rPr>
        <w:t xml:space="preserve">Both cohorts ship with the R package survival and require no application. All analysis code, the R package trialplate, and the machine-readable file of every number quoted in this paper are in the study repository [URL to be supplied at acceptance; an anonymous reviewer link is available on request]. An archived release with a DOI will be deposited on acceptance.</w:t>
      </w:r>
    </w:p>
    <w:p>
      <w:pPr>
        <w:spacing w:after="110" w:line="300"/>
      </w:pPr>
      <w:r>
        <w:rPr>
          <w:rFonts w:ascii="Calibri" w:cs="Calibri" w:eastAsia="Calibri" w:hAnsi="Calibri"/>
          <w:b/>
          <w:bCs/>
          <w:sz w:val="22"/>
          <w:szCs w:val="22"/>
        </w:rPr>
        <w:t xml:space="preserve">Competing interests.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Funding.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Authors' contributions.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Acknowledgements. </w:t>
      </w:r>
      <w:r>
        <w:rPr>
          <w:rFonts w:ascii="Calibri" w:cs="Calibri" w:eastAsia="Calibri" w:hAnsi="Calibri"/>
          <w:sz w:val="22"/>
          <w:szCs w:val="22"/>
        </w:rPr>
        <w:t xml:space="preserve">We thank the reviewers, whose comments identified two errors in an earlier version and led to the analyses in sections 1 and 3 of the Results.</w:t>
      </w:r>
    </w:p>
    <w:p>
      <w:pPr>
        <w:pStyle w:val="Heading1"/>
        <w:spacing w:after="130" w:before="280"/>
      </w:pPr>
      <w:r>
        <w:rPr>
          <w:rFonts w:ascii="Calibri" w:cs="Calibri" w:eastAsia="Calibri" w:hAnsi="Calibri"/>
        </w:rPr>
        <w:t xml:space="preserve">References</w:t>
      </w:r>
    </w:p>
    <w:p>
      <w:pPr>
        <w:spacing w:after="80" w:line="250"/>
        <w:ind w:left="340" w:hanging="340"/>
      </w:pPr>
      <w:r>
        <w:rPr>
          <w:rFonts w:ascii="Calibri" w:cs="Calibri" w:eastAsia="Calibri" w:hAnsi="Calibri"/>
          <w:b/>
          <w:bCs/>
          <w:sz w:val="19"/>
          <w:szCs w:val="19"/>
        </w:rPr>
        <w:t xml:space="preserve">1. </w:t>
      </w:r>
      <w:r>
        <w:rPr>
          <w:rFonts w:ascii="Calibri" w:cs="Calibri" w:eastAsia="Calibri" w:hAnsi="Calibri"/>
          <w:sz w:val="19"/>
          <w:szCs w:val="19"/>
        </w:rPr>
        <w:t xml:space="preserve">Liu R, Rizzo S, Whipple S, Pal N, Lopez Pineda A, Lu M, Arnieri B, Lu Y, Capra W, Copping R, Zou J. Evaluating eligibility criteria of oncology trials using real-world data and AI. Nature. 2021;592(7855):629–633. doi:10.1038/s41586-021-03430-5</w:t>
      </w:r>
    </w:p>
    <w:p>
      <w:pPr>
        <w:spacing w:after="80" w:line="250"/>
        <w:ind w:left="340" w:hanging="340"/>
      </w:pPr>
      <w:r>
        <w:rPr>
          <w:rFonts w:ascii="Calibri" w:cs="Calibri" w:eastAsia="Calibri" w:hAnsi="Calibri"/>
          <w:b/>
          <w:bCs/>
          <w:sz w:val="19"/>
          <w:szCs w:val="19"/>
        </w:rPr>
        <w:t xml:space="preserve">2. </w:t>
      </w:r>
      <w:r>
        <w:rPr>
          <w:rFonts w:ascii="Calibri" w:cs="Calibri" w:eastAsia="Calibri" w:hAnsi="Calibri"/>
          <w:sz w:val="19"/>
          <w:szCs w:val="19"/>
        </w:rPr>
        <w:t xml:space="preserve">Ren Y, Wang Z, Lin L, Zhao S, Chu H. A novel visualization approach for network meta-analysis: the plate plot and the nmaplateplot R package. Research Synthesis Methods. 2026;17(5):1045–1053. doi:10.1017/rsm.2026.10088</w:t>
      </w:r>
    </w:p>
    <w:p>
      <w:pPr>
        <w:spacing w:after="80" w:line="250"/>
        <w:ind w:left="340" w:hanging="340"/>
      </w:pPr>
      <w:r>
        <w:rPr>
          <w:rFonts w:ascii="Calibri" w:cs="Calibri" w:eastAsia="Calibri" w:hAnsi="Calibri"/>
          <w:b/>
          <w:bCs/>
          <w:sz w:val="19"/>
          <w:szCs w:val="19"/>
        </w:rPr>
        <w:t xml:space="preserve">3. </w:t>
      </w:r>
      <w:r>
        <w:rPr>
          <w:rFonts w:ascii="Calibri" w:cs="Calibri" w:eastAsia="Calibri" w:hAnsi="Calibri"/>
          <w:sz w:val="19"/>
          <w:szCs w:val="19"/>
        </w:rPr>
        <w:t xml:space="preserve">Kim ES, Bruinooge SS, Roberts S, et al. Broadening eligibility criteria to make clinical trials more representative: American Society of Clinical Oncology and Friends of Cancer Research joint research statement. J Clin Oncol. 2017;35(33):3737–3744. doi:10.1200/JCO.2017.73.7916</w:t>
      </w:r>
    </w:p>
    <w:p>
      <w:pPr>
        <w:spacing w:after="80" w:line="250"/>
        <w:ind w:left="340" w:hanging="340"/>
      </w:pPr>
      <w:r>
        <w:rPr>
          <w:rFonts w:ascii="Calibri" w:cs="Calibri" w:eastAsia="Calibri" w:hAnsi="Calibri"/>
          <w:b/>
          <w:bCs/>
          <w:sz w:val="19"/>
          <w:szCs w:val="19"/>
        </w:rPr>
        <w:t xml:space="preserve">4. </w:t>
      </w:r>
      <w:r>
        <w:rPr>
          <w:rFonts w:ascii="Calibri" w:cs="Calibri" w:eastAsia="Calibri" w:hAnsi="Calibri"/>
          <w:sz w:val="19"/>
          <w:szCs w:val="19"/>
        </w:rPr>
        <w:t xml:space="preserve">US Food and Drug Administration. Enhancing the diversity of clinical trial populations — eligibility criteria, enrollment practices, and trial designs: guidance for industry. Silver Spring, MD: FDA; November 2020.</w:t>
      </w:r>
    </w:p>
    <w:p>
      <w:pPr>
        <w:spacing w:after="80" w:line="250"/>
        <w:ind w:left="340" w:hanging="340"/>
      </w:pPr>
      <w:r>
        <w:rPr>
          <w:rFonts w:ascii="Calibri" w:cs="Calibri" w:eastAsia="Calibri" w:hAnsi="Calibri"/>
          <w:b/>
          <w:bCs/>
          <w:sz w:val="19"/>
          <w:szCs w:val="19"/>
        </w:rPr>
        <w:t xml:space="preserve">5. </w:t>
      </w:r>
      <w:r>
        <w:rPr>
          <w:rFonts w:ascii="Calibri" w:cs="Calibri" w:eastAsia="Calibri" w:hAnsi="Calibri"/>
          <w:sz w:val="19"/>
          <w:szCs w:val="19"/>
        </w:rPr>
        <w:t xml:space="preserve">Jreich R, Zhang H, Meng Z, Wang F. Evaluating the robustness of an AI pathfinder application on eligibility criteria in multiple myeloma trials using real-world data and historical trials. J Comp Eff Res. 2024;13(7):e230164. doi:10.57264/cer-2023-0164</w:t>
      </w:r>
    </w:p>
    <w:p>
      <w:pPr>
        <w:spacing w:after="80" w:line="250"/>
        <w:ind w:left="340" w:hanging="340"/>
      </w:pPr>
      <w:r>
        <w:rPr>
          <w:rFonts w:ascii="Calibri" w:cs="Calibri" w:eastAsia="Calibri" w:hAnsi="Calibri"/>
          <w:b/>
          <w:bCs/>
          <w:sz w:val="19"/>
          <w:szCs w:val="19"/>
        </w:rPr>
        <w:t xml:space="preserve">6. </w:t>
      </w:r>
      <w:r>
        <w:rPr>
          <w:rFonts w:ascii="Calibri" w:cs="Calibri" w:eastAsia="Calibri" w:hAnsi="Calibri"/>
          <w:sz w:val="19"/>
          <w:szCs w:val="19"/>
        </w:rPr>
        <w:t xml:space="preserve">Makgoeng SB, Gamalo M, Russo LJ, Pradhan V, Bhattacharjee A, Bhosale N. Data-driven trial design: use of target trial emulation to evaluate eligibility criteria in asthma and COPD. Front Med. 2026;13:1863026. doi:10.3389/fmed.2026.1863026</w:t>
      </w:r>
    </w:p>
    <w:p>
      <w:pPr>
        <w:spacing w:after="80" w:line="250"/>
        <w:ind w:left="340" w:hanging="340"/>
      </w:pPr>
      <w:r>
        <w:rPr>
          <w:rFonts w:ascii="Calibri" w:cs="Calibri" w:eastAsia="Calibri" w:hAnsi="Calibri"/>
          <w:b/>
          <w:bCs/>
          <w:sz w:val="19"/>
          <w:szCs w:val="19"/>
        </w:rPr>
        <w:t xml:space="preserve">7. </w:t>
      </w:r>
      <w:r>
        <w:rPr>
          <w:rFonts w:ascii="Calibri" w:cs="Calibri" w:eastAsia="Calibri" w:hAnsi="Calibri"/>
          <w:sz w:val="19"/>
          <w:szCs w:val="19"/>
        </w:rPr>
        <w:t xml:space="preserve">Shapley LS. A value for n-person games. In: Kuhn HW, Tucker AW, eds. Contributions to the Theory of Games, Volume II. Annals of Mathematics Studies 28. Princeton, NJ: Princeton University Press; 1953:307–317.</w:t>
      </w:r>
    </w:p>
    <w:p>
      <w:pPr>
        <w:spacing w:after="80" w:line="250"/>
        <w:ind w:left="340" w:hanging="340"/>
      </w:pPr>
      <w:r>
        <w:rPr>
          <w:rFonts w:ascii="Calibri" w:cs="Calibri" w:eastAsia="Calibri" w:hAnsi="Calibri"/>
          <w:b/>
          <w:bCs/>
          <w:sz w:val="19"/>
          <w:szCs w:val="19"/>
        </w:rPr>
        <w:t xml:space="preserve">8. </w:t>
      </w:r>
      <w:r>
        <w:rPr>
          <w:rFonts w:ascii="Calibri" w:cs="Calibri" w:eastAsia="Calibri" w:hAnsi="Calibri"/>
          <w:sz w:val="19"/>
          <w:szCs w:val="19"/>
        </w:rPr>
        <w:t xml:space="preserve">Grabisch M, Roubens M. An axiomatic approach to the concept of interaction among players in cooperative games. Int J Game Theory. 1999;28(4):547–565. doi:10.1007/s001820050125</w:t>
      </w:r>
    </w:p>
    <w:p>
      <w:pPr>
        <w:spacing w:after="80" w:line="250"/>
        <w:ind w:left="340" w:hanging="340"/>
      </w:pPr>
      <w:r>
        <w:rPr>
          <w:rFonts w:ascii="Calibri" w:cs="Calibri" w:eastAsia="Calibri" w:hAnsi="Calibri"/>
          <w:b/>
          <w:bCs/>
          <w:sz w:val="19"/>
          <w:szCs w:val="19"/>
        </w:rPr>
        <w:t xml:space="preserve">9. </w:t>
      </w:r>
      <w:r>
        <w:rPr>
          <w:rFonts w:ascii="Calibri" w:cs="Calibri" w:eastAsia="Calibri" w:hAnsi="Calibri"/>
          <w:sz w:val="19"/>
          <w:szCs w:val="19"/>
        </w:rPr>
        <w:t xml:space="preserve">Hernán MA. The hazards of hazard ratios. Epidemiology. 2010;21(1):13–15. doi:10.1097/EDE.0b013e3181c1ea43</w:t>
      </w:r>
    </w:p>
    <w:p>
      <w:pPr>
        <w:spacing w:after="80" w:line="250"/>
        <w:ind w:left="340" w:hanging="340"/>
      </w:pPr>
      <w:r>
        <w:rPr>
          <w:rFonts w:ascii="Calibri" w:cs="Calibri" w:eastAsia="Calibri" w:hAnsi="Calibri"/>
          <w:b/>
          <w:bCs/>
          <w:sz w:val="19"/>
          <w:szCs w:val="19"/>
        </w:rPr>
        <w:t xml:space="preserve">10. </w:t>
      </w:r>
      <w:r>
        <w:rPr>
          <w:rFonts w:ascii="Calibri" w:cs="Calibri" w:eastAsia="Calibri" w:hAnsi="Calibri"/>
          <w:sz w:val="19"/>
          <w:szCs w:val="19"/>
        </w:rPr>
        <w:t xml:space="preserve">Greenland S, Robins JM, Pearl J. Confounding and collapsibility in causal inference. Statist Sci. 1999;14(1):29–46. doi:10.1214/ss/1009211805</w:t>
      </w:r>
    </w:p>
    <w:p>
      <w:pPr>
        <w:spacing w:after="80" w:line="250"/>
        <w:ind w:left="340" w:hanging="340"/>
      </w:pPr>
      <w:r>
        <w:rPr>
          <w:rFonts w:ascii="Calibri" w:cs="Calibri" w:eastAsia="Calibri" w:hAnsi="Calibri"/>
          <w:b/>
          <w:bCs/>
          <w:sz w:val="19"/>
          <w:szCs w:val="19"/>
        </w:rPr>
        <w:t xml:space="preserve">11. </w:t>
      </w:r>
      <w:r>
        <w:rPr>
          <w:rFonts w:ascii="Calibri" w:cs="Calibri" w:eastAsia="Calibri" w:hAnsi="Calibri"/>
          <w:sz w:val="19"/>
          <w:szCs w:val="19"/>
        </w:rPr>
        <w:t xml:space="preserve">Royston P, Parmar MKB. Restricted mean survival time: an alternative to the hazard ratio for the design and analysis of randomized trials with a time-to-event outcome. BMC Med Res Methodol. 2013;13:152. doi:10.1186/1471-2288-13-152</w:t>
      </w:r>
    </w:p>
    <w:p>
      <w:pPr>
        <w:spacing w:after="80" w:line="250"/>
        <w:ind w:left="340" w:hanging="340"/>
      </w:pPr>
      <w:r>
        <w:rPr>
          <w:rFonts w:ascii="Calibri" w:cs="Calibri" w:eastAsia="Calibri" w:hAnsi="Calibri"/>
          <w:b/>
          <w:bCs/>
          <w:sz w:val="19"/>
          <w:szCs w:val="19"/>
        </w:rPr>
        <w:t xml:space="preserve">12. </w:t>
      </w:r>
      <w:r>
        <w:rPr>
          <w:rFonts w:ascii="Calibri" w:cs="Calibri" w:eastAsia="Calibri" w:hAnsi="Calibri"/>
          <w:sz w:val="19"/>
          <w:szCs w:val="19"/>
        </w:rPr>
        <w:t xml:space="preserve">Uno H, Claggett B, Tian L, et al. Moving beyond the hazard ratio in quantifying the between-group difference in survival analysis. J Clin Oncol. 2014;32(22):2380–2385. doi:10.1200/JCO.2014.55.2208</w:t>
      </w:r>
    </w:p>
    <w:p>
      <w:pPr>
        <w:spacing w:after="80" w:line="250"/>
        <w:ind w:left="340" w:hanging="340"/>
      </w:pPr>
      <w:r>
        <w:rPr>
          <w:rFonts w:ascii="Calibri" w:cs="Calibri" w:eastAsia="Calibri" w:hAnsi="Calibri"/>
          <w:b/>
          <w:bCs/>
          <w:sz w:val="19"/>
          <w:szCs w:val="19"/>
        </w:rPr>
        <w:t xml:space="preserve">13. </w:t>
      </w:r>
      <w:r>
        <w:rPr>
          <w:rFonts w:ascii="Calibri" w:cs="Calibri" w:eastAsia="Calibri" w:hAnsi="Calibri"/>
          <w:sz w:val="19"/>
          <w:szCs w:val="19"/>
        </w:rPr>
        <w:t xml:space="preserve">Robins JM, Hernán MA, Brumback B. Marginal structural models and causal inference in epidemiology. Epidemiology. 2000;11(5):550–560. doi:10.1097/00001648-200009000-00011</w:t>
      </w:r>
    </w:p>
    <w:p>
      <w:pPr>
        <w:spacing w:after="80" w:line="250"/>
        <w:ind w:left="340" w:hanging="340"/>
      </w:pPr>
      <w:r>
        <w:rPr>
          <w:rFonts w:ascii="Calibri" w:cs="Calibri" w:eastAsia="Calibri" w:hAnsi="Calibri"/>
          <w:b/>
          <w:bCs/>
          <w:sz w:val="19"/>
          <w:szCs w:val="19"/>
        </w:rPr>
        <w:t xml:space="preserve">14. </w:t>
      </w:r>
      <w:r>
        <w:rPr>
          <w:rFonts w:ascii="Calibri" w:cs="Calibri" w:eastAsia="Calibri" w:hAnsi="Calibri"/>
          <w:sz w:val="19"/>
          <w:szCs w:val="19"/>
        </w:rPr>
        <w:t xml:space="preserve">Austin PC, Stuart EA. Moving towards best practice when using inverse probability of treatment weighting (IPTW) using the propensity score to estimate causal treatment effects in observational studies. Stat Med. 2015;34(28):3661–3679. doi:10.1002/sim.6607</w:t>
      </w:r>
    </w:p>
    <w:p>
      <w:pPr>
        <w:spacing w:after="80" w:line="250"/>
        <w:ind w:left="340" w:hanging="340"/>
      </w:pPr>
      <w:r>
        <w:rPr>
          <w:rFonts w:ascii="Calibri" w:cs="Calibri" w:eastAsia="Calibri" w:hAnsi="Calibri"/>
          <w:b/>
          <w:bCs/>
          <w:sz w:val="19"/>
          <w:szCs w:val="19"/>
        </w:rPr>
        <w:t xml:space="preserve">15. </w:t>
      </w:r>
      <w:r>
        <w:rPr>
          <w:rFonts w:ascii="Calibri" w:cs="Calibri" w:eastAsia="Calibri" w:hAnsi="Calibri"/>
          <w:sz w:val="19"/>
          <w:szCs w:val="19"/>
        </w:rPr>
        <w:t xml:space="preserve">Petersen ML, Porter KE, Gruber S, Wang Y, van der Laan MJ. Diagnosing and responding to violations in the positivity assumption. Stat Methods Med Res. 2012;21(1):31–54. doi:10.1177/0962280210386207</w:t>
      </w:r>
    </w:p>
    <w:p>
      <w:pPr>
        <w:spacing w:after="80" w:line="250"/>
        <w:ind w:left="340" w:hanging="340"/>
      </w:pPr>
      <w:r>
        <w:rPr>
          <w:rFonts w:ascii="Calibri" w:cs="Calibri" w:eastAsia="Calibri" w:hAnsi="Calibri"/>
          <w:b/>
          <w:bCs/>
          <w:sz w:val="19"/>
          <w:szCs w:val="19"/>
        </w:rPr>
        <w:t xml:space="preserve">16. </w:t>
      </w:r>
      <w:r>
        <w:rPr>
          <w:rFonts w:ascii="Calibri" w:cs="Calibri" w:eastAsia="Calibri" w:hAnsi="Calibri"/>
          <w:sz w:val="19"/>
          <w:szCs w:val="19"/>
        </w:rPr>
        <w:t xml:space="preserve">Myers JA, Rassen JA, Gagne JJ, et al. Effects of adjusting for instrumental variables on bias and precision of effect estimates. Am J Epidemiol. 2011;174(11):1213–1222. doi:10.1093/aje/kwr364</w:t>
      </w:r>
    </w:p>
    <w:p>
      <w:pPr>
        <w:spacing w:after="80" w:line="250"/>
        <w:ind w:left="340" w:hanging="340"/>
      </w:pPr>
      <w:r>
        <w:rPr>
          <w:rFonts w:ascii="Calibri" w:cs="Calibri" w:eastAsia="Calibri" w:hAnsi="Calibri"/>
          <w:b/>
          <w:bCs/>
          <w:sz w:val="19"/>
          <w:szCs w:val="19"/>
        </w:rPr>
        <w:t xml:space="preserve">17. </w:t>
      </w:r>
      <w:r>
        <w:rPr>
          <w:rFonts w:ascii="Calibri" w:cs="Calibri" w:eastAsia="Calibri" w:hAnsi="Calibri"/>
          <w:sz w:val="19"/>
          <w:szCs w:val="19"/>
        </w:rPr>
        <w:t xml:space="preserve">Efron B. Better bootstrap confidence intervals. J Am Stat Assoc. 1987;82(397):171–185. doi:10.1080/01621459.1987.10478410</w:t>
      </w:r>
    </w:p>
    <w:p>
      <w:pPr>
        <w:spacing w:after="80" w:line="250"/>
        <w:ind w:left="340" w:hanging="340"/>
      </w:pPr>
      <w:r>
        <w:rPr>
          <w:rFonts w:ascii="Calibri" w:cs="Calibri" w:eastAsia="Calibri" w:hAnsi="Calibri"/>
          <w:b/>
          <w:bCs/>
          <w:sz w:val="19"/>
          <w:szCs w:val="19"/>
        </w:rPr>
        <w:t xml:space="preserve">18. </w:t>
      </w:r>
      <w:r>
        <w:rPr>
          <w:rFonts w:ascii="Calibri" w:cs="Calibri" w:eastAsia="Calibri" w:hAnsi="Calibri"/>
          <w:sz w:val="19"/>
          <w:szCs w:val="19"/>
        </w:rPr>
        <w:t xml:space="preserve">Benjamini Y, Hochberg Y. Controlling the false discovery rate: a practical and powerful approach to multiple testing. J R Stat Soc Series B. 1995;57(1):289–300. doi:10.1111/j.2517-6161.1995.tb02031.x</w:t>
      </w:r>
    </w:p>
    <w:p>
      <w:pPr>
        <w:spacing w:after="80" w:line="250"/>
        <w:ind w:left="340" w:hanging="340"/>
      </w:pPr>
      <w:r>
        <w:rPr>
          <w:rFonts w:ascii="Calibri" w:cs="Calibri" w:eastAsia="Calibri" w:hAnsi="Calibri"/>
          <w:b/>
          <w:bCs/>
          <w:sz w:val="19"/>
          <w:szCs w:val="19"/>
        </w:rPr>
        <w:t xml:space="preserve">19. </w:t>
      </w:r>
      <w:r>
        <w:rPr>
          <w:rFonts w:ascii="Calibri" w:cs="Calibri" w:eastAsia="Calibri" w:hAnsi="Calibri"/>
          <w:sz w:val="19"/>
          <w:szCs w:val="19"/>
        </w:rPr>
        <w:t xml:space="preserve">Grambsch PM, Therneau TM. Proportional hazards tests and diagnostics based on weighted residuals. Biometrika. 1994;81(3):515–526. doi:10.1093/biomet/81.3.515</w:t>
      </w:r>
    </w:p>
    <w:p>
      <w:pPr>
        <w:spacing w:after="80" w:line="250"/>
        <w:ind w:left="340" w:hanging="340"/>
      </w:pPr>
      <w:r>
        <w:rPr>
          <w:rFonts w:ascii="Calibri" w:cs="Calibri" w:eastAsia="Calibri" w:hAnsi="Calibri"/>
          <w:b/>
          <w:bCs/>
          <w:sz w:val="19"/>
          <w:szCs w:val="19"/>
        </w:rPr>
        <w:t xml:space="preserve">20. </w:t>
      </w:r>
      <w:r>
        <w:rPr>
          <w:rFonts w:ascii="Calibri" w:cs="Calibri" w:eastAsia="Calibri" w:hAnsi="Calibri"/>
          <w:sz w:val="19"/>
          <w:szCs w:val="19"/>
        </w:rPr>
        <w:t xml:space="preserve">Moertel CG, Fleming TR, Macdonald JS, et al. Levamisole and fluorouracil for adjuvant therapy of resected colon carcinoma. N Engl J Med. 1990;322(6):352–358. doi:10.1056/NEJM199002083220602</w:t>
      </w:r>
    </w:p>
    <w:p>
      <w:pPr>
        <w:spacing w:after="80" w:line="250"/>
        <w:ind w:left="340" w:hanging="340"/>
      </w:pPr>
      <w:r>
        <w:rPr>
          <w:rFonts w:ascii="Calibri" w:cs="Calibri" w:eastAsia="Calibri" w:hAnsi="Calibri"/>
          <w:b/>
          <w:bCs/>
          <w:sz w:val="19"/>
          <w:szCs w:val="19"/>
        </w:rPr>
        <w:t xml:space="preserve">21. </w:t>
      </w:r>
      <w:r>
        <w:rPr>
          <w:rFonts w:ascii="Calibri" w:cs="Calibri" w:eastAsia="Calibri" w:hAnsi="Calibri"/>
          <w:sz w:val="19"/>
          <w:szCs w:val="19"/>
        </w:rPr>
        <w:t xml:space="preserve">Royston P, Altman DG. External validation of a Cox prognostic model: principles and methods. BMC Med Res Methodol. 2013;13:33. doi:10.1186/1471-2288-13-33</w:t>
      </w:r>
    </w:p>
    <w:p>
      <w:pPr>
        <w:spacing w:after="80" w:line="250"/>
        <w:ind w:left="340" w:hanging="340"/>
      </w:pPr>
      <w:r>
        <w:rPr>
          <w:rFonts w:ascii="Calibri" w:cs="Calibri" w:eastAsia="Calibri" w:hAnsi="Calibri"/>
          <w:b/>
          <w:bCs/>
          <w:sz w:val="19"/>
          <w:szCs w:val="19"/>
        </w:rPr>
        <w:t xml:space="preserve">22. </w:t>
      </w:r>
      <w:r>
        <w:rPr>
          <w:rFonts w:ascii="Calibri" w:cs="Calibri" w:eastAsia="Calibri" w:hAnsi="Calibri"/>
          <w:sz w:val="19"/>
          <w:szCs w:val="19"/>
        </w:rPr>
        <w:t xml:space="preserve">Therneau TM. survival: survival analysis. R package. Comprehensive R Archive Network. Available at: https://CRAN.R-project.org/package=survival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0375F"/>
      <w:sz w:val="28"/>
      <w:szCs w:val="28"/>
    </w:rPr>
  </w:style>
  <w:style w:type="paragraph" w:styleId="Heading2">
    <w:name w:val="Heading 2"/>
    <w:basedOn w:val="Normal"/>
    <w:next w:val="Normal"/>
    <w:qFormat/>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8ccc2dc8ce4ed6cfe2b30c5c8ba74c03a83ee.png"/><Relationship Id="rId8" Type="http://schemas.openxmlformats.org/officeDocument/2006/relationships/image" Target="media/ae8e5514dc06f4f502e4066c0a291c04b29790d4.png"/><Relationship Id="rId9" Type="http://schemas.openxmlformats.org/officeDocument/2006/relationships/image" Target="media/b52a49a08eb396c303e67416d4bc5f31e0cc1e88.png"/><Relationship Id="rId10" Type="http://schemas.openxmlformats.org/officeDocument/2006/relationships/image" Target="media/cf501b46f72d32a47124b2de90a7949853de9a5f.png"/><Relationship Id="rId11" Type="http://schemas.openxmlformats.org/officeDocument/2006/relationships/image" Target="media/af191c3ca7a01f565accac775a1fdcf4bdd7f1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2026-08-30T13:13:20.456Z</dcterms:created>
  <dcterms:modified xsi:type="dcterms:W3CDTF">2026-08-30T13:13:20.456Z</dcterms:modified>
</cp:coreProperties>
</file>

<file path=docProps/custom.xml><?xml version="1.0" encoding="utf-8"?>
<Properties xmlns="http://schemas.openxmlformats.org/officeDocument/2006/custom-properties" xmlns:vt="http://schemas.openxmlformats.org/officeDocument/2006/docPropsVTypes"/>
</file>