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pPr>
      <w:r>
        <w:rPr>
          <w:rFonts w:ascii="Calibri" w:cs="Calibri" w:eastAsia="Calibri" w:hAnsi="Calibri"/>
          <w:b/>
          <w:bCs/>
          <w:sz w:val="30"/>
          <w:szCs w:val="30"/>
        </w:rPr>
        <w:t xml:space="preserve">How much data does a data-driven eligibility criterion need? Out-of-sample validation of criteria relaxation in two public cohorts</w:t>
      </w:r>
    </w:p>
    <w:p>
      <w:pPr>
        <w:spacing w:after="100" w:line="300"/>
      </w:pPr>
      <w:r>
        <w:rPr>
          <w:rFonts w:ascii="Calibri" w:cs="Calibri" w:eastAsia="Calibri" w:hAnsi="Calibri"/>
          <w:sz w:val="22"/>
          <w:szCs w:val="22"/>
        </w:rPr>
        <w:t xml:space="preserve">Author One</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Author Two</w:t>
      </w:r>
      <w:r>
        <w:rPr>
          <w:rFonts w:ascii="Calibri" w:cs="Calibri" w:eastAsia="Calibri" w:hAnsi="Calibri"/>
          <w:sz w:val="22"/>
          <w:szCs w:val="22"/>
          <w:vertAlign w:val="superscript"/>
        </w:rPr>
        <w:t xml:space="preserve">2</w:t>
      </w:r>
      <w:r>
        <w:rPr>
          <w:rFonts w:ascii="Calibri" w:cs="Calibri" w:eastAsia="Calibri" w:hAnsi="Calibri"/>
          <w:sz w:val="22"/>
          <w:szCs w:val="22"/>
        </w:rPr>
        <w:t xml:space="preserve">, Corresponding Author</w:t>
      </w:r>
      <w:r>
        <w:rPr>
          <w:rFonts w:ascii="Calibri" w:cs="Calibri" w:eastAsia="Calibri" w:hAnsi="Calibri"/>
          <w:sz w:val="22"/>
          <w:szCs w:val="22"/>
          <w:vertAlign w:val="superscript"/>
        </w:rPr>
        <w:t xml:space="preserve">1,*</w:t>
      </w:r>
    </w:p>
    <w:p>
      <w:pPr>
        <w:spacing w:after="100" w:line="300"/>
      </w:pPr>
      <w:r>
        <w:rPr>
          <w:rFonts w:ascii="Calibri" w:cs="Calibri" w:eastAsia="Calibri" w:hAnsi="Calibri"/>
          <w:sz w:val="22"/>
          <w:szCs w:val="22"/>
          <w:vertAlign w:val="superscript"/>
        </w:rPr>
        <w:t xml:space="preserve">1 </w:t>
      </w:r>
      <w:r>
        <w:rPr>
          <w:rFonts w:ascii="Calibri" w:cs="Calibri" w:eastAsia="Calibri" w:hAnsi="Calibri"/>
          <w:sz w:val="22"/>
          <w:szCs w:val="22"/>
        </w:rPr>
        <w:t xml:space="preserve">Affiliation to be completed. </w:t>
      </w:r>
      <w:r>
        <w:rPr>
          <w:rFonts w:ascii="Calibri" w:cs="Calibri" w:eastAsia="Calibri" w:hAnsi="Calibri"/>
          <w:sz w:val="22"/>
          <w:szCs w:val="22"/>
          <w:vertAlign w:val="superscript"/>
        </w:rPr>
        <w:t xml:space="preserve">2 </w:t>
      </w:r>
      <w:r>
        <w:rPr>
          <w:rFonts w:ascii="Calibri" w:cs="Calibri" w:eastAsia="Calibri" w:hAnsi="Calibri"/>
          <w:sz w:val="22"/>
          <w:szCs w:val="22"/>
        </w:rPr>
        <w:t xml:space="preserve">Affiliation to be completed.</w:t>
      </w:r>
    </w:p>
    <w:p>
      <w:pPr>
        <w:spacing w:after="320" w:line="300"/>
      </w:pPr>
      <w:r>
        <w:rPr>
          <w:rFonts w:ascii="Calibri" w:cs="Calibri" w:eastAsia="Calibri" w:hAnsi="Calibri"/>
          <w:b/>
          <w:bCs/>
          <w:sz w:val="22"/>
          <w:szCs w:val="22"/>
        </w:rPr>
        <w:t xml:space="preserve">* Correspondence: </w:t>
      </w:r>
      <w:r>
        <w:rPr>
          <w:rFonts w:ascii="Calibri" w:cs="Calibri" w:eastAsia="Calibri" w:hAnsi="Calibri"/>
          <w:sz w:val="22"/>
          <w:szCs w:val="22"/>
        </w:rPr>
        <w:t xml:space="preserve">runshu.wang@gmail.com</w:t>
      </w:r>
    </w:p>
    <w:p>
      <w:pPr>
        <w:pStyle w:val="Heading1"/>
        <w:spacing w:after="130" w:before="280"/>
      </w:pPr>
      <w:r>
        <w:rPr>
          <w:rFonts w:ascii="Calibri" w:cs="Calibri" w:eastAsia="Calibri" w:hAnsi="Calibri"/>
        </w:rPr>
        <w:t xml:space="preserve">Abstract</w:t>
      </w:r>
    </w:p>
    <w:p>
      <w:pPr>
        <w:spacing w:after="140" w:line="300"/>
      </w:pPr>
      <w:r>
        <w:rPr>
          <w:rFonts w:ascii="Calibri" w:cs="Calibri" w:eastAsia="Calibri" w:hAnsi="Calibri"/>
          <w:b/>
          <w:bCs/>
          <w:sz w:val="22"/>
          <w:szCs w:val="22"/>
        </w:rPr>
        <w:t xml:space="preserve">Background. </w:t>
      </w:r>
      <w:r>
        <w:rPr>
          <w:rFonts w:ascii="Calibri" w:cs="Calibri" w:eastAsia="Calibri" w:hAnsi="Calibri"/>
          <w:sz w:val="22"/>
          <w:szCs w:val="22"/>
        </w:rPr>
        <w:t xml:space="preserve">Rules that relax clinical-trial eligibility criteria using real-world data make two separate promises: that more patients become eligible, and that the estimated treatment effect does not suffer. The two promises have been reported together, but neither has been validated out of sample, and no guidance exists on how much data such a rule needs before its output can be acted upon.</w:t>
      </w:r>
    </w:p>
    <w:p>
      <w:pPr>
        <w:spacing w:after="140" w:line="300"/>
      </w:pPr>
      <w:r>
        <w:rPr>
          <w:rFonts w:ascii="Calibri" w:cs="Calibri" w:eastAsia="Calibri" w:hAnsi="Calibri"/>
          <w:b/>
          <w:bCs/>
          <w:sz w:val="22"/>
          <w:szCs w:val="22"/>
        </w:rPr>
        <w:t xml:space="preserve">Methods. </w:t>
      </w:r>
      <w:r>
        <w:rPr>
          <w:rFonts w:ascii="Calibri" w:cs="Calibri" w:eastAsia="Calibri" w:hAnsi="Calibri"/>
          <w:sz w:val="22"/>
          <w:szCs w:val="22"/>
        </w:rPr>
        <w:t xml:space="preserve">We implemented the published selection rule — retain every criterion whose Shapley value on the log hazard ratio is negative, relax the rest — and evaluated it by sample splitting in two fully public individual-level cohorts: a randomised adjuvant colon-cancer trial (n = 619) and the Rotterdam breast-cancer registry (n = 2982). The rule was fitted on one split and the resulting protocol scored against the original full protocol on the other. A simulation with a fixed test set of 100 000 patients isolated the effect of fitting-cohort size, and three arms sharing one outcome model separated randomised assignment, confounded assignment with correct adjustment, and confounded assignment with one confounder unmeasured. Both benefit estimands were carried throughout, the log hazard ratio and the difference in restricted mean survival time, because the hazard ratio is non-collapsible.</w:t>
      </w:r>
    </w:p>
    <w:p>
      <w:pPr>
        <w:spacing w:after="140" w:line="300"/>
      </w:pPr>
      <w:r>
        <w:rPr>
          <w:rFonts w:ascii="Calibri" w:cs="Calibri" w:eastAsia="Calibri" w:hAnsi="Calibri"/>
          <w:b/>
          <w:bCs/>
          <w:sz w:val="22"/>
          <w:szCs w:val="22"/>
        </w:rPr>
        <w:t xml:space="preserve">Results. </w:t>
      </w:r>
      <w:r>
        <w:rPr>
          <w:rFonts w:ascii="Calibri" w:cs="Calibri" w:eastAsia="Calibri" w:hAnsi="Calibri"/>
          <w:sz w:val="22"/>
          <w:szCs w:val="22"/>
        </w:rPr>
        <w:t xml:space="preserve">The eligibility promise held in both cohorts and at every simulated fitting size (probability 0.94 to 1.00). The effect-estimate promise did not hold in either cohort (probability 0.270 and 0.497 of a lower out-of-sample hazard ratio) but this was a function of fitting-cohort size, not of the rule: in simulation the probability rose from 0.273 at 300 fitting patients to 0.937 at 5167, and the curve predicted the observed value in the randomised cohort at a split it had not been fitted to (predicted 0.339, observed 0.336). Confounded assignment that was correctly adjusted for lowered the probability at 5167 patients from 0.937 to 0.808. Confounded assignment with one confounder unmeasured returned the curve to randomised levels (0.936) while inflating the true population gap it was detecting by 32%. The rule recovered the exactly correct criterion set in only 28% of replicates at 5167 patients, which is why the two promises diverge: enrolling more patients does not require a correct selection, improving the effect estimate does.</w:t>
      </w:r>
    </w:p>
    <w:p>
      <w:pPr>
        <w:spacing w:after="140" w:line="300"/>
      </w:pPr>
      <w:r>
        <w:rPr>
          <w:rFonts w:ascii="Calibri" w:cs="Calibri" w:eastAsia="Calibri" w:hAnsi="Calibri"/>
          <w:b/>
          <w:bCs/>
          <w:sz w:val="22"/>
          <w:szCs w:val="22"/>
        </w:rPr>
        <w:t xml:space="preserve">Conclusions. </w:t>
      </w:r>
      <w:r>
        <w:rPr>
          <w:rFonts w:ascii="Calibri" w:cs="Calibri" w:eastAsia="Calibri" w:hAnsi="Calibri"/>
          <w:sz w:val="22"/>
          <w:szCs w:val="22"/>
        </w:rPr>
        <w:t xml:space="preserve">Data-driven relaxation of eligibility criteria reliably widens the eligible population and this is a sufficient case for it. The accompanying improvement in the effect estimate requires a fitting cohort of roughly 3000 patients under randomisation and about twice that under confounding, and below that threshold it is in-sample selection. Apparent success on observational data is not evidence that adjustment was adequate — incomplete adjustment makes the procedure look better. We provide the threshold curve, two diagnostics computable before any outcome is examined, and an R package.</w:t>
      </w:r>
    </w:p>
    <w:p>
      <w:pPr>
        <w:spacing w:after="260" w:line="300"/>
      </w:pPr>
      <w:r>
        <w:rPr>
          <w:rFonts w:ascii="Calibri" w:cs="Calibri" w:eastAsia="Calibri" w:hAnsi="Calibri"/>
          <w:b/>
          <w:bCs/>
          <w:sz w:val="22"/>
          <w:szCs w:val="22"/>
        </w:rPr>
        <w:t xml:space="preserve">Keywords: </w:t>
      </w:r>
      <w:r>
        <w:rPr>
          <w:rFonts w:ascii="Calibri" w:cs="Calibri" w:eastAsia="Calibri" w:hAnsi="Calibri"/>
          <w:sz w:val="22"/>
          <w:szCs w:val="22"/>
        </w:rPr>
        <w:t xml:space="preserve">eligibility criteria; trial emulation; real-world data; Shapley value; non-collapsibility; restricted mean survival time; out-of-sample validation; sample size</w:t>
      </w:r>
    </w:p>
    <w:p>
      <w:pPr>
        <w:pStyle w:val="Heading1"/>
        <w:spacing w:after="130" w:before="280"/>
      </w:pPr>
      <w:r>
        <w:rPr>
          <w:rFonts w:ascii="Calibri" w:cs="Calibri" w:eastAsia="Calibri" w:hAnsi="Calibri"/>
        </w:rPr>
        <w:t xml:space="preserve">Background</w:t>
      </w:r>
    </w:p>
    <w:p>
      <w:pPr>
        <w:spacing w:after="140" w:line="300"/>
      </w:pPr>
      <w:r>
        <w:rPr>
          <w:rFonts w:ascii="Calibri" w:cs="Calibri" w:eastAsia="Calibri" w:hAnsi="Calibri"/>
          <w:sz w:val="22"/>
          <w:szCs w:val="22"/>
        </w:rPr>
        <w:t xml:space="preserve">Overly restrictive eligibility criteria are a recognised barrier to trial accrual and to the generalisability of trial results. Around 80% of patients with advanced non-small-cell lung cancer do not meet the criteria of the trials conducted in that disease, and criteria are frequently inherited from legacy protocols rather than justified for the trial at hand. Regulators and professional bodies have both called for criteria to be broadened where they can be broadened safely.</w:t>
      </w:r>
    </w:p>
    <w:p>
      <w:pPr>
        <w:spacing w:after="140" w:line="300"/>
      </w:pPr>
      <w:r>
        <w:rPr>
          <w:rFonts w:ascii="Calibri" w:cs="Calibri" w:eastAsia="Calibri" w:hAnsi="Calibri"/>
          <w:sz w:val="22"/>
          <w:szCs w:val="22"/>
        </w:rPr>
        <w:t xml:space="preserve">A computational answer to that call has emerged: emulate the trial in a real-world cohort, vary the criteria in silico, and let the data indicate which ones can be dropped. Trial Pathfinder is the most influential instance. It encodes a protocol's criteria as programmatic filters, estimates the treatment effect under every combination, and attributes to each criterion a Shapley value quantifying its average contribution to the hazard ratio. Criteria with a negative Shapley value are retained and the rest relaxed. Applied to ten advanced non-small-cell lung cancer trials, the procedure more than doubled the eligible pool while lowering the hazard ratio of overall survival by 0.05 on average. Follow-up work has applied the same framework to lung cancer in a Chinese real-world database, to asthma and chronic obstructive pulmonary disease, and to multiple myeloma, and a scoping review has begun to map the area.</w:t>
      </w:r>
    </w:p>
    <w:p>
      <w:pPr>
        <w:spacing w:after="140" w:line="300"/>
      </w:pPr>
      <w:r>
        <w:rPr>
          <w:rFonts w:ascii="Calibri" w:cs="Calibri" w:eastAsia="Calibri" w:hAnsi="Calibri"/>
          <w:sz w:val="22"/>
          <w:szCs w:val="22"/>
        </w:rPr>
        <w:t xml:space="preserve">Two features of this literature motivated the present work. First, every reported result is in-sample: the criteria are selected and the resulting protocol is scored in the same patients. Selection and evaluation on one dataset is the classical setting for optimistic bias, and its magnitude here is unknown. Second, the procedure makes two promises that are reported as a pair — more patients, and a better effect estimate — but there is no reason for the two to require the same amount of data. Enrolling more patients follows from relaxing almost any criterion; improving the effect estimate requires relaxing the right ones.</w:t>
      </w:r>
    </w:p>
    <w:p>
      <w:pPr>
        <w:spacing w:after="140" w:line="300"/>
      </w:pPr>
      <w:r>
        <w:rPr>
          <w:rFonts w:ascii="Calibri" w:cs="Calibri" w:eastAsia="Calibri" w:hAnsi="Calibri"/>
          <w:sz w:val="22"/>
          <w:szCs w:val="22"/>
        </w:rPr>
        <w:t xml:space="preserve">A third issue is specific to the outcome scale. The hazard ratio is non-collapsible: restricting a cohort changes the marginal hazard ratio even when the conditional treatment effect is identical in every stratum. A criterion-selection method built on the hazard ratio therefore inherits a component of movement that carries no information about who benefits. This has been discussed at length in the survival-analysis literature but has not been examined in the context of criteria selection.</w:t>
      </w:r>
    </w:p>
    <w:p>
      <w:pPr>
        <w:spacing w:after="140" w:line="300"/>
      </w:pPr>
      <w:r>
        <w:rPr>
          <w:rFonts w:ascii="Calibri" w:cs="Calibri" w:eastAsia="Calibri" w:hAnsi="Calibri"/>
          <w:sz w:val="22"/>
          <w:szCs w:val="22"/>
        </w:rPr>
        <w:t xml:space="preserve">We set out to answer three questions. Does the published rule keep its promises when the protocol it produces is scored on patients that had no part in choosing it? If not, is that a property of the rule or of the amount of data available to fit it? And what, if anything, can an investigator check before running such an analysis to know whether their cohort can support it?</w:t>
      </w:r>
    </w:p>
    <w:p>
      <w:pPr>
        <w:pStyle w:val="Heading1"/>
        <w:spacing w:after="130" w:before="280"/>
      </w:pPr>
      <w:r>
        <w:rPr>
          <w:rFonts w:ascii="Calibri" w:cs="Calibri" w:eastAsia="Calibri" w:hAnsi="Calibri"/>
        </w:rPr>
        <w:t xml:space="preserve">Methods</w:t>
      </w:r>
    </w:p>
    <w:p>
      <w:pPr>
        <w:pStyle w:val="Heading2"/>
        <w:spacing w:after="130" w:before="280"/>
      </w:pPr>
      <w:r>
        <w:rPr>
          <w:rFonts w:ascii="Calibri" w:cs="Calibri" w:eastAsia="Calibri" w:hAnsi="Calibri"/>
        </w:rPr>
        <w:t xml:space="preserve">Cohorts</w:t>
      </w:r>
    </w:p>
    <w:p>
      <w:pPr>
        <w:spacing w:after="140" w:line="300"/>
      </w:pPr>
      <w:r>
        <w:rPr>
          <w:rFonts w:ascii="Calibri" w:cs="Calibri" w:eastAsia="Calibri" w:hAnsi="Calibri"/>
          <w:sz w:val="22"/>
          <w:szCs w:val="22"/>
        </w:rPr>
        <w:t xml:space="preserve">Both cohorts are individual-level datasets distributed with the R package survival, so every result below can be reproduced without a data application. The first is the adjuvant colon-cancer trial of levamisole and fluorouracil, restricted to the Lev+5FU and observation arms (n = 619, 304 treated, 291 deaths). Treatment assignment is randomised, which makes the mapping from criteria to hazard ratio free of confounding and provides a clean bench for validating estimators. The second is the Rotterdam breast-cancer registry (n = 2982, 580 receiving chemotherapy, 1272 deaths), an observational cohort that plays the role real-world data plays in the original work.</w:t>
      </w:r>
    </w:p>
    <w:p>
      <w:pPr>
        <w:spacing w:after="140" w:line="300"/>
      </w:pPr>
      <w:r>
        <w:rPr>
          <w:rFonts w:ascii="Calibri" w:cs="Calibri" w:eastAsia="Calibri" w:hAnsi="Calibri"/>
          <w:sz w:val="22"/>
          <w:szCs w:val="22"/>
        </w:rPr>
        <w:t xml:space="preserve">Nine eligibility criteria were constructed for each cohort from the available covariates: for colon, bounds on age, absence of obstruction, perforation and adherence to adjacent organs, differentiation grade, extent of local spread, interval since surgery and nodal burden; for Rotterdam, bounds on age, nodal status and count, tumour size, receptor positivity and enrolment year. These are plausible criteria for methodological illustration, not the trials' protocol text. Each set was checked to contain no logical implications (see below) and retains 176 (28.4%) and 419 (14.1%) of the respective cohorts when all criteria are applied, which is within the range real protocols retain.</w:t>
      </w:r>
    </w:p>
    <w:p>
      <w:pPr>
        <w:pStyle w:val="Heading2"/>
        <w:spacing w:after="130" w:before="280"/>
      </w:pPr>
      <w:r>
        <w:rPr>
          <w:rFonts w:ascii="Calibri" w:cs="Calibri" w:eastAsia="Calibri" w:hAnsi="Calibri"/>
        </w:rPr>
        <w:t xml:space="preserve">Value function and estimands</w:t>
      </w:r>
    </w:p>
    <w:p>
      <w:pPr>
        <w:spacing w:after="140" w:line="300"/>
      </w:pPr>
      <w:r>
        <w:rPr>
          <w:rFonts w:ascii="Calibri" w:cs="Calibri" w:eastAsia="Calibri" w:hAnsi="Calibri"/>
          <w:sz w:val="22"/>
          <w:szCs w:val="22"/>
        </w:rPr>
        <w:t xml:space="preserve">For a subset S of criteria we define a value function returning three quantities on the cohort S selects: the log hazard ratio from an inverse-probability-of-treatment-weighted Cox model, the difference in restricted mean survival time to a fixed horizon tau, and the log of the eligible count. Patients with a missing value on a criterion are not filtered by that criterion, following the original convention. The horizon tau is fixed across all subsets so that the restricted means remain comparable; we used 5 years for colon and 7 years for Rotterdam.</w:t>
      </w:r>
    </w:p>
    <w:p>
      <w:pPr>
        <w:spacing w:after="140" w:line="300"/>
      </w:pPr>
      <w:r>
        <w:rPr>
          <w:rFonts w:ascii="Calibri" w:cs="Calibri" w:eastAsia="Calibri" w:hAnsi="Calibri"/>
          <w:sz w:val="22"/>
          <w:szCs w:val="22"/>
        </w:rPr>
        <w:t xml:space="preserve">Both benefit estimands are carried in parallel rather than one being chosen. The hazard ratio preserves comparability with the existing literature; the restricted mean survival time difference is collapsible, so a change in it corresponds to a real change in expected benefit for the selected population. Where the two disagree, the disagreement is informative and cannot be resolved by preference.</w:t>
      </w:r>
    </w:p>
    <w:p>
      <w:pPr>
        <w:spacing w:after="140" w:line="300"/>
      </w:pPr>
      <w:r>
        <w:rPr>
          <w:rFonts w:ascii="Calibri" w:cs="Calibri" w:eastAsia="Calibri" w:hAnsi="Calibri"/>
          <w:sz w:val="22"/>
          <w:szCs w:val="22"/>
        </w:rPr>
        <w:t xml:space="preserve">Logarithms are taken because the Shapley axioms presuppose an additive value function, and both the hazard ratio and the eligible count are ratio-scale quantities whose additive scale is the logarithm. The original work applies the Shapley decomposition to the hazard ratio directly, under which the efficiency axiom holds only approximately.</w:t>
      </w:r>
    </w:p>
    <w:p>
      <w:pPr>
        <w:pStyle w:val="Heading2"/>
        <w:spacing w:after="130" w:before="280"/>
      </w:pPr>
      <w:r>
        <w:rPr>
          <w:rFonts w:ascii="Calibri" w:cs="Calibri" w:eastAsia="Calibri" w:hAnsi="Calibri"/>
        </w:rPr>
        <w:t xml:space="preserve">Shapley main effects and pairwise interactions</w:t>
      </w:r>
    </w:p>
    <w:p>
      <w:pPr>
        <w:spacing w:after="140" w:line="300"/>
      </w:pPr>
      <w:r>
        <w:rPr>
          <w:rFonts w:ascii="Calibri" w:cs="Calibri" w:eastAsia="Calibri" w:hAnsi="Calibri"/>
          <w:sz w:val="22"/>
          <w:szCs w:val="22"/>
        </w:rPr>
        <w:t xml:space="preserve">For p criteria there are 2</w:t>
      </w:r>
      <w:r>
        <w:rPr>
          <w:rFonts w:ascii="Calibri" w:cs="Calibri" w:eastAsia="Calibri" w:hAnsi="Calibri"/>
          <w:sz w:val="22"/>
          <w:szCs w:val="22"/>
          <w:vertAlign w:val="superscript"/>
        </w:rPr>
        <w:t xml:space="preserve">p</w:t>
      </w:r>
      <w:r>
        <w:rPr>
          <w:rFonts w:ascii="Calibri" w:cs="Calibri" w:eastAsia="Calibri" w:hAnsi="Calibri"/>
          <w:sz w:val="22"/>
          <w:szCs w:val="22"/>
        </w:rPr>
        <w:t xml:space="preserve"> subsets. Where p is at most about 16 these can be enumerated exhaustively, so main effects and interactions are computed exactly rather than by Monte Carlo, and the efficiency axiom can be verified to machine precision. We use the Shapley value for main effects and the Grabisch–Roubens index for pairwise interactions, the latter being the natural extension to pairs and, being symmetric, the natural object for a square display.</w:t>
      </w:r>
    </w:p>
    <w:p>
      <w:pPr>
        <w:pStyle w:val="Heading2"/>
        <w:spacing w:after="130" w:before="280"/>
      </w:pPr>
      <w:r>
        <w:rPr>
          <w:rFonts w:ascii="Calibri" w:cs="Calibri" w:eastAsia="Calibri" w:hAnsi="Calibri"/>
        </w:rPr>
        <w:t xml:space="preserve">Two diagnostics that need no outcome data</w:t>
      </w:r>
    </w:p>
    <w:p>
      <w:pPr>
        <w:spacing w:after="140" w:line="300"/>
      </w:pPr>
      <w:r>
        <w:rPr>
          <w:rFonts w:ascii="Calibri" w:cs="Calibri" w:eastAsia="Calibri" w:hAnsi="Calibri"/>
          <w:sz w:val="22"/>
          <w:szCs w:val="22"/>
        </w:rPr>
        <w:t xml:space="preserve">The first detects criteria that logically imply one another. If criterion i implies criterion j then the cohort selected by S union {i,j} is identical to that selected by S union {i} for every S, so the pair's four-point difference collapses to minus the marginal contribution of j. Such a cell is an arithmetic identity rather than evidence and must be removed from any test family.</w:t>
      </w:r>
    </w:p>
    <w:p>
      <w:pPr>
        <w:spacing w:after="140" w:line="300"/>
      </w:pPr>
      <w:r>
        <w:rPr>
          <w:rFonts w:ascii="Calibri" w:cs="Calibri" w:eastAsia="Calibri" w:hAnsi="Calibri"/>
          <w:sz w:val="22"/>
          <w:szCs w:val="22"/>
        </w:rPr>
        <w:t xml:space="preserve">The second asks whether a criterion pair could show an interaction at all. Under the clinically natural structure in which extra benefit accrues only to patients meeting both criteria, the four-point difference driving the interaction is proportional to</w:t>
      </w:r>
    </w:p>
    <w:p>
      <w:pPr>
        <w:spacing w:after="160" w:line="300"/>
        <w:jc w:val="center"/>
      </w:pPr>
      <w:r>
        <w:rPr>
          <w:rFonts w:ascii="Calibri" w:cs="Calibri" w:eastAsia="Calibri" w:hAnsi="Calibri"/>
          <w:i/>
          <w:iCs/>
          <w:sz w:val="22"/>
          <w:szCs w:val="22"/>
        </w:rPr>
        <w:t xml:space="preserve">L(i,j)  =  1  −  p(ij)/p(i)  −  p(ij)/p(j)  +  p(ij)</w:t>
      </w:r>
    </w:p>
    <w:p>
      <w:pPr>
        <w:spacing w:after="140" w:line="300"/>
      </w:pPr>
      <w:r>
        <w:rPr>
          <w:rFonts w:ascii="Calibri" w:cs="Calibri" w:eastAsia="Calibri" w:hAnsi="Calibri"/>
          <w:sz w:val="22"/>
          <w:szCs w:val="22"/>
        </w:rPr>
        <w:t xml:space="preserve">where p(i) and p(j) are the marginal eligibility rates and p(ij) the joint rate. We call this the interaction leverage. It depends only on eligibility rates and is therefore computable before any outcome is examined. It falls sharply as criteria become permissive: two independent criteria each retaining 85% of a cohort have leverage 0.022, whereas two retaining 45% have leverage 0.303. A criterion pair with negligible leverage cannot exhibit a pairwise interaction of this form however strong the underlying effect modification, so a null interaction must not be read as evidence that none exists.</w:t>
      </w:r>
    </w:p>
    <w:p>
      <w:pPr>
        <w:pStyle w:val="Heading2"/>
        <w:spacing w:after="130" w:before="280"/>
      </w:pPr>
      <w:r>
        <w:rPr>
          <w:rFonts w:ascii="Calibri" w:cs="Calibri" w:eastAsia="Calibri" w:hAnsi="Calibri"/>
        </w:rPr>
        <w:t xml:space="preserve">Out-of-sample evaluation of the selection rule</w:t>
      </w:r>
    </w:p>
    <w:p>
      <w:pPr>
        <w:spacing w:after="140" w:line="300"/>
      </w:pPr>
      <w:r>
        <w:rPr>
          <w:rFonts w:ascii="Calibri" w:cs="Calibri" w:eastAsia="Calibri" w:hAnsi="Calibri"/>
          <w:sz w:val="22"/>
          <w:szCs w:val="22"/>
        </w:rPr>
        <w:t xml:space="preserve">The published rule was implemented exactly as described: compute the Shapley value of every criterion on the log hazard ratio, retain those with a negative value, relax the rest. Patients were split at random into a fitting set and a scoring set. The rule was applied to the fitting set alone and the protocol it produced was scored on the scoring set, alongside the original full protocol, on all three quantities. This was repeated 500 times for colon and 400 times for Rotterdam, at fitting fractions of 0.5 and 0.7.</w:t>
      </w:r>
    </w:p>
    <w:p>
      <w:pPr>
        <w:spacing w:after="140" w:line="300"/>
      </w:pPr>
      <w:r>
        <w:rPr>
          <w:rFonts w:ascii="Calibri" w:cs="Calibri" w:eastAsia="Calibri" w:hAnsi="Calibri"/>
          <w:sz w:val="22"/>
          <w:szCs w:val="22"/>
        </w:rPr>
        <w:t xml:space="preserve">An earlier version of this analysis compared, instead, the protocol minimising the hazard ratio against the protocol maximising the restricted mean difference, both selected by exhaustive search. That comparison is unsound in two ways and we report it only as a caution. First, the winner is guaranteed: the protocol maximising an estimand in a sample wins on that estimand there by construction, so the observed difference measures the optimisation gap, not a difference between estimands. Second, and more fundamentally, the selection is unstable: in the colon cohort a single estimand reproduced its own choice of protocol in 3.6% of resample pairs, less often than the two estimands agreed with each other (10.6%). An exhaustive argmax over 512 candidates is also a far more aggressive selection than the published rule performs, so a failure there would not have implicated the rule.</w:t>
      </w:r>
    </w:p>
    <w:p>
      <w:pPr>
        <w:pStyle w:val="Heading2"/>
        <w:spacing w:after="130" w:before="280"/>
      </w:pPr>
      <w:r>
        <w:rPr>
          <w:rFonts w:ascii="Calibri" w:cs="Calibri" w:eastAsia="Calibri" w:hAnsi="Calibri"/>
        </w:rPr>
        <w:t xml:space="preserve">Simulation</w:t>
      </w:r>
    </w:p>
    <w:p>
      <w:pPr>
        <w:spacing w:after="140" w:line="300"/>
      </w:pPr>
      <w:r>
        <w:rPr>
          <w:rFonts w:ascii="Calibri" w:cs="Calibri" w:eastAsia="Calibri" w:hAnsi="Calibri"/>
          <w:sz w:val="22"/>
          <w:szCs w:val="22"/>
        </w:rPr>
        <w:t xml:space="preserve">Sample splitting confounds two things: how much data the rule has to find the right criteria, and how precisely the resulting protocol can be scored. To separate them we generated data from a known model, fixed the scoring set at 100 000 patients so that scoring noise was negligible, and varied only the fitting size across 300, 1000, 3000, 5167 and 20 000 patients with 300 replicates each. The value 5167 is the average per-trial cohort size in the original work. The generating model gave the rule something real to find: eight criteria on eight covariates, of which three genuinely modified the treatment effect — two enriching for benefit and one diluting it — on a background of strong prognostic heterogeneity so that non-collapsibility was operative. At the population level the rule correctly identified the diluting criterion, so any failure at finite sample is a sample-size phenomenon and not a defect of the rule.</w:t>
      </w:r>
    </w:p>
    <w:p>
      <w:pPr>
        <w:spacing w:after="140" w:line="300"/>
      </w:pPr>
      <w:r>
        <w:rPr>
          <w:rFonts w:ascii="Calibri" w:cs="Calibri" w:eastAsia="Calibri" w:hAnsi="Calibri"/>
          <w:sz w:val="22"/>
          <w:szCs w:val="22"/>
        </w:rPr>
        <w:t xml:space="preserve">Three arms sharing one outcome model then separated the effect of the treatment-assignment mechanism. In arm A assignment was randomised. In arm B assignment depended on three covariates and the propensity model included all of them. In arm C assignment depended on the same covariates but the propensity model omitted one, representing unmeasured confounding. Because the outcome model is common to all three arms, the target the rule is trying to find is identical and only the assignment mechanism and the adequacy of adjustment differ.</w:t>
      </w:r>
    </w:p>
    <w:p>
      <w:pPr>
        <w:spacing w:after="140" w:line="300"/>
      </w:pPr>
      <w:r>
        <w:rPr>
          <w:rFonts w:ascii="Calibri" w:cs="Calibri" w:eastAsia="Calibri" w:hAnsi="Calibri"/>
          <w:sz w:val="22"/>
          <w:szCs w:val="22"/>
        </w:rPr>
        <w:t xml:space="preserve">A separate simulation examined non-collapsibility in isolation. Under a proportional-hazards model in which the conditional hazard ratio equals exp(log 0.6) in every stratum of a prognostic covariate Z, a criterion of the form Z at or below its median changes no individual's relative benefit. We swept the prognostic strength from zero upward; at zero there is no heterogeneity to collapse over and the artefact must vanish, which provides a falsification point.</w:t>
      </w:r>
    </w:p>
    <w:p>
      <w:pPr>
        <w:pStyle w:val="Heading2"/>
        <w:spacing w:after="130" w:before="280"/>
      </w:pPr>
      <w:r>
        <w:rPr>
          <w:rFonts w:ascii="Calibri" w:cs="Calibri" w:eastAsia="Calibri" w:hAnsi="Calibri"/>
        </w:rPr>
        <w:t xml:space="preserve">Uncertainty</w:t>
      </w:r>
    </w:p>
    <w:p>
      <w:pPr>
        <w:spacing w:after="140" w:line="300"/>
      </w:pPr>
      <w:r>
        <w:rPr>
          <w:rFonts w:ascii="Calibri" w:cs="Calibri" w:eastAsia="Calibri" w:hAnsi="Calibri"/>
          <w:sz w:val="22"/>
          <w:szCs w:val="22"/>
        </w:rPr>
        <w:t xml:space="preserve">Intervals are bias-corrected and accelerated bootstrap intervals, the acceleration constant estimated by a grouped jackknife. Significance bands are obtained by interval inversion — the smallest level at which the interval excludes zero — rather than a constructed p-value, and are then adjusted across the pair family by the Benjamini–Hochberg procedure after removing logically determined cells. A global permutation test on the whole interaction matrix provides a single-degree-of-freedom alternative to many marginal tests. Interval coverage was validated against known truth in 120 replicates at n = 1500.</w:t>
      </w:r>
    </w:p>
    <w:p>
      <w:pPr>
        <w:pStyle w:val="Heading2"/>
        <w:spacing w:after="130" w:before="280"/>
      </w:pPr>
      <w:r>
        <w:rPr>
          <w:rFonts w:ascii="Calibri" w:cs="Calibri" w:eastAsia="Calibri" w:hAnsi="Calibri"/>
        </w:rPr>
        <w:t xml:space="preserve">Implementation</w:t>
      </w:r>
    </w:p>
    <w:p>
      <w:pPr>
        <w:spacing w:after="140" w:line="300"/>
      </w:pPr>
      <w:r>
        <w:rPr>
          <w:rFonts w:ascii="Calibri" w:cs="Calibri" w:eastAsia="Calibri" w:hAnsi="Calibri"/>
          <w:sz w:val="22"/>
          <w:szCs w:val="22"/>
        </w:rPr>
        <w:t xml:space="preserve">The 2</w:t>
      </w:r>
      <w:r>
        <w:rPr>
          <w:rFonts w:ascii="Calibri" w:cs="Calibri" w:eastAsia="Calibri" w:hAnsi="Calibri"/>
          <w:sz w:val="22"/>
          <w:szCs w:val="22"/>
          <w:vertAlign w:val="superscript"/>
        </w:rPr>
        <w:t xml:space="preserve">p</w:t>
      </w:r>
      <w:r>
        <w:rPr>
          <w:rFonts w:ascii="Calibri" w:cs="Calibri" w:eastAsia="Calibri" w:hAnsi="Calibri"/>
          <w:sz w:val="22"/>
          <w:szCs w:val="22"/>
        </w:rPr>
        <w:t xml:space="preserve"> enumeration is evaluated once per bootstrap replicate, so per-subset cost governs feasibility. Because the model is always one binary covariate with weights, we solve the weighted Cox partial likelihood by Newton–Raphson directly and compute the weighted restricted mean from the Kaplan–Meier estimator directly, avoiding formula parsing and model-frame construction. The full cohort is sorted by time once so that logical subsetting preserves the ordering. These kernels agree with the survival package to 9.4 × 10</w:t>
      </w:r>
      <w:r>
        <w:rPr>
          <w:rFonts w:ascii="Calibri" w:cs="Calibri" w:eastAsia="Calibri" w:hAnsi="Calibri"/>
          <w:sz w:val="22"/>
          <w:szCs w:val="22"/>
          <w:vertAlign w:val="superscript"/>
        </w:rPr>
        <w:t xml:space="preserve">−13</w:t>
      </w:r>
      <w:r>
        <w:rPr>
          <w:rFonts w:ascii="Calibri" w:cs="Calibri" w:eastAsia="Calibri" w:hAnsi="Calibri"/>
          <w:sz w:val="22"/>
          <w:szCs w:val="22"/>
        </w:rPr>
        <w:t xml:space="preserve"> for the Cox coefficient and exactly for the restricted mean, and are about eighteen times faster, which is what makes exhaustive enumeration with a 2000-replicate bootstrap affordable. Everything is available as the R package trialplate, with 16 correctness assertions covering the efficiency axiom, matrix symmetry, the null-player axiom, agreement of exact enumeration with permutation Monte Carlo, the implication detector, seed reproducibility and the leverage identity.</w:t>
      </w:r>
    </w:p>
    <w:p>
      <w:pPr>
        <w:pStyle w:val="Heading1"/>
        <w:spacing w:after="130" w:before="280"/>
      </w:pPr>
      <w:r>
        <w:rPr>
          <w:rFonts w:ascii="Calibri" w:cs="Calibri" w:eastAsia="Calibri" w:hAnsi="Calibri"/>
        </w:rPr>
        <w:t xml:space="preserve">Results</w:t>
      </w:r>
    </w:p>
    <w:p>
      <w:pPr>
        <w:pStyle w:val="Heading2"/>
        <w:spacing w:after="130" w:before="280"/>
      </w:pPr>
      <w:r>
        <w:rPr>
          <w:rFonts w:ascii="Calibri" w:cs="Calibri" w:eastAsia="Calibri" w:hAnsi="Calibri"/>
        </w:rPr>
        <w:t xml:space="preserve">One promise held, the other did not</w:t>
      </w:r>
    </w:p>
    <w:p>
      <w:pPr>
        <w:spacing w:after="140" w:line="300"/>
      </w:pPr>
      <w:r>
        <w:rPr>
          <w:rFonts w:ascii="Calibri" w:cs="Calibri" w:eastAsia="Calibri" w:hAnsi="Calibri"/>
          <w:sz w:val="22"/>
          <w:szCs w:val="22"/>
        </w:rPr>
        <w:t xml:space="preserve">Table 1 gives the out-of-sample comparison in both cohorts. The eligibility promise held decisively: the data-driven protocol admitted 59 more patients in colon and 229 more in Rotterdam, and did so in 98.2% and 100% of splits. The effect-estimate promise did not hold in either cohort. In colon the out-of-sample hazard ratio was 0.078 higher under the data-driven protocol, and lower in only 27.0% of splits; in Rotterdam the difference was 0.001 and the probability 0.497, an exact coin flip. The restricted mean survival difference was essentially unchanged in both (−5.8 and +6.9 days). Raising the fitting fraction from 0.5 to 0.7 moved the colon probability from 0.270 to 0.336 and the Rotterdam probability from 0.497 to 0.527, in the expected direction but not to the point of keeping the promise.</w:t>
      </w:r>
    </w:p>
    <w:tbl>
      <w:tblPr>
        <w:tblW w:type="dxa" w:w="9360"/>
        <w:tblBorders>
          <w:top w:val="single" w:color="9AA4AF" w:sz="6"/>
          <w:left w:val="none"/>
          <w:bottom w:val="single" w:color="9AA4AF" w:sz="6"/>
          <w:right w:val="none"/>
          <w:insideH w:val="single" w:color="D7DEE5" w:sz="2"/>
          <w:insideV w:val="none"/>
        </w:tblBorders>
      </w:tblPr>
      <w:tblGrid>
        <w:gridCol w:w="3400"/>
        <w:gridCol w:w="2980"/>
        <w:gridCol w:w="2980"/>
      </w:tblGrid>
      <w:tr>
        <w:trPr>
          <w:tblHeader/>
        </w:trPr>
        <w:tc>
          <w:tcPr>
            <w:tcW w:type="dxa" w:w="3400"/>
            <w:shd w:fill="EDF1F5" w:val="clear"/>
            <w:tcMar>
              <w:top w:type="dxa" w:w="60"/>
              <w:left w:type="dxa" w:w="90"/>
              <w:bottom w:type="dxa" w:w="60"/>
              <w:right w:type="dxa" w:w="90"/>
            </w:tcMar>
          </w:tcPr>
          <w:p>
            <w:pPr>
              <w:spacing w:after="0" w:line="260"/>
              <w:jc w:val="left"/>
            </w:pPr>
            <w:r>
              <w:rPr>
                <w:rFonts w:ascii="Calibri" w:cs="Calibri" w:eastAsia="Calibri" w:hAnsi="Calibri"/>
                <w:b/>
                <w:bCs/>
                <w:sz w:val="19"/>
                <w:szCs w:val="19"/>
              </w:rPr>
              <w:t xml:space="preserve"/>
            </w:r>
          </w:p>
        </w:tc>
        <w:tc>
          <w:tcPr>
            <w:tcW w:type="dxa" w:w="298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colon (n = 619)</w:t>
            </w:r>
          </w:p>
        </w:tc>
        <w:tc>
          <w:tcPr>
            <w:tcW w:type="dxa" w:w="298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Rotterdam (n = 2982)</w:t>
            </w:r>
          </w:p>
        </w:tc>
      </w:tr>
      <w:tr>
        <w:tc>
          <w:tcPr>
            <w:tcW w:type="dxa" w:w="3400"/>
            <w:tcMar>
              <w:top w:type="dxa" w:w="60"/>
              <w:left w:type="dxa" w:w="90"/>
              <w:bottom w:type="dxa" w:w="60"/>
              <w:right w:type="dxa" w:w="90"/>
            </w:tcMar>
          </w:tcPr>
          <w:p>
            <w:pPr>
              <w:spacing w:after="0" w:line="260"/>
              <w:jc w:val="left"/>
            </w:pPr>
            <w:r>
              <w:rPr>
                <w:rFonts w:ascii="Calibri" w:cs="Calibri" w:eastAsia="Calibri" w:hAnsi="Calibri"/>
                <w:sz w:val="19"/>
                <w:szCs w:val="19"/>
              </w:rPr>
              <w:t xml:space="preserve">Fitting-set size (fraction 0.5)</w:t>
            </w:r>
          </w:p>
        </w:tc>
        <w:tc>
          <w:tcPr>
            <w:tcW w:type="dxa" w:w="2980"/>
            <w:tcMar>
              <w:top w:type="dxa" w:w="60"/>
              <w:left w:type="dxa" w:w="90"/>
              <w:bottom w:type="dxa" w:w="60"/>
              <w:right w:type="dxa" w:w="90"/>
            </w:tcMar>
          </w:tcPr>
          <w:p>
            <w:pPr>
              <w:spacing w:after="0" w:line="260"/>
              <w:jc w:val="right"/>
            </w:pPr>
            <w:r>
              <w:rPr>
                <w:rFonts w:ascii="Calibri" w:cs="Calibri" w:eastAsia="Calibri" w:hAnsi="Calibri"/>
                <w:sz w:val="19"/>
                <w:szCs w:val="19"/>
              </w:rPr>
              <w:t xml:space="preserve">309</w:t>
            </w:r>
          </w:p>
        </w:tc>
        <w:tc>
          <w:tcPr>
            <w:tcW w:type="dxa" w:w="2980"/>
            <w:tcMar>
              <w:top w:type="dxa" w:w="60"/>
              <w:left w:type="dxa" w:w="90"/>
              <w:bottom w:type="dxa" w:w="60"/>
              <w:right w:type="dxa" w:w="90"/>
            </w:tcMar>
          </w:tcPr>
          <w:p>
            <w:pPr>
              <w:spacing w:after="0" w:line="260"/>
              <w:jc w:val="right"/>
            </w:pPr>
            <w:r>
              <w:rPr>
                <w:rFonts w:ascii="Calibri" w:cs="Calibri" w:eastAsia="Calibri" w:hAnsi="Calibri"/>
                <w:sz w:val="19"/>
                <w:szCs w:val="19"/>
              </w:rPr>
              <w:t xml:space="preserve">1491</w:t>
            </w:r>
          </w:p>
        </w:tc>
      </w:tr>
      <w:tr>
        <w:tc>
          <w:tcPr>
            <w:tcW w:type="dxa" w:w="3400"/>
            <w:tcMar>
              <w:top w:type="dxa" w:w="60"/>
              <w:left w:type="dxa" w:w="90"/>
              <w:bottom w:type="dxa" w:w="60"/>
              <w:right w:type="dxa" w:w="90"/>
            </w:tcMar>
          </w:tcPr>
          <w:p>
            <w:pPr>
              <w:spacing w:after="0" w:line="260"/>
              <w:jc w:val="left"/>
            </w:pPr>
            <w:r>
              <w:rPr>
                <w:rFonts w:ascii="Calibri" w:cs="Calibri" w:eastAsia="Calibri" w:hAnsi="Calibri"/>
                <w:sz w:val="19"/>
                <w:szCs w:val="19"/>
              </w:rPr>
              <w:t xml:space="preserve">Splits</w:t>
            </w:r>
          </w:p>
        </w:tc>
        <w:tc>
          <w:tcPr>
            <w:tcW w:type="dxa" w:w="2980"/>
            <w:tcMar>
              <w:top w:type="dxa" w:w="60"/>
              <w:left w:type="dxa" w:w="90"/>
              <w:bottom w:type="dxa" w:w="60"/>
              <w:right w:type="dxa" w:w="90"/>
            </w:tcMar>
          </w:tcPr>
          <w:p>
            <w:pPr>
              <w:spacing w:after="0" w:line="260"/>
              <w:jc w:val="right"/>
            </w:pPr>
            <w:r>
              <w:rPr>
                <w:rFonts w:ascii="Calibri" w:cs="Calibri" w:eastAsia="Calibri" w:hAnsi="Calibri"/>
                <w:sz w:val="19"/>
                <w:szCs w:val="19"/>
              </w:rPr>
              <w:t xml:space="preserve">500</w:t>
            </w:r>
          </w:p>
        </w:tc>
        <w:tc>
          <w:tcPr>
            <w:tcW w:type="dxa" w:w="2980"/>
            <w:tcMar>
              <w:top w:type="dxa" w:w="60"/>
              <w:left w:type="dxa" w:w="90"/>
              <w:bottom w:type="dxa" w:w="60"/>
              <w:right w:type="dxa" w:w="90"/>
            </w:tcMar>
          </w:tcPr>
          <w:p>
            <w:pPr>
              <w:spacing w:after="0" w:line="260"/>
              <w:jc w:val="right"/>
            </w:pPr>
            <w:r>
              <w:rPr>
                <w:rFonts w:ascii="Calibri" w:cs="Calibri" w:eastAsia="Calibri" w:hAnsi="Calibri"/>
                <w:sz w:val="19"/>
                <w:szCs w:val="19"/>
              </w:rPr>
              <w:t xml:space="preserve">400</w:t>
            </w:r>
          </w:p>
        </w:tc>
      </w:tr>
      <w:tr>
        <w:tc>
          <w:tcPr>
            <w:tcW w:type="dxa" w:w="3400"/>
            <w:tcMar>
              <w:top w:type="dxa" w:w="60"/>
              <w:left w:type="dxa" w:w="90"/>
              <w:bottom w:type="dxa" w:w="60"/>
              <w:right w:type="dxa" w:w="90"/>
            </w:tcMar>
          </w:tcPr>
          <w:p>
            <w:pPr>
              <w:spacing w:after="0" w:line="260"/>
              <w:jc w:val="left"/>
            </w:pPr>
            <w:r>
              <w:rPr>
                <w:rFonts w:ascii="Calibri" w:cs="Calibri" w:eastAsia="Calibri" w:hAnsi="Calibri"/>
                <w:sz w:val="19"/>
                <w:szCs w:val="19"/>
              </w:rPr>
              <w:t xml:space="preserve">Original protocol, out of sample</w:t>
            </w:r>
          </w:p>
        </w:tc>
        <w:tc>
          <w:tcPr>
            <w:tcW w:type="dxa" w:w="2980"/>
            <w:tcMar>
              <w:top w:type="dxa" w:w="60"/>
              <w:left w:type="dxa" w:w="90"/>
              <w:bottom w:type="dxa" w:w="60"/>
              <w:right w:type="dxa" w:w="90"/>
            </w:tcMar>
          </w:tcPr>
          <w:p>
            <w:pPr>
              <w:spacing w:after="0" w:line="260"/>
              <w:jc w:val="right"/>
            </w:pPr>
            <w:r>
              <w:rPr>
                <w:rFonts w:ascii="Calibri" w:cs="Calibri" w:eastAsia="Calibri" w:hAnsi="Calibri"/>
                <w:sz w:val="19"/>
                <w:szCs w:val="19"/>
              </w:rPr>
              <w:t xml:space="preserve">n = 88, HR = 0.592, RMST = +75.8 d</w:t>
            </w:r>
          </w:p>
        </w:tc>
        <w:tc>
          <w:tcPr>
            <w:tcW w:type="dxa" w:w="2980"/>
            <w:tcMar>
              <w:top w:type="dxa" w:w="60"/>
              <w:left w:type="dxa" w:w="90"/>
              <w:bottom w:type="dxa" w:w="60"/>
              <w:right w:type="dxa" w:w="90"/>
            </w:tcMar>
          </w:tcPr>
          <w:p>
            <w:pPr>
              <w:spacing w:after="0" w:line="260"/>
              <w:jc w:val="right"/>
            </w:pPr>
            <w:r>
              <w:rPr>
                <w:rFonts w:ascii="Calibri" w:cs="Calibri" w:eastAsia="Calibri" w:hAnsi="Calibri"/>
                <w:sz w:val="19"/>
                <w:szCs w:val="19"/>
              </w:rPr>
              <w:t xml:space="preserve">n = 210, HR = 0.740, RMST = +143.9 d</w:t>
            </w:r>
          </w:p>
        </w:tc>
      </w:tr>
      <w:tr>
        <w:tc>
          <w:tcPr>
            <w:tcW w:type="dxa" w:w="3400"/>
            <w:tcMar>
              <w:top w:type="dxa" w:w="60"/>
              <w:left w:type="dxa" w:w="90"/>
              <w:bottom w:type="dxa" w:w="60"/>
              <w:right w:type="dxa" w:w="90"/>
            </w:tcMar>
          </w:tcPr>
          <w:p>
            <w:pPr>
              <w:spacing w:after="0" w:line="260"/>
              <w:jc w:val="left"/>
            </w:pPr>
            <w:r>
              <w:rPr>
                <w:rFonts w:ascii="Calibri" w:cs="Calibri" w:eastAsia="Calibri" w:hAnsi="Calibri"/>
                <w:sz w:val="19"/>
                <w:szCs w:val="19"/>
              </w:rPr>
              <w:t xml:space="preserve">Data-driven protocol, out of sample</w:t>
            </w:r>
          </w:p>
        </w:tc>
        <w:tc>
          <w:tcPr>
            <w:tcW w:type="dxa" w:w="2980"/>
            <w:tcMar>
              <w:top w:type="dxa" w:w="60"/>
              <w:left w:type="dxa" w:w="90"/>
              <w:bottom w:type="dxa" w:w="60"/>
              <w:right w:type="dxa" w:w="90"/>
            </w:tcMar>
          </w:tcPr>
          <w:p>
            <w:pPr>
              <w:spacing w:after="0" w:line="260"/>
              <w:jc w:val="right"/>
            </w:pPr>
            <w:r>
              <w:rPr>
                <w:rFonts w:ascii="Calibri" w:cs="Calibri" w:eastAsia="Calibri" w:hAnsi="Calibri"/>
                <w:sz w:val="19"/>
                <w:szCs w:val="19"/>
              </w:rPr>
              <w:t xml:space="preserve">n = 148, HR = 0.670, RMST = +70.0 d</w:t>
            </w:r>
          </w:p>
        </w:tc>
        <w:tc>
          <w:tcPr>
            <w:tcW w:type="dxa" w:w="2980"/>
            <w:tcMar>
              <w:top w:type="dxa" w:w="60"/>
              <w:left w:type="dxa" w:w="90"/>
              <w:bottom w:type="dxa" w:w="60"/>
              <w:right w:type="dxa" w:w="90"/>
            </w:tcMar>
          </w:tcPr>
          <w:p>
            <w:pPr>
              <w:spacing w:after="0" w:line="260"/>
              <w:jc w:val="right"/>
            </w:pPr>
            <w:r>
              <w:rPr>
                <w:rFonts w:ascii="Calibri" w:cs="Calibri" w:eastAsia="Calibri" w:hAnsi="Calibri"/>
                <w:sz w:val="19"/>
                <w:szCs w:val="19"/>
              </w:rPr>
              <w:t xml:space="preserve">n = 440, HR = 0.742, RMST = +150.8 d</w:t>
            </w:r>
          </w:p>
        </w:tc>
      </w:tr>
      <w:tr>
        <w:tc>
          <w:tcPr>
            <w:tcW w:type="dxa" w:w="3400"/>
            <w:tcMar>
              <w:top w:type="dxa" w:w="60"/>
              <w:left w:type="dxa" w:w="90"/>
              <w:bottom w:type="dxa" w:w="60"/>
              <w:right w:type="dxa" w:w="90"/>
            </w:tcMar>
          </w:tcPr>
          <w:p>
            <w:pPr>
              <w:spacing w:after="0" w:line="260"/>
              <w:jc w:val="left"/>
            </w:pPr>
            <w:r>
              <w:rPr>
                <w:rFonts w:ascii="Calibri" w:cs="Calibri" w:eastAsia="Calibri" w:hAnsi="Calibri"/>
                <w:sz w:val="19"/>
                <w:szCs w:val="19"/>
              </w:rPr>
              <w:t xml:space="preserve">Eligible patients, difference</w:t>
            </w:r>
          </w:p>
        </w:tc>
        <w:tc>
          <w:tcPr>
            <w:tcW w:type="dxa" w:w="2980"/>
            <w:tcMar>
              <w:top w:type="dxa" w:w="60"/>
              <w:left w:type="dxa" w:w="90"/>
              <w:bottom w:type="dxa" w:w="60"/>
              <w:right w:type="dxa" w:w="90"/>
            </w:tcMar>
          </w:tcPr>
          <w:p>
            <w:pPr>
              <w:spacing w:after="0" w:line="260"/>
              <w:jc w:val="right"/>
            </w:pPr>
            <w:r>
              <w:rPr>
                <w:rFonts w:ascii="Calibri" w:cs="Calibri" w:eastAsia="Calibri" w:hAnsi="Calibri"/>
                <w:sz w:val="19"/>
                <w:szCs w:val="19"/>
              </w:rPr>
              <w:t xml:space="preserve">+59 (SE 2)</w:t>
            </w:r>
          </w:p>
        </w:tc>
        <w:tc>
          <w:tcPr>
            <w:tcW w:type="dxa" w:w="2980"/>
            <w:tcMar>
              <w:top w:type="dxa" w:w="60"/>
              <w:left w:type="dxa" w:w="90"/>
              <w:bottom w:type="dxa" w:w="60"/>
              <w:right w:type="dxa" w:w="90"/>
            </w:tcMar>
          </w:tcPr>
          <w:p>
            <w:pPr>
              <w:spacing w:after="0" w:line="260"/>
              <w:jc w:val="right"/>
            </w:pPr>
            <w:r>
              <w:rPr>
                <w:rFonts w:ascii="Calibri" w:cs="Calibri" w:eastAsia="Calibri" w:hAnsi="Calibri"/>
                <w:sz w:val="19"/>
                <w:szCs w:val="19"/>
              </w:rPr>
              <w:t xml:space="preserve">+229 (SE 6)</w:t>
            </w:r>
          </w:p>
        </w:tc>
      </w:tr>
      <w:tr>
        <w:tc>
          <w:tcPr>
            <w:tcW w:type="dxa" w:w="3400"/>
            <w:tcMar>
              <w:top w:type="dxa" w:w="60"/>
              <w:left w:type="dxa" w:w="90"/>
              <w:bottom w:type="dxa" w:w="60"/>
              <w:right w:type="dxa" w:w="90"/>
            </w:tcMar>
          </w:tcPr>
          <w:p>
            <w:pPr>
              <w:spacing w:after="0" w:line="260"/>
              <w:jc w:val="left"/>
            </w:pPr>
            <w:r>
              <w:rPr>
                <w:rFonts w:ascii="Calibri" w:cs="Calibri" w:eastAsia="Calibri" w:hAnsi="Calibri"/>
                <w:sz w:val="19"/>
                <w:szCs w:val="19"/>
              </w:rPr>
              <w:t xml:space="preserve">P(more patients)</w:t>
            </w:r>
          </w:p>
        </w:tc>
        <w:tc>
          <w:tcPr>
            <w:tcW w:type="dxa" w:w="2980"/>
            <w:tcMar>
              <w:top w:type="dxa" w:w="60"/>
              <w:left w:type="dxa" w:w="90"/>
              <w:bottom w:type="dxa" w:w="60"/>
              <w:right w:type="dxa" w:w="90"/>
            </w:tcMar>
          </w:tcPr>
          <w:p>
            <w:pPr>
              <w:spacing w:after="0" w:line="260"/>
              <w:jc w:val="right"/>
            </w:pPr>
            <w:r>
              <w:rPr>
                <w:rFonts w:ascii="Calibri" w:cs="Calibri" w:eastAsia="Calibri" w:hAnsi="Calibri"/>
                <w:sz w:val="19"/>
                <w:szCs w:val="19"/>
              </w:rPr>
              <w:t xml:space="preserve">0.982</w:t>
            </w:r>
          </w:p>
        </w:tc>
        <w:tc>
          <w:tcPr>
            <w:tcW w:type="dxa" w:w="2980"/>
            <w:tcMar>
              <w:top w:type="dxa" w:w="60"/>
              <w:left w:type="dxa" w:w="90"/>
              <w:bottom w:type="dxa" w:w="60"/>
              <w:right w:type="dxa" w:w="90"/>
            </w:tcMar>
          </w:tcPr>
          <w:p>
            <w:pPr>
              <w:spacing w:after="0" w:line="260"/>
              <w:jc w:val="right"/>
            </w:pPr>
            <w:r>
              <w:rPr>
                <w:rFonts w:ascii="Calibri" w:cs="Calibri" w:eastAsia="Calibri" w:hAnsi="Calibri"/>
                <w:sz w:val="19"/>
                <w:szCs w:val="19"/>
              </w:rPr>
              <w:t xml:space="preserve">1.000</w:t>
            </w:r>
          </w:p>
        </w:tc>
      </w:tr>
      <w:tr>
        <w:tc>
          <w:tcPr>
            <w:tcW w:type="dxa" w:w="3400"/>
            <w:tcMar>
              <w:top w:type="dxa" w:w="60"/>
              <w:left w:type="dxa" w:w="90"/>
              <w:bottom w:type="dxa" w:w="60"/>
              <w:right w:type="dxa" w:w="90"/>
            </w:tcMar>
          </w:tcPr>
          <w:p>
            <w:pPr>
              <w:spacing w:after="0" w:line="260"/>
              <w:jc w:val="left"/>
            </w:pPr>
            <w:r>
              <w:rPr>
                <w:rFonts w:ascii="Calibri" w:cs="Calibri" w:eastAsia="Calibri" w:hAnsi="Calibri"/>
                <w:sz w:val="19"/>
                <w:szCs w:val="19"/>
              </w:rPr>
              <w:t xml:space="preserve">Hazard ratio, difference</w:t>
            </w:r>
          </w:p>
        </w:tc>
        <w:tc>
          <w:tcPr>
            <w:tcW w:type="dxa" w:w="2980"/>
            <w:tcMar>
              <w:top w:type="dxa" w:w="60"/>
              <w:left w:type="dxa" w:w="90"/>
              <w:bottom w:type="dxa" w:w="60"/>
              <w:right w:type="dxa" w:w="90"/>
            </w:tcMar>
          </w:tcPr>
          <w:p>
            <w:pPr>
              <w:spacing w:after="0" w:line="260"/>
              <w:jc w:val="right"/>
            </w:pPr>
            <w:r>
              <w:rPr>
                <w:rFonts w:ascii="Calibri" w:cs="Calibri" w:eastAsia="Calibri" w:hAnsi="Calibri"/>
                <w:sz w:val="19"/>
                <w:szCs w:val="19"/>
              </w:rPr>
              <w:t xml:space="preserve">+0.0781 (SE 0.0058)</w:t>
            </w:r>
          </w:p>
        </w:tc>
        <w:tc>
          <w:tcPr>
            <w:tcW w:type="dxa" w:w="2980"/>
            <w:tcMar>
              <w:top w:type="dxa" w:w="60"/>
              <w:left w:type="dxa" w:w="90"/>
              <w:bottom w:type="dxa" w:w="60"/>
              <w:right w:type="dxa" w:w="90"/>
            </w:tcMar>
          </w:tcPr>
          <w:p>
            <w:pPr>
              <w:spacing w:after="0" w:line="260"/>
              <w:jc w:val="right"/>
            </w:pPr>
            <w:r>
              <w:rPr>
                <w:rFonts w:ascii="Calibri" w:cs="Calibri" w:eastAsia="Calibri" w:hAnsi="Calibri"/>
                <w:sz w:val="19"/>
                <w:szCs w:val="19"/>
              </w:rPr>
              <w:t xml:space="preserve">+0.0012 (SE 0.0069)</w:t>
            </w:r>
          </w:p>
        </w:tc>
      </w:tr>
      <w:tr>
        <w:tc>
          <w:tcPr>
            <w:tcW w:type="dxa" w:w="3400"/>
            <w:tcMar>
              <w:top w:type="dxa" w:w="60"/>
              <w:left w:type="dxa" w:w="90"/>
              <w:bottom w:type="dxa" w:w="60"/>
              <w:right w:type="dxa" w:w="90"/>
            </w:tcMar>
          </w:tcPr>
          <w:p>
            <w:pPr>
              <w:spacing w:after="0" w:line="260"/>
              <w:jc w:val="left"/>
            </w:pPr>
            <w:r>
              <w:rPr>
                <w:rFonts w:ascii="Calibri" w:cs="Calibri" w:eastAsia="Calibri" w:hAnsi="Calibri"/>
                <w:sz w:val="19"/>
                <w:szCs w:val="19"/>
              </w:rPr>
              <w:t xml:space="preserve">P(lower hazard ratio)</w:t>
            </w:r>
          </w:p>
        </w:tc>
        <w:tc>
          <w:tcPr>
            <w:tcW w:type="dxa" w:w="2980"/>
            <w:tcMar>
              <w:top w:type="dxa" w:w="60"/>
              <w:left w:type="dxa" w:w="90"/>
              <w:bottom w:type="dxa" w:w="60"/>
              <w:right w:type="dxa" w:w="90"/>
            </w:tcMar>
          </w:tcPr>
          <w:p>
            <w:pPr>
              <w:spacing w:after="0" w:line="260"/>
              <w:jc w:val="right"/>
            </w:pPr>
            <w:r>
              <w:rPr>
                <w:rFonts w:ascii="Calibri" w:cs="Calibri" w:eastAsia="Calibri" w:hAnsi="Calibri"/>
                <w:sz w:val="19"/>
                <w:szCs w:val="19"/>
              </w:rPr>
              <w:t xml:space="preserve">0.270</w:t>
            </w:r>
          </w:p>
        </w:tc>
        <w:tc>
          <w:tcPr>
            <w:tcW w:type="dxa" w:w="2980"/>
            <w:tcMar>
              <w:top w:type="dxa" w:w="60"/>
              <w:left w:type="dxa" w:w="90"/>
              <w:bottom w:type="dxa" w:w="60"/>
              <w:right w:type="dxa" w:w="90"/>
            </w:tcMar>
          </w:tcPr>
          <w:p>
            <w:pPr>
              <w:spacing w:after="0" w:line="260"/>
              <w:jc w:val="right"/>
            </w:pPr>
            <w:r>
              <w:rPr>
                <w:rFonts w:ascii="Calibri" w:cs="Calibri" w:eastAsia="Calibri" w:hAnsi="Calibri"/>
                <w:sz w:val="19"/>
                <w:szCs w:val="19"/>
              </w:rPr>
              <w:t xml:space="preserve">0.497</w:t>
            </w:r>
          </w:p>
        </w:tc>
      </w:tr>
      <w:tr>
        <w:tc>
          <w:tcPr>
            <w:tcW w:type="dxa" w:w="3400"/>
            <w:tcMar>
              <w:top w:type="dxa" w:w="60"/>
              <w:left w:type="dxa" w:w="90"/>
              <w:bottom w:type="dxa" w:w="60"/>
              <w:right w:type="dxa" w:w="90"/>
            </w:tcMar>
          </w:tcPr>
          <w:p>
            <w:pPr>
              <w:spacing w:after="0" w:line="260"/>
              <w:jc w:val="left"/>
            </w:pPr>
            <w:r>
              <w:rPr>
                <w:rFonts w:ascii="Calibri" w:cs="Calibri" w:eastAsia="Calibri" w:hAnsi="Calibri"/>
                <w:sz w:val="19"/>
                <w:szCs w:val="19"/>
              </w:rPr>
              <w:t xml:space="preserve">RMST difference, difference</w:t>
            </w:r>
          </w:p>
        </w:tc>
        <w:tc>
          <w:tcPr>
            <w:tcW w:type="dxa" w:w="2980"/>
            <w:tcMar>
              <w:top w:type="dxa" w:w="60"/>
              <w:left w:type="dxa" w:w="90"/>
              <w:bottom w:type="dxa" w:w="60"/>
              <w:right w:type="dxa" w:w="90"/>
            </w:tcMar>
          </w:tcPr>
          <w:p>
            <w:pPr>
              <w:spacing w:after="0" w:line="260"/>
              <w:jc w:val="right"/>
            </w:pPr>
            <w:r>
              <w:rPr>
                <w:rFonts w:ascii="Calibri" w:cs="Calibri" w:eastAsia="Calibri" w:hAnsi="Calibri"/>
                <w:sz w:val="19"/>
                <w:szCs w:val="19"/>
              </w:rPr>
              <w:t xml:space="preserve">−5.8 d</w:t>
            </w:r>
          </w:p>
        </w:tc>
        <w:tc>
          <w:tcPr>
            <w:tcW w:type="dxa" w:w="2980"/>
            <w:tcMar>
              <w:top w:type="dxa" w:w="60"/>
              <w:left w:type="dxa" w:w="90"/>
              <w:bottom w:type="dxa" w:w="60"/>
              <w:right w:type="dxa" w:w="90"/>
            </w:tcMar>
          </w:tcPr>
          <w:p>
            <w:pPr>
              <w:spacing w:after="0" w:line="260"/>
              <w:jc w:val="right"/>
            </w:pPr>
            <w:r>
              <w:rPr>
                <w:rFonts w:ascii="Calibri" w:cs="Calibri" w:eastAsia="Calibri" w:hAnsi="Calibri"/>
                <w:sz w:val="19"/>
                <w:szCs w:val="19"/>
              </w:rPr>
              <w:t xml:space="preserve">+6.9 d</w:t>
            </w:r>
          </w:p>
        </w:tc>
      </w:tr>
      <w:tr>
        <w:tc>
          <w:tcPr>
            <w:tcW w:type="dxa" w:w="3400"/>
            <w:tcMar>
              <w:top w:type="dxa" w:w="60"/>
              <w:left w:type="dxa" w:w="90"/>
              <w:bottom w:type="dxa" w:w="60"/>
              <w:right w:type="dxa" w:w="90"/>
            </w:tcMar>
          </w:tcPr>
          <w:p>
            <w:pPr>
              <w:spacing w:after="0" w:line="260"/>
              <w:jc w:val="left"/>
            </w:pPr>
            <w:r>
              <w:rPr>
                <w:rFonts w:ascii="Calibri" w:cs="Calibri" w:eastAsia="Calibri" w:hAnsi="Calibri"/>
                <w:sz w:val="19"/>
                <w:szCs w:val="19"/>
              </w:rPr>
              <w:t xml:space="preserve">P(greater absolute benefit)</w:t>
            </w:r>
          </w:p>
        </w:tc>
        <w:tc>
          <w:tcPr>
            <w:tcW w:type="dxa" w:w="2980"/>
            <w:tcMar>
              <w:top w:type="dxa" w:w="60"/>
              <w:left w:type="dxa" w:w="90"/>
              <w:bottom w:type="dxa" w:w="60"/>
              <w:right w:type="dxa" w:w="90"/>
            </w:tcMar>
          </w:tcPr>
          <w:p>
            <w:pPr>
              <w:spacing w:after="0" w:line="260"/>
              <w:jc w:val="right"/>
            </w:pPr>
            <w:r>
              <w:rPr>
                <w:rFonts w:ascii="Calibri" w:cs="Calibri" w:eastAsia="Calibri" w:hAnsi="Calibri"/>
                <w:sz w:val="19"/>
                <w:szCs w:val="19"/>
              </w:rPr>
              <w:t xml:space="preserve">0.452</w:t>
            </w:r>
          </w:p>
        </w:tc>
        <w:tc>
          <w:tcPr>
            <w:tcW w:type="dxa" w:w="2980"/>
            <w:tcMar>
              <w:top w:type="dxa" w:w="60"/>
              <w:left w:type="dxa" w:w="90"/>
              <w:bottom w:type="dxa" w:w="60"/>
              <w:right w:type="dxa" w:w="90"/>
            </w:tcMar>
          </w:tcPr>
          <w:p>
            <w:pPr>
              <w:spacing w:after="0" w:line="260"/>
              <w:jc w:val="right"/>
            </w:pPr>
            <w:r>
              <w:rPr>
                <w:rFonts w:ascii="Calibri" w:cs="Calibri" w:eastAsia="Calibri" w:hAnsi="Calibri"/>
                <w:sz w:val="19"/>
                <w:szCs w:val="19"/>
              </w:rPr>
              <w:t xml:space="preserve">0.580</w:t>
            </w:r>
          </w:p>
        </w:tc>
      </w:tr>
    </w:tbl>
    <w:p>
      <w:pPr>
        <w:spacing w:after="240" w:line="300"/>
      </w:pPr>
      <w:r>
        <w:rPr>
          <w:rFonts w:ascii="Calibri" w:cs="Calibri" w:eastAsia="Calibri" w:hAnsi="Calibri"/>
          <w:color w:val="555555"/>
          <w:sz w:val="18"/>
          <w:szCs w:val="18"/>
        </w:rPr>
        <w:t xml:space="preserve">Table 1. Out-of-sample comparison of the data-driven protocol against the original full protocol. The rule was fitted on one random half and both protocols scored on the other. SE is the standard error of the mean difference across splits.</w:t>
      </w:r>
    </w:p>
    <w:p>
      <w:pPr>
        <w:pStyle w:val="Heading2"/>
        <w:spacing w:after="130" w:before="280"/>
      </w:pPr>
      <w:r>
        <w:rPr>
          <w:rFonts w:ascii="Calibri" w:cs="Calibri" w:eastAsia="Calibri" w:hAnsi="Calibri"/>
        </w:rPr>
        <w:t xml:space="preserve">The threshold is in the fitting cohort, not in the rule</w:t>
      </w:r>
    </w:p>
    <w:p>
      <w:pPr>
        <w:spacing w:after="140" w:line="300"/>
      </w:pPr>
      <w:r>
        <w:rPr>
          <w:rFonts w:ascii="Calibri" w:cs="Calibri" w:eastAsia="Calibri" w:hAnsi="Calibri"/>
          <w:sz w:val="22"/>
          <w:szCs w:val="22"/>
        </w:rPr>
        <w:t xml:space="preserve">Table 2 shows the simulated curve with the scoring set fixed at 100 000 patients, so the horizontal axis is fitting size alone. The eligibility promise was kept at every size, from 0.950 at 300 fitting patients to 1.000 at 20 000. The effect-estimate promise rose from 0.273 to 0.997 across the same range, crossing 0.8 at about 3000 patients and reaching 0.937 at 5167 — the average per-trial size in the original work. At the population level the rule was correct: it identified the diluting criterion, and the protocol it produced lowered the hazard ratio from 0.6637 to 0.6327 while raising the eligible count from 55 179 to 78 847.</w:t>
      </w:r>
    </w:p>
    <w:p>
      <w:pPr>
        <w:spacing w:after="140" w:line="300"/>
      </w:pPr>
      <w:r>
        <w:rPr>
          <w:rFonts w:ascii="Calibri" w:cs="Calibri" w:eastAsia="Calibri" w:hAnsi="Calibri"/>
          <w:sz w:val="22"/>
          <w:szCs w:val="22"/>
        </w:rPr>
        <w:t xml:space="preserve">The two observed cohorts fall on this curve. Colon, with 309 fitting patients, was predicted at 0.279 and observed at 0.270. At the 0.7 fitting fraction, with 433 patients, the curve predicts 0.339 and the observed value was 0.336 — a split the curve had not been fitted to. Rotterdam sat consistently below the curve (0.497 and 0.527 against predictions of 0.603 and 0.698), which the confounding arms explain.</w:t>
      </w:r>
    </w:p>
    <w:tbl>
      <w:tblPr>
        <w:tblW w:type="dxa" w:w="9360"/>
        <w:tblBorders>
          <w:top w:val="single" w:color="9AA4AF" w:sz="6"/>
          <w:left w:val="none"/>
          <w:bottom w:val="single" w:color="9AA4AF" w:sz="6"/>
          <w:right w:val="none"/>
          <w:insideH w:val="single" w:color="D7DEE5" w:sz="2"/>
          <w:insideV w:val="none"/>
        </w:tblBorders>
      </w:tblPr>
      <w:tblGrid>
        <w:gridCol w:w="2760"/>
        <w:gridCol w:w="2200"/>
        <w:gridCol w:w="2200"/>
        <w:gridCol w:w="2200"/>
      </w:tblGrid>
      <w:tr>
        <w:trPr>
          <w:tblHeader/>
        </w:trPr>
        <w:tc>
          <w:tcPr>
            <w:tcW w:type="dxa" w:w="2760"/>
            <w:shd w:fill="EDF1F5" w:val="clear"/>
            <w:tcMar>
              <w:top w:type="dxa" w:w="60"/>
              <w:left w:type="dxa" w:w="90"/>
              <w:bottom w:type="dxa" w:w="60"/>
              <w:right w:type="dxa" w:w="90"/>
            </w:tcMar>
          </w:tcPr>
          <w:p>
            <w:pPr>
              <w:spacing w:after="0" w:line="260"/>
              <w:jc w:val="left"/>
            </w:pPr>
            <w:r>
              <w:rPr>
                <w:rFonts w:ascii="Calibri" w:cs="Calibri" w:eastAsia="Calibri" w:hAnsi="Calibri"/>
                <w:b/>
                <w:bCs/>
                <w:sz w:val="19"/>
                <w:szCs w:val="19"/>
              </w:rPr>
              <w:t xml:space="preserve">Fitting patients</w:t>
            </w:r>
          </w:p>
        </w:tc>
        <w:tc>
          <w:tcPr>
            <w:tcW w:type="dxa" w:w="220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P(more patients)</w:t>
            </w:r>
          </w:p>
        </w:tc>
        <w:tc>
          <w:tcPr>
            <w:tcW w:type="dxa" w:w="220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P(lower HR)</w:t>
            </w:r>
          </w:p>
        </w:tc>
        <w:tc>
          <w:tcPr>
            <w:tcW w:type="dxa" w:w="220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P(exact criterion set recovered)</w:t>
            </w:r>
          </w:p>
        </w:tc>
      </w:tr>
      <w:tr>
        <w:tc>
          <w:tcPr>
            <w:tcW w:type="dxa" w:w="2760"/>
            <w:tcMar>
              <w:top w:type="dxa" w:w="60"/>
              <w:left w:type="dxa" w:w="90"/>
              <w:bottom w:type="dxa" w:w="60"/>
              <w:right w:type="dxa" w:w="90"/>
            </w:tcMar>
          </w:tcPr>
          <w:p>
            <w:pPr>
              <w:spacing w:after="0" w:line="260"/>
              <w:jc w:val="left"/>
            </w:pPr>
            <w:r>
              <w:rPr>
                <w:rFonts w:ascii="Calibri" w:cs="Calibri" w:eastAsia="Calibri" w:hAnsi="Calibri"/>
                <w:sz w:val="19"/>
                <w:szCs w:val="19"/>
              </w:rPr>
              <w:t xml:space="preserve">300</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0.950</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0.273</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0.033</w:t>
            </w:r>
          </w:p>
        </w:tc>
      </w:tr>
      <w:tr>
        <w:tc>
          <w:tcPr>
            <w:tcW w:type="dxa" w:w="2760"/>
            <w:tcMar>
              <w:top w:type="dxa" w:w="60"/>
              <w:left w:type="dxa" w:w="90"/>
              <w:bottom w:type="dxa" w:w="60"/>
              <w:right w:type="dxa" w:w="90"/>
            </w:tcMar>
          </w:tcPr>
          <w:p>
            <w:pPr>
              <w:spacing w:after="0" w:line="260"/>
              <w:jc w:val="left"/>
            </w:pPr>
            <w:r>
              <w:rPr>
                <w:rFonts w:ascii="Calibri" w:cs="Calibri" w:eastAsia="Calibri" w:hAnsi="Calibri"/>
                <w:sz w:val="19"/>
                <w:szCs w:val="19"/>
              </w:rPr>
              <w:t xml:space="preserve">1000</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0.943</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0.490</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0.073</w:t>
            </w:r>
          </w:p>
        </w:tc>
      </w:tr>
      <w:tr>
        <w:tc>
          <w:tcPr>
            <w:tcW w:type="dxa" w:w="2760"/>
            <w:tcMar>
              <w:top w:type="dxa" w:w="60"/>
              <w:left w:type="dxa" w:w="90"/>
              <w:bottom w:type="dxa" w:w="60"/>
              <w:right w:type="dxa" w:w="90"/>
            </w:tcMar>
          </w:tcPr>
          <w:p>
            <w:pPr>
              <w:spacing w:after="0" w:line="260"/>
              <w:jc w:val="left"/>
            </w:pPr>
            <w:r>
              <w:rPr>
                <w:rFonts w:ascii="Calibri" w:cs="Calibri" w:eastAsia="Calibri" w:hAnsi="Calibri"/>
                <w:sz w:val="19"/>
                <w:szCs w:val="19"/>
              </w:rPr>
              <w:t xml:space="preserve">3000</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0.973</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0.800</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0.147</w:t>
            </w:r>
          </w:p>
        </w:tc>
      </w:tr>
      <w:tr>
        <w:tc>
          <w:tcPr>
            <w:tcW w:type="dxa" w:w="2760"/>
            <w:tcMar>
              <w:top w:type="dxa" w:w="60"/>
              <w:left w:type="dxa" w:w="90"/>
              <w:bottom w:type="dxa" w:w="60"/>
              <w:right w:type="dxa" w:w="90"/>
            </w:tcMar>
          </w:tcPr>
          <w:p>
            <w:pPr>
              <w:spacing w:after="0" w:line="260"/>
              <w:jc w:val="left"/>
            </w:pPr>
            <w:r>
              <w:rPr>
                <w:rFonts w:ascii="Calibri" w:cs="Calibri" w:eastAsia="Calibri" w:hAnsi="Calibri"/>
                <w:sz w:val="19"/>
                <w:szCs w:val="19"/>
              </w:rPr>
              <w:t xml:space="preserve">5167</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0.990</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0.937</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0.280</w:t>
            </w:r>
          </w:p>
        </w:tc>
      </w:tr>
      <w:tr>
        <w:tc>
          <w:tcPr>
            <w:tcW w:type="dxa" w:w="2760"/>
            <w:tcMar>
              <w:top w:type="dxa" w:w="60"/>
              <w:left w:type="dxa" w:w="90"/>
              <w:bottom w:type="dxa" w:w="60"/>
              <w:right w:type="dxa" w:w="90"/>
            </w:tcMar>
          </w:tcPr>
          <w:p>
            <w:pPr>
              <w:spacing w:after="0" w:line="260"/>
              <w:jc w:val="left"/>
            </w:pPr>
            <w:r>
              <w:rPr>
                <w:rFonts w:ascii="Calibri" w:cs="Calibri" w:eastAsia="Calibri" w:hAnsi="Calibri"/>
                <w:sz w:val="19"/>
                <w:szCs w:val="19"/>
              </w:rPr>
              <w:t xml:space="preserve">20 000</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1.000</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0.997</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0.637</w:t>
            </w:r>
          </w:p>
        </w:tc>
      </w:tr>
    </w:tbl>
    <w:p>
      <w:pPr>
        <w:spacing w:after="240" w:line="300"/>
      </w:pPr>
      <w:r>
        <w:rPr>
          <w:rFonts w:ascii="Calibri" w:cs="Calibri" w:eastAsia="Calibri" w:hAnsi="Calibri"/>
          <w:color w:val="555555"/>
          <w:sz w:val="18"/>
          <w:szCs w:val="18"/>
        </w:rPr>
        <w:t xml:space="preserve">Table 2. Simulated probability that each promise is kept, by fitting-cohort size, with the scoring set fixed at 100 000 patients. 300 replicates per row. 5167 is the average per-trial cohort size in the original work.</w:t>
      </w:r>
    </w:p>
    <w:p>
      <w:pPr>
        <w:pStyle w:val="Heading2"/>
        <w:spacing w:after="130" w:before="280"/>
      </w:pPr>
      <w:r>
        <w:rPr>
          <w:rFonts w:ascii="Calibri" w:cs="Calibri" w:eastAsia="Calibri" w:hAnsi="Calibri"/>
        </w:rPr>
        <w:t xml:space="preserve">Why the promises diverge</w:t>
      </w:r>
    </w:p>
    <w:p>
      <w:pPr>
        <w:spacing w:after="140" w:line="300"/>
      </w:pPr>
      <w:r>
        <w:rPr>
          <w:rFonts w:ascii="Calibri" w:cs="Calibri" w:eastAsia="Calibri" w:hAnsi="Calibri"/>
          <w:sz w:val="22"/>
          <w:szCs w:val="22"/>
        </w:rPr>
        <w:t xml:space="preserve">The rightmost column of Table 2 explains the divergence. The rule recovered the exactly correct criterion set in 3.3% of replicates at 300 fitting patients and in only 28.0% at 5167. Enrolling more patients does not require the selection to be correct — relaxing almost any criterion admits more people — so that promise survives a mostly wrong selection. Improving the effect estimate does require it, and so tracks the recovery probability.</w:t>
      </w:r>
    </w:p>
    <w:p>
      <w:pPr>
        <w:pStyle w:val="Heading2"/>
        <w:spacing w:after="130" w:before="280"/>
      </w:pPr>
      <w:r>
        <w:rPr>
          <w:rFonts w:ascii="Calibri" w:cs="Calibri" w:eastAsia="Calibri" w:hAnsi="Calibri"/>
        </w:rPr>
        <w:t xml:space="preserve">Confounding moves the threshold, and hides itself</w:t>
      </w:r>
    </w:p>
    <w:p>
      <w:pPr>
        <w:spacing w:after="140" w:line="300"/>
      </w:pPr>
      <w:r>
        <w:rPr>
          <w:rFonts w:ascii="Calibri" w:cs="Calibri" w:eastAsia="Calibri" w:hAnsi="Calibri"/>
          <w:sz w:val="22"/>
          <w:szCs w:val="22"/>
        </w:rPr>
        <w:t xml:space="preserve">Table 3 gives the three arms. Confounded assignment that was correctly adjusted for lowered the curve throughout: at 5167 fitting patients the probability fell from 0.937 to 0.808, and roughly twice the sample was needed to reach a given reliability. This is consistent with Rotterdam sitting below the randomised curve.</w:t>
      </w:r>
    </w:p>
    <w:p>
      <w:pPr>
        <w:spacing w:after="140" w:line="300"/>
      </w:pPr>
      <w:r>
        <w:rPr>
          <w:rFonts w:ascii="Calibri" w:cs="Calibri" w:eastAsia="Calibri" w:hAnsi="Calibri"/>
          <w:sz w:val="22"/>
          <w:szCs w:val="22"/>
        </w:rPr>
        <w:t xml:space="preserve">The third arm is the more consequential result. When one confounder was omitted from the propensity model the curve returned to randomised levels — 0.936 at 5167 patients against 0.937 under randomisation. This looks like reassurance and is the opposite. The population quantity the rule was detecting had itself been inflated: the true gap between the full and rule protocols was 0.0408 in arm C against 0.0310 under randomisation, 32% larger, and the whole hazard ratio was displaced upward from 0.664 to 0.757. The procedure appeared more reliable because part of what it was detecting was bias rather than benefit.</w:t>
      </w:r>
    </w:p>
    <w:p>
      <w:pPr>
        <w:spacing w:after="140" w:line="300"/>
      </w:pPr>
      <w:r>
        <w:rPr>
          <w:rFonts w:ascii="Calibri" w:cs="Calibri" w:eastAsia="Calibri" w:hAnsi="Calibri"/>
          <w:sz w:val="22"/>
          <w:szCs w:val="22"/>
        </w:rPr>
        <w:t xml:space="preserve">The practical implication is uncomfortable and should be stated plainly. On real-world data, the observation that the method works well is not evidence that adjustment was adequate; incomplete adjustment makes it work better. A defensible sensitivity analysis compares the estimated gap under richer and poorer adjustment and expects it to shrink as adjustment improves. A gap that grows as covariates are added is a warning.</w:t>
      </w:r>
    </w:p>
    <w:tbl>
      <w:tblPr>
        <w:tblW w:type="dxa" w:w="9360"/>
        <w:tblBorders>
          <w:top w:val="single" w:color="9AA4AF" w:sz="6"/>
          <w:left w:val="none"/>
          <w:bottom w:val="single" w:color="9AA4AF" w:sz="6"/>
          <w:right w:val="none"/>
          <w:insideH w:val="single" w:color="D7DEE5" w:sz="2"/>
          <w:insideV w:val="none"/>
        </w:tblBorders>
      </w:tblPr>
      <w:tblGrid>
        <w:gridCol w:w="2760"/>
        <w:gridCol w:w="2200"/>
        <w:gridCol w:w="2200"/>
        <w:gridCol w:w="2200"/>
      </w:tblGrid>
      <w:tr>
        <w:trPr>
          <w:tblHeader/>
        </w:trPr>
        <w:tc>
          <w:tcPr>
            <w:tcW w:type="dxa" w:w="2760"/>
            <w:shd w:fill="EDF1F5" w:val="clear"/>
            <w:tcMar>
              <w:top w:type="dxa" w:w="60"/>
              <w:left w:type="dxa" w:w="90"/>
              <w:bottom w:type="dxa" w:w="60"/>
              <w:right w:type="dxa" w:w="90"/>
            </w:tcMar>
          </w:tcPr>
          <w:p>
            <w:pPr>
              <w:spacing w:after="0" w:line="260"/>
              <w:jc w:val="left"/>
            </w:pPr>
            <w:r>
              <w:rPr>
                <w:rFonts w:ascii="Calibri" w:cs="Calibri" w:eastAsia="Calibri" w:hAnsi="Calibri"/>
                <w:b/>
                <w:bCs/>
                <w:sz w:val="19"/>
                <w:szCs w:val="19"/>
              </w:rPr>
              <w:t xml:space="preserve">Fitting patients</w:t>
            </w:r>
          </w:p>
        </w:tc>
        <w:tc>
          <w:tcPr>
            <w:tcW w:type="dxa" w:w="220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A: randomised</w:t>
            </w:r>
          </w:p>
        </w:tc>
        <w:tc>
          <w:tcPr>
            <w:tcW w:type="dxa" w:w="220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B: confounded, adjusted</w:t>
            </w:r>
          </w:p>
        </w:tc>
        <w:tc>
          <w:tcPr>
            <w:tcW w:type="dxa" w:w="220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C: confounded, one unmeasured</w:t>
            </w:r>
          </w:p>
        </w:tc>
      </w:tr>
      <w:tr>
        <w:tc>
          <w:tcPr>
            <w:tcW w:type="dxa" w:w="2760"/>
            <w:tcMar>
              <w:top w:type="dxa" w:w="60"/>
              <w:left w:type="dxa" w:w="90"/>
              <w:bottom w:type="dxa" w:w="60"/>
              <w:right w:type="dxa" w:w="90"/>
            </w:tcMar>
          </w:tcPr>
          <w:p>
            <w:pPr>
              <w:spacing w:after="0" w:line="260"/>
              <w:jc w:val="left"/>
            </w:pPr>
            <w:r>
              <w:rPr>
                <w:rFonts w:ascii="Calibri" w:cs="Calibri" w:eastAsia="Calibri" w:hAnsi="Calibri"/>
                <w:sz w:val="19"/>
                <w:szCs w:val="19"/>
              </w:rPr>
              <w:t xml:space="preserve">1000</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0.490</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0.408</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0.588</w:t>
            </w:r>
          </w:p>
        </w:tc>
      </w:tr>
      <w:tr>
        <w:tc>
          <w:tcPr>
            <w:tcW w:type="dxa" w:w="2760"/>
            <w:tcMar>
              <w:top w:type="dxa" w:w="60"/>
              <w:left w:type="dxa" w:w="90"/>
              <w:bottom w:type="dxa" w:w="60"/>
              <w:right w:type="dxa" w:w="90"/>
            </w:tcMar>
          </w:tcPr>
          <w:p>
            <w:pPr>
              <w:spacing w:after="0" w:line="260"/>
              <w:jc w:val="left"/>
            </w:pPr>
            <w:r>
              <w:rPr>
                <w:rFonts w:ascii="Calibri" w:cs="Calibri" w:eastAsia="Calibri" w:hAnsi="Calibri"/>
                <w:sz w:val="19"/>
                <w:szCs w:val="19"/>
              </w:rPr>
              <w:t xml:space="preserve">3000</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0.800</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0.660</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0.852</w:t>
            </w:r>
          </w:p>
        </w:tc>
      </w:tr>
      <w:tr>
        <w:tc>
          <w:tcPr>
            <w:tcW w:type="dxa" w:w="2760"/>
            <w:tcMar>
              <w:top w:type="dxa" w:w="60"/>
              <w:left w:type="dxa" w:w="90"/>
              <w:bottom w:type="dxa" w:w="60"/>
              <w:right w:type="dxa" w:w="90"/>
            </w:tcMar>
          </w:tcPr>
          <w:p>
            <w:pPr>
              <w:spacing w:after="0" w:line="260"/>
              <w:jc w:val="left"/>
            </w:pPr>
            <w:r>
              <w:rPr>
                <w:rFonts w:ascii="Calibri" w:cs="Calibri" w:eastAsia="Calibri" w:hAnsi="Calibri"/>
                <w:sz w:val="19"/>
                <w:szCs w:val="19"/>
              </w:rPr>
              <w:t xml:space="preserve">5167</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0.937</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0.808</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0.936</w:t>
            </w:r>
          </w:p>
        </w:tc>
      </w:tr>
      <w:tr>
        <w:tc>
          <w:tcPr>
            <w:tcW w:type="dxa" w:w="2760"/>
            <w:tcMar>
              <w:top w:type="dxa" w:w="60"/>
              <w:left w:type="dxa" w:w="90"/>
              <w:bottom w:type="dxa" w:w="60"/>
              <w:right w:type="dxa" w:w="90"/>
            </w:tcMar>
          </w:tcPr>
          <w:p>
            <w:pPr>
              <w:spacing w:after="0" w:line="260"/>
              <w:jc w:val="left"/>
            </w:pPr>
            <w:r>
              <w:rPr>
                <w:rFonts w:ascii="Calibri" w:cs="Calibri" w:eastAsia="Calibri" w:hAnsi="Calibri"/>
                <w:sz w:val="19"/>
                <w:szCs w:val="19"/>
              </w:rPr>
              <w:t xml:space="preserve">20 000</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0.997</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0.956</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0.988</w:t>
            </w:r>
          </w:p>
        </w:tc>
      </w:tr>
      <w:tr>
        <w:tc>
          <w:tcPr>
            <w:tcW w:type="dxa" w:w="2760"/>
            <w:tcMar>
              <w:top w:type="dxa" w:w="60"/>
              <w:left w:type="dxa" w:w="90"/>
              <w:bottom w:type="dxa" w:w="60"/>
              <w:right w:type="dxa" w:w="90"/>
            </w:tcMar>
          </w:tcPr>
          <w:p>
            <w:pPr>
              <w:spacing w:after="0" w:line="260"/>
              <w:jc w:val="left"/>
            </w:pPr>
            <w:r>
              <w:rPr>
                <w:rFonts w:ascii="Calibri" w:cs="Calibri" w:eastAsia="Calibri" w:hAnsi="Calibri"/>
                <w:sz w:val="19"/>
                <w:szCs w:val="19"/>
              </w:rPr>
              <w:t xml:space="preserve">True population gap in HR</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0.0310</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0.0327</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0.0408</w:t>
            </w:r>
          </w:p>
        </w:tc>
      </w:tr>
      <w:tr>
        <w:tc>
          <w:tcPr>
            <w:tcW w:type="dxa" w:w="2760"/>
            <w:tcMar>
              <w:top w:type="dxa" w:w="60"/>
              <w:left w:type="dxa" w:w="90"/>
              <w:bottom w:type="dxa" w:w="60"/>
              <w:right w:type="dxa" w:w="90"/>
            </w:tcMar>
          </w:tcPr>
          <w:p>
            <w:pPr>
              <w:spacing w:after="0" w:line="260"/>
              <w:jc w:val="left"/>
            </w:pPr>
            <w:r>
              <w:rPr>
                <w:rFonts w:ascii="Calibri" w:cs="Calibri" w:eastAsia="Calibri" w:hAnsi="Calibri"/>
                <w:sz w:val="19"/>
                <w:szCs w:val="19"/>
              </w:rPr>
              <w:t xml:space="preserve">Hazard ratio, full protocol</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0.6637</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0.6600</w:t>
            </w:r>
          </w:p>
        </w:tc>
        <w:tc>
          <w:tcPr>
            <w:tcW w:type="dxa" w:w="2200"/>
            <w:tcMar>
              <w:top w:type="dxa" w:w="60"/>
              <w:left w:type="dxa" w:w="90"/>
              <w:bottom w:type="dxa" w:w="60"/>
              <w:right w:type="dxa" w:w="90"/>
            </w:tcMar>
          </w:tcPr>
          <w:p>
            <w:pPr>
              <w:spacing w:after="0" w:line="260"/>
              <w:jc w:val="right"/>
            </w:pPr>
            <w:r>
              <w:rPr>
                <w:rFonts w:ascii="Calibri" w:cs="Calibri" w:eastAsia="Calibri" w:hAnsi="Calibri"/>
                <w:sz w:val="19"/>
                <w:szCs w:val="19"/>
              </w:rPr>
              <w:t xml:space="preserve">0.7569</w:t>
            </w:r>
          </w:p>
        </w:tc>
      </w:tr>
    </w:tbl>
    <w:p>
      <w:pPr>
        <w:spacing w:after="240" w:line="300"/>
      </w:pPr>
      <w:r>
        <w:rPr>
          <w:rFonts w:ascii="Calibri" w:cs="Calibri" w:eastAsia="Calibri" w:hAnsi="Calibri"/>
          <w:color w:val="555555"/>
          <w:sz w:val="18"/>
          <w:szCs w:val="18"/>
        </w:rPr>
        <w:t xml:space="preserve">Table 3. Probability of a lower out-of-sample hazard ratio under three treatment-assignment mechanisms sharing one outcome model. 250 replicates per cell. The last two rows are population quantities computed at N = 300 000.</w:t>
      </w:r>
    </w:p>
    <w:p>
      <w:pPr>
        <w:pStyle w:val="Heading2"/>
        <w:spacing w:after="130" w:before="280"/>
      </w:pPr>
      <w:r>
        <w:rPr>
          <w:rFonts w:ascii="Calibri" w:cs="Calibri" w:eastAsia="Calibri" w:hAnsi="Calibri"/>
        </w:rPr>
        <w:t xml:space="preserve">Non-collapsibility</w:t>
      </w:r>
    </w:p>
    <w:p>
      <w:pPr>
        <w:spacing w:after="140" w:line="300"/>
      </w:pPr>
      <w:r>
        <w:rPr>
          <w:rFonts w:ascii="Calibri" w:cs="Calibri" w:eastAsia="Calibri" w:hAnsi="Calibri"/>
          <w:sz w:val="22"/>
          <w:szCs w:val="22"/>
        </w:rPr>
        <w:t xml:space="preserve">Under a proportional-hazards model with the conditional hazard ratio fixed at 0.6 in every stratum, a criterion defined on the prognostic covariate changes no individual's relative benefit, yet the Shapley value of that criterion on the log hazard ratio was non-zero and grew monotonically with prognostic strength, from −0.0008 when there was no heterogeneity to −0.066 at the strongest setting; the marginal hazard ratio drifted from 0.599 to 0.804 over the same range. The value at zero heterogeneity is the falsification point and the artefact vanished there as required. The restricted mean survival difference also changed across the sweep, but for a legitimate reason: the selected lower-risk group genuinely has less absolute survival to gain. The hazard-ratio movement corresponds to no such fact, which is why it is the fragile leg of the procedure.</w:t>
      </w:r>
    </w:p>
    <w:p>
      <w:pPr>
        <w:pStyle w:val="Heading2"/>
        <w:spacing w:after="130" w:before="280"/>
      </w:pPr>
      <w:r>
        <w:rPr>
          <w:rFonts w:ascii="Calibri" w:cs="Calibri" w:eastAsia="Calibri" w:hAnsi="Calibri"/>
        </w:rPr>
        <w:t xml:space="preserve">Interaction leverage</w:t>
      </w:r>
    </w:p>
    <w:p>
      <w:pPr>
        <w:spacing w:after="140" w:line="300"/>
      </w:pPr>
      <w:r>
        <w:rPr>
          <w:rFonts w:ascii="Calibri" w:cs="Calibri" w:eastAsia="Calibri" w:hAnsi="Calibri"/>
          <w:sz w:val="22"/>
          <w:szCs w:val="22"/>
        </w:rPr>
        <w:t xml:space="preserve">In colon the interaction leverage had median 0.012 and maximum 0.086, and no pair of the 36 exceeded 0.10; in Rotterdam the median was 0.021 and three pairs exceeded 0.10. Real protocol criteria are permissive by design, and permissiveness drives the leverage to zero. A pairwise interaction analysis on such criteria is therefore structurally uninformative, independently of sample size — and this is known before any outcome is examined. In a simulation with a planted interaction the first-order prediction from the leverage was −0.180 against a realised value of −0.164, an error of 9%. Consistently, a global permutation test on the colon interaction matrix returned p = 0.26 on the hazard ratio and 0.21 on the restricted mean, and no main effect on either estimand survived multiplicity adjustment.</w:t>
      </w:r>
    </w:p>
    <w:p>
      <w:pPr>
        <w:pStyle w:val="Heading2"/>
        <w:spacing w:after="130" w:before="280"/>
      </w:pPr>
      <w:r>
        <w:rPr>
          <w:rFonts w:ascii="Calibri" w:cs="Calibri" w:eastAsia="Calibri" w:hAnsi="Calibri"/>
        </w:rPr>
        <w:t xml:space="preserve">Interval coverage</w:t>
      </w:r>
    </w:p>
    <w:p>
      <w:pPr>
        <w:spacing w:after="140" w:line="300"/>
      </w:pPr>
      <w:r>
        <w:rPr>
          <w:rFonts w:ascii="Calibri" w:cs="Calibri" w:eastAsia="Calibri" w:hAnsi="Calibri"/>
          <w:sz w:val="22"/>
          <w:szCs w:val="22"/>
        </w:rPr>
        <w:t xml:space="preserve">Against known truth at n = 1500 with 200 bootstrap and 25 jackknife groups, the bias-corrected and accelerated interval attained 0.942 coverage (SE 0.021) for a null interaction, indistinguishable from the nominal 0.95, while the plain percentile interval over-covered at 0.967. Since most cells of a real interaction matrix are null and it is their false-positive behaviour that determines what gets reported, this is the comparison that matters and the accelerated interval is the better calibrated. Both under-covered a genuinely non-null interaction, at 0.908 and 0.917 respectively. We therefore recommend at least 1000 bootstrap replicates and 50 jackknife groups in application, and suggest treating intervals for large interactions as mildly anticonservative. The median interval width was 0.351, of the same order as the largest interaction observed in either cohort, which is a further reminder that this quantity is not well determined at accessible sample sizes.</w:t>
      </w:r>
    </w:p>
    <w:p>
      <w:pPr>
        <w:pStyle w:val="Heading1"/>
        <w:spacing w:after="130" w:before="280"/>
      </w:pPr>
      <w:r>
        <w:rPr>
          <w:rFonts w:ascii="Calibri" w:cs="Calibri" w:eastAsia="Calibri" w:hAnsi="Calibri"/>
        </w:rPr>
        <w:t xml:space="preserve">Discussion</w:t>
      </w:r>
    </w:p>
    <w:p>
      <w:pPr>
        <w:spacing w:after="140" w:line="300"/>
      </w:pPr>
      <w:r>
        <w:rPr>
          <w:rFonts w:ascii="Calibri" w:cs="Calibri" w:eastAsia="Calibri" w:hAnsi="Calibri"/>
          <w:sz w:val="22"/>
          <w:szCs w:val="22"/>
        </w:rPr>
        <w:t xml:space="preserve">Data-driven relaxation of eligibility criteria works, and the case for it is inclusiveness. In both public cohorts and at every simulated fitting size the procedure admitted substantially more patients, and it did so without requiring the criterion selection to be correct. That is a real and robust benefit, and on its own a sufficient argument for the approach.</w:t>
      </w:r>
    </w:p>
    <w:p>
      <w:pPr>
        <w:spacing w:after="140" w:line="300"/>
      </w:pPr>
      <w:r>
        <w:rPr>
          <w:rFonts w:ascii="Calibri" w:cs="Calibri" w:eastAsia="Calibri" w:hAnsi="Calibri"/>
          <w:sz w:val="22"/>
          <w:szCs w:val="22"/>
        </w:rPr>
        <w:t xml:space="preserve">The accompanying claim of an improved effect estimate is more delicate. It is not wrong — at the population level the rule does lower the hazard ratio, and at the fitting sizes used in the original work it does so out of sample with probability 0.937 under randomisation. But it has a threshold, at roughly 3000 fitting patients under randomisation and about twice that under confounding, and below the threshold what is reported is in-sample selection. Public individual-level cohorts, and many single-institution electronic health record cohorts, fall below it. Investigators reusing this framework should check where their cohort sits before relying on the effect-estimate claim, and we provide the curve for that purpose.</w:t>
      </w:r>
    </w:p>
    <w:p>
      <w:pPr>
        <w:spacing w:after="140" w:line="300"/>
      </w:pPr>
      <w:r>
        <w:rPr>
          <w:rFonts w:ascii="Calibri" w:cs="Calibri" w:eastAsia="Calibri" w:hAnsi="Calibri"/>
          <w:sz w:val="22"/>
          <w:szCs w:val="22"/>
        </w:rPr>
        <w:t xml:space="preserve">The finding we would most want carried forward is the behaviour of the unmeasured-confounding arm. Residual confounding inflated the quantity the procedure was detecting and thereby made the procedure appear more reliable. This inverts the usual intuition that a clear signal is reassuring. In a real-world data setting where adjustment is never known to be complete, an impressive result should prompt a sensitivity analysis over adjustment sets rather than confidence, and the direction of travel matters: the estimated gap should shrink, not grow, as adjustment improves.</w:t>
      </w:r>
    </w:p>
    <w:p>
      <w:pPr>
        <w:spacing w:after="140" w:line="300"/>
      </w:pPr>
      <w:r>
        <w:rPr>
          <w:rFonts w:ascii="Calibri" w:cs="Calibri" w:eastAsia="Calibri" w:hAnsi="Calibri"/>
          <w:sz w:val="22"/>
          <w:szCs w:val="22"/>
        </w:rPr>
        <w:t xml:space="preserve">Three by-products may be useful independently. The interaction leverage is a closed-form quantity requiring no outcome data that says whether a criterion pair can exhibit an interaction at all; on both real criteria sets the answer was essentially no, which converts a null result from a power problem into a structural one that can be anticipated. The implication detector removes cells that are arithmetic identities rather than evidence, a trap that is easy to fall into because criteria such as a nodal count bound and a nodal status requirement look independent but are not. And carrying both benefit estimands rather than one makes visible where a criterion's relative and absolute effects disagree, which is a substantive question that should be decided on clinical grounds rather than by the choice of software default.</w:t>
      </w:r>
    </w:p>
    <w:p>
      <w:pPr>
        <w:spacing w:after="140" w:line="300"/>
      </w:pPr>
      <w:r>
        <w:rPr>
          <w:rFonts w:ascii="Calibri" w:cs="Calibri" w:eastAsia="Calibri" w:hAnsi="Calibri"/>
          <w:sz w:val="22"/>
          <w:szCs w:val="22"/>
        </w:rPr>
        <w:t xml:space="preserve">Several limitations bound these conclusions. The criteria sets were constructed from available covariates rather than transcribed from the trials' protocols, so this is a demonstration of a general property of the procedure and not an evaluation of any particular trial's criteria. Neither cohort is the advanced non-small-cell lung cancer real-world database used in the original work, and the treatments in colon are no longer in use; the cohorts are a methodological bench, chosen because they are fully public and every number here can be recomputed by a reader. The threshold curve is derived from one generating model and its numerical values will depend on the strength of effect modification present; it is the existence and approximate location of a threshold, and its shift under confounding, that we intend to be general. Sample splitting halves the fitting set, which is why we also report a 0.7 fitting fraction and calibrate against simulation rather than relying on the split result alone. Finally, the leverage expression is derived for the specific structure in which extra benefit accrues only to patients meeting both criteria; other interaction structures will have different coefficients, though the qualitative conclusion that permissive criteria carry little leverage is not specific to that form.</w:t>
      </w:r>
    </w:p>
    <w:p>
      <w:pPr>
        <w:pStyle w:val="Heading1"/>
        <w:spacing w:after="130" w:before="280"/>
      </w:pPr>
      <w:r>
        <w:rPr>
          <w:rFonts w:ascii="Calibri" w:cs="Calibri" w:eastAsia="Calibri" w:hAnsi="Calibri"/>
        </w:rPr>
        <w:t xml:space="preserve">Conclusions</w:t>
      </w:r>
    </w:p>
    <w:p>
      <w:pPr>
        <w:spacing w:after="140" w:line="300"/>
      </w:pPr>
      <w:r>
        <w:rPr>
          <w:rFonts w:ascii="Calibri" w:cs="Calibri" w:eastAsia="Calibri" w:hAnsi="Calibri"/>
          <w:sz w:val="22"/>
          <w:szCs w:val="22"/>
        </w:rPr>
        <w:t xml:space="preserve">Relaxing trial eligibility criteria from data reliably widens the eligible population, and that alone justifies the approach. The improvement in the treatment-effect estimate reported alongside it requires a fitting cohort of roughly 3000 patients under randomisation and about twice that under confounded assignment; below that threshold it does not survive out-of-sample validation. Incomplete confounding adjustment makes the procedure appear more successful rather than less, so apparent success on real-world data is not evidence of adequate adjustment. Two diagnostics computable before any outcome is examined — interaction leverage and logical implication — and the threshold curve reported here allow an investigator to establish in advance what their cohort can and cannot support.</w:t>
      </w:r>
    </w:p>
    <w:p>
      <w:pPr>
        <w:pStyle w:val="Heading1"/>
        <w:spacing w:after="130" w:before="280"/>
      </w:pPr>
      <w:r>
        <w:rPr>
          <w:rFonts w:ascii="Calibri" w:cs="Calibri" w:eastAsia="Calibri" w:hAnsi="Calibri"/>
        </w:rPr>
        <w:t xml:space="preserve">Declarations</w:t>
      </w:r>
    </w:p>
    <w:p>
      <w:pPr>
        <w:spacing w:after="90" w:line="300"/>
      </w:pPr>
      <w:r>
        <w:rPr>
          <w:rFonts w:ascii="Calibri" w:cs="Calibri" w:eastAsia="Calibri" w:hAnsi="Calibri"/>
          <w:b/>
          <w:bCs/>
          <w:sz w:val="22"/>
          <w:szCs w:val="22"/>
        </w:rPr>
        <w:t xml:space="preserve">Ethics approval and consent to participate. </w:t>
      </w:r>
      <w:r>
        <w:rPr>
          <w:rFonts w:ascii="Calibri" w:cs="Calibri" w:eastAsia="Calibri" w:hAnsi="Calibri"/>
          <w:sz w:val="22"/>
          <w:szCs w:val="22"/>
        </w:rPr>
        <w:t xml:space="preserve">Not applicable; both datasets are publicly distributed and de-identified. [Confirm local requirements.]</w:t>
      </w:r>
    </w:p>
    <w:p>
      <w:pPr>
        <w:spacing w:after="90" w:line="300"/>
      </w:pPr>
      <w:r>
        <w:rPr>
          <w:rFonts w:ascii="Calibri" w:cs="Calibri" w:eastAsia="Calibri" w:hAnsi="Calibri"/>
          <w:b/>
          <w:bCs/>
          <w:sz w:val="22"/>
          <w:szCs w:val="22"/>
        </w:rPr>
        <w:t xml:space="preserve">Consent for publication. </w:t>
      </w:r>
      <w:r>
        <w:rPr>
          <w:rFonts w:ascii="Calibri" w:cs="Calibri" w:eastAsia="Calibri" w:hAnsi="Calibri"/>
          <w:sz w:val="22"/>
          <w:szCs w:val="22"/>
        </w:rPr>
        <w:t xml:space="preserve">Not applicable.</w:t>
      </w:r>
    </w:p>
    <w:p>
      <w:pPr>
        <w:spacing w:after="90" w:line="300"/>
      </w:pPr>
      <w:r>
        <w:rPr>
          <w:rFonts w:ascii="Calibri" w:cs="Calibri" w:eastAsia="Calibri" w:hAnsi="Calibri"/>
          <w:b/>
          <w:bCs/>
          <w:sz w:val="22"/>
          <w:szCs w:val="22"/>
        </w:rPr>
        <w:t xml:space="preserve">Availability of data and materials. </w:t>
      </w:r>
      <w:r>
        <w:rPr>
          <w:rFonts w:ascii="Calibri" w:cs="Calibri" w:eastAsia="Calibri" w:hAnsi="Calibri"/>
          <w:sz w:val="22"/>
          <w:szCs w:val="22"/>
        </w:rPr>
        <w:t xml:space="preserve">Both cohorts are distributed with the R package survival (datasets colon and rotterdam). All analysis code, including the R package trialplate and every script reproducing the figures and tables, is available at [repository URL] and archived at [DOI].</w:t>
      </w:r>
    </w:p>
    <w:p>
      <w:pPr>
        <w:spacing w:after="90" w:line="300"/>
      </w:pPr>
      <w:r>
        <w:rPr>
          <w:rFonts w:ascii="Calibri" w:cs="Calibri" w:eastAsia="Calibri" w:hAnsi="Calibri"/>
          <w:b/>
          <w:bCs/>
          <w:sz w:val="22"/>
          <w:szCs w:val="22"/>
        </w:rPr>
        <w:t xml:space="preserve">Competing interests. </w:t>
      </w:r>
      <w:r>
        <w:rPr>
          <w:rFonts w:ascii="Calibri" w:cs="Calibri" w:eastAsia="Calibri" w:hAnsi="Calibri"/>
          <w:sz w:val="22"/>
          <w:szCs w:val="22"/>
        </w:rPr>
        <w:t xml:space="preserve">[To be completed.]</w:t>
      </w:r>
    </w:p>
    <w:p>
      <w:pPr>
        <w:spacing w:after="90" w:line="300"/>
      </w:pPr>
      <w:r>
        <w:rPr>
          <w:rFonts w:ascii="Calibri" w:cs="Calibri" w:eastAsia="Calibri" w:hAnsi="Calibri"/>
          <w:b/>
          <w:bCs/>
          <w:sz w:val="22"/>
          <w:szCs w:val="22"/>
        </w:rPr>
        <w:t xml:space="preserve">Funding. </w:t>
      </w:r>
      <w:r>
        <w:rPr>
          <w:rFonts w:ascii="Calibri" w:cs="Calibri" w:eastAsia="Calibri" w:hAnsi="Calibri"/>
          <w:sz w:val="22"/>
          <w:szCs w:val="22"/>
        </w:rPr>
        <w:t xml:space="preserve">[To be completed.]</w:t>
      </w:r>
    </w:p>
    <w:p>
      <w:pPr>
        <w:spacing w:after="90" w:line="300"/>
      </w:pPr>
      <w:r>
        <w:rPr>
          <w:rFonts w:ascii="Calibri" w:cs="Calibri" w:eastAsia="Calibri" w:hAnsi="Calibri"/>
          <w:b/>
          <w:bCs/>
          <w:sz w:val="22"/>
          <w:szCs w:val="22"/>
        </w:rPr>
        <w:t xml:space="preserve">Authors' contributions. </w:t>
      </w:r>
      <w:r>
        <w:rPr>
          <w:rFonts w:ascii="Calibri" w:cs="Calibri" w:eastAsia="Calibri" w:hAnsi="Calibri"/>
          <w:sz w:val="22"/>
          <w:szCs w:val="22"/>
        </w:rPr>
        <w:t xml:space="preserve">[To be completed.]</w:t>
      </w:r>
    </w:p>
    <w:p>
      <w:pPr>
        <w:spacing w:after="200" w:line="300"/>
      </w:pPr>
      <w:r>
        <w:rPr>
          <w:rFonts w:ascii="Calibri" w:cs="Calibri" w:eastAsia="Calibri" w:hAnsi="Calibri"/>
          <w:b/>
          <w:bCs/>
          <w:sz w:val="22"/>
          <w:szCs w:val="22"/>
        </w:rPr>
        <w:t xml:space="preserve">Acknowledgements. </w:t>
      </w:r>
      <w:r>
        <w:rPr>
          <w:rFonts w:ascii="Calibri" w:cs="Calibri" w:eastAsia="Calibri" w:hAnsi="Calibri"/>
          <w:sz w:val="22"/>
          <w:szCs w:val="22"/>
        </w:rPr>
        <w:t xml:space="preserve">[To be completed.]</w:t>
      </w:r>
    </w:p>
    <w:p>
      <w:pPr>
        <w:pStyle w:val="Heading1"/>
        <w:spacing w:after="130" w:before="280"/>
      </w:pPr>
      <w:r>
        <w:rPr>
          <w:rFonts w:ascii="Calibri" w:cs="Calibri" w:eastAsia="Calibri" w:hAnsi="Calibri"/>
        </w:rPr>
        <w:t xml:space="preserve">References</w:t>
      </w:r>
    </w:p>
    <w:p>
      <w:pPr>
        <w:spacing w:after="80" w:line="300"/>
      </w:pPr>
      <w:r>
        <w:rPr>
          <w:rFonts w:ascii="Calibri" w:cs="Calibri" w:eastAsia="Calibri" w:hAnsi="Calibri"/>
          <w:sz w:val="22"/>
          <w:szCs w:val="22"/>
        </w:rPr>
        <w:t xml:space="preserve">1. </w:t>
      </w:r>
      <w:r>
        <w:rPr>
          <w:rFonts w:ascii="Calibri" w:cs="Calibri" w:eastAsia="Calibri" w:hAnsi="Calibri"/>
          <w:sz w:val="22"/>
          <w:szCs w:val="22"/>
        </w:rPr>
        <w:t xml:space="preserve">Liu R, Rizzo S, Whipple S, Pal N, Pineda AL, Lu M, Arnieri B, Lu Y, Capra W, Copping R, Zou J. Evaluating eligibility criteria of oncology trials using real-world data and AI. Nature. 2021;592:629–33.</w:t>
      </w:r>
    </w:p>
    <w:p>
      <w:pPr>
        <w:spacing w:after="80" w:line="300"/>
      </w:pPr>
      <w:r>
        <w:rPr>
          <w:rFonts w:ascii="Calibri" w:cs="Calibri" w:eastAsia="Calibri" w:hAnsi="Calibri"/>
          <w:sz w:val="22"/>
          <w:szCs w:val="22"/>
        </w:rPr>
        <w:t xml:space="preserve">2. </w:t>
      </w:r>
      <w:r>
        <w:rPr>
          <w:rFonts w:ascii="Calibri" w:cs="Calibri" w:eastAsia="Calibri" w:hAnsi="Calibri"/>
          <w:sz w:val="22"/>
          <w:szCs w:val="22"/>
        </w:rPr>
        <w:t xml:space="preserve">Shapley LS. A value for n-person games. In: Kuhn HW, Tucker AW, editors. Contributions to the Theory of Games II. Princeton: Princeton University Press; 1953. p. 307–17.</w:t>
      </w:r>
    </w:p>
    <w:p>
      <w:pPr>
        <w:spacing w:after="80" w:line="300"/>
      </w:pPr>
      <w:r>
        <w:rPr>
          <w:rFonts w:ascii="Calibri" w:cs="Calibri" w:eastAsia="Calibri" w:hAnsi="Calibri"/>
          <w:sz w:val="22"/>
          <w:szCs w:val="22"/>
        </w:rPr>
        <w:t xml:space="preserve">3. </w:t>
      </w:r>
      <w:r>
        <w:rPr>
          <w:rFonts w:ascii="Calibri" w:cs="Calibri" w:eastAsia="Calibri" w:hAnsi="Calibri"/>
          <w:sz w:val="22"/>
          <w:szCs w:val="22"/>
        </w:rPr>
        <w:t xml:space="preserve">Grabisch M, Roubens M. An axiomatic approach to the concept of interaction among players in cooperative games. Int J Game Theory. 1999;28:547–65.</w:t>
      </w:r>
    </w:p>
    <w:p>
      <w:pPr>
        <w:spacing w:after="80" w:line="300"/>
      </w:pPr>
      <w:r>
        <w:rPr>
          <w:rFonts w:ascii="Calibri" w:cs="Calibri" w:eastAsia="Calibri" w:hAnsi="Calibri"/>
          <w:sz w:val="22"/>
          <w:szCs w:val="22"/>
        </w:rPr>
        <w:t xml:space="preserve">4. </w:t>
      </w:r>
      <w:r>
        <w:rPr>
          <w:rFonts w:ascii="Calibri" w:cs="Calibri" w:eastAsia="Calibri" w:hAnsi="Calibri"/>
          <w:sz w:val="22"/>
          <w:szCs w:val="22"/>
        </w:rPr>
        <w:t xml:space="preserve">Hernán MA. The hazards of hazard ratios. Epidemiology. 2010;21:13–5.</w:t>
      </w:r>
    </w:p>
    <w:p>
      <w:pPr>
        <w:spacing w:after="80" w:line="300"/>
      </w:pPr>
      <w:r>
        <w:rPr>
          <w:rFonts w:ascii="Calibri" w:cs="Calibri" w:eastAsia="Calibri" w:hAnsi="Calibri"/>
          <w:sz w:val="22"/>
          <w:szCs w:val="22"/>
        </w:rPr>
        <w:t xml:space="preserve">5. </w:t>
      </w:r>
      <w:r>
        <w:rPr>
          <w:rFonts w:ascii="Calibri" w:cs="Calibri" w:eastAsia="Calibri" w:hAnsi="Calibri"/>
          <w:sz w:val="22"/>
          <w:szCs w:val="22"/>
        </w:rPr>
        <w:t xml:space="preserve">Uno H, Claggett B, Tian L, Inoue E, Gallo P, Miyata T, Schrag D, Takeuchi M, Uyama Y, Zhao L, Skali H, Solomon S, Jacobus S, Hughes M, Packer M, Wei LJ. Moving beyond the hazard ratio in quantifying the between-group difference in survival analysis. J Clin Oncol. 2014;32:2380–5.</w:t>
      </w:r>
    </w:p>
    <w:p>
      <w:pPr>
        <w:spacing w:after="80" w:line="300"/>
      </w:pPr>
      <w:r>
        <w:rPr>
          <w:rFonts w:ascii="Calibri" w:cs="Calibri" w:eastAsia="Calibri" w:hAnsi="Calibri"/>
          <w:sz w:val="22"/>
          <w:szCs w:val="22"/>
        </w:rPr>
        <w:t xml:space="preserve">6. </w:t>
      </w:r>
      <w:r>
        <w:rPr>
          <w:rFonts w:ascii="Calibri" w:cs="Calibri" w:eastAsia="Calibri" w:hAnsi="Calibri"/>
          <w:sz w:val="22"/>
          <w:szCs w:val="22"/>
        </w:rPr>
        <w:t xml:space="preserve">Benjamini Y, Hochberg Y. Controlling the false discovery rate: a practical and powerful approach to multiple testing. J R Stat Soc B. 1995;57:289–300.</w:t>
      </w:r>
    </w:p>
    <w:p>
      <w:pPr>
        <w:spacing w:after="80" w:line="300"/>
      </w:pPr>
      <w:r>
        <w:rPr>
          <w:rFonts w:ascii="Calibri" w:cs="Calibri" w:eastAsia="Calibri" w:hAnsi="Calibri"/>
          <w:sz w:val="22"/>
          <w:szCs w:val="22"/>
        </w:rPr>
        <w:t xml:space="preserve">7. </w:t>
      </w:r>
      <w:r>
        <w:rPr>
          <w:rFonts w:ascii="Calibri" w:cs="Calibri" w:eastAsia="Calibri" w:hAnsi="Calibri"/>
          <w:sz w:val="22"/>
          <w:szCs w:val="22"/>
        </w:rPr>
        <w:t xml:space="preserve">Efron B. Better bootstrap confidence intervals. J Am Stat Assoc. 1987;82:171–85.</w:t>
      </w:r>
    </w:p>
    <w:p>
      <w:pPr>
        <w:spacing w:after="80" w:line="300"/>
      </w:pPr>
      <w:r>
        <w:rPr>
          <w:rFonts w:ascii="Calibri" w:cs="Calibri" w:eastAsia="Calibri" w:hAnsi="Calibri"/>
          <w:sz w:val="22"/>
          <w:szCs w:val="22"/>
        </w:rPr>
        <w:t xml:space="preserve">8. </w:t>
      </w:r>
      <w:r>
        <w:rPr>
          <w:rFonts w:ascii="Calibri" w:cs="Calibri" w:eastAsia="Calibri" w:hAnsi="Calibri"/>
          <w:sz w:val="22"/>
          <w:szCs w:val="22"/>
        </w:rPr>
        <w:t xml:space="preserve">Moertel CG, Fleming TR, Macdonald JS, Haller DG, Laurie JA, Goodman PJ, Ungerleider JS, Emerson WA, Tormey DC, Glick JH, Veeder MH, Mailliard JA. Levamisole and fluorouracil for adjuvant therapy of resected colon carcinoma. N Engl J Med. 1990;322:352–8.</w:t>
      </w:r>
    </w:p>
    <w:p>
      <w:pPr>
        <w:spacing w:after="80" w:line="300"/>
      </w:pPr>
      <w:r>
        <w:rPr>
          <w:rFonts w:ascii="Calibri" w:cs="Calibri" w:eastAsia="Calibri" w:hAnsi="Calibri"/>
          <w:sz w:val="22"/>
          <w:szCs w:val="22"/>
        </w:rPr>
        <w:t xml:space="preserve">9. </w:t>
      </w:r>
      <w:r>
        <w:rPr>
          <w:rFonts w:ascii="Calibri" w:cs="Calibri" w:eastAsia="Calibri" w:hAnsi="Calibri"/>
          <w:sz w:val="22"/>
          <w:szCs w:val="22"/>
        </w:rPr>
        <w:t xml:space="preserve">Royston P, Altman DG. External validation of a Cox prognostic model: principles and methods. BMC Med Res Methodol. 2013;13:33.</w:t>
      </w:r>
    </w:p>
    <w:p>
      <w:pPr>
        <w:spacing w:after="80" w:line="300"/>
      </w:pPr>
      <w:r>
        <w:rPr>
          <w:rFonts w:ascii="Calibri" w:cs="Calibri" w:eastAsia="Calibri" w:hAnsi="Calibri"/>
          <w:sz w:val="22"/>
          <w:szCs w:val="22"/>
        </w:rPr>
        <w:t xml:space="preserve">10. </w:t>
      </w:r>
      <w:r>
        <w:rPr>
          <w:rFonts w:ascii="Calibri" w:cs="Calibri" w:eastAsia="Calibri" w:hAnsi="Calibri"/>
          <w:sz w:val="22"/>
          <w:szCs w:val="22"/>
        </w:rPr>
        <w:t xml:space="preserve">Ren Y, Wang Z, Lin L, Zhao S, Chu H. A novel visualization approach for network meta-analysis: the plate plot and the nmaplateplot R package. Res Synth Methods. 2026;17:1045–53.</w:t>
      </w:r>
    </w:p>
    <w:p>
      <w:pPr>
        <w:spacing w:after="80" w:line="300"/>
      </w:pPr>
      <w:r>
        <w:rPr>
          <w:rFonts w:ascii="Calibri" w:cs="Calibri" w:eastAsia="Calibri" w:hAnsi="Calibri"/>
          <w:sz w:val="22"/>
          <w:szCs w:val="22"/>
        </w:rPr>
        <w:t xml:space="preserve">11. </w:t>
      </w:r>
      <w:r>
        <w:rPr>
          <w:rFonts w:ascii="Calibri" w:cs="Calibri" w:eastAsia="Calibri" w:hAnsi="Calibri"/>
          <w:sz w:val="22"/>
          <w:szCs w:val="22"/>
        </w:rPr>
        <w:t xml:space="preserve">Therneau TM, Grambsch PM. Modeling Survival Data: Extending the Cox Model. New York: Springer; 2000.</w:t>
      </w:r>
    </w:p>
    <w:p>
      <w:pPr>
        <w:spacing w:after="80" w:line="300"/>
      </w:pPr>
      <w:r>
        <w:rPr>
          <w:rFonts w:ascii="Calibri" w:cs="Calibri" w:eastAsia="Calibri" w:hAnsi="Calibri"/>
          <w:sz w:val="22"/>
          <w:szCs w:val="22"/>
        </w:rPr>
        <w:t xml:space="preserve">12. </w:t>
      </w:r>
      <w:r>
        <w:rPr>
          <w:rFonts w:ascii="Calibri" w:cs="Calibri" w:eastAsia="Calibri" w:hAnsi="Calibri"/>
          <w:sz w:val="22"/>
          <w:szCs w:val="22"/>
        </w:rPr>
        <w:t xml:space="preserve">[Add: the scoping review of eligibility-criteria target trial emulation, and the three Trial Pathfinder follow-ups in lung cancer, asthma/COPD and multiple myeloma — verify citations before submission.]</w:t>
      </w:r>
    </w:p>
    <w:p>
      <w:pPr>
        <w:spacing w:after="200" w:line="300"/>
      </w:pPr>
      <w:r>
        <w:rPr>
          <w:rFonts w:ascii="Calibri" w:cs="Calibri" w:eastAsia="Calibri" w:hAnsi="Calibri"/>
          <w:sz w:val="22"/>
          <w:szCs w:val="22"/>
        </w:rPr>
        <w:t xml:space="preserve"/>
      </w:r>
    </w:p>
    <w:p>
      <w:pPr>
        <w:pStyle w:val="Heading1"/>
        <w:spacing w:after="130" w:before="280"/>
      </w:pPr>
      <w:r>
        <w:rPr>
          <w:rFonts w:ascii="Calibri" w:cs="Calibri" w:eastAsia="Calibri" w:hAnsi="Calibri"/>
        </w:rPr>
        <w:t xml:space="preserve">Figure legends</w:t>
      </w:r>
    </w:p>
    <w:p>
      <w:pPr>
        <w:spacing w:after="140" w:line="300"/>
      </w:pPr>
      <w:r>
        <w:rPr>
          <w:rFonts w:ascii="Calibri" w:cs="Calibri" w:eastAsia="Calibri" w:hAnsi="Calibri"/>
          <w:b/>
          <w:bCs/>
          <w:sz w:val="22"/>
          <w:szCs w:val="22"/>
        </w:rPr>
        <w:t xml:space="preserve">Figure 1. </w:t>
      </w:r>
      <w:r>
        <w:rPr>
          <w:rFonts w:ascii="Calibri" w:cs="Calibri" w:eastAsia="Calibri" w:hAnsi="Calibri"/>
          <w:sz w:val="22"/>
          <w:szCs w:val="22"/>
        </w:rPr>
        <w:t xml:space="preserve">Probability that each promise is kept, by fitting-cohort size, with the scoring set fixed at 100 000 patients. The eligibility promise (green) is kept at every size; the effect-estimate promise (red) has a threshold near 3000 patients. Diamonds mark the randomised cohort observed at two fitting fractions, which fall on the simulated curve; triangles mark the observational cohort, which sits below it. The right panel shows the probability that the rule recovers the exactly correct criterion set, which is why the two promises behave differently.</w:t>
      </w:r>
    </w:p>
    <w:p>
      <w:pPr>
        <w:spacing w:after="140" w:line="300"/>
      </w:pPr>
      <w:r>
        <w:rPr>
          <w:rFonts w:ascii="Calibri" w:cs="Calibri" w:eastAsia="Calibri" w:hAnsi="Calibri"/>
          <w:b/>
          <w:bCs/>
          <w:sz w:val="22"/>
          <w:szCs w:val="22"/>
        </w:rPr>
        <w:t xml:space="preserve">Figure 2. </w:t>
      </w:r>
      <w:r>
        <w:rPr>
          <w:rFonts w:ascii="Calibri" w:cs="Calibri" w:eastAsia="Calibri" w:hAnsi="Calibri"/>
          <w:sz w:val="22"/>
          <w:szCs w:val="22"/>
        </w:rPr>
        <w:t xml:space="preserve">Three treatment-assignment mechanisms sharing one outcome model. Left: correctly adjusted confounding lowers the curve throughout, so a given reliability needs about twice the sample. Unmeasured confounding returns it to randomised levels. Right: the reason — the true population gap the procedure is detecting is 32% larger under unmeasured confounding, and the hazard ratio itself is displaced upward.</w:t>
      </w:r>
    </w:p>
    <w:p>
      <w:pPr>
        <w:spacing w:after="140" w:line="300"/>
      </w:pPr>
      <w:r>
        <w:rPr>
          <w:rFonts w:ascii="Calibri" w:cs="Calibri" w:eastAsia="Calibri" w:hAnsi="Calibri"/>
          <w:b/>
          <w:bCs/>
          <w:sz w:val="22"/>
          <w:szCs w:val="22"/>
        </w:rPr>
        <w:t xml:space="preserve">Figure 3. </w:t>
      </w:r>
      <w:r>
        <w:rPr>
          <w:rFonts w:ascii="Calibri" w:cs="Calibri" w:eastAsia="Calibri" w:hAnsi="Calibri"/>
          <w:sz w:val="22"/>
          <w:szCs w:val="22"/>
        </w:rPr>
        <w:t xml:space="preserve">Out-of-sample comparison of the data-driven protocol against the original full protocol in both cohorts. Open circles are the original protocol, filled circles the data-driven one, both scored on patients that had no part in the selection. Annotations give the probability that each promise is kept across splits.</w:t>
      </w:r>
    </w:p>
    <w:p>
      <w:pPr>
        <w:spacing w:after="140" w:line="300"/>
      </w:pPr>
      <w:r>
        <w:rPr>
          <w:rFonts w:ascii="Calibri" w:cs="Calibri" w:eastAsia="Calibri" w:hAnsi="Calibri"/>
          <w:b/>
          <w:bCs/>
          <w:sz w:val="22"/>
          <w:szCs w:val="22"/>
        </w:rPr>
        <w:t xml:space="preserve">Figure 4. </w:t>
      </w:r>
      <w:r>
        <w:rPr>
          <w:rFonts w:ascii="Calibri" w:cs="Calibri" w:eastAsia="Calibri" w:hAnsi="Calibri"/>
          <w:sz w:val="22"/>
          <w:szCs w:val="22"/>
        </w:rPr>
        <w:t xml:space="preserve">Non-collapsibility as a dose–response. The conditional hazard ratio is 0.6 in every stratum at every point on the curve, so the criterion changes no individual's relative benefit; the Shapley value on the log hazard ratio nonetheless grows with prognostic strength and vanishes, as it must, when there is no heterogeneity to collapse over.</w:t>
      </w:r>
    </w:p>
    <w:p>
      <w:pPr>
        <w:spacing w:after="140" w:line="300"/>
      </w:pPr>
      <w:r>
        <w:rPr>
          <w:rFonts w:ascii="Calibri" w:cs="Calibri" w:eastAsia="Calibri" w:hAnsi="Calibri"/>
          <w:b/>
          <w:bCs/>
          <w:sz w:val="22"/>
          <w:szCs w:val="22"/>
        </w:rPr>
        <w:t xml:space="preserve">Figure 5. </w:t>
      </w:r>
      <w:r>
        <w:rPr>
          <w:rFonts w:ascii="Calibri" w:cs="Calibri" w:eastAsia="Calibri" w:hAnsi="Calibri"/>
          <w:sz w:val="22"/>
          <w:szCs w:val="22"/>
        </w:rPr>
        <w:t xml:space="preserve">The criteria plate plot for the colon cohort. Upper triangle, pairwise interaction on the log hazard ratio; lower triangle, on the restricted mean survival difference; diagonal, per-criterion main effects on both estimands with background shading by the fraction of the cohort the criterion excludes. Light hatching marks cells whose interaction leverage is below 0.05 — 35 of 36 here — and dense hatching cells that are arithmetic identities.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0375F"/>
      <w:sz w:val="28"/>
      <w:szCs w:val="28"/>
    </w:rPr>
  </w:style>
  <w:style w:type="paragraph" w:styleId="Heading2">
    <w:name w:val="Heading 2"/>
    <w:basedOn w:val="Normal"/>
    <w:next w:val="Normal"/>
    <w:qFormat/>
    <w:rPr>
      <w:rFonts w:ascii="Calibri" w:cs="Calibri" w:eastAsia="Calibri" w:hAnsi="Calibri"/>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2026-08-30T02:47:36.482Z</dcterms:created>
  <dcterms:modified xsi:type="dcterms:W3CDTF">2026-08-30T02:47:36.482Z</dcterms:modified>
</cp:coreProperties>
</file>

<file path=docProps/custom.xml><?xml version="1.0" encoding="utf-8"?>
<Properties xmlns="http://schemas.openxmlformats.org/officeDocument/2006/custom-properties" xmlns:vt="http://schemas.openxmlformats.org/officeDocument/2006/docPropsVTypes"/>
</file>