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Noto Sans CJK SC" w:cs="Noto Sans CJK SC" w:eastAsia="Noto Sans CJK SC" w:hAnsi="Noto Sans CJK SC"/>
          <w:b/>
          <w:bCs/>
          <w:sz w:val="28"/>
          <w:szCs w:val="28"/>
        </w:rPr>
        <w:t xml:space="preserve">数据驱动放宽临床试验入组标准：这项工作做了什么</w:t>
      </w:r>
    </w:p>
    <w:p>
      <w:pPr>
        <w:spacing w:after="200"/>
        <w:jc w:val="center"/>
      </w:pPr>
      <w:r>
        <w:rPr>
          <w:rFonts w:ascii="Noto Serif CJK SC" w:cs="Noto Serif CJK SC" w:eastAsia="Noto Serif CJK SC" w:hAnsi="Noto Serif CJK SC"/>
          <w:color w:val="666666"/>
          <w:sz w:val="17"/>
          <w:szCs w:val="17"/>
        </w:rPr>
        <w:t xml:space="preserve">三页解读 · 第二轮大修版（中心结论已再次改变）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一、一句话</w:t>
      </w:r>
    </w:p>
    <w:p>
      <w:pPr>
        <w:spacing w:after="140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Trial Pathfinder（Liu 等，Nature 2021）用 Shapley 值找出「限制了人数却没带来疗效」的入组标准并放宽，宣称由此既能多纳入病人、又能得到更好的疗效估计。我们把这两个承诺分开做了样本外检验，四轮审稿之后的结论是：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多纳入病人这一条主要由规则的构造决定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——把规则放到「所有 512 个子集」里去比，在相同入组人数下它是否还有优势，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这两个队列的规模判不出来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：点估计在 colon 是 63.4%、Rotterdam 是 57.1%，但把不确定性做到病人层面之后，区间都包含 0.5。它落在「人数—风险比」经验前沿上的比例只有 3.0% 和 1.0%；不过这个前沿本身是从同一批留出数据里挑最优挑出来的，带乐观偏倚，我们另外量化了这个偏倚有多大。至于疗效估计要多少数据才够，我们的答案是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给不出来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，而且我们也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说不出决定它的是哪个量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——第三轮我们曾说是「最强的那条稀释性标准」，这一条已经撤回。这是一个否定性结论，也是我们认为最有用的一条。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二、原文做了什么，我们问了什么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Trial Pathfinder 把每条入组标准看成合作博弈的参与者，用 Shapley 值分摊各自对疗效估计的边际贡献，值为负的保留、其余放宽；在一个肺癌真实世界数据库上它同时放大了合格人群、降低了风险比。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我们注意到三件事：已有评价都是样本内的；「更多病人」和「更好估计」被当成一对报告，但没有理由认为两者需要同样多的数据、甚至是同一类命题；风险比不可折叠，缩小人群本身就会让它移动。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三、怎么做的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样本外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按治疗组和事件分层随机对半分，只在一半上选标准，再把方案拿到另一半上评分，重复 400–500 次。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全子集对照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既然规则保留的是标准的子集，「比完整方案纳入更多」不可能有别的结果。所以把全部 512 个子集都在留出的一半上评分，在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相同入组人数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下比较，并看规则离可达前沿有多远。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嵌套自助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重复划分用的是同一批病人，跨划分标准误低估了总体不确定性。外层对队列自助抽样（按病人 ID 划分，避免泄漏），把算法稳定性和总体不确定性分开。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因子设计模拟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评分集固定 10 万人、真值已知，只让拟合集变化；再用分辨率 IV 部分因子设计在六个因子上各取两水平共 16 个情景，报告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固定样本量下的成功概率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两个公开队列做基准：colon（辅助结肠癌随机试验，n = 619，完整方案保留 176 人 / 56 事件）和 Rotterdam（乳腺癌登记队列，n = 2982，保留 419 人 / 191 事件）。事件数比人数小得多，也更要紧。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四、五个发现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1. 「多纳入病人」主要是构造性的；规则很少落在经验前沿上，但这个前沿本身是乐观的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500 次划分里，合格人数的最小差值恰好是 0，从不为负——这正是子集关系决定的。文献一直在报的那个 0.978「承诺兑现率」，衡量的是规则移除起约束作用的标准的频率，而不是移除得对不对。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公平的对照是把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全部 512 个子集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都在留出的那一半上评分（第一轮用「随机去掉同样条数」不公平，因为两者纳入的人数差很多）。在合格人数相差 10% 以内的子集中，规则的风险比更低的比例是 63.4%（colon）和 57.1%（Rotterdam），病人层面的区间分别是 [0.40, 0.86] 和 [0.39, 0.75]；在 RMST 上是 41.1% 和 59.0%。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所有这些区间都包含 0.5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——既证不出优势，也证不出没有优势。这是我们第三轮之后最重要的一处措辞改动。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前沿分析：如果存在另一个子集，纳入人数不少于规则、风险比不高于规则，就说规则被支配了。规则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落在前沿上的比例只有 3.0% 和 1.0%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，中位有 117 和 85 个子集支配它。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但审稿人第三轮指出：这个前沿是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在同一批留出数据上从 512 个带噪声的估计里挑最优挑出来的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，带「胜者诅咒」式的乐观偏倚。真值已知的模拟给出量级：表面支配者里只有 19.5% 在总体上真的支配，37.6% 能在另一半独立数据上重现。第四轮我们又在真实队列里做了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三分法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。第五轮审稿要求把三个量分开：(a) 挑选那一份上的支配者，是乐观的经验量；(b) 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把这些预先选定的子集拿到没用过的那一份上重新评价，这是唯一的确证量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——colon 只有 35.3% 仍然支配，规则未被任何预选子集支配的比例是 21.0%（Rotterdam 12.0%），比经验口径的 3.0%／1.0% 高好几倍；(c) 在检验那一份上重新扫描全部 512 个子集，仍然是经验最优，只作描述。方向不变（大多数划分里规则仍被支配），但只报 (a) 会把差距夸大。所以现在的说法是：规则离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这个带乐观偏倚的经验最优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有相当距离；它离真正的最优方案有多远，这两个队列答不了。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2. 疗效估计这条承诺：观察到的比例偏低，但这既不能说明没守住，也不能说明守住了</w:t>
      </w:r>
    </w:p>
    <w:tbl>
      <w:tblPr>
        <w:tblW w:type="dxa" w:w="7500"/>
        <w:tblBorders>
          <w:top w:val="single" w:color="AAAAAA" w:sz="4"/>
          <w:left w:val="none"/>
          <w:bottom w:val="single" w:color="AAAAAA" w:sz="4"/>
          <w:right w:val="none"/>
          <w:insideH w:val="single" w:color="DDDDDD" w:sz="2"/>
          <w:insideV w:val="none"/>
        </w:tblBorders>
      </w:tblPr>
      <w:tblGrid>
        <w:gridCol w:w="2900"/>
        <w:gridCol w:w="2300"/>
        <w:gridCol w:w="2300"/>
      </w:tblGrid>
      <w:tr>
        <w:trPr>
          <w:cantSplit/>
          <w:tblHeader/>
        </w:trPr>
        <w:tc>
          <w:tcPr>
            <w:tcW w:type="dxa" w:w="2900"/>
            <w:shd w:fill="EEF2F6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ans CJK SC" w:cs="Noto Sans CJK SC" w:eastAsia="Noto Sans CJK SC" w:hAnsi="Noto Sans CJK SC"/>
                <w:b/>
                <w:bCs/>
                <w:sz w:val="17"/>
                <w:szCs w:val="17"/>
              </w:rPr>
              <w:t xml:space="preserve">样本外对比</w:t>
            </w:r>
          </w:p>
        </w:tc>
        <w:tc>
          <w:tcPr>
            <w:tcW w:type="dxa" w:w="2300"/>
            <w:shd w:fill="EEF2F6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ans CJK SC" w:cs="Noto Sans CJK SC" w:eastAsia="Noto Sans CJK SC" w:hAnsi="Noto Sans CJK SC"/>
                <w:b/>
                <w:bCs/>
                <w:sz w:val="17"/>
                <w:szCs w:val="17"/>
              </w:rPr>
              <w:t xml:space="preserve">colon (n=619)</w:t>
            </w:r>
          </w:p>
        </w:tc>
        <w:tc>
          <w:tcPr>
            <w:tcW w:type="dxa" w:w="2300"/>
            <w:shd w:fill="EEF2F6" w:val="clear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ans CJK SC" w:cs="Noto Sans CJK SC" w:eastAsia="Noto Sans CJK SC" w:hAnsi="Noto Sans CJK SC"/>
                <w:b/>
                <w:bCs/>
                <w:sz w:val="17"/>
                <w:szCs w:val="17"/>
              </w:rPr>
              <w:t xml:space="preserve">Rotterdam (n=2982)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终点；截断时间；划分次数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time，status；1825 天；500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dtime，death；2555 天；400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多纳入人数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+61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+226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风险比之差；P(更低)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+0.067；0.290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+0.005；0.522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RMST 之差；P(更大)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-1.4 天；0.508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+5.4 天；0.580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lef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P(更低) 的 95% 区间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[0.04, 0.69]</w:t>
            </w:r>
          </w:p>
        </w:tc>
        <w:tc>
          <w:tcPr>
            <w:tcW w:type="dxa" w:w="2300"/>
            <w:tcMar>
              <w:top w:type="dxa" w:w="55"/>
              <w:left w:type="dxa" w:w="85"/>
              <w:bottom w:type="dxa" w:w="55"/>
              <w:right w:type="dxa" w:w="85"/>
            </w:tcMar>
          </w:tcPr>
          <w:p>
            <w:pPr>
              <w:spacing w:after="0" w:line="250"/>
              <w:jc w:val="right"/>
            </w:pPr>
            <w:r>
              <w:rPr>
                <w:rFonts w:ascii="Noto Serif CJK SC" w:cs="Noto Serif CJK SC" w:eastAsia="Noto Serif CJK SC" w:hAnsi="Noto Serif CJK SC"/>
                <w:b w:val="false"/>
                <w:bCs w:val="false"/>
                <w:sz w:val="17"/>
                <w:szCs w:val="17"/>
              </w:rPr>
              <w:t xml:space="preserve">[0.15, 0.88]</w:t>
            </w:r>
          </w:p>
        </w:tc>
      </w:tr>
    </w:tbl>
    <w:p>
      <w:pPr>
        <w:spacing w:after="150"/>
      </w:pPr>
      <w:r>
        <w:rPr>
          <w:rFonts w:ascii="Noto Serif CJK SC" w:cs="Noto Serif CJK SC" w:eastAsia="Noto Serif CJK SC" w:hAnsi="Noto Serif CJK SC"/>
          <w:b w:val="false"/>
          <w:bCs w:val="false"/>
          <w:color w:val="666666"/>
          <w:sz w:val="15"/>
          <w:szCs w:val="15"/>
        </w:rPr>
        <w:t xml:space="preserve">最后一行来自嵌套自助（150 次外层重抽 × 25 次内层划分），也是全文唯一的区间口径：外层自助分布的 95% 百分位区间。第二轮审稿指出原实现有泄漏——自助样本里同一病人的副本可能落到划分两侧；改成按病人 ID 划分后区间反而变窄。总标准差 0.194 中，内层蒙特卡洛成分 0.084、外层抽样成分 0.174。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区间几乎覆盖了整个取值范围：colon 这个队列分不清「十次里有九次守住」和「一次都守不住」。0.290 和 0.522 是这两个数据集的性质，不是对方法成功率的估计；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用它们下「承诺没守住」的判断是过头的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，第四轮审稿在这点上是对的，全文已改。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3. 关键不是队列多大——但关键到底是什么，我们说不出来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第一轮我们说：16 个情景里 9 个在 18000 人以内达不到阈值，删失几乎全落在「效应修饰是否集中」这个因子上。审稿人指出两个问题。一是只用「能观察到阈值」的 6 个情景算离散度，是有选择偏倚的；改用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固定样本量下的成功概率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（16 个情景全都有值，不存在删失）后，我们原来说的「事件数、有效样本量比人数更不稳」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不成立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——按三种口径分箱，组内离散度分别是 0.34、0.35、0.34，无法区分。这条建议已撤回。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二是「集中 vs 分散」这个对比本身可能是机械的：我们把每条标准的系数直接除以份数，分散那一臂的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稀释系数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也跟着从 0.32 掉到 0.128，而稀释正是规则必须检出的东西（只有放宽一条「选进了获益更少的人」的标准，风险比才会降）。审稿人是对的。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我们另做一组模拟把两者拆开：总效应修饰固定为 0.85，只改分布方式。稀释系数固定 0.30 时，在 600/2000/6000/18000 人处的成功概率，富集集中在一条是 0.26 / 0.37 / 0.58 / 0.85，摊到两条是 0.23 / 0.43 / 0.79 / 0.87，摊到四条是 0.17 / 0.39 / 0.78 / 0.95；把总量不变的稀释劈成两半后变成 0.07 / 0.11 / 0.19 / 0.43。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第三轮和第四轮又推翻了我们从这组数字里读出的两条结论。一是我们说「把富集摊薄没关系」，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加上蒙特卡洛区间之后它其实是有帮助的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：在 6000 人处提高了 0.21，区间 [0.08, 0.34]。二是我们说「决定数据量的是最强稀释系数的大小」，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这一条也撤回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：把稀释系数减半的同时，可达的改进幅度也差不多减半了（0.0203 → 0.0098），系数和「奖品」在这个设计里是绑在一起的，谁的功劳分不开。现在只保留更弱的说法：数据量要求取决于稀释信号相对于噪声的强度，而这个强度正是分析本身要估计的东西，所以无条件的门槛给不出来——和功效计算要先假定效应量是同一种处境。正文表 2 现已标注为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敏感性分析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，不再当作可以读出样本量要求的设计曲线。我们试过的最有希望的候选量是「标准特异的信噪比」（最强稀释标准的总体 Shapley 值除以它在该拟合规模下估计的标准差）：在 12 个模拟格子上它对成功率的排序（Spearman 0.86）好于单纯的样本量（0.45）。但 12 个格子不足以确立一个决定性的量，而且信噪比本身就随样本量上升、两者在设计上相关，所以只作为方向报告。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所以真正决定数据需求的是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最强那条稀释性标准的系数大小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而这恰恰是分析本身要估计的量——正性/重叠、逻辑蕴含、交互杠杆都能事前算，唯独它不能。因此无论用人数、事件数还是有效样本量，都给不出一个事前的数据需求。这就是本文的中心结论，它是否定性的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4. 低于阈值时，选出的方案会比原方案略差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用「后悔值」来衡量。先把它定义清楚：这是在对数风险比这一个目标上，所选方案与「使风险比最低的那个子集」之间的差距，不考虑人数、安全性或任何别的临床目标；不同方案对应不同目标人群，所以「后悔值更大」意思是离最低风险比更远，不等于对病人更差。完整方案自己的后悔值是 0.0544。规则在 300 个拟合病人时的后悔值是 0.0727，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比完整方案还大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；约 1000 人处打平；到 20000 人降到 0.0078。也就是说，对这个规模的队列，在这一个目标上，预期结果不是「改进幅度较小」，而是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得到一个略微更偏离最优的方案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，并且把更多病人纳入其中。这是关于一个生成模型、一个单目标的陈述，不是说该方案在临床上更差。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5. 混杂调整不充分时，方法看起来更成功，实际选得更差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三条臂共享同一个结局模型，所以真实因果效应在三条臂里完全一样，变的只是治疗分配和能调整什么。正确调整混杂后，5167 人处的成功概率从随机化的 0.937 降到 0.808——大约需要两倍样本。但从倾向性模型里漏掉一个混杂因子，概率回到 0.936，看上去和随机化一样好。真相是：被检测的那个量本身被偏倚放大了（0.0310 → 0.0408，大 32%），而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正确选中标准集的概率同时从 0.280 掉到 0.116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。看起来一样可靠，但正确选中率下降了一半以上。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推论：在真实世界数据上看到方法「表现良好」，不是调整充分的证据。可用的敏感性分析是比较不同丰富程度的调整集、看差距是否随调整变充分而缩小——但这只在新增变量确实是混杂因子时成立；加进工具变量会放大偏倚，加进对撞因子会制造偏倚。它是一个值得留意的警报，不是一个能定案的检验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五、四轮审稿指出的错误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错误一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原稿说 Shapley 效率公理在风险比尺度上只近似成立，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不成立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：穷举枚举下任何尺度都精确成立（验证到 2.2e-16 和 8.3e-17）。尺度决定的只是分解哪个总量。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错误二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「多纳入病人」被当成经过验证的收益来写，其实是构造性的（见发现 1）。已全文改写并补上随机放宽对照。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漏查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Rotterdam 在完整方案内存在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正性假设问题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：419 人里 132 个倾向值顶在截断边界，加权有效样本量只有名义的 37%；化疗几乎只给了年轻绝经前女性。该队列现在全部按描述性报告，因果解读只靠随机化队列和模拟。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错误三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第二轮：嵌套自助有泄漏——自助样本里同一病人的副本可能落到划分两侧。已按病人 ID 划分并加断言，重算后区间变窄。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错误四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第二轮：只用「能观察到阈值」的 6 个情景算离散度有选择偏倚，据此得出的「事件数比人数更不稳」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不成立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，已撤回。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错误五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第二轮：非可折叠性一节写「被选中的低风险人群有更多绝对生存空间可赚」，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方向反了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——RMST 差 0.664→0.599、0.425→0.322，低风险人群绝对获益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更少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错误六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第三轮：我们写「把富集摊薄没关系」，其实是有帮助的（+0.21，区间 [0.08, 0.34]），已改。同一节里「稀释系数是决定性的量」也撤回，因为系数和可达改进幅度在设计上是绑定的。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错误七（最严重）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第四轮：审稿人指出正文和补充材料对同一个量给出不同的数，我们上一轮把它解释成蒙特卡洛噪声。查下来真正的原因要糟得多——第二、三轮新增的 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11 个脚本把 Rotterdam 的终点写成了「无复发生存时间 + 死亡指示」在 1825 天截断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，而表 1 用的是正确的「死亡时间 + 死亡指示」在 2555 天截断。时间和事件指示不配对，会把事件时间系统性地缩短。这不是两次运行的差异，是两个不同的终点。已全部改正并重算。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结构性补救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现在所有真实队列的点估计都由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一个脚本 analysis/primary.R 一次算出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并写进同一个结果文件，摘要、正文、表 1、补充材料全部从它读数，没有一处手抄；嵌套自助只负责不确定性。导出时有三条断言（终点配对、截断时间、两套估计的一致性），违反即中止构建。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六、三个能被单独拿走用的副产品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交互杠杆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闭式量 L = 1 − p(ij)/p(i) − p(ij)/p(j) + p(ij)，只用入组率、不用结局数据。原稿把「杠杆低」说成「结构上测不出」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不够准确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：它是按已知因子的衰减，信号仍取决于效应大小和样本量。真正测不出的只有逻辑蕴含。AND/OR/XOR 三种形式的系数分别是 (1−q)²、−(1−q)²、−2(1−q)²。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蕴含检测器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若标准 i 逻辑上蕴含 j，这对的交互是算术恒等式，是唯一无论样本量多大都无信息的格子，必须从检验族里剔除。</w:t>
      </w:r>
    </w:p>
    <w:p>
      <w:pPr>
        <w:spacing w:after="60" w:line="268"/>
        <w:ind w:left="300" w:hanging="300"/>
        <w:jc w:val="both"/>
      </w:pPr>
      <w:r>
        <w:rPr>
          <w:rFonts w:ascii="Noto Sans CJK SC" w:cs="Noto Sans CJK SC" w:eastAsia="Noto Sans CJK SC" w:hAnsi="Noto Sans CJK SC"/>
          <w:b/>
          <w:bCs/>
          <w:color w:val="1A4B7A"/>
          <w:sz w:val="19"/>
          <w:szCs w:val="19"/>
        </w:rPr>
        <w:t xml:space="preserve">双估计量并行  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同时报告风险比和 RMST 差。条件风险比固定为 0.6 的模拟里，一条标准没改变任何人的相对获益，它在对数风险比上的 Shapley 值却随预后异质性从 −0.0008 长到 −0.066；异质性为零时假象消失。RMST 差的移动则是真实的。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七、这篇文章的定位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它不是在说 Trial Pathfinder 错了。原文的做法在它自己的数据规模上有其道理，我们复制出来的规则在总体层面确实收敛到最优标准集。我们做的是：把两个被捆绑报告的承诺拆开，指出一个是构造性的、另一个的成立与否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这个规模的公开队列判不出来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；说明数据量要求为什么不能无条件地给；并提供三个动手前就能算的诊断量。</w:t>
      </w:r>
    </w:p>
    <w:p>
      <w:pPr>
        <w:spacing w:after="78" w:before="170"/>
      </w:pPr>
      <w:r>
        <w:rPr>
          <w:rFonts w:ascii="Noto Sans CJK SC" w:cs="Noto Sans CJK SC" w:eastAsia="Noto Sans CJK SC" w:hAnsi="Noto Sans CJK SC"/>
          <w:b/>
          <w:bCs/>
          <w:color w:val="1A4B7A"/>
          <w:sz w:val="21"/>
          <w:szCs w:val="21"/>
        </w:rPr>
        <w:t xml:space="preserve">八、可能会被问到的三个问题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既然规则在入组上不优于随机放宽，那它的价值在哪里？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因为入组人数通常不是唯一目的。规则换来的可能是估计质量，代价是比它能做到的少招一些人。但需要说清楚：在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相同入组人数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下它是否仍有这个优势，这两个队列的规模判不出来（区间都包含 0.5）。我们认为这个取舍值得明确报告，而只跟完整方案比时它不会显现出来。</w:t>
      </w:r>
    </w:p>
    <w:p>
      <w:pPr>
        <w:spacing w:after="55" w:before="110"/>
      </w:pP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实际操作上我该怎么做？</w:t>
      </w:r>
    </w:p>
    <w:p>
      <w:pPr>
        <w:spacing w:after="78" w:line="262"/>
        <w:jc w:val="both"/>
      </w:pP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四步。（1）先把出于安全性、耐受性、给药可行性、药理考虑的标准标记为</w:t>
      </w:r>
      <w:r>
        <w:rPr>
          <w:rFonts w:ascii="Noto Sans CJK SC" w:cs="Noto Sans CJK SC" w:eastAsia="Noto Sans CJK SC" w:hAnsi="Noto Sans CJK SC"/>
          <w:b/>
          <w:bCs/>
          <w:sz w:val="19"/>
          <w:szCs w:val="19"/>
        </w:rPr>
        <w:t xml:space="preserve">不可放宽</w:t>
      </w:r>
      <w:r>
        <w:rPr>
          <w:rFonts w:ascii="Noto Serif CJK SC" w:cs="Noto Serif CJK SC" w:eastAsia="Noto Serif CJK SC" w:hAnsi="Noto Serif CJK SC"/>
          <w:b w:val="false"/>
          <w:bCs w:val="false"/>
          <w:sz w:val="19"/>
          <w:szCs w:val="19"/>
        </w:rPr>
        <w:t xml:space="preserve">。（2）看结局之前先算交互杠杆和逻辑蕴含。（3）检查完整方案内部的正性/重叠。（4）判断方案里有没有一条标准集中了足够差异获益；没有的话，就只报告人群扩大，不报告疗效改善。</w:t>
      </w:r>
    </w:p>
    <w:sectPr>
      <w:pgSz w:w="12240" w:h="15840" w:orient="portrait"/>
      <w:pgMar w:top="76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2026-08-31T10:47:35.302Z</dcterms:created>
  <dcterms:modified xsi:type="dcterms:W3CDTF">2026-08-31T10:47:35.303Z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