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he-campaign-calendar"/>
    <w:p>
      <w:pPr>
        <w:pStyle w:val="Heading1"/>
      </w:pPr>
      <w:r>
        <w:t xml:space="preserve">The campaign calendar</w:t>
      </w:r>
    </w:p>
    <w:bookmarkStart w:id="9" w:name="X19186fc04da1087a535a19dc0abf6e58d372389"/>
    <w:p>
      <w:pPr>
        <w:pStyle w:val="Heading4"/>
      </w:pPr>
      <w:r>
        <w:t xml:space="preserve">A training guide for the Eaton Square team</w:t>
      </w:r>
    </w:p>
    <w:p>
      <w:pPr>
        <w:pStyle w:val="FirstParagraph"/>
      </w:pPr>
      <w:r>
        <w:t xml:space="preserve">A shared, always-current view of every campaign on one calendar. It runs as a Claude artefact in your own workspace, so the whole team sees the same plan and changes save for everyone.</w:t>
      </w:r>
    </w:p>
    <w:bookmarkEnd w:id="9"/>
    <w:bookmarkStart w:id="10" w:name="set-it-up-in-your-own-claude"/>
    <w:p>
      <w:pPr>
        <w:pStyle w:val="Heading2"/>
      </w:pPr>
      <w:r>
        <w:t xml:space="preserve">Set it up in your own Claude</w:t>
      </w:r>
    </w:p>
    <w:p>
      <w:pPr>
        <w:pStyle w:val="Compact"/>
        <w:numPr>
          <w:ilvl w:val="0"/>
          <w:numId w:val="1001"/>
        </w:numPr>
      </w:pPr>
      <w:r>
        <w:t xml:space="preserve">Open a shared Project in your Claude workspace, so the whole team works in one place.</w:t>
      </w:r>
    </w:p>
    <w:p>
      <w:pPr>
        <w:pStyle w:val="Compact"/>
        <w:numPr>
          <w:ilvl w:val="0"/>
          <w:numId w:val="1001"/>
        </w:numPr>
      </w:pPr>
      <w:r>
        <w:t xml:space="preserve">Connect your tools to that Project: HeyReach, Clay, Smartlead, and anything else you run campaigns from.</w:t>
      </w:r>
    </w:p>
    <w:p>
      <w:pPr>
        <w:pStyle w:val="Compact"/>
        <w:numPr>
          <w:ilvl w:val="0"/>
          <w:numId w:val="1001"/>
        </w:numPr>
      </w:pPr>
      <w:r>
        <w:t xml:space="preserve">Upload the calendar file (download it from your workspace page) into the Project.</w:t>
      </w:r>
    </w:p>
    <w:p>
      <w:pPr>
        <w:pStyle w:val="Compact"/>
        <w:numPr>
          <w:ilvl w:val="0"/>
          <w:numId w:val="1001"/>
        </w:numPr>
      </w:pPr>
      <w:r>
        <w:t xml:space="preserve">Start a chat and ask Claude to build it as an artifact, using the prompt below.</w:t>
      </w:r>
    </w:p>
    <w:p>
      <w:pPr>
        <w:pStyle w:val="Compact"/>
        <w:numPr>
          <w:ilvl w:val="0"/>
          <w:numId w:val="1001"/>
        </w:numPr>
      </w:pPr>
      <w:r>
        <w:t xml:space="preserve">Publish the artifact and share it within your organisation. That is what lets everyone see the same calendar and saves changes for the team. On a Teams or Enterprise plan the share stays private to your organisation, not a public link.</w:t>
      </w:r>
    </w:p>
    <w:p>
      <w:pPr>
        <w:pStyle w:val="Compact"/>
        <w:numPr>
          <w:ilvl w:val="0"/>
          <w:numId w:val="1001"/>
        </w:numPr>
      </w:pPr>
      <w:r>
        <w:t xml:space="preserve">Check it saved: move an item, then reopen the link in a new tab. If the move held, you are set.</w:t>
      </w:r>
    </w:p>
    <w:bookmarkEnd w:id="10"/>
    <w:bookmarkStart w:id="11" w:name="the-prompt-to-paste"/>
    <w:p>
      <w:pPr>
        <w:pStyle w:val="Heading2"/>
      </w:pPr>
      <w:r>
        <w:t xml:space="preserve">The prompt to paste</w:t>
      </w:r>
    </w:p>
    <w:p>
      <w:pPr>
        <w:pStyle w:val="BlockText"/>
      </w:pPr>
      <w:r>
        <w:t xml:space="preserve">Create an HTML artifact with exactly the code in this file, with no changes.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Run with Foxes, private guide for Eaton Square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2026-06-23T20:16:14Z</dcterms:created>
  <dcterms:modified xsi:type="dcterms:W3CDTF">2026-06-23T20:16:14Z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