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he-linkedin-graphic"/>
    <w:p>
      <w:pPr>
        <w:pStyle w:val="Heading1"/>
      </w:pPr>
      <w:r>
        <w:t xml:space="preserve">The LinkedIn graphic</w:t>
      </w:r>
    </w:p>
    <w:bookmarkStart w:id="9" w:name="X19186fc04da1087a535a19dc0abf6e58d372389"/>
    <w:p>
      <w:pPr>
        <w:pStyle w:val="Heading4"/>
      </w:pPr>
      <w:r>
        <w:t xml:space="preserve">A training guide for the Eaton Square team</w:t>
      </w:r>
    </w:p>
    <w:p>
      <w:pPr>
        <w:pStyle w:val="FirstParagraph"/>
      </w:pPr>
      <w:r>
        <w:t xml:space="preserve">Paste a point and get one quiet, on-brand LinkedIn graphic in portrait 4:5. It is unbranded by design, since the corporate brand team blocks the HR Path kit. It runs in the browser. No software, no design tools.</w:t>
      </w:r>
    </w:p>
    <w:bookmarkEnd w:id="9"/>
    <w:bookmarkStart w:id="10" w:name="how-to-use-it"/>
    <w:p>
      <w:pPr>
        <w:pStyle w:val="Heading2"/>
      </w:pPr>
      <w:r>
        <w:t xml:space="preserve">How to use it</w:t>
      </w:r>
    </w:p>
    <w:p>
      <w:pPr>
        <w:pStyle w:val="Compact"/>
        <w:numPr>
          <w:ilvl w:val="0"/>
          <w:numId w:val="1001"/>
        </w:numPr>
      </w:pPr>
      <w:r>
        <w:t xml:space="preserve">Upload the LinkedIn graphic skill via Customize then Skills, or into your shared Project. Download it from the skills list on your workspace page.</w:t>
      </w:r>
    </w:p>
    <w:p>
      <w:pPr>
        <w:pStyle w:val="Compact"/>
        <w:numPr>
          <w:ilvl w:val="0"/>
          <w:numId w:val="1001"/>
        </w:numPr>
      </w:pPr>
      <w:r>
        <w:t xml:space="preserve">Paste your point, or a report or post to distil, and ask for a LinkedIn graphic.</w:t>
      </w:r>
    </w:p>
    <w:p>
      <w:pPr>
        <w:pStyle w:val="Compact"/>
        <w:numPr>
          <w:ilvl w:val="0"/>
          <w:numId w:val="1001"/>
        </w:numPr>
      </w:pPr>
      <w:r>
        <w:t xml:space="preserve">Claude writes a short headline and lays out one graphic, then checks its own work: word count, the accent used sparingly, no invented numbers, no logos or names.</w:t>
      </w:r>
    </w:p>
    <w:p>
      <w:pPr>
        <w:pStyle w:val="Compact"/>
        <w:numPr>
          <w:ilvl w:val="0"/>
          <w:numId w:val="1001"/>
        </w:numPr>
      </w:pPr>
      <w:r>
        <w:t xml:space="preserve">The graphic opens scaled to fit your screen so you see the whole thing. Click the caption under it to switch to 100%, then take a screenshot to post.</w:t>
      </w:r>
    </w:p>
    <w:bookmarkEnd w:id="10"/>
    <w:bookmarkStart w:id="11" w:name="good-to-know"/>
    <w:p>
      <w:pPr>
        <w:pStyle w:val="Heading2"/>
      </w:pPr>
      <w:r>
        <w:t xml:space="preserve">Good to know</w:t>
      </w:r>
    </w:p>
    <w:p>
      <w:pPr>
        <w:pStyle w:val="Compact"/>
        <w:numPr>
          <w:ilvl w:val="0"/>
          <w:numId w:val="1002"/>
        </w:numPr>
      </w:pPr>
      <w:r>
        <w:t xml:space="preserve">One idea per graphic. Keep the headline short; the richer context goes in your post text.</w:t>
      </w:r>
    </w:p>
    <w:p>
      <w:pPr>
        <w:pStyle w:val="Compact"/>
        <w:numPr>
          <w:ilvl w:val="0"/>
          <w:numId w:val="1002"/>
        </w:numPr>
      </w:pPr>
      <w:r>
        <w:t xml:space="preserve">It is unbranded on purpose: no logos, names, photos or hashtags.</w:t>
      </w:r>
    </w:p>
    <w:p>
      <w:pPr>
        <w:pStyle w:val="Compact"/>
        <w:numPr>
          <w:ilvl w:val="0"/>
          <w:numId w:val="1002"/>
        </w:numPr>
      </w:pPr>
      <w:r>
        <w:t xml:space="preserve">It never makes a number up. If your point has no figure, the graphic has no figure.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Run with Foxes, private guide for Eaton Square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2026-06-23T20:16:14Z</dcterms:created>
  <dcterms:modified xsi:type="dcterms:W3CDTF">2026-06-23T20:16:14Z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