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000000"/>
          <w:sz w:val="46"/>
        </w:rPr>
        <w:t>ATTRITION INSIGHTS REPORT</w:t>
      </w:r>
    </w:p>
    <w:p>
      <w:pPr>
        <w:pStyle w:val="Subtitle"/>
        <w:spacing w:after="280"/>
      </w:pPr>
      <w:r>
        <w:rPr>
          <w:rFonts w:ascii="Calibri" w:hAnsi="Calibri"/>
          <w:color w:val="555555"/>
          <w:sz w:val="28"/>
        </w:rPr>
        <w:t>Training Attrition and Post-Training Implementation Analysis</w:t>
      </w:r>
    </w:p>
    <w:p>
      <w:pPr>
        <w:spacing w:after="40"/>
      </w:pPr>
      <w:r>
        <w:rPr>
          <w:rFonts w:ascii="Calibri" w:hAnsi="Calibri"/>
          <w:b/>
          <w:color w:val="141F2B"/>
          <w:sz w:val="22"/>
        </w:rPr>
        <w:t xml:space="preserve">Source: </w:t>
      </w:r>
      <w:r>
        <w:rPr>
          <w:rFonts w:ascii="Calibri" w:hAnsi="Calibri"/>
          <w:color w:val="141F2B"/>
          <w:sz w:val="22"/>
        </w:rPr>
        <w:t>Turnnover.xlsx</w:t>
      </w:r>
    </w:p>
    <w:p>
      <w:pPr>
        <w:spacing w:after="40"/>
      </w:pPr>
      <w:r>
        <w:rPr>
          <w:rFonts w:ascii="Calibri" w:hAnsi="Calibri"/>
          <w:b/>
          <w:color w:val="141F2B"/>
          <w:sz w:val="22"/>
        </w:rPr>
        <w:t xml:space="preserve">Scope: </w:t>
      </w:r>
      <w:r>
        <w:rPr>
          <w:rFonts w:ascii="Calibri" w:hAnsi="Calibri"/>
          <w:color w:val="141F2B"/>
          <w:sz w:val="22"/>
        </w:rPr>
        <w:t>84 employees who started across the listed waves</w:t>
      </w:r>
    </w:p>
    <w:p>
      <w:pPr>
        <w:spacing w:after="40"/>
      </w:pPr>
      <w:r>
        <w:rPr>
          <w:rFonts w:ascii="Calibri" w:hAnsi="Calibri"/>
          <w:b/>
          <w:color w:val="141F2B"/>
          <w:sz w:val="22"/>
        </w:rPr>
        <w:t xml:space="preserve">Period: </w:t>
      </w:r>
      <w:r>
        <w:rPr>
          <w:rFonts w:ascii="Calibri" w:hAnsi="Calibri"/>
          <w:color w:val="141F2B"/>
          <w:sz w:val="22"/>
        </w:rPr>
        <w:t>Go Live dates from Nov 18, 2025 to May 26, 2026</w:t>
      </w:r>
    </w:p>
    <w:p>
      <w:pPr>
        <w:spacing w:after="40"/>
      </w:pPr>
      <w:r>
        <w:rPr>
          <w:rFonts w:ascii="Calibri" w:hAnsi="Calibri"/>
          <w:b/>
          <w:color w:val="141F2B"/>
          <w:sz w:val="22"/>
        </w:rPr>
        <w:t xml:space="preserve">Purpose: </w:t>
      </w:r>
      <w:r>
        <w:rPr>
          <w:rFonts w:ascii="Calibri" w:hAnsi="Calibri"/>
          <w:color w:val="141F2B"/>
          <w:sz w:val="22"/>
        </w:rPr>
        <w:t>Summarize where attrition is happening and what to prioritize first</w:t>
      </w:r>
    </w:p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55555"/>
                <w:sz w:val="17"/>
              </w:rPr>
              <w:t>TOTAL STARTED</w:t>
              <w:br/>
            </w:r>
            <w:r>
              <w:rPr>
                <w:rFonts w:ascii="Calibri" w:hAnsi="Calibri"/>
                <w:b/>
                <w:color w:val="1F4D78"/>
                <w:sz w:val="30"/>
              </w:rPr>
              <w:t>84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55555"/>
                <w:sz w:val="17"/>
              </w:rPr>
              <w:t>TOTAL ATTRITION</w:t>
              <w:br/>
            </w:r>
            <w:r>
              <w:rPr>
                <w:rFonts w:ascii="Calibri" w:hAnsi="Calibri"/>
                <w:b/>
                <w:color w:val="1F4D78"/>
                <w:sz w:val="30"/>
              </w:rPr>
              <w:t>42 (50.0%)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55555"/>
                <w:sz w:val="17"/>
              </w:rPr>
              <w:t>TRAINING EXITS</w:t>
              <w:br/>
            </w:r>
            <w:r>
              <w:rPr>
                <w:rFonts w:ascii="Calibri" w:hAnsi="Calibri"/>
                <w:b/>
                <w:color w:val="1F4D78"/>
                <w:sz w:val="30"/>
              </w:rPr>
              <w:t>21 (25.0%)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55555"/>
                <w:sz w:val="17"/>
              </w:rPr>
              <w:t>POST-TRAINING EXITS</w:t>
              <w:br/>
            </w:r>
            <w:r>
              <w:rPr>
                <w:rFonts w:ascii="Calibri" w:hAnsi="Calibri"/>
                <w:b/>
                <w:color w:val="1F4D78"/>
                <w:sz w:val="30"/>
              </w:rPr>
              <w:t>21 (25.0%)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84 employees started across the waves in the file. 42 are still active and 42 have left.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Total attrition is 50.0%. This is split evenly between training attrition and post-training attrition: 21 exits in each stage.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Post-training exits happened quickly after Go Live. The average time after Go Live is 30 days and the median is 13 days.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Most exits are voluntary: 37 out of 42 exits, or 88.1% of total attrition.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The additional reasons file explains 14 exits. The most common reason category is another job offer, followed by personal or schedule constraints.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Training attrition is concentrated in Waves 33, 34, and 35. Together, they represent 19 of the 21 training exits.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Post-training attrition is highest by volume in Wave 31 and Wave 34. Wave 27 has the highest post-training rate, but it has a small base of 5 people.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Important Data Note</w:t>
      </w: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This report uses Recrutamento Total as the number of people who started in each wave. Turnover Treinamento = 1 means the employee left during training. Turnover Pos = 1 means the employee left after training. For post-training exits, time in the company after implementation is calculated as Data de Desligamento minus Go live.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Overall Attrition Split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Category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Employees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% of Started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Started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84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100.0%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Still active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50.0%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Training exits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25.0%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Post-training exits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25.0%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Total exits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50.0%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Turnover by Wave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Wave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Started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Active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Training Turnover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Post Turnover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Total Turnover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27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 (0.0%)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 (60.0%)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 (60.0%)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28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 (100.0%)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 (0.0%)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 (100.0%)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29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 (0.0%)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 (37.5%)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 (37.5%)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31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13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 (0.0%)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 (46.2%)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 (46.2%)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32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 (12.5%)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 (37.5%)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 (50.0%)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33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18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10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 (38.9%)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 (5.6%)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 (44.4%)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34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17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 (23.5%)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 (29.4%)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9 (52.9%)</w:t>
            </w:r>
          </w:p>
        </w:tc>
      </w:tr>
      <w:tr>
        <w:tc>
          <w:tcPr>
            <w:tcW w:type="dxa" w:w="156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35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14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 (57.1%)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 (0.0%)</w:t>
            </w:r>
          </w:p>
        </w:tc>
        <w:tc>
          <w:tcPr>
            <w:tcW w:type="dxa" w:w="156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 (57.1%)</w:t>
            </w:r>
          </w:p>
        </w:tc>
      </w:tr>
    </w:tbl>
    <w:p>
      <w:pPr>
        <w:spacing w:after="120"/>
      </w:pP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Wave 35 has the highest meaningful training turnover rate among larger waves: 8 of 14 employees, or 57.1%. Wave 28 shows 100.0%, but the base is only one employee. Post-training turnover is highest by rate in Wave 27, with 3 of 5 employees, or 60.0%.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Voluntary vs. Involuntary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Stage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Involuntary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Voluntary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Total Exits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% Voluntary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Training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20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21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95.2%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Post-training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17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21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81.0%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Total exits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37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42</w:t>
            </w:r>
          </w:p>
        </w:tc>
        <w:tc>
          <w:tcPr>
            <w:tcW w:type="dxa" w:w="1872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88.1%</w:t>
            </w:r>
          </w:p>
        </w:tc>
      </w:tr>
    </w:tbl>
    <w:p>
      <w:pPr>
        <w:spacing w:after="120"/>
      </w:pP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The biggest behavioral pattern is voluntary attrition. This suggests the main investigation should focus on expectation setting, schedule and compensation fit, job reality, leadership support, and early employee experience.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Reasons Provided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Reason Category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Employees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% of Reasons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Another job offer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35.7%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Personal or schedule constraints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28.6%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Financial / commute / training disruption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21.4%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Job fit or expectation mismatch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14.3%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Wave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Reasons Captured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% of Reasons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7.1%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33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7.1%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34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35.7%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35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50.0%</w:t>
            </w:r>
          </w:p>
        </w:tc>
      </w:tr>
    </w:tbl>
    <w:p>
      <w:pPr>
        <w:spacing w:after="120"/>
      </w:pP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The reasons file contains 14 records. 13 matched employees in the turnover base: 10 training exits and 3 post-training exits. 1 record did not match the turnover base.</w:t>
      </w: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Unmatched reason record: DANIEL PAHL CARVALHO.</w:t>
      </w: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The most frequent specific theme is another job offer. This points to competitiveness risk: candidates may be using training as a bridge while evaluating other options, or the offer may not be strong enough compared with alternatives.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Post-Training Time After Go Live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Wave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Post Exits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Avg. Days After Go Live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Median Days After Go Live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27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78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75 days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29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19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10 days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31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24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25 days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32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16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11 days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33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55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55 days</w:t>
            </w:r>
          </w:p>
        </w:tc>
      </w:tr>
      <w:tr>
        <w:tc>
          <w:tcPr>
            <w:tcW w:type="dxa" w:w="234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Wave 34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5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18 days</w:t>
            </w:r>
          </w:p>
        </w:tc>
        <w:tc>
          <w:tcPr>
            <w:tcW w:type="dxa" w:w="234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12 days</w:t>
            </w:r>
          </w:p>
        </w:tc>
      </w:tr>
    </w:tbl>
    <w:p>
      <w:pPr>
        <w:spacing w:after="120"/>
      </w:pP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Across all post-training exits, the average time after Go Live is 30 days and the median is 13 days. The median is much lower than the average because a few longer-tenure exits pull the average upward.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Post-Training Exit Timing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41F2B"/>
                <w:sz w:val="21"/>
              </w:rPr>
              <w:t>Time After Go Live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Post Exits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41F2B"/>
                <w:sz w:val="21"/>
              </w:rPr>
              <w:t>% of Post Exits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0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9.5%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1-7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3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14.3%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8-14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28.6%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15-30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9.5%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31-60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6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28.6%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61-90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4.8%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91-180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1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4.8%</w:t>
            </w:r>
          </w:p>
        </w:tc>
      </w:tr>
      <w:tr>
        <w:tc>
          <w:tcPr>
            <w:tcW w:type="dxa" w:w="3120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41F2B"/>
                <w:sz w:val="21"/>
              </w:rPr>
              <w:t>181+ days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</w:t>
            </w:r>
          </w:p>
        </w:tc>
        <w:tc>
          <w:tcPr>
            <w:tcW w:type="dxa" w:w="3120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color w:val="141F2B"/>
                <w:sz w:val="21"/>
              </w:rPr>
              <w:t>0.0%</w:t>
            </w:r>
          </w:p>
        </w:tc>
      </w:tr>
    </w:tbl>
    <w:p>
      <w:pPr>
        <w:spacing w:after="120"/>
      </w:pPr>
    </w:p>
    <w:p>
      <w:pPr>
        <w:spacing w:after="120" w:line="264" w:lineRule="auto"/>
      </w:pPr>
      <w:r>
        <w:rPr>
          <w:rFonts w:ascii="Calibri" w:hAnsi="Calibri"/>
          <w:b w:val="0"/>
          <w:color w:val="141F2B"/>
          <w:sz w:val="22"/>
        </w:rPr>
        <w:t>More than half of post-training exits happened within 14 days after Go Live. This makes the first two weeks after implementation the most important window for retention action.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color w:val="2E74B5"/>
          <w:sz w:val="32"/>
        </w:rPr>
        <w:t>Recommended Focus Areas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For training, prioritize Wave 35 first, then Waves 33 and 34, because they concentrate most training exits.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For post-training, prioritize Wave 31 and Wave 34 by volume, and review Wave 27 because its post-training rate is high despite a small base.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Strengthen the first two weeks after Go Live with closer supervisor check-ins, expectation reinforcement, and fast issue resolution.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For voluntary exits, check job expectations, schedule fit, compensation perception, leadership support, and early employee experience.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color w:val="141F2B"/>
          <w:sz w:val="22"/>
        </w:rPr>
        <w:t>For involuntary exits, review training pass criteria, early performance standards, nesting support, and quality coaching.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Prepared May 20,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color w:val="555555"/>
        <w:sz w:val="18"/>
      </w:rPr>
      <w:t>Attrition Insights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41F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