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0"/>
        <w:jc w:val="right"/>
        <w:rPr>
          <w:rFonts w:ascii="Times New Roman" w:hAnsi="Times New Roman"/>
          <w:sz w:val="20"/>
        </w:rPr>
      </w:pPr>
      <w:r>
        <w:rPr>
          <w:rFonts w:ascii="Times New Roman" w:hAnsi="Times New Roman"/>
          <w:sz w:val="20"/>
        </w:rPr>
        <w:t xml:space="preserve">Exhibit 10.4 </w:t>
      </w:r>
    </w:p>
    <w:p>
      <w:pPr>
        <w:pStyle w:val="TextBody"/>
        <w:spacing w:before="240" w:after="0"/>
        <w:rPr>
          <w:rFonts w:ascii="Times New Roman" w:hAnsi="Times New Roman"/>
          <w:sz w:val="20"/>
        </w:rPr>
      </w:pPr>
      <w:r>
        <w:rPr>
          <w:rFonts w:ascii="Times New Roman" w:hAnsi="Times New Roman"/>
          <w:sz w:val="20"/>
        </w:rPr>
        <w:t xml:space="preserve">LIMITED LIABILITY COMPANY “ZEMENIK” as a Borrower </w:t>
      </w:r>
    </w:p>
    <w:p>
      <w:pPr>
        <w:pStyle w:val="TextBody"/>
        <w:spacing w:before="240" w:after="0"/>
        <w:rPr>
          <w:rFonts w:ascii="Times New Roman" w:hAnsi="Times New Roman"/>
          <w:sz w:val="20"/>
        </w:rPr>
      </w:pPr>
      <w:r>
        <w:rPr>
          <w:rFonts w:ascii="Times New Roman" w:hAnsi="Times New Roman"/>
          <w:sz w:val="20"/>
        </w:rPr>
        <w:t xml:space="preserve">VTB BANK (PUBLIC JOINT STOCK COMPANY) as an Organizer </w:t>
      </w:r>
    </w:p>
    <w:p>
      <w:pPr>
        <w:pStyle w:val="TextBody"/>
        <w:spacing w:before="240" w:after="0"/>
        <w:rPr>
          <w:rFonts w:ascii="Times New Roman" w:hAnsi="Times New Roman"/>
          <w:sz w:val="20"/>
        </w:rPr>
      </w:pPr>
      <w:r>
        <w:rPr>
          <w:rFonts w:ascii="Times New Roman" w:hAnsi="Times New Roman"/>
          <w:sz w:val="20"/>
        </w:rPr>
        <w:t xml:space="preserve">VTB BANK (PUBLIC JOINT STOCK COMPANY) as a Credit Agent </w:t>
      </w:r>
    </w:p>
    <w:p>
      <w:pPr>
        <w:pStyle w:val="TextBody"/>
        <w:spacing w:before="240" w:after="0"/>
        <w:rPr>
          <w:rFonts w:ascii="Times New Roman" w:hAnsi="Times New Roman"/>
          <w:sz w:val="20"/>
        </w:rPr>
      </w:pPr>
      <w:r>
        <w:rPr>
          <w:rFonts w:ascii="Times New Roman" w:hAnsi="Times New Roman"/>
          <w:sz w:val="20"/>
        </w:rPr>
        <w:t xml:space="preserve">VTB BANK (PUBLIC JOINT STOCK COMPANY) as an Initial Creditor </w:t>
      </w:r>
    </w:p>
    <w:p>
      <w:pPr>
        <w:pStyle w:val="TextBody"/>
        <w:spacing w:before="240" w:after="0"/>
        <w:rPr>
          <w:rFonts w:ascii="Times New Roman" w:hAnsi="Times New Roman"/>
          <w:sz w:val="20"/>
        </w:rPr>
      </w:pPr>
      <w:r>
        <w:rPr>
          <w:rFonts w:ascii="Times New Roman" w:hAnsi="Times New Roman"/>
          <w:sz w:val="20"/>
        </w:rPr>
        <w:t xml:space="preserve">SYNDICATED LOAN AGREEMENT ON THE AMOUNT OF 7,000,000,000 RUBLES DATED MAY 16, 2016 </w:t>
      </w:r>
    </w:p>
    <w:p>
      <w:pPr>
        <w:pStyle w:val="TextBody"/>
        <w:spacing w:before="240" w:after="0"/>
        <w:rPr>
          <w:rFonts w:ascii="Times New Roman" w:hAnsi="Times New Roman"/>
          <w:sz w:val="20"/>
        </w:rPr>
      </w:pPr>
      <w:r>
        <w:rPr>
          <w:rFonts w:ascii="Times New Roman" w:hAnsi="Times New Roman"/>
          <w:sz w:val="20"/>
        </w:rPr>
        <w:t xml:space="preserve">taking into account the amendments made by: </w:t>
      </w:r>
    </w:p>
    <w:p>
      <w:pPr>
        <w:pStyle w:val="TextBody"/>
        <w:spacing w:before="240" w:after="0"/>
        <w:rPr>
          <w:rFonts w:ascii="Times New Roman" w:hAnsi="Times New Roman"/>
          <w:sz w:val="20"/>
        </w:rPr>
      </w:pPr>
      <w:r>
        <w:rPr>
          <w:rFonts w:ascii="Times New Roman" w:hAnsi="Times New Roman"/>
          <w:sz w:val="20"/>
        </w:rPr>
        <w:t xml:space="preserve">Amendment Agreement No. 1 of December 14, 2016, </w:t>
      </w:r>
    </w:p>
    <w:p>
      <w:pPr>
        <w:pStyle w:val="TextBody"/>
        <w:spacing w:before="240" w:after="0"/>
        <w:rPr>
          <w:rFonts w:ascii="Times New Roman" w:hAnsi="Times New Roman"/>
          <w:sz w:val="20"/>
        </w:rPr>
      </w:pPr>
      <w:r>
        <w:rPr>
          <w:rFonts w:ascii="Times New Roman" w:hAnsi="Times New Roman"/>
          <w:sz w:val="20"/>
        </w:rPr>
        <w:t xml:space="preserve">Amendment Agreement No. 2 of June 28, 2017 and </w:t>
      </w:r>
    </w:p>
    <w:p>
      <w:pPr>
        <w:pStyle w:val="TextBody"/>
        <w:spacing w:before="240" w:after="0"/>
        <w:rPr>
          <w:rFonts w:ascii="Times New Roman" w:hAnsi="Times New Roman"/>
          <w:sz w:val="20"/>
        </w:rPr>
      </w:pPr>
      <w:r>
        <w:rPr>
          <w:rFonts w:ascii="Times New Roman" w:hAnsi="Times New Roman"/>
          <w:sz w:val="20"/>
        </w:rPr>
        <w:t xml:space="preserve">Amendment Agreement No. 3 of October 5, 2017 </w:t>
      </w:r>
    </w:p>
    <w:p>
      <w:pPr>
        <w:pStyle w:val="TextBody"/>
        <w:spacing w:before="240" w:after="0"/>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CONTENT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23"/>
        <w:gridCol w:w="171"/>
        <w:gridCol w:w="9139"/>
        <w:gridCol w:w="171"/>
        <w:gridCol w:w="60"/>
        <w:gridCol w:w="278"/>
        <w:gridCol w:w="63"/>
      </w:tblGrid>
      <w:tr>
        <w:trPr/>
        <w:tc>
          <w:tcPr>
            <w:tcW w:w="323" w:type="dxa"/>
            <w:tcBorders/>
            <w:shd w:fill="auto" w:val="clear"/>
            <w:vAlign w:val="center"/>
          </w:tcPr>
          <w:p>
            <w:pPr>
              <w:pStyle w:val="TableContents"/>
              <w:spacing w:before="0" w:after="283"/>
              <w:rPr>
                <w:sz w:val="4"/>
                <w:szCs w:val="4"/>
              </w:rPr>
            </w:pPr>
            <w:r>
              <w:rPr>
                <w:sz w:val="4"/>
                <w:szCs w:val="4"/>
              </w:rPr>
            </w:r>
          </w:p>
        </w:tc>
        <w:tc>
          <w:tcPr>
            <w:tcW w:w="171" w:type="dxa"/>
            <w:tcBorders/>
            <w:shd w:fill="auto" w:val="clear"/>
            <w:vAlign w:val="bottom"/>
          </w:tcPr>
          <w:p>
            <w:pPr>
              <w:pStyle w:val="TableContents"/>
              <w:spacing w:before="0" w:after="283"/>
              <w:rPr>
                <w:sz w:val="4"/>
                <w:szCs w:val="4"/>
              </w:rPr>
            </w:pPr>
            <w:r>
              <w:rPr>
                <w:sz w:val="4"/>
                <w:szCs w:val="4"/>
              </w:rPr>
            </w:r>
          </w:p>
        </w:tc>
        <w:tc>
          <w:tcPr>
            <w:tcW w:w="9139" w:type="dxa"/>
            <w:tcBorders/>
            <w:shd w:fill="auto" w:val="clear"/>
            <w:vAlign w:val="center"/>
          </w:tcPr>
          <w:p>
            <w:pPr>
              <w:pStyle w:val="TableContents"/>
              <w:spacing w:before="0" w:after="283"/>
              <w:rPr>
                <w:sz w:val="4"/>
                <w:szCs w:val="4"/>
              </w:rPr>
            </w:pPr>
            <w:r>
              <w:rPr>
                <w:sz w:val="4"/>
                <w:szCs w:val="4"/>
              </w:rPr>
            </w:r>
          </w:p>
        </w:tc>
        <w:tc>
          <w:tcPr>
            <w:tcW w:w="171"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278"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DEFINITIONS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4</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SUBJECT OF THE AGREEMENT</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20</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3.</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PURPOSE</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21</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4.</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REQUIREMENTS TO THE BORROWER FOR RECEIPT OF THE CREDIT</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21</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5.</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PROVISION OF THE CREDIT</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23</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6.</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TERMINATION OF THE CREDITOR’S OBLIGATIONS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23</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7.</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REPAYMENT OF THE CREDIT</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24</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8.</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EARLY REPAYMENT AND WAIVER OF THE CREDIT</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24</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9.</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INTEREST</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27</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10.</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INTEREST PERIOD</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29</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11.</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REMUNERATION OF PARTIES TO FINANCING</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31</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12.</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TAXES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31</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13.</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ADDITIONAL EXPENSES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33</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14.</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REIMBURSEMENT OF EXPENSES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34</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15.</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OBLIGATION OF THE PARTIES TO THE FINANCING TO UNDERTAKE ALL ACTIONS TO AVOID NEGATIVE CONSEQUENCES FOR THE BORROWER</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35</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16.</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REPRESENTATIONS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36</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17.</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OBLIGATIONS TO PROVIDE INFORMATION</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39</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18.</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OBLIGATION TO COMPLY WITH FINANCIAL INDICATORS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42</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19.</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GENERAL OBLIGATIONS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46</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20.</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PERMITTED REORGANIZATION</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55</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21.</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EVENTS OF DEFAULT</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55</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22.</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REPLACEMENT OF THE PARTIES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60</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23.</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PARTIES TO FINANCING</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63</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24.</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PAYMENT MECHANISM</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66</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25.</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NOTIFICATIONS</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68</w:t>
            </w:r>
          </w:p>
        </w:tc>
        <w:tc>
          <w:tcPr>
            <w:tcW w:w="63" w:type="dxa"/>
            <w:tcBorders/>
            <w:shd w:fill="auto" w:val="clear"/>
            <w:vAlign w:val="bottom"/>
          </w:tcPr>
          <w:p>
            <w:pPr>
              <w:pStyle w:val="TableContents"/>
              <w:spacing w:before="0" w:after="283"/>
              <w:rPr/>
            </w:pPr>
            <w:r>
              <w:rPr/>
              <w:t> </w:t>
            </w:r>
          </w:p>
        </w:tc>
      </w:tr>
      <w:tr>
        <w:trPr>
          <w:trHeight w:val="240" w:hRule="atLeast"/>
        </w:trPr>
        <w:tc>
          <w:tcPr>
            <w:tcW w:w="323" w:type="dxa"/>
            <w:tcBorders/>
            <w:shd w:fill="auto" w:val="clear"/>
            <w:vAlign w:val="center"/>
          </w:tcPr>
          <w:p>
            <w:pPr>
              <w:pStyle w:val="TableContents"/>
              <w:spacing w:before="0" w:after="283"/>
              <w:rPr>
                <w:sz w:val="4"/>
                <w:szCs w:val="4"/>
              </w:rPr>
            </w:pPr>
            <w:r>
              <w:rPr>
                <w:sz w:val="4"/>
                <w:szCs w:val="4"/>
              </w:rPr>
            </w:r>
          </w:p>
        </w:tc>
        <w:tc>
          <w:tcPr>
            <w:tcW w:w="9310" w:type="dxa"/>
            <w:gridSpan w:val="2"/>
            <w:tcBorders/>
            <w:shd w:fill="auto" w:val="clear"/>
            <w:vAlign w:val="center"/>
          </w:tcPr>
          <w:p>
            <w:pPr>
              <w:pStyle w:val="TableContents"/>
              <w:spacing w:before="0" w:after="283"/>
              <w:rPr>
                <w:sz w:val="4"/>
                <w:szCs w:val="4"/>
              </w:rPr>
            </w:pPr>
            <w:r>
              <w:rPr>
                <w:sz w:val="4"/>
                <w:szCs w:val="4"/>
              </w:rPr>
            </w:r>
          </w:p>
        </w:tc>
        <w:tc>
          <w:tcPr>
            <w:tcW w:w="572" w:type="dxa"/>
            <w:gridSpan w:val="4"/>
            <w:tcBorders/>
            <w:shd w:fill="auto" w:val="clear"/>
            <w:vAlign w:val="center"/>
          </w:tcPr>
          <w:p>
            <w:pPr>
              <w:pStyle w:val="TableContents"/>
              <w:spacing w:before="0" w:after="283"/>
              <w:rPr>
                <w:sz w:val="4"/>
                <w:szCs w:val="4"/>
              </w:rPr>
            </w:pPr>
            <w:r>
              <w:rPr>
                <w:sz w:val="4"/>
                <w:szCs w:val="4"/>
              </w:rPr>
            </w:r>
          </w:p>
        </w:tc>
      </w:tr>
      <w:tr>
        <w:trPr/>
        <w:tc>
          <w:tcPr>
            <w:tcW w:w="323" w:type="dxa"/>
            <w:tcBorders/>
            <w:shd w:fill="auto" w:val="clear"/>
          </w:tcPr>
          <w:p>
            <w:pPr>
              <w:pStyle w:val="TableContents"/>
              <w:spacing w:before="0" w:after="283"/>
              <w:rPr/>
            </w:pPr>
            <w:r>
              <w:rPr/>
              <w:t>26.</w:t>
            </w:r>
          </w:p>
        </w:tc>
        <w:tc>
          <w:tcPr>
            <w:tcW w:w="171" w:type="dxa"/>
            <w:tcBorders/>
            <w:shd w:fill="auto" w:val="clear"/>
            <w:vAlign w:val="bottom"/>
          </w:tcPr>
          <w:p>
            <w:pPr>
              <w:pStyle w:val="TableContents"/>
              <w:spacing w:before="0" w:after="283"/>
              <w:rPr/>
            </w:pPr>
            <w:r>
              <w:rPr/>
              <w:t>  </w:t>
            </w:r>
          </w:p>
        </w:tc>
        <w:tc>
          <w:tcPr>
            <w:tcW w:w="9139" w:type="dxa"/>
            <w:tcBorders/>
            <w:shd w:fill="auto" w:val="clear"/>
          </w:tcPr>
          <w:p>
            <w:pPr>
              <w:pStyle w:val="TableContents"/>
              <w:spacing w:before="0" w:after="283"/>
              <w:rPr/>
            </w:pPr>
            <w:r>
              <w:rPr/>
              <w:t>PARTIAL INVALIDITY</w:t>
            </w:r>
          </w:p>
        </w:tc>
        <w:tc>
          <w:tcPr>
            <w:tcW w:w="171"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78" w:type="dxa"/>
            <w:tcBorders/>
            <w:shd w:fill="auto" w:val="clear"/>
            <w:vAlign w:val="bottom"/>
          </w:tcPr>
          <w:p>
            <w:pPr>
              <w:pStyle w:val="TableContents"/>
              <w:spacing w:before="0" w:after="283"/>
              <w:jc w:val="right"/>
              <w:rPr/>
            </w:pPr>
            <w:r>
              <w:rPr/>
              <w:t>70</w:t>
            </w:r>
          </w:p>
        </w:tc>
        <w:tc>
          <w:tcPr>
            <w:tcW w:w="63"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362"/>
        <w:gridCol w:w="173"/>
        <w:gridCol w:w="8992"/>
        <w:gridCol w:w="173"/>
        <w:gridCol w:w="60"/>
        <w:gridCol w:w="381"/>
        <w:gridCol w:w="64"/>
      </w:tblGrid>
      <w:tr>
        <w:trPr/>
        <w:tc>
          <w:tcPr>
            <w:tcW w:w="362" w:type="dxa"/>
            <w:tcBorders/>
            <w:shd w:fill="auto" w:val="clear"/>
            <w:vAlign w:val="center"/>
          </w:tcPr>
          <w:p>
            <w:pPr>
              <w:pStyle w:val="TableContents"/>
              <w:spacing w:before="0" w:after="283"/>
              <w:rPr>
                <w:sz w:val="4"/>
                <w:szCs w:val="4"/>
              </w:rPr>
            </w:pPr>
            <w:r>
              <w:rPr>
                <w:sz w:val="4"/>
                <w:szCs w:val="4"/>
              </w:rPr>
            </w:r>
          </w:p>
        </w:tc>
        <w:tc>
          <w:tcPr>
            <w:tcW w:w="173" w:type="dxa"/>
            <w:tcBorders/>
            <w:shd w:fill="auto" w:val="clear"/>
            <w:vAlign w:val="bottom"/>
          </w:tcPr>
          <w:p>
            <w:pPr>
              <w:pStyle w:val="TableContents"/>
              <w:spacing w:before="0" w:after="283"/>
              <w:rPr>
                <w:sz w:val="4"/>
                <w:szCs w:val="4"/>
              </w:rPr>
            </w:pPr>
            <w:r>
              <w:rPr>
                <w:sz w:val="4"/>
                <w:szCs w:val="4"/>
              </w:rPr>
            </w:r>
          </w:p>
        </w:tc>
        <w:tc>
          <w:tcPr>
            <w:tcW w:w="8992" w:type="dxa"/>
            <w:tcBorders/>
            <w:shd w:fill="auto" w:val="clear"/>
            <w:vAlign w:val="center"/>
          </w:tcPr>
          <w:p>
            <w:pPr>
              <w:pStyle w:val="TableContents"/>
              <w:spacing w:before="0" w:after="283"/>
              <w:rPr>
                <w:sz w:val="4"/>
                <w:szCs w:val="4"/>
              </w:rPr>
            </w:pPr>
            <w:r>
              <w:rPr>
                <w:sz w:val="4"/>
                <w:szCs w:val="4"/>
              </w:rPr>
            </w:r>
          </w:p>
        </w:tc>
        <w:tc>
          <w:tcPr>
            <w:tcW w:w="173"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381" w:type="dxa"/>
            <w:tcBorders/>
            <w:shd w:fill="auto" w:val="clear"/>
            <w:vAlign w:val="center"/>
          </w:tcPr>
          <w:p>
            <w:pPr>
              <w:pStyle w:val="TableContents"/>
              <w:spacing w:before="0" w:after="283"/>
              <w:rPr>
                <w:sz w:val="4"/>
                <w:szCs w:val="4"/>
              </w:rPr>
            </w:pPr>
            <w:r>
              <w:rPr>
                <w:sz w:val="4"/>
                <w:szCs w:val="4"/>
              </w:rPr>
            </w:r>
          </w:p>
        </w:tc>
        <w:tc>
          <w:tcPr>
            <w:tcW w:w="64" w:type="dxa"/>
            <w:tcBorders/>
            <w:shd w:fill="auto" w:val="clear"/>
            <w:vAlign w:val="center"/>
          </w:tcPr>
          <w:p>
            <w:pPr>
              <w:pStyle w:val="TableContents"/>
              <w:spacing w:before="0" w:after="283"/>
              <w:rPr>
                <w:sz w:val="4"/>
                <w:szCs w:val="4"/>
              </w:rPr>
            </w:pPr>
            <w:r>
              <w:rPr>
                <w:sz w:val="4"/>
                <w:szCs w:val="4"/>
              </w:rPr>
            </w:r>
          </w:p>
        </w:tc>
      </w:tr>
      <w:tr>
        <w:trPr>
          <w:trHeight w:val="240" w:hRule="atLeast"/>
        </w:trPr>
        <w:tc>
          <w:tcPr>
            <w:tcW w:w="362" w:type="dxa"/>
            <w:tcBorders/>
            <w:shd w:fill="auto" w:val="clear"/>
            <w:vAlign w:val="center"/>
          </w:tcPr>
          <w:p>
            <w:pPr>
              <w:pStyle w:val="TableContents"/>
              <w:spacing w:before="0" w:after="283"/>
              <w:rPr>
                <w:sz w:val="4"/>
                <w:szCs w:val="4"/>
              </w:rPr>
            </w:pPr>
            <w:r>
              <w:rPr>
                <w:sz w:val="4"/>
                <w:szCs w:val="4"/>
              </w:rPr>
            </w:r>
          </w:p>
        </w:tc>
        <w:tc>
          <w:tcPr>
            <w:tcW w:w="9165" w:type="dxa"/>
            <w:gridSpan w:val="2"/>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362" w:type="dxa"/>
            <w:tcBorders/>
            <w:shd w:fill="auto" w:val="clear"/>
          </w:tcPr>
          <w:p>
            <w:pPr>
              <w:pStyle w:val="TableContents"/>
              <w:spacing w:before="0" w:after="283"/>
              <w:rPr/>
            </w:pPr>
            <w:r>
              <w:rPr/>
              <w:t>27.</w:t>
            </w:r>
          </w:p>
        </w:tc>
        <w:tc>
          <w:tcPr>
            <w:tcW w:w="173" w:type="dxa"/>
            <w:tcBorders/>
            <w:shd w:fill="auto" w:val="clear"/>
            <w:vAlign w:val="bottom"/>
          </w:tcPr>
          <w:p>
            <w:pPr>
              <w:pStyle w:val="TableContents"/>
              <w:spacing w:before="0" w:after="283"/>
              <w:rPr/>
            </w:pPr>
            <w:r>
              <w:rPr/>
              <w:t>  </w:t>
            </w:r>
          </w:p>
        </w:tc>
        <w:tc>
          <w:tcPr>
            <w:tcW w:w="8992" w:type="dxa"/>
            <w:tcBorders/>
            <w:shd w:fill="auto" w:val="clear"/>
            <w:vAlign w:val="bottom"/>
          </w:tcPr>
          <w:p>
            <w:pPr>
              <w:pStyle w:val="TableContents"/>
              <w:spacing w:before="0" w:after="283"/>
              <w:rPr/>
            </w:pPr>
            <w:r>
              <w:rPr/>
              <w:t>AMENDMENTS TO THE AGREEMENT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70</w:t>
            </w:r>
          </w:p>
        </w:tc>
        <w:tc>
          <w:tcPr>
            <w:tcW w:w="64" w:type="dxa"/>
            <w:tcBorders/>
            <w:shd w:fill="auto" w:val="clear"/>
            <w:vAlign w:val="bottom"/>
          </w:tcPr>
          <w:p>
            <w:pPr>
              <w:pStyle w:val="TableContents"/>
              <w:spacing w:before="0" w:after="283"/>
              <w:rPr/>
            </w:pPr>
            <w:r>
              <w:rPr/>
              <w:t> </w:t>
            </w:r>
          </w:p>
        </w:tc>
      </w:tr>
      <w:tr>
        <w:trPr>
          <w:trHeight w:val="240" w:hRule="atLeast"/>
        </w:trPr>
        <w:tc>
          <w:tcPr>
            <w:tcW w:w="362" w:type="dxa"/>
            <w:tcBorders/>
            <w:shd w:fill="auto" w:val="clear"/>
            <w:vAlign w:val="center"/>
          </w:tcPr>
          <w:p>
            <w:pPr>
              <w:pStyle w:val="TableContents"/>
              <w:spacing w:before="0" w:after="283"/>
              <w:rPr>
                <w:sz w:val="4"/>
                <w:szCs w:val="4"/>
              </w:rPr>
            </w:pPr>
            <w:r>
              <w:rPr>
                <w:sz w:val="4"/>
                <w:szCs w:val="4"/>
              </w:rPr>
            </w:r>
          </w:p>
        </w:tc>
        <w:tc>
          <w:tcPr>
            <w:tcW w:w="9165" w:type="dxa"/>
            <w:gridSpan w:val="2"/>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362" w:type="dxa"/>
            <w:tcBorders/>
            <w:shd w:fill="auto" w:val="clear"/>
          </w:tcPr>
          <w:p>
            <w:pPr>
              <w:pStyle w:val="TableContents"/>
              <w:spacing w:before="0" w:after="283"/>
              <w:rPr/>
            </w:pPr>
            <w:r>
              <w:rPr/>
              <w:t>28.</w:t>
            </w:r>
          </w:p>
        </w:tc>
        <w:tc>
          <w:tcPr>
            <w:tcW w:w="173" w:type="dxa"/>
            <w:tcBorders/>
            <w:shd w:fill="auto" w:val="clear"/>
            <w:vAlign w:val="bottom"/>
          </w:tcPr>
          <w:p>
            <w:pPr>
              <w:pStyle w:val="TableContents"/>
              <w:spacing w:before="0" w:after="283"/>
              <w:rPr/>
            </w:pPr>
            <w:r>
              <w:rPr/>
              <w:t>  </w:t>
            </w:r>
          </w:p>
        </w:tc>
        <w:tc>
          <w:tcPr>
            <w:tcW w:w="8992" w:type="dxa"/>
            <w:tcBorders/>
            <w:shd w:fill="auto" w:val="clear"/>
            <w:vAlign w:val="bottom"/>
          </w:tcPr>
          <w:p>
            <w:pPr>
              <w:pStyle w:val="TableContents"/>
              <w:spacing w:before="0" w:after="283"/>
              <w:rPr/>
            </w:pPr>
            <w:r>
              <w:rPr/>
              <w:t>CONFIDENTIALITY</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71</w:t>
            </w:r>
          </w:p>
        </w:tc>
        <w:tc>
          <w:tcPr>
            <w:tcW w:w="64" w:type="dxa"/>
            <w:tcBorders/>
            <w:shd w:fill="auto" w:val="clear"/>
            <w:vAlign w:val="bottom"/>
          </w:tcPr>
          <w:p>
            <w:pPr>
              <w:pStyle w:val="TableContents"/>
              <w:spacing w:before="0" w:after="283"/>
              <w:rPr/>
            </w:pPr>
            <w:r>
              <w:rPr/>
              <w:t> </w:t>
            </w:r>
          </w:p>
        </w:tc>
      </w:tr>
      <w:tr>
        <w:trPr>
          <w:trHeight w:val="240" w:hRule="atLeast"/>
        </w:trPr>
        <w:tc>
          <w:tcPr>
            <w:tcW w:w="362" w:type="dxa"/>
            <w:tcBorders/>
            <w:shd w:fill="auto" w:val="clear"/>
            <w:vAlign w:val="center"/>
          </w:tcPr>
          <w:p>
            <w:pPr>
              <w:pStyle w:val="TableContents"/>
              <w:spacing w:before="0" w:after="283"/>
              <w:rPr>
                <w:sz w:val="4"/>
                <w:szCs w:val="4"/>
              </w:rPr>
            </w:pPr>
            <w:r>
              <w:rPr>
                <w:sz w:val="4"/>
                <w:szCs w:val="4"/>
              </w:rPr>
            </w:r>
          </w:p>
        </w:tc>
        <w:tc>
          <w:tcPr>
            <w:tcW w:w="9165" w:type="dxa"/>
            <w:gridSpan w:val="2"/>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362" w:type="dxa"/>
            <w:tcBorders/>
            <w:shd w:fill="auto" w:val="clear"/>
          </w:tcPr>
          <w:p>
            <w:pPr>
              <w:pStyle w:val="TableContents"/>
              <w:spacing w:before="0" w:after="283"/>
              <w:rPr/>
            </w:pPr>
            <w:r>
              <w:rPr/>
              <w:t>29.</w:t>
            </w:r>
          </w:p>
        </w:tc>
        <w:tc>
          <w:tcPr>
            <w:tcW w:w="173" w:type="dxa"/>
            <w:tcBorders/>
            <w:shd w:fill="auto" w:val="clear"/>
            <w:vAlign w:val="bottom"/>
          </w:tcPr>
          <w:p>
            <w:pPr>
              <w:pStyle w:val="TableContents"/>
              <w:spacing w:before="0" w:after="283"/>
              <w:rPr/>
            </w:pPr>
            <w:r>
              <w:rPr/>
              <w:t>  </w:t>
            </w:r>
          </w:p>
        </w:tc>
        <w:tc>
          <w:tcPr>
            <w:tcW w:w="8992" w:type="dxa"/>
            <w:tcBorders/>
            <w:shd w:fill="auto" w:val="clear"/>
            <w:vAlign w:val="bottom"/>
          </w:tcPr>
          <w:p>
            <w:pPr>
              <w:pStyle w:val="TableContents"/>
              <w:spacing w:before="0" w:after="283"/>
              <w:rPr/>
            </w:pPr>
            <w:r>
              <w:rPr/>
              <w:t>GOVERNING LAW</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72</w:t>
            </w:r>
          </w:p>
        </w:tc>
        <w:tc>
          <w:tcPr>
            <w:tcW w:w="64" w:type="dxa"/>
            <w:tcBorders/>
            <w:shd w:fill="auto" w:val="clear"/>
            <w:vAlign w:val="bottom"/>
          </w:tcPr>
          <w:p>
            <w:pPr>
              <w:pStyle w:val="TableContents"/>
              <w:spacing w:before="0" w:after="283"/>
              <w:rPr/>
            </w:pPr>
            <w:r>
              <w:rPr/>
              <w:t> </w:t>
            </w:r>
          </w:p>
        </w:tc>
      </w:tr>
      <w:tr>
        <w:trPr>
          <w:trHeight w:val="240" w:hRule="atLeast"/>
        </w:trPr>
        <w:tc>
          <w:tcPr>
            <w:tcW w:w="362" w:type="dxa"/>
            <w:tcBorders/>
            <w:shd w:fill="auto" w:val="clear"/>
            <w:vAlign w:val="center"/>
          </w:tcPr>
          <w:p>
            <w:pPr>
              <w:pStyle w:val="TableContents"/>
              <w:spacing w:before="0" w:after="283"/>
              <w:rPr>
                <w:sz w:val="4"/>
                <w:szCs w:val="4"/>
              </w:rPr>
            </w:pPr>
            <w:r>
              <w:rPr>
                <w:sz w:val="4"/>
                <w:szCs w:val="4"/>
              </w:rPr>
            </w:r>
          </w:p>
        </w:tc>
        <w:tc>
          <w:tcPr>
            <w:tcW w:w="9165" w:type="dxa"/>
            <w:gridSpan w:val="2"/>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362" w:type="dxa"/>
            <w:tcBorders/>
            <w:shd w:fill="auto" w:val="clear"/>
          </w:tcPr>
          <w:p>
            <w:pPr>
              <w:pStyle w:val="TableContents"/>
              <w:spacing w:before="0" w:after="283"/>
              <w:rPr/>
            </w:pPr>
            <w:r>
              <w:rPr/>
              <w:t>30.</w:t>
            </w:r>
          </w:p>
        </w:tc>
        <w:tc>
          <w:tcPr>
            <w:tcW w:w="173" w:type="dxa"/>
            <w:tcBorders/>
            <w:shd w:fill="auto" w:val="clear"/>
            <w:vAlign w:val="bottom"/>
          </w:tcPr>
          <w:p>
            <w:pPr>
              <w:pStyle w:val="TableContents"/>
              <w:spacing w:before="0" w:after="283"/>
              <w:rPr/>
            </w:pPr>
            <w:r>
              <w:rPr/>
              <w:t>  </w:t>
            </w:r>
          </w:p>
        </w:tc>
        <w:tc>
          <w:tcPr>
            <w:tcW w:w="8992" w:type="dxa"/>
            <w:tcBorders/>
            <w:shd w:fill="auto" w:val="clear"/>
            <w:vAlign w:val="bottom"/>
          </w:tcPr>
          <w:p>
            <w:pPr>
              <w:pStyle w:val="TableContents"/>
              <w:spacing w:before="0" w:after="283"/>
              <w:rPr/>
            </w:pPr>
            <w:r>
              <w:rPr/>
              <w:t>DISPUTE RESOLUTION</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73</w:t>
            </w:r>
          </w:p>
        </w:tc>
        <w:tc>
          <w:tcPr>
            <w:tcW w:w="64" w:type="dxa"/>
            <w:tcBorders/>
            <w:shd w:fill="auto" w:val="clear"/>
            <w:vAlign w:val="bottom"/>
          </w:tcPr>
          <w:p>
            <w:pPr>
              <w:pStyle w:val="TableContents"/>
              <w:spacing w:before="0" w:after="283"/>
              <w:rPr/>
            </w:pPr>
            <w:r>
              <w:rPr/>
              <w:t> </w:t>
            </w:r>
          </w:p>
        </w:tc>
      </w:tr>
      <w:tr>
        <w:trPr>
          <w:trHeight w:val="240" w:hRule="atLeast"/>
        </w:trPr>
        <w:tc>
          <w:tcPr>
            <w:tcW w:w="362" w:type="dxa"/>
            <w:tcBorders/>
            <w:shd w:fill="auto" w:val="clear"/>
            <w:vAlign w:val="center"/>
          </w:tcPr>
          <w:p>
            <w:pPr>
              <w:pStyle w:val="TableContents"/>
              <w:spacing w:before="0" w:after="283"/>
              <w:rPr>
                <w:sz w:val="4"/>
                <w:szCs w:val="4"/>
              </w:rPr>
            </w:pPr>
            <w:r>
              <w:rPr>
                <w:sz w:val="4"/>
                <w:szCs w:val="4"/>
              </w:rPr>
            </w:r>
          </w:p>
        </w:tc>
        <w:tc>
          <w:tcPr>
            <w:tcW w:w="9165" w:type="dxa"/>
            <w:gridSpan w:val="2"/>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362" w:type="dxa"/>
            <w:tcBorders/>
            <w:shd w:fill="auto" w:val="clear"/>
          </w:tcPr>
          <w:p>
            <w:pPr>
              <w:pStyle w:val="TableContents"/>
              <w:spacing w:before="0" w:after="283"/>
              <w:rPr/>
            </w:pPr>
            <w:r>
              <w:rPr/>
              <w:t>31.</w:t>
            </w:r>
          </w:p>
        </w:tc>
        <w:tc>
          <w:tcPr>
            <w:tcW w:w="173" w:type="dxa"/>
            <w:tcBorders/>
            <w:shd w:fill="auto" w:val="clear"/>
            <w:vAlign w:val="bottom"/>
          </w:tcPr>
          <w:p>
            <w:pPr>
              <w:pStyle w:val="TableContents"/>
              <w:spacing w:before="0" w:after="283"/>
              <w:rPr/>
            </w:pPr>
            <w:r>
              <w:rPr/>
              <w:t>  </w:t>
            </w:r>
          </w:p>
        </w:tc>
        <w:tc>
          <w:tcPr>
            <w:tcW w:w="8992" w:type="dxa"/>
            <w:tcBorders/>
            <w:shd w:fill="auto" w:val="clear"/>
            <w:vAlign w:val="bottom"/>
          </w:tcPr>
          <w:p>
            <w:pPr>
              <w:pStyle w:val="TableContents"/>
              <w:spacing w:before="0" w:after="283"/>
              <w:rPr/>
            </w:pPr>
            <w:r>
              <w:rPr/>
              <w:t>SIGNING</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73</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1 LIST OF INITIAL CREDITORS AND CREDIT LIMITS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74</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2 REQUIREMENTS TO THE BORROWER TO OBTAIN CREDIT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75</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3 FORM OF DRAWDOWN REQUEST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87</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4 FORM OF ASSIGNMENT AGREEMENT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88</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5 FORM OF CONFIRMATION OF FINANCIAL INDICATORS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95</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6 LOAN REPAYMENT SCHEDULE</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100</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7 CURRENT FINANCIAL INDEBTEDNESS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103</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8 INTELECTUAL PROPERTY ITEMS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105</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9 GROUP STRUCTURE CHART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107</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10 LITIGATION</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108</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11 LIST OF CURRENT DEBTS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110</w:t>
            </w:r>
          </w:p>
        </w:tc>
        <w:tc>
          <w:tcPr>
            <w:tcW w:w="64" w:type="dxa"/>
            <w:tcBorders/>
            <w:shd w:fill="auto" w:val="clear"/>
            <w:vAlign w:val="bottom"/>
          </w:tcPr>
          <w:p>
            <w:pPr>
              <w:pStyle w:val="TableContents"/>
              <w:spacing w:before="0" w:after="283"/>
              <w:rPr/>
            </w:pPr>
            <w:r>
              <w:rPr/>
              <w:t> </w:t>
            </w:r>
          </w:p>
        </w:tc>
      </w:tr>
      <w:tr>
        <w:trPr>
          <w:trHeight w:val="240" w:hRule="atLeast"/>
        </w:trPr>
        <w:tc>
          <w:tcPr>
            <w:tcW w:w="9527" w:type="dxa"/>
            <w:gridSpan w:val="3"/>
            <w:tcBorders/>
            <w:shd w:fill="auto" w:val="clear"/>
            <w:vAlign w:val="center"/>
          </w:tcPr>
          <w:p>
            <w:pPr>
              <w:pStyle w:val="TableContents"/>
              <w:spacing w:before="0" w:after="283"/>
              <w:rPr>
                <w:sz w:val="4"/>
                <w:szCs w:val="4"/>
              </w:rPr>
            </w:pPr>
            <w:r>
              <w:rPr>
                <w:sz w:val="4"/>
                <w:szCs w:val="4"/>
              </w:rPr>
            </w:r>
          </w:p>
        </w:tc>
        <w:tc>
          <w:tcPr>
            <w:tcW w:w="678" w:type="dxa"/>
            <w:gridSpan w:val="4"/>
            <w:tcBorders/>
            <w:shd w:fill="auto" w:val="clear"/>
            <w:vAlign w:val="center"/>
          </w:tcPr>
          <w:p>
            <w:pPr>
              <w:pStyle w:val="TableContents"/>
              <w:spacing w:before="0" w:after="283"/>
              <w:rPr>
                <w:sz w:val="4"/>
                <w:szCs w:val="4"/>
              </w:rPr>
            </w:pPr>
            <w:r>
              <w:rPr>
                <w:sz w:val="4"/>
                <w:szCs w:val="4"/>
              </w:rPr>
            </w:r>
          </w:p>
        </w:tc>
      </w:tr>
      <w:tr>
        <w:trPr/>
        <w:tc>
          <w:tcPr>
            <w:tcW w:w="9527" w:type="dxa"/>
            <w:gridSpan w:val="3"/>
            <w:tcBorders/>
            <w:shd w:fill="auto" w:val="clear"/>
          </w:tcPr>
          <w:p>
            <w:pPr>
              <w:pStyle w:val="TableContents"/>
              <w:spacing w:before="0" w:after="283"/>
              <w:rPr/>
            </w:pPr>
            <w:r>
              <w:rPr/>
              <w:t>APPENDIX 12 LIST OF RUSSIAN BANKS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1" w:type="dxa"/>
            <w:tcBorders/>
            <w:shd w:fill="auto" w:val="clear"/>
            <w:vAlign w:val="bottom"/>
          </w:tcPr>
          <w:p>
            <w:pPr>
              <w:pStyle w:val="TableContents"/>
              <w:spacing w:before="0" w:after="283"/>
              <w:jc w:val="right"/>
              <w:rPr/>
            </w:pPr>
            <w:r>
              <w:rPr/>
              <w:t>111</w:t>
            </w:r>
          </w:p>
        </w:tc>
        <w:tc>
          <w:tcPr>
            <w:tcW w:w="64"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THIS AGREEMENT for syndicated credit (hereinafter - the Agreement) has been concluded on 16 May 2016 BETWEEN: </w:t>
      </w:r>
    </w:p>
    <w:p>
      <w:pPr>
        <w:pStyle w:val="TextBody"/>
        <w:spacing w:before="240" w:after="0"/>
        <w:rPr>
          <w:rFonts w:ascii="Times New Roman" w:hAnsi="Times New Roman"/>
          <w:sz w:val="20"/>
        </w:rPr>
      </w:pPr>
      <w:r>
        <w:rPr>
          <w:rFonts w:ascii="Times New Roman" w:hAnsi="Times New Roman"/>
          <w:sz w:val="20"/>
        </w:rPr>
        <w:t xml:space="preserve">(1) Limited Liability Company “Zemenik”, organized under the laws of the Russian Federation, registered in the Unified State Register of Legal Entities of the Russian Federation under the number (BIN): 1167746153860, with its registered office at Academika Ilyushina st., h. 4, b. 1, office 54, Moscow, Russia, 125319, represented by the General Director Karen Eduardovich Agayan, acting under the Charter (hereinafter - the Borrower); </w:t>
      </w:r>
    </w:p>
    <w:p>
      <w:pPr>
        <w:pStyle w:val="TextBody"/>
        <w:spacing w:before="240" w:after="0"/>
        <w:rPr>
          <w:rFonts w:ascii="Times New Roman" w:hAnsi="Times New Roman"/>
          <w:sz w:val="20"/>
        </w:rPr>
      </w:pPr>
      <w:r>
        <w:rPr>
          <w:rFonts w:ascii="Times New Roman" w:hAnsi="Times New Roman"/>
          <w:sz w:val="20"/>
        </w:rPr>
        <w:t xml:space="preserve">(2) VTB BANK (PUBLIC JOINT STOCK COMPANY) as the organizer of the Loan (hereinafter - Organizer); </w:t>
      </w:r>
    </w:p>
    <w:p>
      <w:pPr>
        <w:pStyle w:val="TextBody"/>
        <w:spacing w:before="240" w:after="0"/>
        <w:rPr>
          <w:rFonts w:ascii="Times New Roman" w:hAnsi="Times New Roman"/>
          <w:sz w:val="20"/>
        </w:rPr>
      </w:pPr>
      <w:r>
        <w:rPr>
          <w:rFonts w:ascii="Times New Roman" w:hAnsi="Times New Roman"/>
          <w:sz w:val="20"/>
        </w:rPr>
        <w:t xml:space="preserve">(3) VTB BANK (PUBLIC JOINT STOCK COMPANY) as a creditor (hereinafter - the Initial Creditor); and </w:t>
      </w:r>
    </w:p>
    <w:p>
      <w:pPr>
        <w:pStyle w:val="TextBody"/>
        <w:spacing w:before="240" w:after="0"/>
        <w:rPr>
          <w:rFonts w:ascii="Times New Roman" w:hAnsi="Times New Roman"/>
          <w:sz w:val="20"/>
        </w:rPr>
      </w:pPr>
      <w:r>
        <w:rPr>
          <w:rFonts w:ascii="Times New Roman" w:hAnsi="Times New Roman"/>
          <w:sz w:val="20"/>
        </w:rPr>
        <w:t xml:space="preserve">(4) VTB BANK (PUBLIC JOINT STOCK COMPANY) as a Credit Agent (hereinafter – Credit Agent). </w:t>
      </w:r>
    </w:p>
    <w:p>
      <w:pPr>
        <w:pStyle w:val="TextBody"/>
        <w:spacing w:before="240" w:after="0"/>
        <w:rPr>
          <w:rFonts w:ascii="Times New Roman" w:hAnsi="Times New Roman"/>
          <w:sz w:val="20"/>
        </w:rPr>
      </w:pPr>
      <w:r>
        <w:rPr>
          <w:rFonts w:ascii="Times New Roman" w:hAnsi="Times New Roman"/>
          <w:sz w:val="20"/>
        </w:rPr>
        <w:t xml:space="preserve">IT IS AGREED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1.</w:t>
            </w:r>
          </w:p>
        </w:tc>
        <w:tc>
          <w:tcPr>
            <w:tcW w:w="9697" w:type="dxa"/>
            <w:tcBorders/>
            <w:shd w:fill="auto" w:val="clear"/>
          </w:tcPr>
          <w:p>
            <w:pPr>
              <w:pStyle w:val="TableContents"/>
              <w:spacing w:before="0" w:after="283"/>
              <w:jc w:val="left"/>
              <w:rPr/>
            </w:pPr>
            <w:r>
              <w:rPr/>
              <w:t xml:space="preserve">Definitions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1.1</w:t>
            </w:r>
          </w:p>
        </w:tc>
        <w:tc>
          <w:tcPr>
            <w:tcW w:w="9695" w:type="dxa"/>
            <w:tcBorders/>
            <w:shd w:fill="auto" w:val="clear"/>
          </w:tcPr>
          <w:p>
            <w:pPr>
              <w:pStyle w:val="TableContents"/>
              <w:spacing w:before="0" w:after="283"/>
              <w:jc w:val="left"/>
              <w:rPr/>
            </w:pPr>
            <w:r>
              <w:rPr/>
              <w:t xml:space="preserve">Terms </w:t>
            </w:r>
          </w:p>
        </w:tc>
      </w:tr>
    </w:tbl>
    <w:p>
      <w:pPr>
        <w:pStyle w:val="TextBody"/>
        <w:spacing w:before="120" w:after="0"/>
        <w:rPr>
          <w:rFonts w:ascii="Times New Roman" w:hAnsi="Times New Roman"/>
          <w:sz w:val="20"/>
        </w:rPr>
      </w:pPr>
      <w:r>
        <w:rPr>
          <w:rFonts w:ascii="Times New Roman" w:hAnsi="Times New Roman"/>
          <w:sz w:val="20"/>
        </w:rPr>
        <w:t xml:space="preserve">In this Agreement: </w:t>
      </w:r>
    </w:p>
    <w:p>
      <w:pPr>
        <w:pStyle w:val="TextBody"/>
        <w:spacing w:before="120" w:after="0"/>
        <w:rPr>
          <w:rFonts w:ascii="Times New Roman" w:hAnsi="Times New Roman"/>
          <w:sz w:val="20"/>
        </w:rPr>
      </w:pPr>
      <w:r>
        <w:rPr>
          <w:rFonts w:ascii="Times New Roman" w:hAnsi="Times New Roman"/>
          <w:sz w:val="20"/>
        </w:rPr>
        <w:t xml:space="preserve">Auditors mean: </w:t>
      </w:r>
    </w:p>
    <w:p>
      <w:pPr>
        <w:pStyle w:val="TextBody"/>
        <w:spacing w:before="120" w:after="0"/>
        <w:rPr>
          <w:rFonts w:ascii="Times New Roman" w:hAnsi="Times New Roman"/>
          <w:sz w:val="20"/>
        </w:rPr>
      </w:pPr>
      <w:r>
        <w:rPr>
          <w:rFonts w:ascii="Times New Roman" w:hAnsi="Times New Roman"/>
          <w:sz w:val="20"/>
        </w:rPr>
        <w:t xml:space="preserve">(a)    in relation to the financial statements of the Group and its members, prepared in accordance with IFRS, Joint-Stock Company “KPMG” or firm “Deloitte CIS Holdings Limited”, or OOO “PricewaterhouseCoopers Consulting” or firm Ernst &amp; Young Global Limited; and </w:t>
      </w:r>
    </w:p>
    <w:p>
      <w:pPr>
        <w:pStyle w:val="TextBody"/>
        <w:spacing w:before="240" w:after="0"/>
        <w:rPr>
          <w:rFonts w:ascii="Times New Roman" w:hAnsi="Times New Roman"/>
          <w:sz w:val="20"/>
        </w:rPr>
      </w:pPr>
      <w:r>
        <w:rPr>
          <w:rFonts w:ascii="Times New Roman" w:hAnsi="Times New Roman"/>
          <w:sz w:val="20"/>
        </w:rPr>
        <w:t xml:space="preserve">(b)    in relation to the financial statements of members of the Group prepared in accordance with applicable standards Reporting other than IFRS, any company listed in paragraph (a) above, as well as the company “Moore Stephens” Company “Finexpertiza”, CJSC “BDO” , LLC “FBK” and CJSC “2K - Business consultations” or any other accounting firm approved by the majority Lenders. </w:t>
      </w:r>
    </w:p>
    <w:p>
      <w:pPr>
        <w:pStyle w:val="TextBody"/>
        <w:spacing w:before="240" w:after="0"/>
        <w:rPr>
          <w:rFonts w:ascii="Times New Roman" w:hAnsi="Times New Roman"/>
          <w:sz w:val="20"/>
        </w:rPr>
      </w:pPr>
      <w:r>
        <w:rPr>
          <w:rFonts w:ascii="Times New Roman" w:hAnsi="Times New Roman"/>
          <w:sz w:val="20"/>
        </w:rPr>
        <w:t xml:space="preserve">Affiliate mean Subsidiaries or associated company of that person or a Holding Company of that person or any other subsidiaries or dependent companies of such Holding Company. </w:t>
      </w:r>
    </w:p>
    <w:p>
      <w:pPr>
        <w:pStyle w:val="TextBody"/>
        <w:spacing w:before="240" w:after="0"/>
        <w:rPr>
          <w:rFonts w:ascii="Times New Roman" w:hAnsi="Times New Roman"/>
          <w:sz w:val="20"/>
        </w:rPr>
      </w:pPr>
      <w:r>
        <w:rPr>
          <w:rFonts w:ascii="Times New Roman" w:hAnsi="Times New Roman"/>
          <w:sz w:val="20"/>
        </w:rPr>
        <w:t xml:space="preserve">Basle II means recommendations contained in the document adopted by the Basel Committee on Banking Supervision in June 2004, the “International Convergence of Capital Measurement and Capital Standards: a Revised Framework”. </w:t>
      </w:r>
    </w:p>
    <w:p>
      <w:pPr>
        <w:pStyle w:val="TextBody"/>
        <w:spacing w:before="360" w:after="0"/>
        <w:rPr>
          <w:rFonts w:ascii="Times New Roman" w:hAnsi="Times New Roman"/>
          <w:sz w:val="20"/>
        </w:rPr>
      </w:pPr>
      <w:r>
        <w:rPr>
          <w:rFonts w:ascii="Times New Roman" w:hAnsi="Times New Roman"/>
          <w:sz w:val="20"/>
        </w:rPr>
        <w:t xml:space="preserve">Basle III mean: </w:t>
      </w:r>
    </w:p>
    <w:p>
      <w:pPr>
        <w:pStyle w:val="TextBody"/>
        <w:spacing w:before="120" w:after="0"/>
        <w:rPr>
          <w:rFonts w:ascii="Times New Roman" w:hAnsi="Times New Roman"/>
          <w:sz w:val="20"/>
        </w:rPr>
      </w:pPr>
      <w:r>
        <w:rPr>
          <w:rFonts w:ascii="Times New Roman" w:hAnsi="Times New Roman"/>
          <w:sz w:val="20"/>
        </w:rPr>
        <w:t xml:space="preserve">(a)    recommendations contained in documents published in December 2010, the Basel Committee on Banking Supervision, the “Basel III: Common regulatory approaches to improve the stability of banks and the banking sector”, “Basel III: International approaches to the assessment standards and liquidity risk monitoring “and” Guidance for national supervisory authorities to manage countercyclical capital buffer of protection”, with subsequent amendments and additions;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(b)    recommendations for global systemically important banks, contained in the document published by the Basel Committee on Banking Supervision in November 2011 “Global systemically important banks: assessment methodology and additional requirements for the absorption of losses - the text of the rules”, with subsequent amendments and additions; and </w:t>
      </w:r>
    </w:p>
    <w:p>
      <w:pPr>
        <w:pStyle w:val="TextBody"/>
        <w:spacing w:before="240" w:after="0"/>
        <w:rPr>
          <w:rFonts w:ascii="Times New Roman" w:hAnsi="Times New Roman"/>
          <w:sz w:val="20"/>
        </w:rPr>
      </w:pPr>
      <w:r>
        <w:rPr>
          <w:rFonts w:ascii="Times New Roman" w:hAnsi="Times New Roman"/>
          <w:sz w:val="20"/>
        </w:rPr>
        <w:t xml:space="preserve">(c)    any other documents or clarifications, the standards published by the Basel Committee on Banking Supervision in connection with the “Basel III”. </w:t>
      </w:r>
    </w:p>
    <w:p>
      <w:pPr>
        <w:pStyle w:val="TextBody"/>
        <w:spacing w:before="360" w:after="0"/>
        <w:rPr>
          <w:rFonts w:ascii="Times New Roman" w:hAnsi="Times New Roman"/>
          <w:sz w:val="20"/>
        </w:rPr>
      </w:pPr>
      <w:r>
        <w:rPr>
          <w:rFonts w:ascii="Times New Roman" w:hAnsi="Times New Roman"/>
          <w:sz w:val="20"/>
        </w:rPr>
        <w:t xml:space="preserve">Majority of Creditors mean: </w:t>
      </w:r>
    </w:p>
    <w:p>
      <w:pPr>
        <w:pStyle w:val="TextBody"/>
        <w:spacing w:before="120" w:after="0"/>
        <w:rPr>
          <w:rFonts w:ascii="Times New Roman" w:hAnsi="Times New Roman"/>
          <w:sz w:val="20"/>
        </w:rPr>
      </w:pPr>
      <w:r>
        <w:rPr>
          <w:rFonts w:ascii="Times New Roman" w:hAnsi="Times New Roman"/>
          <w:sz w:val="20"/>
        </w:rPr>
        <w:t xml:space="preserve">(a) or the period up to Drawdown Date - Creditors whose credit limit in the aggregate sum amounts to 75 (seventy-five) percent or more of the total credit limit; </w:t>
      </w:r>
    </w:p>
    <w:p>
      <w:pPr>
        <w:pStyle w:val="TextBody"/>
        <w:spacing w:before="240" w:after="0"/>
        <w:rPr>
          <w:rFonts w:ascii="Times New Roman" w:hAnsi="Times New Roman"/>
          <w:sz w:val="20"/>
        </w:rPr>
      </w:pPr>
      <w:r>
        <w:rPr>
          <w:rFonts w:ascii="Times New Roman" w:hAnsi="Times New Roman"/>
          <w:sz w:val="20"/>
        </w:rPr>
        <w:t xml:space="preserve">(b) if there is no Outstanding Credit and total credit limit has been reduced to zero - Creditors whose credit limit in the aggregate sum amounts to 75 (seventy-five) percent or more of the total credit limit immediately prior to the date of such reduction; </w:t>
      </w:r>
      <w:r>
        <w:rPr>
          <w:rFonts w:ascii="Times New Roman" w:hAnsi="Times New Roman"/>
          <w:sz w:val="20"/>
        </w:rPr>
        <w:drawing>
          <wp:inline distT="0" distB="0" distL="0" distR="0">
            <wp:extent cx="718820" cy="35941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(c) for any other period of time - Creditors whose participation in Outstanding Credit in conjunction with their unused credit limit, and the amount to be provided, together amounts to 75 (seventy-five) percent or more of the total amount of outstanding loans, together with the collection of untapped credit limit and the amount to be provided by all Creditors. </w:t>
      </w:r>
    </w:p>
    <w:p>
      <w:pPr>
        <w:pStyle w:val="TextBody"/>
        <w:spacing w:before="240" w:after="0"/>
        <w:rPr>
          <w:rFonts w:ascii="Times New Roman" w:hAnsi="Times New Roman"/>
          <w:sz w:val="20"/>
        </w:rPr>
      </w:pPr>
      <w:r>
        <w:rPr>
          <w:rFonts w:ascii="Times New Roman" w:hAnsi="Times New Roman"/>
          <w:sz w:val="20"/>
        </w:rPr>
        <w:t>Revenue means, in relation to any of the Borrowers the Borrower’s revenue determined in accordance with the financial statements prepared in accordance with applicable standards reports submitted in accordance with Article 17.1 (</w:t>
      </w:r>
      <w:r>
        <w:rPr>
          <w:rFonts w:ascii="Times New Roman" w:hAnsi="Times New Roman"/>
          <w:i/>
          <w:sz w:val="20"/>
        </w:rPr>
        <w:t>Financial Statements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Guarantor means each of HeadHunter FSU, Zemenik Trading and Headhunter, and each of the Additional Guarantors. </w:t>
      </w:r>
    </w:p>
    <w:p>
      <w:pPr>
        <w:pStyle w:val="TextBody"/>
        <w:spacing w:before="240" w:after="0"/>
        <w:rPr>
          <w:rFonts w:ascii="Times New Roman" w:hAnsi="Times New Roman"/>
          <w:sz w:val="20"/>
        </w:rPr>
      </w:pPr>
      <w:r>
        <w:rPr>
          <w:rFonts w:ascii="Times New Roman" w:hAnsi="Times New Roman"/>
          <w:sz w:val="20"/>
        </w:rPr>
        <w:t xml:space="preserve">The State Party of the Treaty on Double Taxation is a state which has Treaty on Double Taxation with the Russian Federation. </w:t>
      </w:r>
    </w:p>
    <w:p>
      <w:pPr>
        <w:pStyle w:val="TextBody"/>
        <w:spacing w:before="240" w:after="0"/>
        <w:rPr>
          <w:rFonts w:ascii="Times New Roman" w:hAnsi="Times New Roman"/>
          <w:sz w:val="20"/>
        </w:rPr>
      </w:pPr>
      <w:r>
        <w:rPr>
          <w:rFonts w:ascii="Times New Roman" w:hAnsi="Times New Roman"/>
          <w:sz w:val="20"/>
        </w:rPr>
        <w:t xml:space="preserve">Civil Code means Civil Code of the Russian Federation. </w:t>
      </w:r>
    </w:p>
    <w:p>
      <w:pPr>
        <w:pStyle w:val="TextBody"/>
        <w:spacing w:before="240" w:after="0"/>
        <w:rPr>
          <w:rFonts w:ascii="Times New Roman" w:hAnsi="Times New Roman"/>
          <w:sz w:val="20"/>
        </w:rPr>
      </w:pPr>
      <w:r>
        <w:rPr>
          <w:rFonts w:ascii="Times New Roman" w:hAnsi="Times New Roman"/>
          <w:sz w:val="20"/>
        </w:rPr>
        <w:t xml:space="preserve">Group means for the purposes of this Agreement, Zemenik Trading, as well as Subsidiaries of Zemenik Trading, whose financial statements are consolidated with the financial statements of Zemenik Trading in accordance with IFRS at the relevant time. </w:t>
      </w:r>
    </w:p>
    <w:p>
      <w:pPr>
        <w:pStyle w:val="TextBody"/>
        <w:spacing w:before="240" w:after="0"/>
        <w:rPr>
          <w:rFonts w:ascii="Times New Roman" w:hAnsi="Times New Roman"/>
          <w:sz w:val="20"/>
        </w:rPr>
      </w:pPr>
      <w:r>
        <w:rPr>
          <w:rFonts w:ascii="Times New Roman" w:hAnsi="Times New Roman"/>
          <w:sz w:val="20"/>
        </w:rPr>
        <w:t xml:space="preserve">Drawdown Date means each date on which the Loan Agent shall transfer the Loan or part thereof referred to in the Drawdown Request to the Borrower’s account. </w:t>
      </w:r>
    </w:p>
    <w:p>
      <w:pPr>
        <w:pStyle w:val="TextBody"/>
        <w:spacing w:before="240" w:after="0"/>
        <w:rPr>
          <w:rFonts w:ascii="Times New Roman" w:hAnsi="Times New Roman"/>
          <w:sz w:val="20"/>
        </w:rPr>
      </w:pPr>
      <w:r>
        <w:rPr>
          <w:rFonts w:ascii="Times New Roman" w:hAnsi="Times New Roman"/>
          <w:sz w:val="20"/>
        </w:rPr>
        <w:t xml:space="preserve">Final Maturity Date of Tranche A and Tranche B means the date falling through 1824 (one thousand eight twenty four) calendar days from the date of this Agreement. </w:t>
      </w:r>
    </w:p>
    <w:p>
      <w:pPr>
        <w:pStyle w:val="TextBody"/>
        <w:spacing w:before="240" w:after="0"/>
        <w:rPr>
          <w:rFonts w:ascii="Times New Roman" w:hAnsi="Times New Roman"/>
          <w:sz w:val="20"/>
        </w:rPr>
      </w:pPr>
      <w:r>
        <w:rPr>
          <w:rFonts w:ascii="Times New Roman" w:hAnsi="Times New Roman"/>
          <w:sz w:val="20"/>
        </w:rPr>
        <w:t xml:space="preserve">Final Maturity Date of Tranche B and Tranche G means the date falling through 1825 (one thousand eight twenty five) calendar days from the date of Amendment Agreement #3. </w:t>
      </w:r>
    </w:p>
    <w:p>
      <w:pPr>
        <w:pStyle w:val="TextBody"/>
        <w:spacing w:before="240" w:after="0"/>
        <w:rPr>
          <w:rFonts w:ascii="Times New Roman" w:hAnsi="Times New Roman"/>
          <w:sz w:val="20"/>
        </w:rPr>
      </w:pPr>
      <w:r>
        <w:rPr>
          <w:rFonts w:ascii="Times New Roman" w:hAnsi="Times New Roman"/>
          <w:sz w:val="20"/>
        </w:rPr>
        <w:t xml:space="preserve">Interest Payment Date means 31 March, 30 June, 30 September and 31 December of each year, and if the corresponding day is not a Business Day, the preceding Business Day specified number. </w:t>
      </w:r>
    </w:p>
    <w:p>
      <w:pPr>
        <w:pStyle w:val="TextBody"/>
        <w:spacing w:before="240" w:after="0"/>
        <w:rPr>
          <w:rFonts w:ascii="Times New Roman" w:hAnsi="Times New Roman"/>
          <w:sz w:val="20"/>
        </w:rPr>
      </w:pPr>
      <w:r>
        <w:rPr>
          <w:rFonts w:ascii="Times New Roman" w:hAnsi="Times New Roman"/>
          <w:sz w:val="20"/>
        </w:rPr>
        <w:t xml:space="preserve">Cash has the meaning given to that term in the IFRS.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Pledge Agreement means each of the following agreements: </w:t>
      </w:r>
    </w:p>
    <w:p>
      <w:pPr>
        <w:pStyle w:val="TextBody"/>
        <w:spacing w:before="240" w:after="0"/>
        <w:rPr>
          <w:rFonts w:ascii="Times New Roman" w:hAnsi="Times New Roman"/>
          <w:sz w:val="20"/>
        </w:rPr>
      </w:pPr>
      <w:r>
        <w:rPr>
          <w:rFonts w:ascii="Times New Roman" w:hAnsi="Times New Roman"/>
          <w:sz w:val="20"/>
        </w:rPr>
        <w:t xml:space="preserve">(a) Borrower’s Pledge Agreement; </w:t>
      </w:r>
    </w:p>
    <w:p>
      <w:pPr>
        <w:pStyle w:val="TextBody"/>
        <w:spacing w:before="240" w:after="0"/>
        <w:rPr>
          <w:rFonts w:ascii="Times New Roman" w:hAnsi="Times New Roman"/>
          <w:sz w:val="20"/>
        </w:rPr>
      </w:pPr>
      <w:r>
        <w:rPr>
          <w:rFonts w:ascii="Times New Roman" w:hAnsi="Times New Roman"/>
          <w:sz w:val="20"/>
        </w:rPr>
        <w:t xml:space="preserve">(b) Headhunter Pledge Agreement; </w:t>
      </w:r>
    </w:p>
    <w:p>
      <w:pPr>
        <w:pStyle w:val="TextBody"/>
        <w:spacing w:before="240" w:after="0"/>
        <w:rPr>
          <w:rFonts w:ascii="Times New Roman" w:hAnsi="Times New Roman"/>
          <w:sz w:val="20"/>
        </w:rPr>
      </w:pPr>
      <w:r>
        <w:rPr>
          <w:rFonts w:ascii="Times New Roman" w:hAnsi="Times New Roman"/>
          <w:sz w:val="20"/>
        </w:rPr>
        <w:t xml:space="preserve">(c) HeadHunter FSU Pledge Agreement; </w:t>
      </w:r>
    </w:p>
    <w:p>
      <w:pPr>
        <w:pStyle w:val="TextBody"/>
        <w:spacing w:before="240" w:after="0"/>
        <w:rPr>
          <w:rFonts w:ascii="Times New Roman" w:hAnsi="Times New Roman"/>
          <w:sz w:val="20"/>
        </w:rPr>
      </w:pPr>
      <w:r>
        <w:rPr>
          <w:rFonts w:ascii="Times New Roman" w:hAnsi="Times New Roman"/>
          <w:sz w:val="20"/>
        </w:rPr>
        <w:t xml:space="preserve">(d) Zemenik Trading Pledge Agreement; and </w:t>
      </w:r>
    </w:p>
    <w:p>
      <w:pPr>
        <w:pStyle w:val="TextBody"/>
        <w:spacing w:before="240" w:after="0"/>
        <w:rPr>
          <w:rFonts w:ascii="Times New Roman" w:hAnsi="Times New Roman"/>
          <w:sz w:val="20"/>
        </w:rPr>
      </w:pPr>
      <w:r>
        <w:rPr>
          <w:rFonts w:ascii="Times New Roman" w:hAnsi="Times New Roman"/>
          <w:sz w:val="20"/>
        </w:rPr>
        <w:t xml:space="preserve">(e) Each Supplementary Pledge Agreement. </w:t>
      </w:r>
    </w:p>
    <w:p>
      <w:pPr>
        <w:pStyle w:val="TextBody"/>
        <w:spacing w:before="240" w:after="0"/>
        <w:rPr>
          <w:rFonts w:ascii="Times New Roman" w:hAnsi="Times New Roman"/>
          <w:sz w:val="20"/>
        </w:rPr>
      </w:pPr>
      <w:r>
        <w:rPr>
          <w:rFonts w:ascii="Times New Roman" w:hAnsi="Times New Roman"/>
          <w:sz w:val="20"/>
        </w:rPr>
        <w:t xml:space="preserve">Borrower’s Pledge Agreement means a contract of pledge of the share capital of the Borrower under Russian law, concluded between the Creditor and Zemenik Trading to secure obligations of the Borrower under this Agreement. </w:t>
      </w:r>
    </w:p>
    <w:p>
      <w:pPr>
        <w:pStyle w:val="TextBody"/>
        <w:spacing w:before="240" w:after="0"/>
        <w:rPr>
          <w:rFonts w:ascii="Times New Roman" w:hAnsi="Times New Roman"/>
          <w:sz w:val="20"/>
        </w:rPr>
      </w:pPr>
      <w:r>
        <w:rPr>
          <w:rFonts w:ascii="Times New Roman" w:hAnsi="Times New Roman"/>
          <w:sz w:val="20"/>
        </w:rPr>
        <w:t xml:space="preserve">Headhunter Pledge Agreement means a contract of pledge of the share capital of Headhunter under Russian law, concluded between the Creditors and HeadHunter FSU to secure obligations of the Borrower under this Agreement. </w:t>
      </w:r>
    </w:p>
    <w:p>
      <w:pPr>
        <w:pStyle w:val="TextBody"/>
        <w:spacing w:before="240" w:after="0"/>
        <w:rPr>
          <w:rFonts w:ascii="Times New Roman" w:hAnsi="Times New Roman"/>
          <w:sz w:val="20"/>
        </w:rPr>
      </w:pPr>
      <w:r>
        <w:rPr>
          <w:rFonts w:ascii="Times New Roman" w:hAnsi="Times New Roman"/>
          <w:sz w:val="20"/>
        </w:rPr>
        <w:t xml:space="preserve">HeadHunter FSU Pledge Agreement means a contract of pledge of the share capital of HeadHunter FSU under Cyprus law, concluded between the Creditors and the Borrower to secure obligations of the Borrower under this Agreement. </w:t>
      </w:r>
    </w:p>
    <w:p>
      <w:pPr>
        <w:pStyle w:val="TextBody"/>
        <w:spacing w:before="240" w:after="0"/>
        <w:rPr>
          <w:rFonts w:ascii="Times New Roman" w:hAnsi="Times New Roman"/>
          <w:sz w:val="20"/>
        </w:rPr>
      </w:pPr>
      <w:r>
        <w:rPr>
          <w:rFonts w:ascii="Times New Roman" w:hAnsi="Times New Roman"/>
          <w:sz w:val="20"/>
        </w:rPr>
        <w:t xml:space="preserve">Zemenik Trading Pledge Agreement means each share pledge agreement in respect of shares in the capital of Zemenik Trading under Cyprus law, concluded between the Creditors, Highworld and ELQ Investors to secure obligations of the Borrower under this Agreement. </w:t>
      </w:r>
    </w:p>
    <w:p>
      <w:pPr>
        <w:pStyle w:val="TextBody"/>
        <w:spacing w:before="240" w:after="0"/>
        <w:rPr>
          <w:rFonts w:ascii="Times New Roman" w:hAnsi="Times New Roman"/>
          <w:sz w:val="20"/>
        </w:rPr>
      </w:pPr>
      <w:r>
        <w:rPr>
          <w:rFonts w:ascii="Times New Roman" w:hAnsi="Times New Roman"/>
          <w:sz w:val="20"/>
        </w:rPr>
        <w:t xml:space="preserve">Sale and purchase agreement 1 means share purchase agreement in respect of 100 per cent of shares in the charter capital of HeadHunter FSU, concluded between the Seller as the seller and Trading as purchase dated 24 February 2016. </w:t>
      </w:r>
    </w:p>
    <w:p>
      <w:pPr>
        <w:pStyle w:val="TextBody"/>
        <w:spacing w:before="240" w:after="0"/>
        <w:rPr>
          <w:rFonts w:ascii="Times New Roman" w:hAnsi="Times New Roman"/>
          <w:sz w:val="20"/>
        </w:rPr>
      </w:pPr>
      <w:r>
        <w:rPr>
          <w:rFonts w:ascii="Times New Roman" w:hAnsi="Times New Roman"/>
          <w:sz w:val="20"/>
        </w:rPr>
        <w:t xml:space="preserve">Sale and purchase agreement 2 means share purchase agreement in respect of 50 per cent minus one share in the charter capital of HeadHunter FSU, concluded between Zemenik Trading as the seller and the Borrower as the purchaser which provides for payment through accounts of the parties to Sale and purchase agreement 2 opened with the Facility Agent, RCB Bank Ltd (Cyprus) or banks affiliated with the facility Agent. </w:t>
      </w:r>
    </w:p>
    <w:p>
      <w:pPr>
        <w:pStyle w:val="TextBody"/>
        <w:spacing w:before="240" w:after="0"/>
        <w:rPr>
          <w:rFonts w:ascii="Times New Roman" w:hAnsi="Times New Roman"/>
          <w:sz w:val="20"/>
        </w:rPr>
      </w:pPr>
      <w:r>
        <w:rPr>
          <w:rFonts w:ascii="Times New Roman" w:hAnsi="Times New Roman"/>
          <w:sz w:val="20"/>
        </w:rPr>
        <w:t xml:space="preserve">Double Tax Treaty means agreement on avoidance of double taxation concluded between the foreign country and the Russian Federation, which provides for full or partial exemption from payment of the Russian Federation on the income tax on income paid to foreign entities under this Agreement. </w:t>
      </w:r>
    </w:p>
    <w:p>
      <w:pPr>
        <w:pStyle w:val="TextBody"/>
        <w:spacing w:before="360" w:after="0"/>
        <w:rPr>
          <w:rFonts w:ascii="Times New Roman" w:hAnsi="Times New Roman"/>
          <w:sz w:val="20"/>
        </w:rPr>
      </w:pPr>
      <w:r>
        <w:rPr>
          <w:rFonts w:ascii="Times New Roman" w:hAnsi="Times New Roman"/>
          <w:sz w:val="20"/>
        </w:rPr>
        <w:t xml:space="preserve">Security Agreement means: </w:t>
      </w:r>
    </w:p>
    <w:p>
      <w:pPr>
        <w:pStyle w:val="TextBody"/>
        <w:spacing w:before="120" w:after="0"/>
        <w:rPr>
          <w:rFonts w:ascii="Times New Roman" w:hAnsi="Times New Roman"/>
          <w:sz w:val="20"/>
        </w:rPr>
      </w:pPr>
      <w:r>
        <w:rPr>
          <w:rFonts w:ascii="Times New Roman" w:hAnsi="Times New Roman"/>
          <w:sz w:val="20"/>
        </w:rPr>
        <w:t xml:space="preserve">(a) Each Pledge Agreement; </w:t>
      </w:r>
    </w:p>
    <w:p>
      <w:pPr>
        <w:pStyle w:val="TextBody"/>
        <w:spacing w:before="240" w:after="0"/>
        <w:rPr>
          <w:rFonts w:ascii="Times New Roman" w:hAnsi="Times New Roman"/>
          <w:sz w:val="20"/>
        </w:rPr>
      </w:pPr>
      <w:r>
        <w:rPr>
          <w:rFonts w:ascii="Times New Roman" w:hAnsi="Times New Roman"/>
          <w:sz w:val="20"/>
        </w:rPr>
        <w:t xml:space="preserve">(b) Each Independent Guarantee; and </w:t>
      </w:r>
    </w:p>
    <w:p>
      <w:pPr>
        <w:pStyle w:val="TextBody"/>
        <w:spacing w:before="240" w:after="0"/>
        <w:rPr>
          <w:rFonts w:ascii="Times New Roman" w:hAnsi="Times New Roman"/>
          <w:sz w:val="20"/>
        </w:rPr>
      </w:pPr>
      <w:r>
        <w:rPr>
          <w:rFonts w:ascii="Times New Roman" w:hAnsi="Times New Roman"/>
          <w:sz w:val="20"/>
        </w:rPr>
        <w:t xml:space="preserve">(c) Each Additional Guarantee. </w:t>
      </w:r>
    </w:p>
    <w:p>
      <w:pPr>
        <w:pStyle w:val="TextBody"/>
        <w:spacing w:before="240" w:after="0"/>
        <w:rPr>
          <w:rFonts w:ascii="Times New Roman" w:hAnsi="Times New Roman"/>
          <w:sz w:val="20"/>
        </w:rPr>
      </w:pPr>
      <w:r>
        <w:rPr>
          <w:rFonts w:ascii="Times New Roman" w:hAnsi="Times New Roman"/>
          <w:sz w:val="20"/>
        </w:rPr>
        <w:t>Assignment Agreement means an agreement substantially in the form of Appendix 4 (Form of a contract of assignment of creditors’ rights), or in any other form, by virtue of which the Existing Creditor (as defined in Article 22 (</w:t>
      </w:r>
      <w:r>
        <w:rPr>
          <w:rFonts w:ascii="Times New Roman" w:hAnsi="Times New Roman"/>
          <w:i/>
          <w:sz w:val="20"/>
        </w:rPr>
        <w:t>Replacement of the Parties</w:t>
      </w:r>
      <w:r>
        <w:rPr>
          <w:rFonts w:ascii="Times New Roman" w:hAnsi="Times New Roman"/>
          <w:sz w:val="20"/>
        </w:rPr>
        <w:t>) assigns its rights and (or) transfers obligations under this Agreement to the New Creditor (as defined in Article 22 (</w:t>
      </w:r>
      <w:r>
        <w:rPr>
          <w:rFonts w:ascii="Times New Roman" w:hAnsi="Times New Roman"/>
          <w:i/>
          <w:sz w:val="20"/>
        </w:rPr>
        <w:t>Replacement of the Parties</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Document in connection with the Reorganization has the meaning indicated in the Amendment Agreement No. 2. </w:t>
      </w:r>
    </w:p>
    <w:p>
      <w:pPr>
        <w:pStyle w:val="TextBody"/>
        <w:spacing w:before="240" w:after="0"/>
        <w:rPr>
          <w:rFonts w:ascii="Times New Roman" w:hAnsi="Times New Roman"/>
          <w:sz w:val="20"/>
        </w:rPr>
      </w:pPr>
      <w:r>
        <w:rPr>
          <w:rFonts w:ascii="Times New Roman" w:hAnsi="Times New Roman"/>
          <w:sz w:val="20"/>
        </w:rPr>
        <w:t xml:space="preserve">Equity Instruments of the Group means shares or interests in the share capital of any member of the Group, as well as options or other instruments securing the right of their owner to acquire or receive shares or stakes in the authorized capital of any member of the Group. </w:t>
      </w:r>
    </w:p>
    <w:p>
      <w:pPr>
        <w:pStyle w:val="TextBody"/>
        <w:spacing w:before="240" w:after="0"/>
        <w:rPr>
          <w:rFonts w:ascii="Times New Roman" w:hAnsi="Times New Roman"/>
          <w:sz w:val="20"/>
        </w:rPr>
      </w:pPr>
      <w:r>
        <w:rPr>
          <w:rFonts w:ascii="Times New Roman" w:hAnsi="Times New Roman"/>
          <w:sz w:val="20"/>
        </w:rPr>
        <w:t xml:space="preserve">Borrower means the Borrower and each Guarantor. </w:t>
      </w:r>
    </w:p>
    <w:p>
      <w:pPr>
        <w:pStyle w:val="TextBody"/>
        <w:spacing w:before="240" w:after="0"/>
        <w:rPr>
          <w:rFonts w:ascii="Times New Roman" w:hAnsi="Times New Roman"/>
          <w:sz w:val="20"/>
        </w:rPr>
      </w:pPr>
      <w:r>
        <w:rPr>
          <w:rFonts w:ascii="Times New Roman" w:hAnsi="Times New Roman"/>
          <w:sz w:val="20"/>
        </w:rPr>
        <w:t xml:space="preserve">Highworld USD Loan means loan in the amount of USD 27 031 978, provided under the loan agreement between Zemenik Trading (as borrower) and Highworld (as lender) dated 24 February 2016. </w:t>
      </w:r>
    </w:p>
    <w:p>
      <w:pPr>
        <w:pStyle w:val="TextBody"/>
        <w:spacing w:before="240" w:after="0"/>
        <w:rPr>
          <w:rFonts w:ascii="Times New Roman" w:hAnsi="Times New Roman"/>
          <w:sz w:val="20"/>
        </w:rPr>
      </w:pPr>
      <w:r>
        <w:rPr>
          <w:rFonts w:ascii="Times New Roman" w:hAnsi="Times New Roman"/>
          <w:sz w:val="20"/>
        </w:rPr>
        <w:t>Additional Guarantee has the meaning assigned in Art. 18.5 (</w:t>
      </w:r>
      <w:r>
        <w:rPr>
          <w:rFonts w:ascii="Times New Roman" w:hAnsi="Times New Roman"/>
          <w:i/>
          <w:sz w:val="20"/>
        </w:rPr>
        <w:t>Issuance of Additional Guarantees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Additional Guarantor has the meaning assigned in Art. 18.5 (</w:t>
      </w:r>
      <w:r>
        <w:rPr>
          <w:rFonts w:ascii="Times New Roman" w:hAnsi="Times New Roman"/>
          <w:i/>
          <w:sz w:val="20"/>
        </w:rPr>
        <w:t>Issuance of Additional Guarantees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Additional Pledge Agreement has the meaning assigned in Art. 18.5 (</w:t>
      </w:r>
      <w:r>
        <w:rPr>
          <w:rFonts w:ascii="Times New Roman" w:hAnsi="Times New Roman"/>
          <w:i/>
          <w:sz w:val="20"/>
        </w:rPr>
        <w:t>Issuance of Additional Guarantees</w:t>
      </w:r>
      <w:r>
        <w:rPr>
          <w:rFonts w:ascii="Times New Roman" w:hAnsi="Times New Roman"/>
          <w:sz w:val="20"/>
        </w:rPr>
        <w:t xml:space="preserve">). </w:t>
      </w:r>
    </w:p>
    <w:p>
      <w:pPr>
        <w:pStyle w:val="TextBody"/>
        <w:spacing w:before="360" w:after="0"/>
        <w:rPr>
          <w:rFonts w:ascii="Times New Roman" w:hAnsi="Times New Roman"/>
          <w:sz w:val="20"/>
        </w:rPr>
      </w:pPr>
      <w:r>
        <w:rPr>
          <w:rFonts w:ascii="Times New Roman" w:hAnsi="Times New Roman"/>
          <w:sz w:val="20"/>
        </w:rPr>
        <w:t xml:space="preserve">Subsidiary means any legal entity, if another (principal) company or partnership: </w:t>
      </w:r>
    </w:p>
    <w:p>
      <w:pPr>
        <w:pStyle w:val="TextBody"/>
        <w:spacing w:before="120" w:after="0"/>
        <w:rPr>
          <w:rFonts w:ascii="Times New Roman" w:hAnsi="Times New Roman"/>
          <w:sz w:val="20"/>
        </w:rPr>
      </w:pPr>
      <w:r>
        <w:rPr>
          <w:rFonts w:ascii="Times New Roman" w:hAnsi="Times New Roman"/>
          <w:sz w:val="20"/>
        </w:rPr>
        <w:t xml:space="preserve">(a) holds a majority of the voting rights in that legal person; or </w:t>
      </w:r>
    </w:p>
    <w:p>
      <w:pPr>
        <w:pStyle w:val="TextBody"/>
        <w:spacing w:before="240" w:after="0"/>
        <w:rPr>
          <w:rFonts w:ascii="Times New Roman" w:hAnsi="Times New Roman"/>
          <w:sz w:val="20"/>
        </w:rPr>
      </w:pPr>
      <w:r>
        <w:rPr>
          <w:rFonts w:ascii="Times New Roman" w:hAnsi="Times New Roman"/>
          <w:sz w:val="20"/>
        </w:rPr>
        <w:t xml:space="preserve">(b) has equity participation and has the right to appoint or remove a majority of the members of the executive body of the legal entity; or </w:t>
      </w:r>
    </w:p>
    <w:p>
      <w:pPr>
        <w:pStyle w:val="TextBody"/>
        <w:spacing w:before="240" w:after="0"/>
        <w:rPr>
          <w:rFonts w:ascii="Times New Roman" w:hAnsi="Times New Roman"/>
          <w:sz w:val="20"/>
        </w:rPr>
      </w:pPr>
      <w:r>
        <w:rPr>
          <w:rFonts w:ascii="Times New Roman" w:hAnsi="Times New Roman"/>
          <w:sz w:val="20"/>
        </w:rPr>
        <w:t xml:space="preserve">(c) has the right to have a dominant influence on the entity by virtue of the provisions contained in the constituent documents of the legal entity or the management agreement; or </w:t>
      </w:r>
    </w:p>
    <w:p>
      <w:pPr>
        <w:pStyle w:val="TextBody"/>
        <w:spacing w:before="240" w:after="0"/>
        <w:rPr>
          <w:rFonts w:ascii="Times New Roman" w:hAnsi="Times New Roman"/>
          <w:sz w:val="20"/>
        </w:rPr>
      </w:pPr>
      <w:r>
        <w:rPr>
          <w:rFonts w:ascii="Times New Roman" w:hAnsi="Times New Roman"/>
          <w:sz w:val="20"/>
        </w:rPr>
        <w:t xml:space="preserve">(d) is a member (shareholder) of such legal entity and independently or in agreement with other members controls the majority of votes in the legal entity; or </w:t>
      </w:r>
    </w:p>
    <w:p>
      <w:pPr>
        <w:pStyle w:val="TextBody"/>
        <w:spacing w:before="240" w:after="0"/>
        <w:rPr>
          <w:rFonts w:ascii="Times New Roman" w:hAnsi="Times New Roman"/>
          <w:sz w:val="20"/>
        </w:rPr>
      </w:pPr>
      <w:r>
        <w:rPr>
          <w:rFonts w:ascii="Times New Roman" w:hAnsi="Times New Roman"/>
          <w:sz w:val="20"/>
        </w:rPr>
        <w:t xml:space="preserve">(e) controls such a legal person, </w:t>
      </w:r>
    </w:p>
    <w:p>
      <w:pPr>
        <w:pStyle w:val="TextBody"/>
        <w:spacing w:before="240" w:after="0"/>
        <w:rPr>
          <w:rFonts w:ascii="Times New Roman" w:hAnsi="Times New Roman"/>
          <w:sz w:val="20"/>
        </w:rPr>
      </w:pPr>
      <w:r>
        <w:rPr>
          <w:rFonts w:ascii="Times New Roman" w:hAnsi="Times New Roman"/>
          <w:sz w:val="20"/>
        </w:rPr>
        <w:t xml:space="preserve">including any entity, shares or in the share capital of which is subject to encumbrances, and ownership of the encumbered shares or shares registered by virtue of such encumbrances in favor of the secured party or nominee acting in favor of that party. </w:t>
      </w:r>
    </w:p>
    <w:p>
      <w:pPr>
        <w:pStyle w:val="TextBody"/>
        <w:spacing w:before="240" w:after="0"/>
        <w:rPr>
          <w:rFonts w:ascii="Times New Roman" w:hAnsi="Times New Roman"/>
          <w:sz w:val="20"/>
        </w:rPr>
      </w:pPr>
      <w:r>
        <w:rPr>
          <w:rFonts w:ascii="Times New Roman" w:hAnsi="Times New Roman"/>
          <w:sz w:val="20"/>
        </w:rPr>
        <w:t xml:space="preserve">Dependent Entity means any legal entity in which the first entity owns 20 (twenty) percent or more (but not more than fifty (50) per cent) of the share capital. </w:t>
      </w:r>
    </w:p>
    <w:p>
      <w:pPr>
        <w:pStyle w:val="TextBody"/>
        <w:spacing w:before="240" w:after="0"/>
        <w:rPr>
          <w:rFonts w:ascii="Times New Roman" w:hAnsi="Times New Roman"/>
          <w:sz w:val="20"/>
        </w:rPr>
      </w:pPr>
      <w:r>
        <w:rPr>
          <w:rFonts w:ascii="Times New Roman" w:hAnsi="Times New Roman"/>
          <w:sz w:val="20"/>
        </w:rPr>
        <w:t>Representations mean representations of the Borrower in Article 16 (</w:t>
      </w:r>
      <w:r>
        <w:rPr>
          <w:rFonts w:ascii="Times New Roman" w:hAnsi="Times New Roman"/>
          <w:i/>
          <w:sz w:val="20"/>
        </w:rPr>
        <w:t>Representations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Bankruptcy Law means Federal Law </w:t>
      </w:r>
      <w:r>
        <w:rPr>
          <w:rFonts w:ascii="Times New Roman" w:hAnsi="Times New Roman"/>
          <w:sz w:val="20"/>
        </w:rPr>
        <w:drawing>
          <wp:inline distT="0" distB="0" distL="0" distR="0">
            <wp:extent cx="718820" cy="3594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127-FZ, dated October 26, 2002 “On Insolvency (Bankruptcy)”. </w:t>
      </w:r>
    </w:p>
    <w:p>
      <w:pPr>
        <w:pStyle w:val="TextBody"/>
        <w:spacing w:before="240" w:after="0"/>
        <w:rPr>
          <w:rFonts w:ascii="Times New Roman" w:hAnsi="Times New Roman"/>
          <w:sz w:val="20"/>
        </w:rPr>
      </w:pPr>
      <w:r>
        <w:rPr>
          <w:rFonts w:ascii="Times New Roman" w:hAnsi="Times New Roman"/>
          <w:sz w:val="20"/>
        </w:rPr>
        <w:t xml:space="preserve">Credit Histories Law means Federal Law </w:t>
      </w:r>
      <w:r>
        <w:rPr>
          <w:rFonts w:ascii="Times New Roman" w:hAnsi="Times New Roman"/>
          <w:sz w:val="20"/>
        </w:rPr>
        <w:drawing>
          <wp:inline distT="0" distB="0" distL="0" distR="0">
            <wp:extent cx="718820" cy="35941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218-FZ of December 30, 2004 “On Credit Histories”. </w:t>
      </w:r>
    </w:p>
    <w:p>
      <w:pPr>
        <w:pStyle w:val="TextBody"/>
        <w:spacing w:before="240" w:after="0"/>
        <w:rPr>
          <w:rFonts w:ascii="Times New Roman" w:hAnsi="Times New Roman"/>
          <w:sz w:val="20"/>
        </w:rPr>
      </w:pPr>
      <w:r>
        <w:rPr>
          <w:rFonts w:ascii="Times New Roman" w:hAnsi="Times New Roman"/>
          <w:sz w:val="20"/>
        </w:rPr>
        <w:t xml:space="preserve">Regulated Procurement Law means Federal Law </w:t>
      </w:r>
      <w:r>
        <w:rPr>
          <w:rFonts w:ascii="Times New Roman" w:hAnsi="Times New Roman"/>
          <w:sz w:val="20"/>
        </w:rPr>
        <w:drawing>
          <wp:inline distT="0" distB="0" distL="0" distR="0">
            <wp:extent cx="718820" cy="35941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223-FZ dated 18 July 2011 “On procurement of goods, works and services of certain kinds of legal entities”. </w:t>
      </w:r>
    </w:p>
    <w:p>
      <w:pPr>
        <w:pStyle w:val="TextBody"/>
        <w:spacing w:before="240" w:after="0"/>
        <w:rPr>
          <w:rFonts w:ascii="Times New Roman" w:hAnsi="Times New Roman"/>
          <w:sz w:val="20"/>
        </w:rPr>
      </w:pPr>
      <w:r>
        <w:rPr>
          <w:rFonts w:ascii="Times New Roman" w:hAnsi="Times New Roman"/>
          <w:sz w:val="20"/>
        </w:rPr>
        <w:t xml:space="preserve">Pledgor means the Borrower, HeadHunter FSU, Zemenik Trading, Highworld and ELQ Investors, and each additional pledgor under Additional Pledge Agreement. </w:t>
      </w:r>
    </w:p>
    <w:p>
      <w:pPr>
        <w:pStyle w:val="TextBody"/>
        <w:spacing w:before="240" w:after="0"/>
        <w:rPr>
          <w:rFonts w:ascii="Times New Roman" w:hAnsi="Times New Roman"/>
          <w:sz w:val="20"/>
        </w:rPr>
      </w:pPr>
      <w:r>
        <w:rPr>
          <w:rFonts w:ascii="Times New Roman" w:hAnsi="Times New Roman"/>
          <w:sz w:val="20"/>
        </w:rPr>
        <w:t xml:space="preserve">Drawdown Request means the Borrower’s drawdown request as per the form in Appendix 3 (Form of Drawdown Request). </w:t>
      </w:r>
    </w:p>
    <w:p>
      <w:pPr>
        <w:pStyle w:val="TextBody"/>
        <w:spacing w:before="240" w:after="0"/>
        <w:rPr>
          <w:rFonts w:ascii="Times New Roman" w:hAnsi="Times New Roman"/>
          <w:sz w:val="20"/>
        </w:rPr>
      </w:pPr>
      <w:r>
        <w:rPr>
          <w:rFonts w:ascii="Times New Roman" w:hAnsi="Times New Roman"/>
          <w:sz w:val="20"/>
        </w:rPr>
        <w:t xml:space="preserve">Intellectual Property means the trademarks, domain names (including websites of the Borrowers), registered to the members of the Group, database and other intellectual property rights that belong to the Group, referred to in Appendix 8 (Intellectual property), as well as similar material intellectual property owned by Additional guarantors (if such an additional guarantor is not the Borrower on the date of this Agreement).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Extraordinary income and expenses mean any income or expenses, arising as the result of extraordinary circumstances of the Debtor’s activity, and recognized as such upon decision of the Majority of Creditors. </w:t>
      </w:r>
    </w:p>
    <w:p>
      <w:pPr>
        <w:pStyle w:val="TextBody"/>
        <w:spacing w:before="360" w:after="0"/>
        <w:rPr>
          <w:rFonts w:ascii="Times New Roman" w:hAnsi="Times New Roman"/>
          <w:sz w:val="20"/>
        </w:rPr>
      </w:pPr>
      <w:r>
        <w:rPr>
          <w:rFonts w:ascii="Times New Roman" w:hAnsi="Times New Roman"/>
          <w:sz w:val="20"/>
        </w:rPr>
        <w:t xml:space="preserve">Key Rate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as applied to every Interest period – the key rate, established by the Central bank of the Russian Federation and effective on each day of the Interest period;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as applied to any other period – the key rate, established by the Central bank of the Russian Federation and effective as of every day of such period, </w:t>
            </w:r>
          </w:p>
        </w:tc>
      </w:tr>
    </w:tbl>
    <w:p>
      <w:pPr>
        <w:pStyle w:val="TextBody"/>
        <w:spacing w:before="240" w:after="0"/>
        <w:rPr>
          <w:rFonts w:ascii="Times New Roman" w:hAnsi="Times New Roman"/>
          <w:sz w:val="20"/>
        </w:rPr>
      </w:pPr>
      <w:r>
        <w:rPr>
          <w:rFonts w:ascii="Times New Roman" w:hAnsi="Times New Roman"/>
          <w:sz w:val="20"/>
        </w:rPr>
        <w:t xml:space="preserve">established on a daily basis under the data at the web-site of the Central bank of the Russian Federation in Internet at: </w:t>
      </w:r>
      <w:r>
        <w:rPr>
          <w:rFonts w:ascii="Times New Roman" w:hAnsi="Times New Roman"/>
          <w:sz w:val="20"/>
          <w:u w:val="single"/>
        </w:rPr>
        <w:t>www.cbr.ru</w:t>
      </w:r>
      <w:r>
        <w:rPr>
          <w:rFonts w:ascii="Times New Roman" w:hAnsi="Times New Roman"/>
          <w:sz w:val="20"/>
        </w:rPr>
        <w:t xml:space="preserve"> or at the other official web-site of the Central bank of the Russian Federation in case of its change. Therewith if the key rate is cancelled and/or ceases to be used by the Central bank of the Russian Federation to establish pricing conditions for providing financing to credit organizations of the Russian Federation, the Key Rate shall be deemed a similar rate, established by the Central bank of the Russian Federation for pricing of refinancing operations by means of REPO transactions and (or) under pledge of nonmarket assets. </w:t>
      </w:r>
    </w:p>
    <w:p>
      <w:pPr>
        <w:pStyle w:val="TextBody"/>
        <w:spacing w:before="240" w:after="0"/>
        <w:rPr>
          <w:rFonts w:ascii="Times New Roman" w:hAnsi="Times New Roman"/>
          <w:sz w:val="20"/>
        </w:rPr>
      </w:pPr>
      <w:r>
        <w:rPr>
          <w:rFonts w:ascii="Times New Roman" w:hAnsi="Times New Roman"/>
          <w:sz w:val="20"/>
        </w:rPr>
        <w:t>Consolidated net indebtedness has the meaning, stated in Article 18.7 (</w:t>
      </w:r>
      <w:r>
        <w:rPr>
          <w:rFonts w:ascii="Times New Roman" w:hAnsi="Times New Roman"/>
          <w:i/>
          <w:sz w:val="20"/>
        </w:rPr>
        <w:t>Definitions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Consolidated value EBIT means consolidated profit of the Group before deduction of taxes for the Accounting period adjusted taking into account cessation of operations, taking place during the Accounting period: </w:t>
      </w:r>
    </w:p>
    <w:p>
      <w:pPr>
        <w:pStyle w:val="TextBody"/>
        <w:spacing w:before="120" w:after="0"/>
        <w:rPr>
          <w:rFonts w:ascii="Times New Roman" w:hAnsi="Times New Roman"/>
          <w:sz w:val="20"/>
        </w:rPr>
      </w:pPr>
      <w:r>
        <w:rPr>
          <w:rFonts w:ascii="Times New Roman" w:hAnsi="Times New Roman"/>
          <w:sz w:val="20"/>
        </w:rPr>
        <w:t xml:space="preserve">(a) before deduction of any amounts, referring to financial expenses; </w:t>
      </w:r>
    </w:p>
    <w:p>
      <w:pPr>
        <w:pStyle w:val="TextBody"/>
        <w:spacing w:before="120" w:after="0"/>
        <w:rPr>
          <w:rFonts w:ascii="Times New Roman" w:hAnsi="Times New Roman"/>
          <w:sz w:val="20"/>
        </w:rPr>
      </w:pPr>
      <w:r>
        <w:rPr>
          <w:rFonts w:ascii="Times New Roman" w:hAnsi="Times New Roman"/>
          <w:sz w:val="20"/>
        </w:rPr>
        <w:t xml:space="preserve">(b) without accounting of any amounts, referring to interests receivable by any Group member; </w:t>
      </w:r>
    </w:p>
    <w:p>
      <w:pPr>
        <w:pStyle w:val="TextBody"/>
        <w:spacing w:before="120" w:after="0"/>
        <w:rPr>
          <w:rFonts w:ascii="Times New Roman" w:hAnsi="Times New Roman"/>
          <w:sz w:val="20"/>
        </w:rPr>
      </w:pPr>
      <w:r>
        <w:rPr>
          <w:rFonts w:ascii="Times New Roman" w:hAnsi="Times New Roman"/>
          <w:sz w:val="20"/>
        </w:rPr>
        <w:t xml:space="preserve">(c) after deduction of profit or adding losses of any Group member, referring to non-controlling participation interests; </w:t>
      </w:r>
    </w:p>
    <w:p>
      <w:pPr>
        <w:pStyle w:val="TextBody"/>
        <w:spacing w:before="120" w:after="0"/>
        <w:rPr>
          <w:rFonts w:ascii="Times New Roman" w:hAnsi="Times New Roman"/>
          <w:sz w:val="20"/>
        </w:rPr>
      </w:pPr>
      <w:r>
        <w:rPr>
          <w:rFonts w:ascii="Times New Roman" w:hAnsi="Times New Roman"/>
          <w:sz w:val="20"/>
        </w:rPr>
        <w:t xml:space="preserve">(d) without accounting of positive or negative unrealized exchange rate differences; </w:t>
      </w:r>
    </w:p>
    <w:p>
      <w:pPr>
        <w:pStyle w:val="TextBody"/>
        <w:spacing w:before="120" w:after="0"/>
        <w:rPr>
          <w:rFonts w:ascii="Times New Roman" w:hAnsi="Times New Roman"/>
          <w:sz w:val="20"/>
        </w:rPr>
      </w:pPr>
      <w:r>
        <w:rPr>
          <w:rFonts w:ascii="Times New Roman" w:hAnsi="Times New Roman"/>
          <w:sz w:val="20"/>
        </w:rPr>
        <w:t xml:space="preserve">(e) without accounting of profit or losses, arising as the result of revaluation of any asset or reduction of carrying value of any asset in case of its alienation by any Group member; </w:t>
      </w:r>
    </w:p>
    <w:p>
      <w:pPr>
        <w:pStyle w:val="TextBody"/>
        <w:spacing w:before="120" w:after="0"/>
        <w:rPr>
          <w:rFonts w:ascii="Times New Roman" w:hAnsi="Times New Roman"/>
          <w:sz w:val="20"/>
        </w:rPr>
      </w:pPr>
      <w:r>
        <w:rPr>
          <w:rFonts w:ascii="Times New Roman" w:hAnsi="Times New Roman"/>
          <w:sz w:val="20"/>
        </w:rPr>
        <w:t xml:space="preserve">(f) without accounting the excepted profit for pension plan assets; </w:t>
      </w:r>
    </w:p>
    <w:p>
      <w:pPr>
        <w:pStyle w:val="TextBody"/>
        <w:spacing w:before="120" w:after="0"/>
        <w:rPr>
          <w:rFonts w:ascii="Times New Roman" w:hAnsi="Times New Roman"/>
          <w:sz w:val="20"/>
        </w:rPr>
      </w:pPr>
      <w:r>
        <w:rPr>
          <w:rFonts w:ascii="Times New Roman" w:hAnsi="Times New Roman"/>
          <w:sz w:val="20"/>
        </w:rPr>
        <w:t xml:space="preserve">(j) without accounting the profit and losses bearing non-monetary nature from Remuneration plans on the basis of Equity instruments of the Group; </w:t>
      </w:r>
    </w:p>
    <w:p>
      <w:pPr>
        <w:pStyle w:val="TextBody"/>
        <w:spacing w:before="120" w:after="0"/>
        <w:rPr>
          <w:rFonts w:ascii="Times New Roman" w:hAnsi="Times New Roman"/>
          <w:sz w:val="20"/>
        </w:rPr>
      </w:pPr>
      <w:r>
        <w:rPr>
          <w:rFonts w:ascii="Times New Roman" w:hAnsi="Times New Roman"/>
          <w:sz w:val="20"/>
        </w:rPr>
        <w:t xml:space="preserve">(g) exclusively for Accounting period, ending on June 30, 2016, December 31, 2016 and June 30, 2017 – without accounting Expenses on Transaction. </w:t>
      </w:r>
    </w:p>
    <w:p>
      <w:pPr>
        <w:pStyle w:val="TextBody"/>
        <w:spacing w:before="240" w:after="0"/>
        <w:rPr>
          <w:rFonts w:ascii="Times New Roman" w:hAnsi="Times New Roman"/>
          <w:sz w:val="20"/>
        </w:rPr>
      </w:pPr>
      <w:r>
        <w:rPr>
          <w:rFonts w:ascii="Times New Roman" w:hAnsi="Times New Roman"/>
          <w:sz w:val="20"/>
        </w:rPr>
        <w:t xml:space="preserve">Consolidated value EBITDA means Consolidated value EBIT over the Accounting period, adjusted by means of adding the following amounts, on condition that these amounts were not accounted in the course of computation of value EBIT: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any amounts, referring to depreciation and impairment of fixed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any amounts, referring to impairment of goodwill;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any amounts, referring to depreciation and impairment of other intangible assets;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for the purposes of establishment of financial rates, stated in par. (a) Article 9.2 (</w:t>
            </w:r>
            <w:r>
              <w:rPr>
                <w:i/>
              </w:rPr>
              <w:t>Review of Margin amount),</w:t>
            </w:r>
            <w:r>
              <w:rPr/>
              <w:t xml:space="preserve"> expenses n advertisement, incurred in 2016 in the amount of RUB 200 000 000.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Confidential information means any information (including personal data) in any form (including oral information, and any documents and information recorded or saved as electronic files or on any other media) about any Debtor, Pledger or member of the Group, Financial Documents or the Credit, which becomes known to the Finance Party, or which is received by any person intending to become a Finance party, from: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any Group member or its adviser;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other Finance party or its adviser, if the information was received by such Finance party from any Group member or its adviser, except for information, which: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09"/>
        <w:gridCol w:w="8576"/>
      </w:tblGrid>
      <w:tr>
        <w:trPr/>
        <w:tc>
          <w:tcPr>
            <w:tcW w:w="1019"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is or becomes available to an unlimited circle of persons otherwise, than as the result of violation by the Finance party of the terms of Article 28 (</w:t>
            </w:r>
            <w:r>
              <w:rPr>
                <w:i/>
              </w:rPr>
              <w:t>Confidentiality</w:t>
            </w:r>
            <w:r>
              <w:rPr/>
              <w:t xml:space="preser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was known to the Finance party before the date of disclosure to it or its adviser of such information or under legal bases obtained by the Finance party or its adviser after such date from the source, which, to the knowledge of such Finance party, not related to the Group, and which in any case, to the knowledge of the Finance party, was not received as the result of violation of the violation of the obligation on keeping confidentiality. </w:t>
            </w:r>
          </w:p>
        </w:tc>
      </w:tr>
    </w:tbl>
    <w:p>
      <w:pPr>
        <w:pStyle w:val="TextBody"/>
        <w:spacing w:before="240" w:after="0"/>
        <w:rPr>
          <w:rFonts w:ascii="Times New Roman" w:hAnsi="Times New Roman"/>
          <w:sz w:val="20"/>
        </w:rPr>
      </w:pPr>
      <w:r>
        <w:rPr>
          <w:rFonts w:ascii="Times New Roman" w:hAnsi="Times New Roman"/>
          <w:sz w:val="20"/>
        </w:rPr>
        <w:t xml:space="preserve">Credit means cash within the limits of Aggregated lending limit, provided by the Lenders as the loan to the Borrower under this Agreement in the form of Tranche A, Tranche B, Tranche C and Tranche D. </w:t>
      </w:r>
    </w:p>
    <w:p>
      <w:pPr>
        <w:pStyle w:val="TextBody"/>
        <w:spacing w:before="360" w:after="0"/>
        <w:rPr>
          <w:rFonts w:ascii="Times New Roman" w:hAnsi="Times New Roman"/>
          <w:sz w:val="20"/>
        </w:rPr>
      </w:pPr>
      <w:r>
        <w:rPr>
          <w:rFonts w:ascii="Times New Roman" w:hAnsi="Times New Roman"/>
          <w:sz w:val="20"/>
        </w:rPr>
        <w:t xml:space="preserve">Lender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any Initial Lender; and/or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any banks or other credit or other organizations (except for any persons, belonging to the Group of the Borrower), which acquire rights of claim to the Borrower and/or the oblation on providing the Credit in accordance with the provisions of Article 22.2 (</w:t>
            </w:r>
            <w:r>
              <w:rPr>
                <w:i/>
              </w:rPr>
              <w:t>Cession of rights and assignment of obligations by the Creditors)</w:t>
            </w:r>
            <w:r>
              <w:rPr/>
              <w:t xml:space="preserve"> and the current legislation. </w:t>
            </w:r>
          </w:p>
        </w:tc>
      </w:tr>
    </w:tbl>
    <w:p>
      <w:pPr>
        <w:pStyle w:val="TextBody"/>
        <w:spacing w:before="360" w:after="0"/>
        <w:rPr>
          <w:rFonts w:ascii="Times New Roman" w:hAnsi="Times New Roman"/>
          <w:sz w:val="20"/>
        </w:rPr>
      </w:pPr>
      <w:r>
        <w:rPr>
          <w:rFonts w:ascii="Times New Roman" w:hAnsi="Times New Roman"/>
          <w:sz w:val="20"/>
        </w:rPr>
        <w:t xml:space="preserve">Lending limit means the amount of money, which: </w:t>
      </w:r>
    </w:p>
    <w:p>
      <w:pPr>
        <w:pStyle w:val="TextBody"/>
        <w:spacing w:before="120" w:after="0"/>
        <w:rPr>
          <w:rFonts w:ascii="Times New Roman" w:hAnsi="Times New Roman"/>
          <w:sz w:val="20"/>
        </w:rPr>
      </w:pPr>
      <w:r>
        <w:rPr>
          <w:rFonts w:ascii="Times New Roman" w:hAnsi="Times New Roman"/>
          <w:sz w:val="20"/>
        </w:rPr>
        <w:t>(a) in respect of the Initial Lender, the Initial lender shall provide to the Borrower as the loan within the limits of Tranche A, Tranche B, Tranche C and Tranche D in accordance with the terms of this Agreement, and marked in the table in Annex 1 (</w:t>
      </w:r>
      <w:r>
        <w:rPr>
          <w:rFonts w:ascii="Times New Roman" w:hAnsi="Times New Roman"/>
          <w:i/>
          <w:sz w:val="20"/>
        </w:rPr>
        <w:t>List of Initial lenders and lending limits)</w:t>
      </w:r>
      <w:r>
        <w:rPr>
          <w:rFonts w:ascii="Times New Roman" w:hAnsi="Times New Roman"/>
          <w:sz w:val="20"/>
        </w:rPr>
        <w:t xml:space="preserve">; and </w:t>
      </w:r>
    </w:p>
    <w:p>
      <w:pPr>
        <w:pStyle w:val="TextBody"/>
        <w:spacing w:before="120" w:after="0"/>
        <w:rPr>
          <w:rFonts w:ascii="Times New Roman" w:hAnsi="Times New Roman"/>
          <w:sz w:val="20"/>
        </w:rPr>
      </w:pPr>
      <w:r>
        <w:rPr>
          <w:rFonts w:ascii="Times New Roman" w:hAnsi="Times New Roman"/>
          <w:sz w:val="20"/>
        </w:rPr>
        <w:t xml:space="preserve">(b) in respect of any other Lender, the respective Lender shall provide to the Borrower by virtue of assignment to its by the Initial lender of obligations on granting the Credit to the Borrower and which may be changed in accordance with the terms of this Agreement. </w:t>
      </w:r>
    </w:p>
    <w:p>
      <w:pPr>
        <w:pStyle w:val="TextBody"/>
        <w:spacing w:before="360" w:after="0"/>
        <w:rPr>
          <w:rFonts w:ascii="Times New Roman" w:hAnsi="Times New Roman"/>
          <w:sz w:val="20"/>
        </w:rPr>
      </w:pPr>
      <w:r>
        <w:rPr>
          <w:rFonts w:ascii="Times New Roman" w:hAnsi="Times New Roman"/>
          <w:sz w:val="20"/>
        </w:rPr>
        <w:t xml:space="preserve">Margin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in respect of any Interest period, beginning before date of Amendment Agreement No. 3 – 3,7 (three point seven) percent per annum;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in respect of any other Interest period, beginning on the date of Amendment Agreement No. 3 or after it :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w:t>
            </w:r>
          </w:p>
        </w:tc>
        <w:tc>
          <w:tcPr>
            <w:tcW w:w="9185" w:type="dxa"/>
            <w:tcBorders/>
            <w:shd w:fill="auto" w:val="clear"/>
          </w:tcPr>
          <w:p>
            <w:pPr>
              <w:pStyle w:val="TableContents"/>
              <w:spacing w:before="0" w:after="283"/>
              <w:jc w:val="left"/>
              <w:rPr/>
            </w:pPr>
            <w:r>
              <w:rPr/>
              <w:t xml:space="preserve">2,0 (two) percent per annum;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w:t>
            </w:r>
          </w:p>
        </w:tc>
        <w:tc>
          <w:tcPr>
            <w:tcW w:w="9186" w:type="dxa"/>
            <w:tcBorders/>
            <w:shd w:fill="auto" w:val="clear"/>
          </w:tcPr>
          <w:p>
            <w:pPr>
              <w:pStyle w:val="TableContents"/>
              <w:spacing w:before="0" w:after="283"/>
              <w:jc w:val="left"/>
              <w:rPr/>
            </w:pPr>
            <w:r>
              <w:rPr/>
              <w:t>in cases, stated in Article 9.2 (</w:t>
            </w:r>
            <w:r>
              <w:rPr>
                <w:i/>
              </w:rPr>
              <w:t>Review of Margin amount),</w:t>
            </w:r>
            <w:r>
              <w:rPr/>
              <w:t xml:space="preserve"> 2,5 (two point five) percent per annum. </w:t>
            </w:r>
          </w:p>
        </w:tc>
      </w:tr>
    </w:tbl>
    <w:p>
      <w:pPr>
        <w:pStyle w:val="TextBody"/>
        <w:spacing w:before="240" w:after="0"/>
        <w:rPr>
          <w:rFonts w:ascii="Times New Roman" w:hAnsi="Times New Roman"/>
          <w:sz w:val="20"/>
        </w:rPr>
      </w:pPr>
      <w:r>
        <w:rPr>
          <w:rFonts w:ascii="Times New Roman" w:hAnsi="Times New Roman"/>
          <w:sz w:val="20"/>
        </w:rPr>
        <w:t xml:space="preserve">Intercrediting agreement means the </w:t>
      </w:r>
      <w:r>
        <w:rPr>
          <w:rFonts w:ascii="Times New Roman" w:hAnsi="Times New Roman"/>
          <w:i/>
          <w:sz w:val="20"/>
        </w:rPr>
        <w:t>Subordination Agreement,</w:t>
      </w:r>
      <w:r>
        <w:rPr>
          <w:rFonts w:ascii="Times New Roman" w:hAnsi="Times New Roman"/>
          <w:sz w:val="20"/>
        </w:rPr>
        <w:t xml:space="preserve"> entered into on or about the date of this Agreement between the Borrower, Zemenik Trading, HeadHunter FSU, Headhunter and Lenders about the order for establishment of the turn for satisfaction of the Lenders’ claims. </w:t>
      </w:r>
    </w:p>
    <w:p>
      <w:pPr>
        <w:pStyle w:val="TextBody"/>
        <w:spacing w:before="240" w:after="0"/>
        <w:rPr>
          <w:rFonts w:ascii="Times New Roman" w:hAnsi="Times New Roman"/>
          <w:sz w:val="20"/>
        </w:rPr>
      </w:pPr>
      <w:r>
        <w:rPr>
          <w:rFonts w:ascii="Times New Roman" w:hAnsi="Times New Roman"/>
          <w:sz w:val="20"/>
        </w:rPr>
        <w:t xml:space="preserve">IFRS means international financial reporting standards, mentioned in the Regulation No.1606/2002, adopted by the European Parliament and the Council of Europe on July 19th, 2002, in the part, applied to the respective financial statements. </w:t>
      </w:r>
    </w:p>
    <w:p>
      <w:pPr>
        <w:pStyle w:val="TextBody"/>
        <w:spacing w:before="240" w:after="0"/>
        <w:rPr>
          <w:rFonts w:ascii="Times New Roman" w:hAnsi="Times New Roman"/>
          <w:sz w:val="20"/>
        </w:rPr>
      </w:pPr>
      <w:r>
        <w:rPr>
          <w:rFonts w:ascii="Times New Roman" w:hAnsi="Times New Roman"/>
          <w:sz w:val="20"/>
        </w:rPr>
        <w:t xml:space="preserve">Tax means any tax, charge, duty or other accrual or deduction of similar nature (including ay penalties and fines, payable in connection with nonpayment or untimely payment of any of the above), established by the current legislation.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Tax indemnification means release from payment of Tax (application of reduced tax rate or tax indemnification), provided outside the Russian Federation in respect of any Tax, referring to payments under Finance documents. </w:t>
      </w:r>
    </w:p>
    <w:p>
      <w:pPr>
        <w:pStyle w:val="TextBody"/>
        <w:spacing w:before="240" w:after="0"/>
        <w:rPr>
          <w:rFonts w:ascii="Times New Roman" w:hAnsi="Times New Roman"/>
          <w:sz w:val="20"/>
        </w:rPr>
      </w:pPr>
      <w:r>
        <w:rPr>
          <w:rFonts w:ascii="Times New Roman" w:hAnsi="Times New Roman"/>
          <w:sz w:val="20"/>
        </w:rPr>
        <w:t xml:space="preserve">Tax deduction means deduction from any payment under Finance document of the amount of any tax or charge, including, in particular, value added tax and income tax (profit), collected from the source, as well as any other similar taxes, which may substitute or supplement the existing taxes in accordance with the current legislation, in the amount and in the terms, stipulated by the law. </w:t>
      </w:r>
    </w:p>
    <w:p>
      <w:pPr>
        <w:pStyle w:val="TextBody"/>
        <w:spacing w:before="240" w:after="0"/>
        <w:rPr>
          <w:rFonts w:ascii="Times New Roman" w:hAnsi="Times New Roman"/>
          <w:sz w:val="20"/>
        </w:rPr>
      </w:pPr>
      <w:r>
        <w:rPr>
          <w:rFonts w:ascii="Times New Roman" w:hAnsi="Times New Roman"/>
          <w:sz w:val="20"/>
        </w:rPr>
        <w:t>Tax payment means increase of the payment amount, performed by the Debtor to the Finance party in accordance with the previsions of Article 12.1 (</w:t>
      </w:r>
      <w:r>
        <w:rPr>
          <w:rFonts w:ascii="Times New Roman" w:hAnsi="Times New Roman"/>
          <w:i/>
          <w:sz w:val="20"/>
        </w:rPr>
        <w:t>Reimbursement of expenses on Tax deduction),</w:t>
      </w:r>
      <w:r>
        <w:rPr>
          <w:rFonts w:ascii="Times New Roman" w:hAnsi="Times New Roman"/>
          <w:sz w:val="20"/>
        </w:rPr>
        <w:t xml:space="preserve"> or performance by the Debtor to the Finance party in accordance with the terms of Article 12.2 (</w:t>
      </w:r>
      <w:r>
        <w:rPr>
          <w:rFonts w:ascii="Times New Roman" w:hAnsi="Times New Roman"/>
          <w:i/>
          <w:sz w:val="20"/>
        </w:rPr>
        <w:t>Reimbursement of expenses in connection with payment of Taxes).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Independent guarantee means every independent guarantee, issued by Headhunter, HeadHunter FSU and Zemenik Trading in favor of the Lenders. </w:t>
      </w:r>
    </w:p>
    <w:p>
      <w:pPr>
        <w:pStyle w:val="TextBody"/>
        <w:spacing w:before="360" w:after="0"/>
        <w:rPr>
          <w:rFonts w:ascii="Times New Roman" w:hAnsi="Times New Roman"/>
          <w:sz w:val="20"/>
        </w:rPr>
      </w:pPr>
      <w:r>
        <w:rPr>
          <w:rFonts w:ascii="Times New Roman" w:hAnsi="Times New Roman"/>
          <w:sz w:val="20"/>
        </w:rPr>
        <w:t xml:space="preserve">Default on obligations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Event of default;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event or circumstance, stated in Article 21 (</w:t>
            </w:r>
            <w:r>
              <w:rPr>
                <w:i/>
              </w:rPr>
              <w:t>Events of default),</w:t>
            </w:r>
            <w:r>
              <w:rPr/>
              <w:t xml:space="preserve"> which, in accordance with the provisions of this Agreement upon (1) expiration of any term established by this Agreement for removal of any violation, (2) sending of any notification, or (3) making of respective decision on Finance documents, will become the Event of default. </w:t>
            </w:r>
          </w:p>
        </w:tc>
      </w:tr>
    </w:tbl>
    <w:p>
      <w:pPr>
        <w:pStyle w:val="TextBody"/>
        <w:spacing w:before="360" w:after="0"/>
        <w:rPr>
          <w:rFonts w:ascii="Times New Roman" w:hAnsi="Times New Roman"/>
          <w:sz w:val="20"/>
        </w:rPr>
      </w:pPr>
      <w:r>
        <w:rPr>
          <w:rFonts w:ascii="Times New Roman" w:hAnsi="Times New Roman"/>
          <w:sz w:val="20"/>
        </w:rPr>
        <w:t xml:space="preserve">Unspent lending limit means the Lending limit of every certain Lender, with deduction of: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amounts of moneys, already provided to the Borrower by this Lender,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Amounts, liable to providing by such Lender. </w:t>
            </w:r>
          </w:p>
        </w:tc>
      </w:tr>
    </w:tbl>
    <w:p>
      <w:pPr>
        <w:pStyle w:val="TextBody"/>
        <w:spacing w:before="240" w:after="0"/>
        <w:rPr>
          <w:rFonts w:ascii="Times New Roman" w:hAnsi="Times New Roman"/>
          <w:sz w:val="20"/>
        </w:rPr>
      </w:pPr>
      <w:r>
        <w:rPr>
          <w:rFonts w:ascii="Times New Roman" w:hAnsi="Times New Roman"/>
          <w:sz w:val="20"/>
        </w:rPr>
        <w:t xml:space="preserve">Outstanding credit means, at each moment of time, money, given to the Borrower as the loan in accordance with this Agreement and not repaid to the Lenders. </w:t>
      </w:r>
    </w:p>
    <w:p>
      <w:pPr>
        <w:pStyle w:val="TextBody"/>
        <w:spacing w:before="240" w:after="0"/>
        <w:rPr>
          <w:rFonts w:ascii="Times New Roman" w:hAnsi="Times New Roman"/>
          <w:sz w:val="20"/>
        </w:rPr>
      </w:pPr>
      <w:r>
        <w:rPr>
          <w:rFonts w:ascii="Times New Roman" w:hAnsi="Times New Roman"/>
          <w:sz w:val="20"/>
        </w:rPr>
        <w:t xml:space="preserve">Encumbrance means mortgage, pledge, lien, and assignment, right for writing off from accounts with pre-authorization of the payer or similar right of writing off or other encumbrance, created for the purposes of fulfillment of obligations of any person, or any other agreement, entered into for the purpose of security of obligations. </w:t>
      </w:r>
    </w:p>
    <w:p>
      <w:pPr>
        <w:pStyle w:val="TextBody"/>
        <w:spacing w:before="360" w:after="0"/>
        <w:rPr>
          <w:rFonts w:ascii="Times New Roman" w:hAnsi="Times New Roman"/>
          <w:sz w:val="20"/>
        </w:rPr>
      </w:pPr>
      <w:r>
        <w:rPr>
          <w:rFonts w:ascii="Times New Roman" w:hAnsi="Times New Roman"/>
          <w:sz w:val="20"/>
        </w:rPr>
        <w:t xml:space="preserve">Primary financial statement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09"/>
        <w:gridCol w:w="8575"/>
      </w:tblGrid>
      <w:tr>
        <w:trPr/>
        <w:tc>
          <w:tcPr>
            <w:tcW w:w="1020"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(a)</w:t>
            </w:r>
          </w:p>
        </w:tc>
        <w:tc>
          <w:tcPr>
            <w:tcW w:w="8575" w:type="dxa"/>
            <w:tcBorders/>
            <w:shd w:fill="auto" w:val="clear"/>
          </w:tcPr>
          <w:p>
            <w:pPr>
              <w:pStyle w:val="TableContents"/>
              <w:spacing w:before="0" w:after="283"/>
              <w:jc w:val="left"/>
              <w:rPr/>
            </w:pPr>
            <w:r>
              <w:rPr/>
              <w:t xml:space="preserve">financial statement approved by auditors of Zemenik Trading for 2015;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(b)</w:t>
            </w:r>
          </w:p>
        </w:tc>
        <w:tc>
          <w:tcPr>
            <w:tcW w:w="8573" w:type="dxa"/>
            <w:tcBorders/>
            <w:shd w:fill="auto" w:val="clear"/>
          </w:tcPr>
          <w:p>
            <w:pPr>
              <w:pStyle w:val="TableContents"/>
              <w:spacing w:before="0" w:after="283"/>
              <w:jc w:val="left"/>
              <w:rPr/>
            </w:pPr>
            <w:r>
              <w:rPr/>
              <w:t xml:space="preserve">annual reporting of Headhunter for 2015, prepared in accordance with RAS;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(c)</w:t>
            </w:r>
          </w:p>
        </w:tc>
        <w:tc>
          <w:tcPr>
            <w:tcW w:w="8573" w:type="dxa"/>
            <w:tcBorders/>
            <w:shd w:fill="auto" w:val="clear"/>
          </w:tcPr>
          <w:p>
            <w:pPr>
              <w:pStyle w:val="TableContents"/>
              <w:spacing w:before="0" w:after="283"/>
              <w:jc w:val="left"/>
              <w:rPr/>
            </w:pPr>
            <w:r>
              <w:rPr/>
              <w:t xml:space="preserve">managerial reporting of HeadHunter FSU, prepared in accordance with the accounting policy of the Group on managerial accounting, as of December 31st, 2015. </w:t>
            </w:r>
          </w:p>
        </w:tc>
      </w:tr>
    </w:tbl>
    <w:p>
      <w:pPr>
        <w:pStyle w:val="TextBody"/>
        <w:spacing w:before="240" w:after="0"/>
        <w:rPr>
          <w:rFonts w:ascii="Times New Roman" w:hAnsi="Times New Roman"/>
          <w:sz w:val="20"/>
        </w:rPr>
      </w:pPr>
      <w:r>
        <w:rPr>
          <w:rFonts w:ascii="Times New Roman" w:hAnsi="Times New Roman"/>
          <w:sz w:val="20"/>
        </w:rPr>
        <w:t xml:space="preserve">Drawdown period means a Drawdown period for Tranche A, Drawdown period for Tranche B and Drawdown period for Tranche C and Tranche D. </w:t>
      </w:r>
    </w:p>
    <w:p>
      <w:pPr>
        <w:pStyle w:val="TextBody"/>
        <w:spacing w:before="240" w:after="0"/>
        <w:rPr>
          <w:rFonts w:ascii="Times New Roman" w:hAnsi="Times New Roman"/>
          <w:sz w:val="20"/>
        </w:rPr>
      </w:pPr>
      <w:r>
        <w:rPr>
          <w:rFonts w:ascii="Times New Roman" w:hAnsi="Times New Roman"/>
          <w:sz w:val="20"/>
        </w:rPr>
        <w:t xml:space="preserve">Tranche A Drawdown period means the period from the date of this Agreement (inclusive) up to the date (inclusive), occurring 45 (forty five) days after the date of this Agreement. </w:t>
      </w:r>
    </w:p>
    <w:p>
      <w:pPr>
        <w:pStyle w:val="TextBody"/>
        <w:spacing w:before="240" w:after="0"/>
        <w:rPr>
          <w:rFonts w:ascii="Times New Roman" w:hAnsi="Times New Roman"/>
          <w:sz w:val="20"/>
        </w:rPr>
      </w:pPr>
      <w:r>
        <w:rPr>
          <w:rFonts w:ascii="Times New Roman" w:hAnsi="Times New Roman"/>
          <w:sz w:val="20"/>
        </w:rPr>
        <w:t xml:space="preserve">Tranche B Drawdown period means the period from the date of this Agreement (inclusive) up to the date (inclusive), occurring 730 (seven hundred) days after the date of this Agreement. </w:t>
      </w:r>
    </w:p>
    <w:p>
      <w:pPr>
        <w:pStyle w:val="TextBody"/>
        <w:spacing w:before="240" w:after="0"/>
        <w:rPr>
          <w:rFonts w:ascii="Times New Roman" w:hAnsi="Times New Roman"/>
          <w:sz w:val="20"/>
        </w:rPr>
      </w:pPr>
      <w:r>
        <w:rPr>
          <w:rFonts w:ascii="Times New Roman" w:hAnsi="Times New Roman"/>
          <w:sz w:val="20"/>
        </w:rPr>
        <w:t xml:space="preserve">Tranche C and Tranche D Drawdown period means the period from the date of Amendment Agreement No. 3 (inclusive) up to the date (inclusive), occurring 180 (one hundred eighty) days after the date of Amendment Agreement No. 3.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Remuneration plan on the basis of Equity instruments of the Group means the agreement, stipulating obtaining by the employees (or ex-employees) of the Group and/or holders of shares and/or interests of any Group member of: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(a)</w:t>
            </w:r>
          </w:p>
        </w:tc>
        <w:tc>
          <w:tcPr>
            <w:tcW w:w="8573" w:type="dxa"/>
            <w:tcBorders/>
            <w:shd w:fill="auto" w:val="clear"/>
          </w:tcPr>
          <w:p>
            <w:pPr>
              <w:pStyle w:val="TableContents"/>
              <w:spacing w:before="0" w:after="283"/>
              <w:jc w:val="left"/>
              <w:rPr/>
            </w:pPr>
            <w:r>
              <w:rPr/>
              <w:t xml:space="preserve">remuneration in the form of providing Equity instruments of the Group;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(b)</w:t>
            </w:r>
          </w:p>
        </w:tc>
        <w:tc>
          <w:tcPr>
            <w:tcW w:w="8574" w:type="dxa"/>
            <w:tcBorders/>
            <w:shd w:fill="auto" w:val="clear"/>
          </w:tcPr>
          <w:p>
            <w:pPr>
              <w:pStyle w:val="TableContents"/>
              <w:spacing w:before="0" w:after="283"/>
              <w:jc w:val="left"/>
              <w:rPr/>
            </w:pPr>
            <w:r>
              <w:rPr/>
              <w:t xml:space="preserve">remuneration in the form of payment of moneys or providing other assets, on condition, that the amount of this remuneration is established on the basis and/or depends on the value of the Equity instruments o the Group. </w:t>
            </w:r>
          </w:p>
        </w:tc>
      </w:tr>
    </w:tbl>
    <w:p>
      <w:pPr>
        <w:pStyle w:val="TextBody"/>
        <w:spacing w:before="240" w:after="0"/>
        <w:rPr>
          <w:rFonts w:ascii="Times New Roman" w:hAnsi="Times New Roman"/>
          <w:sz w:val="20"/>
        </w:rPr>
      </w:pPr>
      <w:r>
        <w:rPr>
          <w:rFonts w:ascii="Times New Roman" w:hAnsi="Times New Roman"/>
          <w:sz w:val="20"/>
        </w:rPr>
        <w:t>Sanctioned person has the meaning, stated for this term in Article 22.2 (</w:t>
      </w:r>
      <w:r>
        <w:rPr>
          <w:rFonts w:ascii="Times New Roman" w:hAnsi="Times New Roman"/>
          <w:i/>
          <w:sz w:val="20"/>
        </w:rPr>
        <w:t>Cession of rights and assignment of obligations by the Lenders).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Debt burden value has the meaning, stated for this term in Article 18.2 </w:t>
      </w:r>
      <w:r>
        <w:rPr>
          <w:rFonts w:ascii="Times New Roman" w:hAnsi="Times New Roman"/>
          <w:i/>
          <w:sz w:val="20"/>
        </w:rPr>
        <w:t>(Debt burden value).</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Interest coverage value has the meaning, stated for this term in Article 18.3 (</w:t>
      </w:r>
      <w:r>
        <w:rPr>
          <w:rFonts w:ascii="Times New Roman" w:hAnsi="Times New Roman"/>
          <w:i/>
          <w:sz w:val="20"/>
        </w:rPr>
        <w:t>Interest coverage value).</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Value EBITDA means the value of EBITDA of any Group member, to be established as of the last reporting date: </w:t>
      </w:r>
    </w:p>
    <w:p>
      <w:pPr>
        <w:pStyle w:val="TextBody"/>
        <w:spacing w:before="240" w:after="0"/>
        <w:rPr>
          <w:rFonts w:ascii="Times New Roman" w:hAnsi="Times New Roman"/>
          <w:sz w:val="20"/>
        </w:rPr>
      </w:pPr>
      <w:r>
        <w:rPr>
          <w:rFonts w:ascii="Times New Roman" w:hAnsi="Times New Roman"/>
          <w:sz w:val="20"/>
        </w:rPr>
        <w:t xml:space="preserve">(a) as of the end of financial year or financial semi-year, in accordance with financial reporting of the Group for the respective financial year or financial semi-year (respectively), prepared in accordance with IFRS, provided to the Facility Agent in accordance with par. (a) or (b) Article 17.1 </w:t>
      </w:r>
      <w:r>
        <w:rPr>
          <w:rFonts w:ascii="Times New Roman" w:hAnsi="Times New Roman"/>
          <w:i/>
          <w:sz w:val="20"/>
        </w:rPr>
        <w:t>(Financial statements</w:t>
      </w:r>
      <w:r>
        <w:rPr>
          <w:rFonts w:ascii="Times New Roman" w:hAnsi="Times New Roman"/>
          <w:sz w:val="20"/>
        </w:rPr>
        <w:t xml:space="preserve">); or </w:t>
      </w:r>
    </w:p>
    <w:p>
      <w:pPr>
        <w:pStyle w:val="TextBody"/>
        <w:spacing w:before="240" w:after="0"/>
        <w:rPr>
          <w:rFonts w:ascii="Times New Roman" w:hAnsi="Times New Roman"/>
          <w:sz w:val="20"/>
        </w:rPr>
      </w:pPr>
      <w:r>
        <w:rPr>
          <w:rFonts w:ascii="Times New Roman" w:hAnsi="Times New Roman"/>
          <w:sz w:val="20"/>
        </w:rPr>
        <w:t>(b) as of the end of the first or third financial quarter, on the basis of the respective managerial reporting of the Group, provided to the Facility Agent in accordance with par. (c) Article 17.1 (</w:t>
      </w:r>
      <w:r>
        <w:rPr>
          <w:rFonts w:ascii="Times New Roman" w:hAnsi="Times New Roman"/>
          <w:i/>
          <w:sz w:val="20"/>
        </w:rPr>
        <w:t>Financial statement</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Acceptable lender means the Lender, which is: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A Russian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 resident of the State – Party to the Treaty on avoidance of double taxation, on conditions that the status of such Lender upon requirement of the Debtor is confirmed by the copy of document translated into Russian, issued by the competent tax authority of the State – Party to the Treaty on avoidance of double taxation, certifying to the fact that the respective Lender is a tax resident of this State – Party to the Treaty on avoidance of double taxation. </w:t>
            </w:r>
          </w:p>
        </w:tc>
      </w:tr>
    </w:tbl>
    <w:p>
      <w:pPr>
        <w:pStyle w:val="TextBody"/>
        <w:spacing w:before="240" w:after="0"/>
        <w:rPr>
          <w:rFonts w:ascii="Times New Roman" w:hAnsi="Times New Roman"/>
          <w:sz w:val="20"/>
        </w:rPr>
      </w:pPr>
      <w:r>
        <w:rPr>
          <w:rFonts w:ascii="Times New Roman" w:hAnsi="Times New Roman"/>
          <w:sz w:val="20"/>
        </w:rPr>
        <w:t xml:space="preserve">Applied Reporting standards mean financial statements standards, applied to any Debtor. </w:t>
      </w:r>
    </w:p>
    <w:p>
      <w:pPr>
        <w:pStyle w:val="TextBody"/>
        <w:spacing w:before="240" w:after="0"/>
        <w:rPr>
          <w:rFonts w:ascii="Times New Roman" w:hAnsi="Times New Roman"/>
          <w:sz w:val="20"/>
        </w:rPr>
      </w:pPr>
      <w:r>
        <w:rPr>
          <w:rFonts w:ascii="Times New Roman" w:hAnsi="Times New Roman"/>
          <w:sz w:val="20"/>
        </w:rPr>
        <w:t xml:space="preserve">Seller means Mail.ru Group LTD, a limited liability company, incorporated in accordance with the legislation of the British Virgin Isles, registration number 655058, with the place of location at: 28 Oktovriou, 232, Oceanic Building, office 501, 3035 Limassol, Cyprus. </w:t>
      </w:r>
    </w:p>
    <w:p>
      <w:pPr>
        <w:pStyle w:val="TextBody"/>
        <w:spacing w:before="240" w:after="0"/>
        <w:rPr>
          <w:rFonts w:ascii="Times New Roman" w:hAnsi="Times New Roman"/>
          <w:sz w:val="20"/>
        </w:rPr>
      </w:pPr>
      <w:r>
        <w:rPr>
          <w:rFonts w:ascii="Times New Roman" w:hAnsi="Times New Roman"/>
          <w:sz w:val="20"/>
        </w:rPr>
        <w:t xml:space="preserve">Proportional share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for the purposes of establishment of the amount of the Lender’s participation in providing the Credit in accordance with any Drawdown request, correlation between the Unspent lending limit of such Lender and the Aggregate Unspent lending limit.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for any other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w:t>
            </w:r>
          </w:p>
        </w:tc>
        <w:tc>
          <w:tcPr>
            <w:tcW w:w="9186" w:type="dxa"/>
            <w:tcBorders/>
            <w:shd w:fill="auto" w:val="clear"/>
          </w:tcPr>
          <w:p>
            <w:pPr>
              <w:pStyle w:val="TableContents"/>
              <w:spacing w:before="0" w:after="283"/>
              <w:jc w:val="left"/>
              <w:rPr/>
            </w:pPr>
            <w:r>
              <w:rPr/>
              <w:t xml:space="preserve">in absence of Outstanding credit, correlation between the Lending limit of a certain Lender and the Aggregate lending limit,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if there is Outstanding credit, correlation between the Outstanding credit, given to the Borrower by a certain Lender, together with the Amount, liable to providing by this Lender, and the Outstanding credit, given to the Borrower by all Lenders, together with the Amount, liable to providing by al Lenders. </w:t>
            </w:r>
          </w:p>
        </w:tc>
      </w:tr>
    </w:tbl>
    <w:p>
      <w:pPr>
        <w:pStyle w:val="TextBody"/>
        <w:spacing w:before="240" w:after="0"/>
        <w:rPr>
          <w:rFonts w:ascii="Times New Roman" w:hAnsi="Times New Roman"/>
          <w:sz w:val="20"/>
        </w:rPr>
      </w:pPr>
      <w:r>
        <w:rPr>
          <w:rFonts w:ascii="Times New Roman" w:hAnsi="Times New Roman"/>
          <w:sz w:val="20"/>
        </w:rPr>
        <w:t xml:space="preserve">Interest period means, as applied to Outstanding credit, each period, during which the interest shall accrue, established in accordance with provisions of Article 10 </w:t>
      </w:r>
      <w:r>
        <w:rPr>
          <w:rFonts w:ascii="Times New Roman" w:hAnsi="Times New Roman"/>
          <w:i/>
          <w:sz w:val="20"/>
        </w:rPr>
        <w:t>(Interest periods),</w:t>
      </w:r>
      <w:r>
        <w:rPr>
          <w:rFonts w:ascii="Times New Roman" w:hAnsi="Times New Roman"/>
          <w:sz w:val="20"/>
        </w:rPr>
        <w:t xml:space="preserve"> and, in respect of any overdue amount, every period, established in accordance with the terms of Article 9.4 </w:t>
      </w:r>
      <w:r>
        <w:rPr>
          <w:rFonts w:ascii="Times New Roman" w:hAnsi="Times New Roman"/>
          <w:i/>
          <w:sz w:val="20"/>
        </w:rPr>
        <w:t>(Fine).</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Business day means any day, on which the banks are opened to perform ordinary banking operations in Moscow and Nicosia; except for par. 4.2(b) Article 4.2 </w:t>
      </w:r>
      <w:r>
        <w:rPr>
          <w:rFonts w:ascii="Times New Roman" w:hAnsi="Times New Roman"/>
          <w:i/>
          <w:sz w:val="20"/>
        </w:rPr>
        <w:t>(Submission of Drawdown requests)</w:t>
      </w:r>
      <w:r>
        <w:rPr>
          <w:rFonts w:ascii="Times New Roman" w:hAnsi="Times New Roman"/>
          <w:sz w:val="20"/>
        </w:rPr>
        <w:t xml:space="preserve"> and par. 8.3(a) Article 8.3 </w:t>
      </w:r>
      <w:r>
        <w:rPr>
          <w:rFonts w:ascii="Times New Roman" w:hAnsi="Times New Roman"/>
          <w:i/>
          <w:sz w:val="20"/>
        </w:rPr>
        <w:t>(Voluntary early repayment of Outstanding credit),</w:t>
      </w:r>
      <w:r>
        <w:rPr>
          <w:rFonts w:ascii="Times New Roman" w:hAnsi="Times New Roman"/>
          <w:sz w:val="20"/>
        </w:rPr>
        <w:t xml:space="preserve"> in respect of which the Business day will be deemed any day, on which the banks are opened to perform ordinary banking operations in Moscow. </w:t>
      </w:r>
    </w:p>
    <w:p>
      <w:pPr>
        <w:pStyle w:val="TextBody"/>
        <w:spacing w:before="240" w:after="0"/>
        <w:rPr>
          <w:rFonts w:ascii="Times New Roman" w:hAnsi="Times New Roman"/>
          <w:sz w:val="20"/>
        </w:rPr>
      </w:pPr>
      <w:r>
        <w:rPr>
          <w:rFonts w:ascii="Times New Roman" w:hAnsi="Times New Roman"/>
          <w:sz w:val="20"/>
        </w:rPr>
        <w:t xml:space="preserve">Permitted reorganization means transfer of business, including contracts, assets and customers, fully or partially, from Headhunter to the Borrower, as well as transfer or transmission of shares ownership in Headhunter from Headhunter FSU to the Borrower in any legal form, not conflicting with the current legislation, on condition: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there is no risk of cessation or contesting of Security agreements as the result of such actions;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transfer of the right of ownership for such shares and interests, respectively, shall take place, taking into account the existing pledge in favor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prior agreement with the Facility Agent of all agreements and other documents, necessary for transfer of ownership of shares in Headhunter from Headhunter FSU to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that the composition of the members of the Borrower will not change;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6" w:type="dxa"/>
            <w:tcBorders/>
            <w:shd w:fill="auto" w:val="clear"/>
          </w:tcPr>
          <w:p>
            <w:pPr>
              <w:pStyle w:val="TableContents"/>
              <w:spacing w:before="0" w:after="283"/>
              <w:jc w:val="left"/>
              <w:rPr/>
            </w:pPr>
            <w:r>
              <w:rPr/>
              <w:t xml:space="preserve">providing during 5 (five) Business days after receipt of a reasonable request from the Facility Agent of any documents and data in respect of such actions. </w:t>
            </w:r>
          </w:p>
        </w:tc>
      </w:tr>
    </w:tbl>
    <w:p>
      <w:pPr>
        <w:pStyle w:val="TextBody"/>
        <w:spacing w:before="240" w:after="0"/>
        <w:rPr>
          <w:rFonts w:ascii="Times New Roman" w:hAnsi="Times New Roman"/>
          <w:sz w:val="20"/>
        </w:rPr>
      </w:pPr>
      <w:r>
        <w:rPr>
          <w:rFonts w:ascii="Times New Roman" w:hAnsi="Times New Roman"/>
          <w:sz w:val="20"/>
        </w:rPr>
        <w:t xml:space="preserve">Permitted financial indebtedness means the Financial indebtedness: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arising in accordance with the conditions of Financial documents or permitted by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of the Group member, which exists at the date of this Agreement, stated in Annex 7 (</w:t>
            </w:r>
            <w:r>
              <w:rPr>
                <w:i/>
              </w:rPr>
              <w:t>Existing financial indebtedness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of the Group members, the order for satisfaction of claims under which, as well as the turn for satisfaction of the claims under which shall be regulated by the Intercreditor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of Zemenik Trading to its shareholders, the order for satisfaction of claims under which, as well as the turn for satisfaction of the claims under which shall be regulated by the Intercreditor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6" w:type="dxa"/>
            <w:tcBorders/>
            <w:shd w:fill="auto" w:val="clear"/>
          </w:tcPr>
          <w:p>
            <w:pPr>
              <w:pStyle w:val="TableContents"/>
              <w:spacing w:before="0" w:after="283"/>
              <w:jc w:val="left"/>
              <w:rPr/>
            </w:pPr>
            <w:r>
              <w:rPr/>
              <w:t xml:space="preserve">of Zemenik Trading under loans from Highworld and ELQ Investors, granted on April 27th, 2016 in the amount, accumulatively not exceeding RUB 4 000 000 000 (for billion), for the purposes of performing payment by Zemenik Trading in favor of the Seller of a part of the purchase price for 100 (one hundred) percent of shares in the authorized capital of Headhunter FSU under Purchase and sale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9186" w:type="dxa"/>
            <w:tcBorders/>
            <w:shd w:fill="auto" w:val="clear"/>
          </w:tcPr>
          <w:p>
            <w:pPr>
              <w:pStyle w:val="TableContents"/>
              <w:spacing w:before="0" w:after="283"/>
              <w:jc w:val="left"/>
              <w:rPr/>
            </w:pPr>
            <w:r>
              <w:rPr/>
              <w:t xml:space="preserve">of the Borrower to any Guarantor; </w:t>
            </w:r>
          </w:p>
        </w:tc>
      </w:tr>
    </w:tbl>
    <w:p>
      <w:pPr>
        <w:pStyle w:val="TextBody"/>
        <w:spacing w:before="120" w:after="0"/>
        <w:rPr>
          <w:rFonts w:ascii="Times New Roman" w:hAnsi="Times New Roman"/>
          <w:sz w:val="20"/>
        </w:rPr>
      </w:pPr>
      <w:r>
        <w:rPr>
          <w:rFonts w:ascii="Times New Roman" w:hAnsi="Times New Roman"/>
          <w:sz w:val="20"/>
        </w:rPr>
        <w:t xml:space="preserve">(j) of any Guarantor to other Guarantor of the Borrower; and </w:t>
      </w:r>
    </w:p>
    <w:p>
      <w:pPr>
        <w:pStyle w:val="TextBody"/>
        <w:spacing w:before="240" w:after="0"/>
        <w:rPr>
          <w:rFonts w:ascii="Times New Roman" w:hAnsi="Times New Roman"/>
          <w:sz w:val="20"/>
        </w:rPr>
      </w:pPr>
      <w:r>
        <w:rPr>
          <w:rFonts w:ascii="Times New Roman" w:hAnsi="Times New Roman"/>
          <w:sz w:val="20"/>
        </w:rPr>
        <w:t xml:space="preserve">(h) of the Group members to any third parties under credits and loans in the accumulated amount, not exceeding 10 (ten) percent of Consolidated value of EBITDA. </w:t>
      </w:r>
    </w:p>
    <w:p>
      <w:pPr>
        <w:pStyle w:val="TextBody"/>
        <w:spacing w:before="240" w:after="0"/>
        <w:rPr>
          <w:rFonts w:ascii="Times New Roman" w:hAnsi="Times New Roman"/>
          <w:sz w:val="20"/>
        </w:rPr>
      </w:pPr>
      <w:r>
        <w:rPr>
          <w:rFonts w:ascii="Times New Roman" w:hAnsi="Times New Roman"/>
          <w:sz w:val="20"/>
        </w:rPr>
        <w:t xml:space="preserve">Permitted payments mean: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any payments, performed by the Group member in favor of the Borrower or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any payments, performed by any Debtor to another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payment of profit for allocation by any member of the Group in favor of shareholders of Zemenik Trading (including in the form of Permitted repurchase) on condition of observation of the requirements of Article 19.12 (</w:t>
            </w:r>
            <w:r>
              <w:rPr>
                <w:i/>
              </w:rPr>
              <w:t>Payment of dividends and repurchase of shares/interests of participation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6" w:type="dxa"/>
            <w:tcBorders/>
            <w:shd w:fill="auto" w:val="clear"/>
          </w:tcPr>
          <w:p>
            <w:pPr>
              <w:pStyle w:val="TableContents"/>
              <w:spacing w:before="0" w:after="283"/>
              <w:jc w:val="left"/>
              <w:rPr/>
            </w:pPr>
            <w:r>
              <w:rPr/>
              <w:t>payment in favor of other member of the Group or shareholders of Zemenik Trading of moneys, received by any Group member from sales of share/interests in another Group member, other than the Debtor, on condition, that after such payment the value of Debt burden shall not change (taking into account provisions of par. (e) Article 19.3 (</w:t>
            </w:r>
            <w:r>
              <w:rPr>
                <w:i/>
              </w:rPr>
              <w:t>Alienation of assets));</w:t>
            </w:r>
            <w:r>
              <w:rPr/>
              <w:t xml:space="preserv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(e)</w:t>
            </w:r>
          </w:p>
        </w:tc>
        <w:tc>
          <w:tcPr>
            <w:tcW w:w="9188" w:type="dxa"/>
            <w:tcBorders/>
            <w:shd w:fill="auto" w:val="clear"/>
          </w:tcPr>
          <w:p>
            <w:pPr>
              <w:pStyle w:val="TableContents"/>
              <w:spacing w:before="0" w:after="283"/>
              <w:jc w:val="left"/>
              <w:rPr/>
            </w:pPr>
            <w:r>
              <w:rPr/>
              <w:t xml:space="preserve">payment of moneys by the Group member in favor of other Group member in the amount, not exceeding RUB 300 000 000, during three months after the Drawdown date under Tranche A, and subsequent payment of moneys by Zemenik Trading in favor of shareholders of Zemenik Trading;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(f)</w:t>
            </w:r>
          </w:p>
        </w:tc>
        <w:tc>
          <w:tcPr>
            <w:tcW w:w="9188" w:type="dxa"/>
            <w:tcBorders/>
            <w:shd w:fill="auto" w:val="clear"/>
          </w:tcPr>
          <w:p>
            <w:pPr>
              <w:pStyle w:val="TableContents"/>
              <w:spacing w:before="0" w:after="283"/>
              <w:jc w:val="left"/>
              <w:rPr/>
            </w:pPr>
            <w:r>
              <w:rPr/>
              <w:t xml:space="preserve">execution of payments by Zemenik Trading in favor of the Seller under Purchase and sale agreement 1 for the amount, not exceeding RUB 5 000 000 000 (five billion), during three months after the date of this Agreement; and </w:t>
            </w:r>
          </w:p>
        </w:tc>
      </w:tr>
    </w:tbl>
    <w:p>
      <w:pPr>
        <w:pStyle w:val="TextBody"/>
        <w:spacing w:before="240" w:after="0"/>
        <w:rPr>
          <w:rFonts w:ascii="Times New Roman" w:hAnsi="Times New Roman"/>
          <w:sz w:val="20"/>
        </w:rPr>
      </w:pPr>
      <w:r>
        <w:rPr>
          <w:rFonts w:ascii="Times New Roman" w:hAnsi="Times New Roman"/>
          <w:sz w:val="20"/>
        </w:rPr>
        <w:t xml:space="preserve">(j) performance during 5 (five) Business days after the Drawdown date under Tranche A of payments by Zemenik Trading: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in favor of Highworld, directed at repayment of the Dollar loan from Highworld;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in favor of Highworld, directed at repayment of the loan, grated by Highworld on April 27th, 2016, moneys under which were directed by Zemenik Trading (or from and on behalf of Zemenik Trading) to perform payment in favor of the Seller of a part of the purchase price for 100 (one hundred) percent of shares in the authorized capital of Headhunter FSU under Purchase and sale agreement 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in favor of ELQ Investors, directed at repayment of the loan, grated by ELQ Investors on April 27th, 2016, moneys under which were directed by Zemenik Trading (or from and on behalf of Zemenik Trading) to perform payment in favor of the Seller of a part of the purchase price for 100 (one hundred) percent of shares in the authorized capital of Headhunter FSU under Purchase and sale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8"/>
        <w:gridCol w:w="8064"/>
      </w:tblGrid>
      <w:tr>
        <w:trPr/>
        <w:tc>
          <w:tcPr>
            <w:tcW w:w="1632"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(h)</w:t>
            </w:r>
          </w:p>
        </w:tc>
        <w:tc>
          <w:tcPr>
            <w:tcW w:w="8064" w:type="dxa"/>
            <w:tcBorders/>
            <w:shd w:fill="auto" w:val="clear"/>
          </w:tcPr>
          <w:p>
            <w:pPr>
              <w:pStyle w:val="TableContents"/>
              <w:spacing w:before="0" w:after="283"/>
              <w:jc w:val="left"/>
              <w:rPr/>
            </w:pPr>
            <w:r>
              <w:rPr/>
              <w:t xml:space="preserve">performance during 5 (five) Business days after the Drawdown date under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w:t>
            </w:r>
          </w:p>
        </w:tc>
        <w:tc>
          <w:tcPr>
            <w:tcW w:w="8063" w:type="dxa"/>
            <w:tcBorders/>
            <w:shd w:fill="auto" w:val="clear"/>
          </w:tcPr>
          <w:p>
            <w:pPr>
              <w:pStyle w:val="TableContents"/>
              <w:spacing w:before="0" w:after="283"/>
              <w:jc w:val="left"/>
              <w:rPr/>
            </w:pPr>
            <w:r>
              <w:rPr/>
              <w:t xml:space="preserve">by the Borrower of the payment (not exceeding the amount of Tranche B) in favor of Zemenik Trading in accordance with Purchase and sale agreement 2;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142"/>
        <w:gridCol w:w="610"/>
        <w:gridCol w:w="7452"/>
      </w:tblGrid>
      <w:tr>
        <w:trPr/>
        <w:tc>
          <w:tcPr>
            <w:tcW w:w="2142"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7452" w:type="dxa"/>
            <w:tcBorders/>
            <w:shd w:fill="auto" w:val="clear"/>
          </w:tcPr>
          <w:p>
            <w:pPr>
              <w:pStyle w:val="TableContents"/>
              <w:spacing w:before="0" w:after="283"/>
              <w:jc w:val="left"/>
              <w:rPr/>
            </w:pPr>
            <w:r>
              <w:rPr/>
              <w:t xml:space="preserve">payment by Zemenik Trading of the amount, received from the Borrower in accordance with Purchase and sale agreement 2, in favor of ELQ Investors and Highworld, directed at repayment of loans, granted by ELQ Investors and Highworld in favor of Zemenik Trading before the date of this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1"/>
        <w:gridCol w:w="8062"/>
      </w:tblGrid>
      <w:tr>
        <w:trPr/>
        <w:tc>
          <w:tcPr>
            <w:tcW w:w="1631" w:type="dxa"/>
            <w:tcBorders/>
            <w:shd w:fill="auto" w:val="clear"/>
            <w:vAlign w:val="center"/>
          </w:tcPr>
          <w:p>
            <w:pPr>
              <w:pStyle w:val="TableContents"/>
              <w:spacing w:before="0" w:after="283"/>
              <w:rPr/>
            </w:pPr>
            <w:r>
              <w:rPr/>
              <w:t> </w:t>
            </w:r>
          </w:p>
        </w:tc>
        <w:tc>
          <w:tcPr>
            <w:tcW w:w="511" w:type="dxa"/>
            <w:tcBorders/>
            <w:shd w:fill="auto" w:val="clear"/>
          </w:tcPr>
          <w:p>
            <w:pPr>
              <w:pStyle w:val="TableContents"/>
              <w:spacing w:before="0" w:after="283"/>
              <w:jc w:val="left"/>
              <w:rPr/>
            </w:pPr>
            <w:r>
              <w:rPr/>
              <w:t>(i)</w:t>
            </w:r>
          </w:p>
        </w:tc>
        <w:tc>
          <w:tcPr>
            <w:tcW w:w="8062" w:type="dxa"/>
            <w:tcBorders/>
            <w:shd w:fill="auto" w:val="clear"/>
          </w:tcPr>
          <w:p>
            <w:pPr>
              <w:pStyle w:val="TableContents"/>
              <w:spacing w:before="0" w:after="283"/>
              <w:jc w:val="left"/>
              <w:rPr/>
            </w:pPr>
            <w:r>
              <w:rPr/>
              <w:t xml:space="preserve">performance of payments being compulsory by virtue of the current legislation in favor of shareholders, which are not the Group members or members of legal entities, being the Group members, in case of withdrawal of such shareholder or member from such legal entity, </w:t>
            </w:r>
          </w:p>
        </w:tc>
      </w:tr>
    </w:tbl>
    <w:p>
      <w:pPr>
        <w:pStyle w:val="TextBody"/>
        <w:spacing w:before="240" w:after="0"/>
        <w:rPr>
          <w:rFonts w:ascii="Times New Roman" w:hAnsi="Times New Roman"/>
          <w:sz w:val="20"/>
        </w:rPr>
      </w:pPr>
      <w:r>
        <w:rPr>
          <w:rFonts w:ascii="Times New Roman" w:hAnsi="Times New Roman"/>
          <w:sz w:val="20"/>
        </w:rPr>
        <w:t xml:space="preserve">therewith, as the result of any payments, stated in par. (a) through (i) of this definition, no negative net assets shall arise with the person, such payments. </w:t>
      </w:r>
    </w:p>
    <w:p>
      <w:pPr>
        <w:pStyle w:val="TextBody"/>
        <w:spacing w:before="120" w:after="0"/>
        <w:rPr>
          <w:rFonts w:ascii="Times New Roman" w:hAnsi="Times New Roman"/>
          <w:sz w:val="20"/>
        </w:rPr>
      </w:pPr>
      <w:r>
        <w:rPr>
          <w:rFonts w:ascii="Times New Roman" w:hAnsi="Times New Roman"/>
          <w:sz w:val="20"/>
        </w:rPr>
        <w:t xml:space="preserve">Permitted Redemption means the redemption of own shares or interests in the authorized capital by the Group member, 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if such shares or interests are the subject of the Pledge Agreement, and such shares or interests will continue to be the subject of such pledge, regardless of the corresponding redemption;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compliance of such Group member with all applicable legal requirements for such redemption, including requirements for the size of the authorized capital of such Group member;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shares or interests will be repaid within the period established by the applicable law. </w:t>
            </w:r>
          </w:p>
        </w:tc>
      </w:tr>
    </w:tbl>
    <w:p>
      <w:pPr>
        <w:pStyle w:val="TextBody"/>
        <w:spacing w:before="240" w:after="0"/>
        <w:rPr>
          <w:rFonts w:ascii="Times New Roman" w:hAnsi="Times New Roman"/>
          <w:sz w:val="20"/>
        </w:rPr>
      </w:pPr>
      <w:r>
        <w:rPr>
          <w:rFonts w:ascii="Times New Roman" w:hAnsi="Times New Roman"/>
          <w:sz w:val="20"/>
        </w:rPr>
        <w:t xml:space="preserve">Permitted Loan means loans: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loans provided by the Group members before the date of this Agreement listed in the Annex 11 (</w:t>
            </w:r>
            <w:r>
              <w:rPr>
                <w:i/>
              </w:rPr>
              <w:t>List of existing loans</w:t>
            </w:r>
            <w:r>
              <w:rPr/>
              <w:t xml:space="preserve"> _</w:t>
            </w:r>
            <w:r>
              <w:rPr>
                <w:u w:val="single"/>
              </w:rPr>
              <w:t>bookmark183</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4" w:type="dxa"/>
            <w:tcBorders/>
            <w:shd w:fill="auto" w:val="clear"/>
          </w:tcPr>
          <w:p>
            <w:pPr>
              <w:pStyle w:val="TableContents"/>
              <w:spacing w:before="0" w:after="283"/>
              <w:jc w:val="left"/>
              <w:rPr/>
            </w:pPr>
            <w:r>
              <w:rPr/>
              <w:t xml:space="preserve">provided by any Debtor to another Debtor;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provided by any Group member to the Debtor under loan agreements, the procedure of satisfaction of claims on which, as well as the order of satisfaction of claims on which are governed by the Inter-Loan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4" w:type="dxa"/>
            <w:tcBorders/>
            <w:shd w:fill="auto" w:val="clear"/>
          </w:tcPr>
          <w:p>
            <w:pPr>
              <w:pStyle w:val="TableContents"/>
              <w:spacing w:before="0" w:after="283"/>
              <w:jc w:val="left"/>
              <w:rPr/>
            </w:pPr>
            <w:r>
              <w:rPr/>
              <w:t xml:space="preserve">provided by any Group member, who is not the Debtor, to another Group member, who is not the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4" w:type="dxa"/>
            <w:tcBorders/>
            <w:shd w:fill="auto" w:val="clear"/>
          </w:tcPr>
          <w:p>
            <w:pPr>
              <w:pStyle w:val="TableContents"/>
              <w:spacing w:before="0" w:after="283"/>
              <w:jc w:val="left"/>
              <w:rPr/>
            </w:pPr>
            <w:r>
              <w:rPr/>
              <w:t xml:space="preserve">provided in aggregate by any Group member to third parties, and total principal amount of which does not exceed at any time five (5) percent of the Consolidated EBITDA;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9187" w:type="dxa"/>
            <w:tcBorders/>
            <w:shd w:fill="auto" w:val="clear"/>
          </w:tcPr>
          <w:p>
            <w:pPr>
              <w:pStyle w:val="TableContents"/>
              <w:spacing w:before="0" w:after="283"/>
              <w:jc w:val="left"/>
              <w:rPr/>
            </w:pPr>
            <w:r>
              <w:rPr/>
              <w:t xml:space="preserve">which were provided by the shareholders of Zemenik Trading on April 27, 2016 in the aggregate not exceeding four billion (4,000,000,000) roubles, the cash funds on which were sent by Zemenik Trading (or on behalf of Zemenik Trading) for payment in favor of the Seller the part of the purchase price for one hundred (100) percent of shares in the authorized capital of Headhunter FSU under the Sales and Purchase Agreement 1. </w:t>
            </w:r>
          </w:p>
        </w:tc>
      </w:tr>
    </w:tbl>
    <w:p>
      <w:pPr>
        <w:pStyle w:val="TextBody"/>
        <w:spacing w:before="120" w:after="0"/>
        <w:rPr>
          <w:rFonts w:ascii="Times New Roman" w:hAnsi="Times New Roman"/>
          <w:sz w:val="20"/>
        </w:rPr>
      </w:pPr>
      <w:r>
        <w:rPr>
          <w:rFonts w:ascii="Times New Roman" w:hAnsi="Times New Roman"/>
          <w:sz w:val="20"/>
        </w:rPr>
        <w:t xml:space="preserve">Transaction Expenses means the amount of expenses for legal consultants and due diligence incurred in connection with the transaction under the Sales and Purchase Agreement 1 in the amount of 45,605,039 rubles (of which 36,281,344 rubles in the first half of 2016 and 9,323,695 rubles in the second half of 2016). </w:t>
      </w:r>
    </w:p>
    <w:p>
      <w:pPr>
        <w:pStyle w:val="TextBody"/>
        <w:spacing w:before="120" w:after="0"/>
        <w:rPr>
          <w:rFonts w:ascii="Times New Roman" w:hAnsi="Times New Roman"/>
          <w:sz w:val="20"/>
        </w:rPr>
      </w:pPr>
      <w:r>
        <w:rPr>
          <w:rFonts w:ascii="Times New Roman" w:hAnsi="Times New Roman"/>
          <w:sz w:val="20"/>
        </w:rPr>
        <w:t xml:space="preserve">Estimated Date means the end date of the Calculation Period. </w:t>
      </w:r>
    </w:p>
    <w:p>
      <w:pPr>
        <w:pStyle w:val="TextBody"/>
        <w:spacing w:before="120" w:after="0"/>
        <w:rPr>
          <w:rFonts w:ascii="Times New Roman" w:hAnsi="Times New Roman"/>
          <w:sz w:val="20"/>
        </w:rPr>
      </w:pPr>
      <w:r>
        <w:rPr>
          <w:rFonts w:ascii="Times New Roman" w:hAnsi="Times New Roman"/>
          <w:sz w:val="20"/>
        </w:rPr>
        <w:t>Calculation Period means, for the purposes of the financial indicators established in Clause 18 (</w:t>
      </w:r>
      <w:r>
        <w:rPr>
          <w:rFonts w:ascii="Times New Roman" w:hAnsi="Times New Roman"/>
          <w:i/>
          <w:sz w:val="20"/>
        </w:rPr>
        <w:t>Obligations on compliance with financial</w:t>
      </w:r>
      <w:r>
        <w:rPr>
          <w:rFonts w:ascii="Times New Roman" w:hAnsi="Times New Roman"/>
          <w:sz w:val="20"/>
        </w:rPr>
        <w:t xml:space="preserve"> </w:t>
      </w:r>
      <w:r>
        <w:rPr>
          <w:rFonts w:ascii="Times New Roman" w:hAnsi="Times New Roman"/>
          <w:i/>
          <w:sz w:val="20"/>
        </w:rPr>
        <w:t>indicators</w:t>
      </w:r>
      <w:r>
        <w:rPr>
          <w:rFonts w:ascii="Times New Roman" w:hAnsi="Times New Roman"/>
          <w:sz w:val="20"/>
        </w:rPr>
        <w:t xml:space="preserve">), any period of time in duration of twelve (12) months ending at the last day of the financial half-year of the Group or in the last day of the financial year of the Group. </w:t>
      </w:r>
    </w:p>
    <w:p>
      <w:pPr>
        <w:pStyle w:val="TextBody"/>
        <w:spacing w:before="120" w:after="0"/>
        <w:rPr>
          <w:rFonts w:ascii="Times New Roman" w:hAnsi="Times New Roman"/>
          <w:sz w:val="20"/>
        </w:rPr>
      </w:pPr>
      <w:r>
        <w:rPr>
          <w:rFonts w:ascii="Times New Roman" w:hAnsi="Times New Roman"/>
          <w:sz w:val="20"/>
        </w:rPr>
        <w:t>The Resolution has the meaning given to this term in Clause 23.1 (</w:t>
      </w:r>
      <w:r>
        <w:rPr>
          <w:rFonts w:ascii="Times New Roman" w:hAnsi="Times New Roman"/>
          <w:i/>
          <w:sz w:val="20"/>
        </w:rPr>
        <w:t>Resolutions of majority of Creditors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RAR means Russian accounting rules in accordance with Russian law. </w:t>
      </w:r>
    </w:p>
    <w:p>
      <w:pPr>
        <w:pStyle w:val="TextBody"/>
        <w:spacing w:before="120" w:after="0"/>
        <w:rPr>
          <w:rFonts w:ascii="Times New Roman" w:hAnsi="Times New Roman"/>
          <w:sz w:val="20"/>
        </w:rPr>
      </w:pPr>
      <w:r>
        <w:rPr>
          <w:rFonts w:ascii="Times New Roman" w:hAnsi="Times New Roman"/>
          <w:sz w:val="20"/>
        </w:rPr>
        <w:t xml:space="preserve">Ruble, </w:t>
      </w:r>
      <w:r>
        <w:rPr>
          <w:rFonts w:ascii="Times New Roman" w:hAnsi="Times New Roman"/>
          <w:sz w:val="20"/>
        </w:rPr>
        <w:drawing>
          <wp:inline distT="0" distB="0" distL="0" distR="0">
            <wp:extent cx="718820" cy="35941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RUB or rub. means currency of the Russian Federation. </w:t>
      </w:r>
    </w:p>
    <w:p>
      <w:pPr>
        <w:pStyle w:val="TextBody"/>
        <w:spacing w:before="120" w:after="0"/>
        <w:rPr>
          <w:rFonts w:ascii="Times New Roman" w:hAnsi="Times New Roman"/>
          <w:sz w:val="20"/>
        </w:rPr>
      </w:pPr>
      <w:r>
        <w:rPr>
          <w:rFonts w:ascii="Times New Roman" w:hAnsi="Times New Roman"/>
          <w:sz w:val="20"/>
        </w:rPr>
        <w:t>Web-sites of Debtors means web-sites owned by Debtors and listed in Annex 8 (</w:t>
      </w:r>
      <w:r>
        <w:rPr>
          <w:rFonts w:ascii="Times New Roman" w:hAnsi="Times New Roman"/>
          <w:i/>
          <w:sz w:val="20"/>
        </w:rPr>
        <w:t>(Intellectual Property Objects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Default event means any event or circumstance specified in Article21 (</w:t>
      </w:r>
      <w:r>
        <w:rPr>
          <w:rFonts w:ascii="Times New Roman" w:hAnsi="Times New Roman"/>
          <w:i/>
          <w:sz w:val="20"/>
        </w:rPr>
        <w:t>Default events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Total Credit Limit means the total amount of the Credit Limits of all Creditors, which at the date of the Amendment Agreement No. 3 is seven billion (7,000,000,000) rubles. </w:t>
      </w:r>
    </w:p>
    <w:p>
      <w:pPr>
        <w:pStyle w:val="TextBody"/>
        <w:spacing w:before="120" w:after="0"/>
        <w:rPr>
          <w:rFonts w:ascii="Times New Roman" w:hAnsi="Times New Roman"/>
          <w:sz w:val="20"/>
        </w:rPr>
      </w:pPr>
      <w:r>
        <w:rPr>
          <w:rFonts w:ascii="Times New Roman" w:hAnsi="Times New Roman"/>
          <w:sz w:val="20"/>
        </w:rPr>
        <w:t xml:space="preserve">Total Unused Credit Limit means the aggregate of the Unused Credit Limits for all Creditors. </w:t>
      </w:r>
    </w:p>
    <w:p>
      <w:pPr>
        <w:pStyle w:val="TextBody"/>
        <w:spacing w:before="120" w:after="0"/>
        <w:rPr>
          <w:rFonts w:ascii="Times New Roman" w:hAnsi="Times New Roman"/>
          <w:sz w:val="20"/>
        </w:rPr>
      </w:pPr>
      <w:r>
        <w:rPr>
          <w:rFonts w:ascii="Times New Roman" w:hAnsi="Times New Roman"/>
          <w:sz w:val="20"/>
        </w:rPr>
        <w:t xml:space="preserve">The Amendment Agreement No. 2 means the agreement on making of amendments No. 2 to this Agreement dated June 28, 2017. </w:t>
      </w:r>
    </w:p>
    <w:p>
      <w:pPr>
        <w:pStyle w:val="TextBody"/>
        <w:spacing w:before="120" w:after="0"/>
        <w:rPr>
          <w:rFonts w:ascii="Times New Roman" w:hAnsi="Times New Roman"/>
          <w:sz w:val="20"/>
        </w:rPr>
      </w:pPr>
      <w:r>
        <w:rPr>
          <w:rFonts w:ascii="Times New Roman" w:hAnsi="Times New Roman"/>
          <w:sz w:val="20"/>
        </w:rPr>
        <w:t xml:space="preserve">Amendment Agreement No. 3 means an agreement on making amendments No. 3 to this Agreement dated 5 October 2017. </w:t>
      </w:r>
    </w:p>
    <w:p>
      <w:pPr>
        <w:pStyle w:val="TextBody"/>
        <w:spacing w:before="120" w:after="0"/>
        <w:rPr>
          <w:rFonts w:ascii="Times New Roman" w:hAnsi="Times New Roman"/>
          <w:sz w:val="20"/>
        </w:rPr>
      </w:pPr>
      <w:r>
        <w:rPr>
          <w:rFonts w:ascii="Times New Roman" w:hAnsi="Times New Roman"/>
          <w:sz w:val="20"/>
        </w:rPr>
        <w:t>Agreement on issuance of the Additional Guaranty has meaning specified in Clause 18.5 (</w:t>
      </w:r>
      <w:r>
        <w:rPr>
          <w:rFonts w:ascii="Times New Roman" w:hAnsi="Times New Roman"/>
          <w:i/>
          <w:sz w:val="20"/>
        </w:rPr>
        <w:t>Provision of additional guarantees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Agreement on the issuance of the Independent Guarantee means each agreement for the issuance of an independent guarantee concluded between the Borrower, Creditors, and relevant Guarantor with respect to the provision of the Independent Guarantee. </w:t>
      </w:r>
    </w:p>
    <w:p>
      <w:pPr>
        <w:pStyle w:val="TextBody"/>
        <w:spacing w:before="120" w:after="0"/>
        <w:rPr>
          <w:rFonts w:ascii="Times New Roman" w:hAnsi="Times New Roman"/>
          <w:sz w:val="20"/>
        </w:rPr>
      </w:pPr>
      <w:r>
        <w:rPr>
          <w:rFonts w:ascii="Times New Roman" w:hAnsi="Times New Roman"/>
          <w:sz w:val="20"/>
        </w:rPr>
        <w:t xml:space="preserve">Party means the party to this Agreement. </w:t>
      </w:r>
    </w:p>
    <w:p>
      <w:pPr>
        <w:pStyle w:val="TextBody"/>
        <w:spacing w:before="120" w:after="0"/>
        <w:rPr>
          <w:rFonts w:ascii="Times New Roman" w:hAnsi="Times New Roman"/>
          <w:sz w:val="20"/>
        </w:rPr>
      </w:pPr>
      <w:r>
        <w:rPr>
          <w:rFonts w:ascii="Times New Roman" w:hAnsi="Times New Roman"/>
          <w:sz w:val="20"/>
        </w:rPr>
        <w:t xml:space="preserve">Financing Party means each Creditor, Credit Agent, and Organizer.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Amount to be granted means the amount of money that must be provided by any Creditor or Creditors on the Utilization Date specified in the Application for Utilization submitted by the Borrower. </w:t>
      </w:r>
    </w:p>
    <w:p>
      <w:pPr>
        <w:pStyle w:val="TextBody"/>
        <w:spacing w:before="120" w:after="0"/>
        <w:rPr>
          <w:rFonts w:ascii="Times New Roman" w:hAnsi="Times New Roman"/>
          <w:sz w:val="20"/>
        </w:rPr>
      </w:pPr>
      <w:r>
        <w:rPr>
          <w:rFonts w:ascii="Times New Roman" w:hAnsi="Times New Roman"/>
          <w:sz w:val="20"/>
        </w:rPr>
        <w:t xml:space="preserve">Substantial Adverse Impact means a significant adverse effect that, in the opinion of the Majority of Creditors, can be rendered 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financial state of the Group as a whole;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the ability of Debtors to fulfill their obligations under any Financial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the validity or order of security that is provided or should be provided under any Financial Document or the possibility of foreclosure on 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the validity of the Financial Documents or the possibility of exercising the rights of the Financing Parties provided by each relevant Financial Document. </w:t>
            </w:r>
          </w:p>
        </w:tc>
      </w:tr>
    </w:tbl>
    <w:p>
      <w:pPr>
        <w:pStyle w:val="TextBody"/>
        <w:spacing w:before="120" w:after="0"/>
        <w:rPr>
          <w:rFonts w:ascii="Times New Roman" w:hAnsi="Times New Roman"/>
          <w:sz w:val="20"/>
        </w:rPr>
      </w:pPr>
      <w:r>
        <w:rPr>
          <w:rFonts w:ascii="Times New Roman" w:hAnsi="Times New Roman"/>
          <w:sz w:val="20"/>
        </w:rPr>
        <w:t>Essential Group Member means any Debtor or any Group member, EBITDA, assets and revenues of which determined on the basis of the consolidated financial statements of the Group as of the last reporting date prepared in accordance with IFRS and provided to the Credit in accordance with paragraph (a) or (b) of Clause 17.1 (</w:t>
      </w:r>
      <w:r>
        <w:rPr>
          <w:rFonts w:ascii="Times New Roman" w:hAnsi="Times New Roman"/>
          <w:i/>
          <w:sz w:val="20"/>
        </w:rPr>
        <w:t>Financial Statement</w:t>
      </w:r>
      <w:r>
        <w:rPr>
          <w:rFonts w:ascii="Times New Roman" w:hAnsi="Times New Roman"/>
          <w:sz w:val="20"/>
        </w:rPr>
        <w:t xml:space="preserve">) exceed two point five (2,5) percentage of the similar Group’s consolidated indicators determined on the basis of the same financial statements. </w:t>
      </w:r>
    </w:p>
    <w:p>
      <w:pPr>
        <w:pStyle w:val="TextBody"/>
        <w:spacing w:before="120" w:after="0"/>
        <w:rPr>
          <w:rFonts w:ascii="Times New Roman" w:hAnsi="Times New Roman"/>
          <w:sz w:val="20"/>
        </w:rPr>
      </w:pPr>
      <w:r>
        <w:rPr>
          <w:rFonts w:ascii="Times New Roman" w:hAnsi="Times New Roman"/>
          <w:sz w:val="20"/>
        </w:rPr>
        <w:t xml:space="preserve">Existing Commercial Contracts means the following contracts between Headhunter as a lessee and OOO “Kalibr” as the lessor for the lease of the Headhunter office in Moscow: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lease agreement No. 3670 dated March 1, 2013;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lease agreement No. 4480 dated September 16, 2015;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lease agreement No. 4735 dated May 4, 2016. </w:t>
            </w:r>
          </w:p>
        </w:tc>
      </w:tr>
    </w:tbl>
    <w:p>
      <w:pPr>
        <w:pStyle w:val="TextBody"/>
        <w:spacing w:before="120" w:after="0"/>
        <w:rPr>
          <w:rFonts w:ascii="Times New Roman" w:hAnsi="Times New Roman"/>
          <w:sz w:val="20"/>
        </w:rPr>
      </w:pPr>
      <w:r>
        <w:rPr>
          <w:rFonts w:ascii="Times New Roman" w:hAnsi="Times New Roman"/>
          <w:sz w:val="20"/>
        </w:rPr>
        <w:t>Group Structure Scheme means the Group structure scheme annexed as Annex 9 (9 (</w:t>
      </w:r>
      <w:r>
        <w:rPr>
          <w:rFonts w:ascii="Times New Roman" w:hAnsi="Times New Roman"/>
          <w:i/>
          <w:sz w:val="20"/>
        </w:rPr>
        <w:t>Group Structure Scheme</w:t>
      </w:r>
      <w:r>
        <w:rPr>
          <w:rFonts w:ascii="Times New Roman" w:hAnsi="Times New Roman"/>
          <w:sz w:val="20"/>
        </w:rPr>
        <w:t xml:space="preserve">)) or (if the Borrower after the date of this Agreement provided the Credit Agent with a new Group structure scheme) the Group structure that was provided by the Borrower to the Credit Agent at the latest date. </w:t>
      </w:r>
    </w:p>
    <w:p>
      <w:pPr>
        <w:pStyle w:val="TextBody"/>
        <w:spacing w:before="120" w:after="0"/>
        <w:rPr>
          <w:rFonts w:ascii="Times New Roman" w:hAnsi="Times New Roman"/>
          <w:sz w:val="20"/>
        </w:rPr>
      </w:pPr>
      <w:r>
        <w:rPr>
          <w:rFonts w:ascii="Times New Roman" w:hAnsi="Times New Roman"/>
          <w:sz w:val="20"/>
        </w:rPr>
        <w:t xml:space="preserve">Credit Agent’s account means the account details of which the Credit Agent informs the Financing Parties. </w:t>
      </w:r>
    </w:p>
    <w:p>
      <w:pPr>
        <w:pStyle w:val="TextBody"/>
        <w:spacing w:before="120" w:after="0"/>
        <w:rPr>
          <w:rFonts w:ascii="Times New Roman" w:hAnsi="Times New Roman"/>
          <w:sz w:val="20"/>
        </w:rPr>
      </w:pPr>
      <w:r>
        <w:rPr>
          <w:rFonts w:ascii="Times New Roman" w:hAnsi="Times New Roman"/>
          <w:sz w:val="20"/>
        </w:rPr>
        <w:t xml:space="preserve">Technical Failure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a significant malfunction in those payment systems or communication systems or in those financial markets whose operation in each case is necessary for making payments (or other transactions subject to execution) in accordance with transactions stipulated by the Financial Documents that occurred for reasons beyond the control of either Party;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the occurrence of any other event that entails a failure (of a technical or systemic nature) in the cash or settlement transactions of any Party that does not allow this or any other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09"/>
        <w:gridCol w:w="8576"/>
      </w:tblGrid>
      <w:tr>
        <w:trPr/>
        <w:tc>
          <w:tcPr>
            <w:tcW w:w="1019"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perform its payment obligations on Financial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communicate with other Parties on the Finance Documents, </w:t>
            </w:r>
          </w:p>
        </w:tc>
      </w:tr>
    </w:tbl>
    <w:p>
      <w:pPr>
        <w:pStyle w:val="TextBody"/>
        <w:spacing w:before="120" w:after="0"/>
        <w:rPr>
          <w:rFonts w:ascii="Times New Roman" w:hAnsi="Times New Roman"/>
          <w:sz w:val="20"/>
        </w:rPr>
      </w:pPr>
      <w:r>
        <w:rPr>
          <w:rFonts w:ascii="Times New Roman" w:hAnsi="Times New Roman"/>
          <w:sz w:val="20"/>
        </w:rPr>
        <w:t xml:space="preserve">and which was not caused by a Party whose operations were disrupted and occurred for reasons beyond the control of that Party. </w:t>
      </w:r>
    </w:p>
    <w:p>
      <w:pPr>
        <w:pStyle w:val="TextBody"/>
        <w:spacing w:before="120" w:after="0"/>
        <w:rPr>
          <w:rFonts w:ascii="Times New Roman" w:hAnsi="Times New Roman"/>
          <w:sz w:val="20"/>
        </w:rPr>
      </w:pPr>
      <w:r>
        <w:rPr>
          <w:rFonts w:ascii="Times New Roman" w:hAnsi="Times New Roman"/>
          <w:sz w:val="20"/>
        </w:rPr>
        <w:t>Trademarks of Debtors means trademarks registered by Debtors and Additional Guarantors and specified in Annex8 (_</w:t>
      </w:r>
      <w:r>
        <w:rPr>
          <w:rFonts w:ascii="Times New Roman" w:hAnsi="Times New Roman"/>
          <w:sz w:val="20"/>
          <w:u w:val="single"/>
        </w:rPr>
        <w:t>bookmark180</w:t>
      </w:r>
      <w:r>
        <w:rPr>
          <w:rFonts w:ascii="Times New Roman" w:hAnsi="Times New Roman"/>
          <w:sz w:val="20"/>
        </w:rPr>
        <w:t xml:space="preserve"> </w:t>
      </w:r>
      <w:r>
        <w:rPr>
          <w:rFonts w:ascii="Times New Roman" w:hAnsi="Times New Roman"/>
          <w:i/>
          <w:sz w:val="20"/>
        </w:rPr>
        <w:t>Intellectual Property Objects).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Tranche means Tranche A, Tranche B, Tranche B or Tranche D. </w:t>
      </w:r>
    </w:p>
    <w:p>
      <w:pPr>
        <w:pStyle w:val="TextBody"/>
        <w:spacing w:before="120" w:after="0"/>
        <w:rPr>
          <w:rFonts w:ascii="Times New Roman" w:hAnsi="Times New Roman"/>
          <w:sz w:val="20"/>
        </w:rPr>
      </w:pPr>
      <w:r>
        <w:rPr>
          <w:rFonts w:ascii="Times New Roman" w:hAnsi="Times New Roman"/>
          <w:sz w:val="20"/>
        </w:rPr>
        <w:t xml:space="preserve">Tranche A means the part of the Credit granted to the Borrower under the terms of this Agreement, in the amount of four billion (4,000,000,000) rubles.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Tranche B means the part of the Credit granted to the Borrower under the terms of this Agreement, in the amount of one billion (1,000,000,000) rubles. </w:t>
      </w:r>
    </w:p>
    <w:p>
      <w:pPr>
        <w:pStyle w:val="TextBody"/>
        <w:spacing w:before="120" w:after="0"/>
        <w:rPr>
          <w:rFonts w:ascii="Times New Roman" w:hAnsi="Times New Roman"/>
          <w:sz w:val="20"/>
        </w:rPr>
      </w:pPr>
      <w:r>
        <w:rPr>
          <w:rFonts w:ascii="Times New Roman" w:hAnsi="Times New Roman"/>
          <w:sz w:val="20"/>
        </w:rPr>
        <w:t xml:space="preserve">Tranche B means the part of the Credit granted to the Borrower under the terms of this Agreement, in the amount of one billion (1,000,000,000) rubles. </w:t>
      </w:r>
    </w:p>
    <w:p>
      <w:pPr>
        <w:pStyle w:val="TextBody"/>
        <w:spacing w:before="120" w:after="0"/>
        <w:rPr>
          <w:rFonts w:ascii="Times New Roman" w:hAnsi="Times New Roman"/>
          <w:sz w:val="20"/>
        </w:rPr>
      </w:pPr>
      <w:r>
        <w:rPr>
          <w:rFonts w:ascii="Times New Roman" w:hAnsi="Times New Roman"/>
          <w:sz w:val="20"/>
        </w:rPr>
        <w:t xml:space="preserve">Tranche D means the part of the Credit granted to the Borrower under the terms of this Agreement, in the amount of one billion (1,000,000,000) rubles. </w:t>
      </w:r>
    </w:p>
    <w:p>
      <w:pPr>
        <w:pStyle w:val="TextBody"/>
        <w:spacing w:before="120" w:after="0"/>
        <w:rPr>
          <w:rFonts w:ascii="Times New Roman" w:hAnsi="Times New Roman"/>
          <w:sz w:val="20"/>
        </w:rPr>
      </w:pPr>
      <w:r>
        <w:rPr>
          <w:rFonts w:ascii="Times New Roman" w:hAnsi="Times New Roman"/>
          <w:sz w:val="20"/>
        </w:rPr>
        <w:t xml:space="preserve">Financial Indebtedness means any indebtedness resulting from: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receiving money in the form of a loan or a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obtaining the commodity loan or commercial loan for a period of more than thirty (30) days, or issuing an unsecured letter of credit if such indebtiness is classified as a “financial indebtiness”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issue of bonds, bills of exchange and any other debt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instruments; conclusion of a financial leasing contract;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(e)</w:t>
            </w:r>
          </w:p>
        </w:tc>
        <w:tc>
          <w:tcPr>
            <w:tcW w:w="9188" w:type="dxa"/>
            <w:tcBorders/>
            <w:shd w:fill="auto" w:val="clear"/>
          </w:tcPr>
          <w:p>
            <w:pPr>
              <w:pStyle w:val="TableContents"/>
              <w:spacing w:before="0" w:after="283"/>
              <w:jc w:val="left"/>
              <w:rPr/>
            </w:pPr>
            <w:r>
              <w:rPr/>
              <w:t xml:space="preserve">transactions with derivative financial instruments in order to protect or benefit from fluctuations in any rates, interest rates or prices, and the amount of the transaction with such derivative financial instruments will be calculated based on market indicators at each point in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9187" w:type="dxa"/>
            <w:tcBorders/>
            <w:shd w:fill="auto" w:val="clear"/>
          </w:tcPr>
          <w:p>
            <w:pPr>
              <w:pStyle w:val="TableContents"/>
              <w:spacing w:before="0" w:after="283"/>
              <w:jc w:val="left"/>
              <w:rPr/>
            </w:pPr>
            <w:r>
              <w:rPr/>
              <w:t xml:space="preserve">making repo transactions or any other transaction that is called borrowing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(g)</w:t>
            </w:r>
          </w:p>
        </w:tc>
        <w:tc>
          <w:tcPr>
            <w:tcW w:w="9184" w:type="dxa"/>
            <w:tcBorders/>
            <w:shd w:fill="auto" w:val="clear"/>
          </w:tcPr>
          <w:p>
            <w:pPr>
              <w:pStyle w:val="TableContents"/>
              <w:spacing w:before="0" w:after="283"/>
              <w:jc w:val="left"/>
              <w:rPr/>
            </w:pPr>
            <w:r>
              <w:rPr/>
              <w:t xml:space="preserve">assuming the obligations to recover damages or expenses incurred by persons not belonging to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(h)</w:t>
            </w:r>
          </w:p>
        </w:tc>
        <w:tc>
          <w:tcPr>
            <w:tcW w:w="9185" w:type="dxa"/>
            <w:tcBorders/>
            <w:shd w:fill="auto" w:val="clear"/>
          </w:tcPr>
          <w:p>
            <w:pPr>
              <w:pStyle w:val="TableContents"/>
              <w:spacing w:before="0" w:after="283"/>
              <w:jc w:val="left"/>
              <w:rPr/>
            </w:pPr>
            <w:r>
              <w:rPr/>
              <w:t xml:space="preserve">the conclusion of the Reward Plans based on the Group’s Equity Instruments;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8"/>
        <w:gridCol w:w="9189"/>
      </w:tblGrid>
      <w:tr>
        <w:trPr/>
        <w:tc>
          <w:tcPr>
            <w:tcW w:w="507"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w:t>
            </w:r>
          </w:p>
        </w:tc>
        <w:tc>
          <w:tcPr>
            <w:tcW w:w="9189" w:type="dxa"/>
            <w:tcBorders/>
            <w:shd w:fill="auto" w:val="clear"/>
          </w:tcPr>
          <w:p>
            <w:pPr>
              <w:pStyle w:val="TableContents"/>
              <w:spacing w:before="0" w:after="283"/>
              <w:jc w:val="left"/>
              <w:rPr/>
            </w:pPr>
            <w:r>
              <w:rPr/>
              <w:t xml:space="preserve">performance of transactions providing the assumption of the obligation: </w:t>
            </w:r>
          </w:p>
        </w:tc>
      </w:tr>
    </w:tbl>
    <w:p>
      <w:pPr>
        <w:pStyle w:val="TextBody"/>
        <w:spacing w:before="120" w:after="0"/>
        <w:rPr>
          <w:rFonts w:ascii="Times New Roman" w:hAnsi="Times New Roman"/>
          <w:sz w:val="20"/>
        </w:rPr>
      </w:pPr>
      <w:r>
        <w:rPr>
          <w:rFonts w:ascii="Times New Roman" w:hAnsi="Times New Roman"/>
          <w:sz w:val="20"/>
        </w:rPr>
        <w:t xml:space="preserve">(A) under guarantee for the performance of any obligations by persons outside the Group; or (B) on reimbursement to the guarantor, surety under the guarantee, sums of payment under the guarantee, surety; or (C) on liability in relation to right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to rise a claim for exoneration of any buyer of a traded or discounted receivable, or otherwise, having the economic nature of borrowings in accordance with IFRS. In each case without double counting. </w:t>
      </w:r>
    </w:p>
    <w:p>
      <w:pPr>
        <w:pStyle w:val="TextBody"/>
        <w:spacing w:before="360" w:after="0"/>
        <w:rPr>
          <w:rFonts w:ascii="Times New Roman" w:hAnsi="Times New Roman"/>
          <w:sz w:val="20"/>
        </w:rPr>
      </w:pPr>
      <w:r>
        <w:rPr>
          <w:rFonts w:ascii="Times New Roman" w:hAnsi="Times New Roman"/>
          <w:sz w:val="20"/>
        </w:rPr>
        <w:t xml:space="preserve">Financial Document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each Agreement on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each Agreement on the Issuance of an Independent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6" w:type="dxa"/>
            <w:tcBorders/>
            <w:shd w:fill="auto" w:val="clear"/>
          </w:tcPr>
          <w:p>
            <w:pPr>
              <w:pStyle w:val="TableContents"/>
              <w:spacing w:before="0" w:after="283"/>
              <w:jc w:val="left"/>
              <w:rPr/>
            </w:pPr>
            <w:r>
              <w:rPr/>
              <w:t xml:space="preserve">Guarantee; each Agreement for the issue of an Additional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(e)</w:t>
            </w:r>
          </w:p>
        </w:tc>
        <w:tc>
          <w:tcPr>
            <w:tcW w:w="9188" w:type="dxa"/>
            <w:tcBorders/>
            <w:shd w:fill="auto" w:val="clear"/>
          </w:tcPr>
          <w:p>
            <w:pPr>
              <w:pStyle w:val="TableContents"/>
              <w:spacing w:before="0" w:after="283"/>
              <w:jc w:val="left"/>
              <w:rPr/>
            </w:pPr>
            <w:r>
              <w:rPr/>
              <w:t xml:space="preserve">Guarantee;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(f)</w:t>
            </w:r>
          </w:p>
        </w:tc>
        <w:tc>
          <w:tcPr>
            <w:tcW w:w="9188" w:type="dxa"/>
            <w:tcBorders/>
            <w:shd w:fill="auto" w:val="clear"/>
          </w:tcPr>
          <w:p>
            <w:pPr>
              <w:pStyle w:val="TableContents"/>
              <w:spacing w:before="0" w:after="283"/>
              <w:jc w:val="left"/>
              <w:rPr/>
            </w:pPr>
            <w:r>
              <w:rPr/>
              <w:t xml:space="preserve">each Creditor Right Assignment Agreement; each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(g)</w:t>
            </w:r>
          </w:p>
        </w:tc>
        <w:tc>
          <w:tcPr>
            <w:tcW w:w="9186" w:type="dxa"/>
            <w:tcBorders/>
            <w:shd w:fill="auto" w:val="clear"/>
          </w:tcPr>
          <w:p>
            <w:pPr>
              <w:pStyle w:val="TableContents"/>
              <w:spacing w:before="0" w:after="283"/>
              <w:jc w:val="left"/>
              <w:rPr/>
            </w:pPr>
            <w:r>
              <w:rPr/>
              <w:t xml:space="preserve">Application for Utilization;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(h)</w:t>
            </w:r>
          </w:p>
        </w:tc>
        <w:tc>
          <w:tcPr>
            <w:tcW w:w="9188" w:type="dxa"/>
            <w:tcBorders/>
            <w:shd w:fill="auto" w:val="clear"/>
          </w:tcPr>
          <w:p>
            <w:pPr>
              <w:pStyle w:val="TableContents"/>
              <w:spacing w:before="0" w:after="283"/>
              <w:jc w:val="left"/>
              <w:rPr/>
            </w:pPr>
            <w:r>
              <w:rPr/>
              <w:t xml:space="preserve">any other document that the Credit Agent and the Borrower agreed in writing to consider as the Finance Document;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w:t>
            </w:r>
          </w:p>
        </w:tc>
        <w:tc>
          <w:tcPr>
            <w:tcW w:w="9186" w:type="dxa"/>
            <w:tcBorders/>
            <w:shd w:fill="auto" w:val="clear"/>
          </w:tcPr>
          <w:p>
            <w:pPr>
              <w:pStyle w:val="TableContents"/>
              <w:spacing w:before="0" w:after="283"/>
              <w:jc w:val="left"/>
              <w:rPr/>
            </w:pPr>
            <w:r>
              <w:rPr/>
              <w:t xml:space="preserve">each Document in connection with the Reorganization.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Holding Company means, in relation to a legal entity, any other legal entity for which the first legal entity is a Subsidiary. </w:t>
      </w:r>
    </w:p>
    <w:p>
      <w:pPr>
        <w:pStyle w:val="TextBody"/>
        <w:spacing w:before="120" w:after="0"/>
        <w:rPr>
          <w:rFonts w:ascii="Times New Roman" w:hAnsi="Times New Roman"/>
          <w:sz w:val="20"/>
        </w:rPr>
      </w:pPr>
      <w:r>
        <w:rPr>
          <w:rFonts w:ascii="Times New Roman" w:hAnsi="Times New Roman"/>
          <w:sz w:val="20"/>
        </w:rPr>
        <w:t xml:space="preserve">Headhunter means a limited liability company “Headhunter”, established in accordance with the legislation of the Russian Federation, registered in the Unified State Register of Legal Entities of the Russian Federation under the number (OGRN): 1067761906805, with the place of business located at: ul. Godovikov 9, building 10, Moscow, Russian Federation. </w:t>
      </w:r>
    </w:p>
    <w:p>
      <w:pPr>
        <w:pStyle w:val="TextBody"/>
        <w:spacing w:before="120" w:after="0"/>
        <w:rPr>
          <w:rFonts w:ascii="Times New Roman" w:hAnsi="Times New Roman"/>
          <w:sz w:val="20"/>
        </w:rPr>
      </w:pPr>
      <w:r>
        <w:rPr>
          <w:rFonts w:ascii="Times New Roman" w:hAnsi="Times New Roman"/>
          <w:sz w:val="20"/>
        </w:rPr>
        <w:t xml:space="preserve">Cash equivalent has the meaning given for this term in IFRS. </w:t>
      </w:r>
    </w:p>
    <w:p>
      <w:pPr>
        <w:pStyle w:val="TextBody"/>
        <w:spacing w:before="120" w:after="0"/>
        <w:rPr>
          <w:rFonts w:ascii="Times New Roman" w:hAnsi="Times New Roman"/>
          <w:sz w:val="20"/>
        </w:rPr>
      </w:pPr>
      <w:r>
        <w:rPr>
          <w:rFonts w:ascii="Times New Roman" w:hAnsi="Times New Roman"/>
          <w:sz w:val="20"/>
        </w:rPr>
        <w:t xml:space="preserve">ELQ Investors means ELQ Investors II Ltd, a limited liability company established under the laws of England and Wales, registration number 06375035, registered at: Peterborough Court, 133 Fleet Street, London EC4A 2BB, United Kingdom. </w:t>
      </w:r>
    </w:p>
    <w:p>
      <w:pPr>
        <w:pStyle w:val="TextBody"/>
        <w:spacing w:before="120" w:after="0"/>
        <w:rPr>
          <w:rFonts w:ascii="Times New Roman" w:hAnsi="Times New Roman"/>
          <w:sz w:val="20"/>
        </w:rPr>
      </w:pPr>
      <w:r>
        <w:rPr>
          <w:rFonts w:ascii="Times New Roman" w:hAnsi="Times New Roman"/>
          <w:sz w:val="20"/>
        </w:rPr>
        <w:t xml:space="preserve">ELQ Investors VIII means ELQ Investors VIII Ltd, a limited liability company established under the laws of England and Wales, registration number 9182214, registered at: Peterborough Court, 133 Fleet Street, London EC4A 2BB, United Kingdom. </w:t>
      </w:r>
    </w:p>
    <w:p>
      <w:pPr>
        <w:pStyle w:val="TextBody"/>
        <w:spacing w:before="120" w:after="0"/>
        <w:rPr>
          <w:rFonts w:ascii="Times New Roman" w:hAnsi="Times New Roman"/>
          <w:sz w:val="20"/>
        </w:rPr>
      </w:pPr>
      <w:r>
        <w:rPr>
          <w:rFonts w:ascii="Times New Roman" w:hAnsi="Times New Roman"/>
          <w:sz w:val="20"/>
        </w:rPr>
        <w:t xml:space="preserve">HeadHunter FSU means HeadHunter FSU Limited, a limited liability company established in accordance with the legislation of the Republic of Cyprus, the registration number HE 178226, registered at: 42 Dositheou, Strovolos 2028, Nicosia, Cyprus. </w:t>
      </w:r>
    </w:p>
    <w:p>
      <w:pPr>
        <w:pStyle w:val="TextBody"/>
        <w:spacing w:before="120" w:after="0"/>
        <w:rPr>
          <w:rFonts w:ascii="Times New Roman" w:hAnsi="Times New Roman"/>
          <w:sz w:val="20"/>
        </w:rPr>
      </w:pPr>
      <w:r>
        <w:rPr>
          <w:rFonts w:ascii="Times New Roman" w:hAnsi="Times New Roman"/>
          <w:sz w:val="20"/>
        </w:rPr>
        <w:t xml:space="preserve">Highworld means Highworld Investments Limited a limited liability company incorporated under the laws of the British Virgin Islands, registration number 1802016, registered at: Trident Chambers, PO Box 146, Road Town, Tortola, BVI. </w:t>
      </w:r>
    </w:p>
    <w:p>
      <w:pPr>
        <w:pStyle w:val="TextBody"/>
        <w:spacing w:before="120" w:after="0"/>
        <w:rPr>
          <w:rFonts w:ascii="Times New Roman" w:hAnsi="Times New Roman"/>
          <w:sz w:val="20"/>
        </w:rPr>
      </w:pPr>
      <w:r>
        <w:rPr>
          <w:rFonts w:ascii="Times New Roman" w:hAnsi="Times New Roman"/>
          <w:sz w:val="20"/>
        </w:rPr>
        <w:t xml:space="preserve">Zemenik Trading means Zemenik Trading Limited, a limited liability company incorporated under the laws of the Republic of Cyprus, the registration number HE 332806, registered at: 42 Dositheou, Strovolos 2028, Nicosia, Cyprus.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b/>
              </w:rPr>
            </w:pPr>
            <w:r>
              <w:rPr>
                <w:b/>
              </w:rPr>
              <w:t>1.2</w:t>
            </w:r>
          </w:p>
        </w:tc>
        <w:tc>
          <w:tcPr>
            <w:tcW w:w="9696" w:type="dxa"/>
            <w:tcBorders/>
            <w:shd w:fill="auto" w:val="clear"/>
          </w:tcPr>
          <w:p>
            <w:pPr>
              <w:pStyle w:val="TableContents"/>
              <w:spacing w:before="0" w:after="283"/>
              <w:jc w:val="left"/>
              <w:rPr/>
            </w:pPr>
            <w:r>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In this Agreement, unless otherwise follows from the context: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a reference to the Credit Agent, the Organizer, the Finance Party, the Lender, the Obligor or the Party also implies a reference to their successors by virtue of the law or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a document in an agreed form means a document agreed in writing by the Credit Agent and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assets include existing or future property, income and rights of any kind;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(iv)</w:t>
            </w:r>
          </w:p>
        </w:tc>
        <w:tc>
          <w:tcPr>
            <w:tcW w:w="8574" w:type="dxa"/>
            <w:tcBorders/>
            <w:shd w:fill="auto" w:val="clear"/>
          </w:tcPr>
          <w:p>
            <w:pPr>
              <w:pStyle w:val="TableContents"/>
              <w:spacing w:before="0" w:after="283"/>
              <w:jc w:val="left"/>
              <w:rPr/>
            </w:pPr>
            <w:r>
              <w:rPr/>
              <w:t xml:space="preserve">the reference to a Financial Instrument or other agreement, document or financial instrument implies such a Financial Document or other agreement, document or financial instrument with all amendments and additions introduced to it at any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(v)</w:t>
            </w:r>
          </w:p>
        </w:tc>
        <w:tc>
          <w:tcPr>
            <w:tcW w:w="8573" w:type="dxa"/>
            <w:tcBorders/>
            <w:shd w:fill="auto" w:val="clear"/>
          </w:tcPr>
          <w:p>
            <w:pPr>
              <w:pStyle w:val="TableContents"/>
              <w:spacing w:before="0" w:after="283"/>
              <w:jc w:val="left"/>
              <w:rPr/>
            </w:pPr>
            <w:r>
              <w:rPr/>
              <w:t xml:space="preserve">a person includes any individual, legal entity, government body, government or state;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(vi)</w:t>
            </w:r>
          </w:p>
        </w:tc>
        <w:tc>
          <w:tcPr>
            <w:tcW w:w="8575" w:type="dxa"/>
            <w:tcBorders/>
            <w:shd w:fill="auto" w:val="clear"/>
          </w:tcPr>
          <w:p>
            <w:pPr>
              <w:pStyle w:val="TableContents"/>
              <w:spacing w:before="0" w:after="283"/>
              <w:jc w:val="left"/>
              <w:rPr/>
            </w:pPr>
            <w:r>
              <w:rPr/>
              <w:t xml:space="preserve">the legislation means any law, ordinance, decree, order, decision, provision, rule, official direction, requirement or recommendation of any legislative or executive state (municipal, interstate or international) body, ministry, department, service, agency or committee, or a self-regulatory organization or any judicial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3"/>
        <w:gridCol w:w="8572"/>
      </w:tblGrid>
      <w:tr>
        <w:trPr/>
        <w:tc>
          <w:tcPr>
            <w:tcW w:w="1019" w:type="dxa"/>
            <w:tcBorders/>
            <w:shd w:fill="auto" w:val="clear"/>
            <w:vAlign w:val="center"/>
          </w:tcPr>
          <w:p>
            <w:pPr>
              <w:pStyle w:val="TableContents"/>
              <w:spacing w:before="0" w:after="283"/>
              <w:rPr/>
            </w:pPr>
            <w:r>
              <w:rPr/>
              <w:t> </w:t>
            </w:r>
          </w:p>
        </w:tc>
        <w:tc>
          <w:tcPr>
            <w:tcW w:w="613" w:type="dxa"/>
            <w:tcBorders/>
            <w:shd w:fill="auto" w:val="clear"/>
          </w:tcPr>
          <w:p>
            <w:pPr>
              <w:pStyle w:val="TableContents"/>
              <w:spacing w:before="0" w:after="283"/>
              <w:jc w:val="left"/>
              <w:rPr/>
            </w:pPr>
            <w:r>
              <w:rPr/>
              <w:t>(vii)</w:t>
            </w:r>
          </w:p>
        </w:tc>
        <w:tc>
          <w:tcPr>
            <w:tcW w:w="8572" w:type="dxa"/>
            <w:tcBorders/>
            <w:shd w:fill="auto" w:val="clear"/>
          </w:tcPr>
          <w:p>
            <w:pPr>
              <w:pStyle w:val="TableContents"/>
              <w:spacing w:before="0" w:after="283"/>
              <w:jc w:val="left"/>
              <w:rPr/>
            </w:pPr>
            <w:r>
              <w:rPr/>
              <w:t xml:space="preserve">a reference to the provision of legislation means a reference to such a provision with all amendments and additions made to it at any point in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(viii)</w:t>
            </w:r>
          </w:p>
        </w:tc>
        <w:tc>
          <w:tcPr>
            <w:tcW w:w="8573" w:type="dxa"/>
            <w:tcBorders/>
            <w:shd w:fill="auto" w:val="clear"/>
          </w:tcPr>
          <w:p>
            <w:pPr>
              <w:pStyle w:val="TableContents"/>
              <w:spacing w:before="0" w:after="283"/>
              <w:jc w:val="left"/>
              <w:rPr/>
            </w:pPr>
            <w:r>
              <w:rPr/>
              <w:t xml:space="preserve">it is understood that the words “include” and “including” are accompanied by the words “including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(ix)</w:t>
            </w:r>
          </w:p>
        </w:tc>
        <w:tc>
          <w:tcPr>
            <w:tcW w:w="8575" w:type="dxa"/>
            <w:tcBorders/>
            <w:shd w:fill="auto" w:val="clear"/>
          </w:tcPr>
          <w:p>
            <w:pPr>
              <w:pStyle w:val="TableContents"/>
              <w:spacing w:before="0" w:after="283"/>
              <w:jc w:val="left"/>
              <w:rPr/>
            </w:pPr>
            <w:r>
              <w:rPr/>
              <w:t xml:space="preserve">Article, paragraph or Annex means a reference to an article or paragraph of this Agreement or Annex to it;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(x)</w:t>
            </w:r>
          </w:p>
        </w:tc>
        <w:tc>
          <w:tcPr>
            <w:tcW w:w="8573" w:type="dxa"/>
            <w:tcBorders/>
            <w:shd w:fill="auto" w:val="clear"/>
          </w:tcPr>
          <w:p>
            <w:pPr>
              <w:pStyle w:val="TableContents"/>
              <w:spacing w:before="0" w:after="283"/>
              <w:jc w:val="left"/>
              <w:rPr/>
            </w:pPr>
            <w:r>
              <w:rPr/>
              <w:t xml:space="preserve">the indication of the time of day means Moscow time, unless otherwise specifically indicated in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Unless otherwise follows from the context, a reference to a month means a period beginning on one of the days of the calendar month and ending on the same day of the next calendar month, except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09"/>
        <w:gridCol w:w="8575"/>
      </w:tblGrid>
      <w:tr>
        <w:trPr/>
        <w:tc>
          <w:tcPr>
            <w:tcW w:w="1020"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if the relevant day is not a Business Day, such period ends on the next Business Day (if any) of that month or (if it is not) on the previous Business Day;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if there is no corresponding day in such month, then such period ends on the last Business Day of this month.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For the purposes of this Agreement, a control means: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3" w:type="dxa"/>
            <w:tcBorders/>
            <w:shd w:fill="auto" w:val="clear"/>
          </w:tcPr>
          <w:p>
            <w:pPr>
              <w:pStyle w:val="TableContents"/>
              <w:spacing w:before="0" w:after="283"/>
              <w:jc w:val="left"/>
              <w:rPr/>
            </w:pPr>
            <w:r>
              <w:rPr/>
              <w:t xml:space="preserve">the right (existing due to direct or indirect participation in the authorized capital of a legal entity, on the basis of a written agreement by virtue of legislation or otherwise), which allows: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1"/>
        <w:gridCol w:w="8062"/>
      </w:tblGrid>
      <w:tr>
        <w:trPr/>
        <w:tc>
          <w:tcPr>
            <w:tcW w:w="1631" w:type="dxa"/>
            <w:tcBorders/>
            <w:shd w:fill="auto" w:val="clear"/>
            <w:vAlign w:val="center"/>
          </w:tcPr>
          <w:p>
            <w:pPr>
              <w:pStyle w:val="TableContents"/>
              <w:spacing w:before="0" w:after="283"/>
              <w:rPr/>
            </w:pPr>
            <w:r>
              <w:rPr/>
              <w:t> </w:t>
            </w:r>
          </w:p>
        </w:tc>
        <w:tc>
          <w:tcPr>
            <w:tcW w:w="511"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to vote or control the voting of at least 50 percent of the maximum number of votes eligible to vote at a general meeting of a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to appoint or dismiss a person performing the functions of the sole executive body of any legal entity or all or most of the members of any of the collegial management bodies of the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8063" w:type="dxa"/>
            <w:tcBorders/>
            <w:shd w:fill="auto" w:val="clear"/>
          </w:tcPr>
          <w:p>
            <w:pPr>
              <w:pStyle w:val="TableContents"/>
              <w:spacing w:before="0" w:after="283"/>
              <w:jc w:val="left"/>
              <w:rPr/>
            </w:pPr>
            <w:r>
              <w:rPr/>
              <w:t xml:space="preserve">to give binding instructions for the areas of activity or financial policy of a legal entity;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2"/>
        <w:gridCol w:w="8572"/>
      </w:tblGrid>
      <w:tr>
        <w:trPr/>
        <w:tc>
          <w:tcPr>
            <w:tcW w:w="1020"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2" w:type="dxa"/>
            <w:tcBorders/>
            <w:shd w:fill="auto" w:val="clear"/>
          </w:tcPr>
          <w:p>
            <w:pPr>
              <w:pStyle w:val="TableContents"/>
              <w:spacing w:before="0" w:after="283"/>
              <w:jc w:val="left"/>
              <w:rPr/>
            </w:pPr>
            <w:r>
              <w:rPr/>
              <w:t xml:space="preserve">direct or indirect ownership of at least 50 percent of ordinary shares or stakes in the authorized capital of a legal entity; </w:t>
            </w:r>
          </w:p>
        </w:tc>
      </w:tr>
    </w:tbl>
    <w:p>
      <w:pPr>
        <w:pStyle w:val="TextBody"/>
        <w:spacing w:before="120" w:after="0"/>
        <w:rPr>
          <w:rFonts w:ascii="Times New Roman" w:hAnsi="Times New Roman"/>
          <w:sz w:val="20"/>
        </w:rPr>
      </w:pPr>
      <w:r>
        <w:rPr>
          <w:rFonts w:ascii="Times New Roman" w:hAnsi="Times New Roman"/>
          <w:sz w:val="20"/>
        </w:rPr>
        <w:t xml:space="preserve">and controlled and to control have an appropriate meaning.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6" w:type="dxa"/>
            <w:tcBorders/>
            <w:shd w:fill="auto" w:val="clear"/>
          </w:tcPr>
          <w:p>
            <w:pPr>
              <w:pStyle w:val="TableContents"/>
              <w:spacing w:before="0" w:after="283"/>
              <w:jc w:val="left"/>
              <w:rPr/>
            </w:pPr>
            <w:r>
              <w:rPr/>
              <w:t xml:space="preserve">Unless otherwise provided by this Agreement, interest and remuneration amounts payable by the Debtor under any Financial Document shall be accrued according to the provisions of the relevant Financial Document and shall be calculated on the basis of the actual number of days elapsed and the year lasting three hundred sixty-five/three hundred sixty-six (365/366) days.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7" w:type="dxa"/>
            <w:tcBorders/>
            <w:shd w:fill="auto" w:val="clear"/>
          </w:tcPr>
          <w:p>
            <w:pPr>
              <w:pStyle w:val="TableContents"/>
              <w:spacing w:before="0" w:after="283"/>
              <w:jc w:val="left"/>
              <w:rPr/>
            </w:pPr>
            <w:r>
              <w:rPr/>
              <w:t xml:space="preserve">The headings in this Agreement do not affect its 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2.</w:t>
            </w:r>
          </w:p>
        </w:tc>
        <w:tc>
          <w:tcPr>
            <w:tcW w:w="9695" w:type="dxa"/>
            <w:tcBorders/>
            <w:shd w:fill="auto" w:val="clear"/>
          </w:tcPr>
          <w:p>
            <w:pPr>
              <w:pStyle w:val="TableContents"/>
              <w:spacing w:before="0" w:after="283"/>
              <w:jc w:val="left"/>
              <w:rPr/>
            </w:pPr>
            <w:r>
              <w:rPr/>
              <w:t xml:space="preserve">SUBJECT OF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2.1</w:t>
            </w:r>
          </w:p>
        </w:tc>
        <w:tc>
          <w:tcPr>
            <w:tcW w:w="9695" w:type="dxa"/>
            <w:tcBorders/>
            <w:shd w:fill="auto" w:val="clear"/>
          </w:tcPr>
          <w:p>
            <w:pPr>
              <w:pStyle w:val="TableContents"/>
              <w:spacing w:before="0" w:after="283"/>
              <w:jc w:val="left"/>
              <w:rPr/>
            </w:pPr>
            <w:r>
              <w:rPr/>
              <w:t xml:space="preserve">Credit relations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Subject to compliance by the Borrower with the provisions of this Agreement, each Creditor shall provide the Borrower with a Credit in the amount of its Credit Limit and, during the term of this Agreement, duly perform the obligations provided in this Agreement, and the Borrower shall, during the term of the Agreement, duly perform the obligations provided by the Agreement, including the obligation to return the amount of Outstanding Credit to each Creditor received from it, pay interest on it, and pay other amounts stipulated by the Agreement to the Financing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The Lender’s obligation to grant the Credit to the Borrower within its Credit Limit arises after the Borrower has fully complied with the requirements of Article 4 (</w:t>
            </w:r>
            <w:r>
              <w:rPr>
                <w:i/>
              </w:rPr>
              <w:t>(Requirements to the Borrower for obtaining a Loan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Each Creditor shall have an individual right of claim to the Borrower for the return of the Outstanding Credit, interest and other payments provided for by the terms of this Agreement. Except as provided in the Agreement, each Financing Party shall have the right to independently require the enforcement of its rights under the Finance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Neither Financing Party shall be liable for the obligations of the other Financing Party on th+*e Financial Documents. In the event of failure of any Creditor to provide Tranche B of the grounds provided for in Article 6 ( </w:t>
            </w:r>
            <w:r>
              <w:rPr>
                <w:i/>
              </w:rPr>
              <w:t>(Termination of the Creditor’s obligation</w:t>
            </w:r>
            <w:r>
              <w:rPr/>
              <w:t xml:space="preserve">), as well as in case of violation by any Creditor of its obligation to provide the Tranche B within its Credit limit, the amount of Tranche B shall be reduced by the amount of the Credit Limit lending of such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2.2</w:t>
            </w:r>
          </w:p>
        </w:tc>
        <w:tc>
          <w:tcPr>
            <w:tcW w:w="9695" w:type="dxa"/>
            <w:tcBorders/>
            <w:shd w:fill="auto" w:val="clear"/>
          </w:tcPr>
          <w:p>
            <w:pPr>
              <w:pStyle w:val="TableContents"/>
              <w:spacing w:before="0" w:after="283"/>
              <w:jc w:val="left"/>
              <w:rPr/>
            </w:pPr>
            <w:r>
              <w:rPr/>
              <w:t xml:space="preserve">Agent relationships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(a)</w:t>
            </w:r>
          </w:p>
        </w:tc>
        <w:tc>
          <w:tcPr>
            <w:tcW w:w="9695" w:type="dxa"/>
            <w:tcBorders/>
            <w:shd w:fill="auto" w:val="clear"/>
          </w:tcPr>
          <w:p>
            <w:pPr>
              <w:pStyle w:val="TableContents"/>
              <w:spacing w:before="0" w:after="283"/>
              <w:jc w:val="left"/>
              <w:rPr/>
            </w:pPr>
            <w:r>
              <w:rPr/>
              <w:t xml:space="preserve">Prior to the acquisition by any Creditor, other than the Original Creditor, the rights (claims) to the Borrower and (or) loan commitments, in accordance with the provisions of Article 22.2 ( </w:t>
            </w:r>
            <w:r>
              <w:rPr>
                <w:i/>
              </w:rPr>
              <w:t>(Assignment of rights and transfer of liabilities by Creditors</w:t>
            </w:r>
            <w:r>
              <w:rPr/>
              <w:t xml:space="preserve">) all provisions governing the relations of the Credit Agent and the Borrower will be treated as provisions governing the relationship of the Original Creditor and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(b)</w:t>
            </w:r>
          </w:p>
        </w:tc>
        <w:tc>
          <w:tcPr>
            <w:tcW w:w="9695" w:type="dxa"/>
            <w:tcBorders/>
            <w:shd w:fill="auto" w:val="clear"/>
          </w:tcPr>
          <w:p>
            <w:pPr>
              <w:pStyle w:val="TableContents"/>
              <w:spacing w:before="0" w:after="283"/>
              <w:jc w:val="left"/>
              <w:rPr/>
            </w:pPr>
            <w:r>
              <w:rPr/>
              <w:t>This Agreement defines the conditions and procedure for the appointment of the Credit Agent and the performance of legal and other actions by it on behalf of and for the account of the Creditors. The authority of the person performing functions of the Credit Agent shall be determined in accordance with Article 23.2 (</w:t>
            </w:r>
            <w:r>
              <w:rPr>
                <w:i/>
              </w:rPr>
              <w:t>Credit Agent assignment</w:t>
            </w:r>
            <w:r>
              <w:rPr/>
              <w:t xml:space="preserve"> </w:t>
            </w:r>
            <w:r>
              <w:rPr>
                <w:u w:val="single"/>
              </w:rPr>
              <w:t>bookmark137</w:t>
            </w:r>
            <w:r>
              <w:rPr/>
              <w:t xml:space="preserve">). The provisions governing the relationship of the Credit Agent and the Creditors will take effect from the date of purchase by any Creditor, other than the Original Creditor, the rights (claims) to the Borrower and (or) obligations to grant the Credit, in accordance with the provisions of Article 22.2 ( </w:t>
            </w:r>
            <w:r>
              <w:rPr>
                <w:i/>
              </w:rPr>
              <w:t>(Assignment of rights and transfer of liabilities by the Creditors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2.3</w:t>
            </w:r>
          </w:p>
        </w:tc>
        <w:tc>
          <w:tcPr>
            <w:tcW w:w="9695" w:type="dxa"/>
            <w:tcBorders/>
            <w:shd w:fill="auto" w:val="clear"/>
          </w:tcPr>
          <w:p>
            <w:pPr>
              <w:pStyle w:val="TableContents"/>
              <w:spacing w:before="0" w:after="283"/>
              <w:jc w:val="left"/>
              <w:rPr/>
            </w:pPr>
            <w:r>
              <w:rPr/>
              <w:t xml:space="preserve">Legal character of the Agreement </w:t>
            </w:r>
          </w:p>
        </w:tc>
      </w:tr>
    </w:tbl>
    <w:p>
      <w:pPr>
        <w:pStyle w:val="TextBody"/>
        <w:spacing w:before="120" w:after="0"/>
        <w:rPr>
          <w:rFonts w:ascii="Times New Roman" w:hAnsi="Times New Roman"/>
          <w:sz w:val="20"/>
        </w:rPr>
      </w:pPr>
      <w:r>
        <w:rPr>
          <w:rFonts w:ascii="Times New Roman" w:hAnsi="Times New Roman"/>
          <w:sz w:val="20"/>
        </w:rPr>
        <w:t xml:space="preserve">Subject to the provisions of the Article 2.2 ( </w:t>
      </w:r>
      <w:r>
        <w:rPr>
          <w:rFonts w:ascii="Times New Roman" w:hAnsi="Times New Roman"/>
          <w:i/>
          <w:sz w:val="20"/>
        </w:rPr>
        <w:t>(Agent relations</w:t>
      </w:r>
      <w:r>
        <w:rPr>
          <w:rFonts w:ascii="Times New Roman" w:hAnsi="Times New Roman"/>
          <w:sz w:val="20"/>
        </w:rPr>
        <w:t xml:space="preserve">), this Agreement is an agreement of mixed type, containing elements of the Credit agreement, agency agreement, and inter-creditor agreement. Accordingly, this Agreement also regulates the relations between the Creditor, between the Credit Agent and the Creditors, between the Creditor and the Borrower.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2.4</w:t>
            </w:r>
          </w:p>
        </w:tc>
        <w:tc>
          <w:tcPr>
            <w:tcW w:w="9695" w:type="dxa"/>
            <w:tcBorders/>
            <w:shd w:fill="auto" w:val="clear"/>
          </w:tcPr>
          <w:p>
            <w:pPr>
              <w:pStyle w:val="TableContents"/>
              <w:spacing w:before="0" w:after="283"/>
              <w:jc w:val="left"/>
              <w:rPr/>
            </w:pPr>
            <w:r>
              <w:rPr/>
              <w:t xml:space="preserve">Rationality of the Parties </w:t>
            </w:r>
          </w:p>
        </w:tc>
      </w:tr>
    </w:tbl>
    <w:p>
      <w:pPr>
        <w:pStyle w:val="TextBody"/>
        <w:spacing w:before="120" w:after="0"/>
        <w:rPr>
          <w:rFonts w:ascii="Times New Roman" w:hAnsi="Times New Roman"/>
          <w:sz w:val="20"/>
        </w:rPr>
      </w:pPr>
      <w:r>
        <w:rPr>
          <w:rFonts w:ascii="Times New Roman" w:hAnsi="Times New Roman"/>
          <w:sz w:val="20"/>
        </w:rPr>
        <w:t xml:space="preserve">In accordance with paragraph 5 of Article 10 of the Civil Code, the conscientiousness of the Parties and the reasonableness of their actions in the exercise of rights under this Agreement and fulfillment of the obligations under this Agreement are assumed.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3.</w:t>
            </w:r>
          </w:p>
        </w:tc>
        <w:tc>
          <w:tcPr>
            <w:tcW w:w="9695" w:type="dxa"/>
            <w:tcBorders/>
            <w:shd w:fill="auto" w:val="clear"/>
          </w:tcPr>
          <w:p>
            <w:pPr>
              <w:pStyle w:val="TableContents"/>
              <w:spacing w:before="0" w:after="283"/>
              <w:jc w:val="left"/>
              <w:rPr/>
            </w:pPr>
            <w:r>
              <w:rPr/>
              <w:t xml:space="preserve">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The Borrower shall use Tranche A solely to make the partial payment under the Sale Agreement 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The Borrower shall use Tranche B solely to make the full payment under the Sale Agreement 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The Borrower shall use the Tranche B and Tranche D exclusively to grant the loan to Zemenik Trading with subsequent distribution of this amount to shareholders of Zemenik Trading.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bookmarkStart w:id="0" w:name="ex10_4674579_1"/>
            <w:bookmarkEnd w:id="0"/>
            <w:r>
              <w:rPr/>
              <w:t>4.</w:t>
            </w:r>
          </w:p>
        </w:tc>
        <w:tc>
          <w:tcPr>
            <w:tcW w:w="9697" w:type="dxa"/>
            <w:tcBorders/>
            <w:shd w:fill="auto" w:val="clear"/>
          </w:tcPr>
          <w:p>
            <w:pPr>
              <w:pStyle w:val="TableContents"/>
              <w:spacing w:before="0" w:after="283"/>
              <w:jc w:val="left"/>
              <w:rPr/>
            </w:pPr>
            <w:r>
              <w:rPr/>
              <w:t xml:space="preserve">REQUIREMENTS TO THE BORROWER FOR RECEIPT OF THE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4.1</w:t>
            </w:r>
          </w:p>
        </w:tc>
        <w:tc>
          <w:tcPr>
            <w:tcW w:w="9694" w:type="dxa"/>
            <w:tcBorders/>
            <w:shd w:fill="auto" w:val="clear"/>
          </w:tcPr>
          <w:p>
            <w:pPr>
              <w:pStyle w:val="TableContents"/>
              <w:spacing w:before="0" w:after="283"/>
              <w:jc w:val="left"/>
              <w:rPr/>
            </w:pPr>
            <w:r>
              <w:rPr/>
              <w:t xml:space="preserve">Initial requirements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For the utilization of the Tranche A, the Borrower shall: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0"/>
        <w:gridCol w:w="8577"/>
      </w:tblGrid>
      <w:tr>
        <w:trPr/>
        <w:tc>
          <w:tcPr>
            <w:tcW w:w="1017"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7" w:type="dxa"/>
            <w:tcBorders/>
            <w:shd w:fill="auto" w:val="clear"/>
          </w:tcPr>
          <w:p>
            <w:pPr>
              <w:pStyle w:val="TableContents"/>
              <w:spacing w:before="0" w:after="283"/>
              <w:jc w:val="left"/>
              <w:rPr/>
            </w:pPr>
            <w:r>
              <w:rPr/>
              <w:t>to transfer to the Credit Agent the documents and information listed in Part 1 of the Annex 2 (</w:t>
            </w:r>
            <w:r>
              <w:rPr>
                <w:i/>
              </w:rPr>
              <w:t>Requirements for the Borrower to get the Credit</w:t>
            </w:r>
            <w:r>
              <w:rPr/>
              <w:t>), in form and with content suitable for the Credit agent, perform actions and fulfill the requirements listed in Part 1 of the Annex 2 (</w:t>
            </w:r>
            <w:r>
              <w:rPr>
                <w:i/>
              </w:rPr>
              <w:t>Requirements to the</w:t>
            </w:r>
            <w:r>
              <w:rPr/>
              <w:t xml:space="preserve"> </w:t>
            </w:r>
            <w:r>
              <w:rPr>
                <w:i/>
              </w:rPr>
              <w:t>Borrower to get the Credit</w:t>
            </w:r>
            <w:r>
              <w:rPr/>
              <w:t xml:space="preserve">) in a form satisfactory for the Credit Agent;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to send a duly executed Application for the utilization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7"/>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For the utilization of the Tranche B, the Borrower shall: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0"/>
        <w:gridCol w:w="8577"/>
      </w:tblGrid>
      <w:tr>
        <w:trPr/>
        <w:tc>
          <w:tcPr>
            <w:tcW w:w="1017"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7" w:type="dxa"/>
            <w:tcBorders/>
            <w:shd w:fill="auto" w:val="clear"/>
          </w:tcPr>
          <w:p>
            <w:pPr>
              <w:pStyle w:val="TableContents"/>
              <w:spacing w:before="0" w:after="283"/>
              <w:jc w:val="left"/>
              <w:rPr/>
            </w:pPr>
            <w:r>
              <w:rPr/>
              <w:t>to transfer to the Credit Agent the documents and information listed in the Part 3 of the Annex 2 (</w:t>
            </w:r>
            <w:r>
              <w:rPr>
                <w:i/>
              </w:rPr>
              <w:t>Requirements to the Borrower to get the Credit</w:t>
            </w:r>
            <w:r>
              <w:rPr/>
              <w:t>) in form and with content suitable for the Credit agent, perform actions and fulfill the requirements listed in Part 1 of the Annex 2 (</w:t>
            </w:r>
            <w:r>
              <w:rPr>
                <w:i/>
              </w:rPr>
              <w:t>Requirements to the</w:t>
            </w:r>
            <w:r>
              <w:rPr/>
              <w:t xml:space="preserve"> </w:t>
            </w:r>
            <w:r>
              <w:rPr>
                <w:i/>
              </w:rPr>
              <w:t>Borrower to get the Credit</w:t>
            </w:r>
            <w:r>
              <w:rPr/>
              <w:t xml:space="preserve">) in a form satisfactory for the Credit Agent; (hereinafter — Initial requirements on the Tranche B);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to send a duly executed Application for the utilization to the Credit Agent. </w:t>
            </w:r>
          </w:p>
        </w:tc>
      </w:tr>
    </w:tbl>
    <w:p>
      <w:pPr>
        <w:pStyle w:val="TextBody"/>
        <w:spacing w:before="120" w:after="0"/>
        <w:rPr>
          <w:rFonts w:ascii="Times New Roman" w:hAnsi="Times New Roman"/>
          <w:sz w:val="20"/>
        </w:rPr>
      </w:pPr>
      <w:r>
        <w:rPr>
          <w:rFonts w:ascii="Times New Roman" w:hAnsi="Times New Roman"/>
          <w:sz w:val="20"/>
        </w:rPr>
        <w:t xml:space="preserve">The Application for the utilization of the Tranche B can be sent by the Borrower upon receipt of notification from the Credit Agent by the Borrower and Creditors that the Borrower duly performed the Initial requirements for the Tranche B.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For the utilization of the Tranche B, the Borrower shall: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to transfer to the Credit Agent the documents and information listed in the Part 4 of the Annex 2 (</w:t>
            </w:r>
            <w:r>
              <w:rPr>
                <w:i/>
              </w:rPr>
              <w:t>Requirements to the Borrower to get the Credit</w:t>
            </w:r>
            <w:r>
              <w:rPr/>
              <w:t xml:space="preserve">) in form and with content suitable for the Credit agent, perform actions and fulfill the requirements listed in Part 1 of the Annex 2 (Requirements to the Borrower to get the Credit) in a form satisfactory for the Credit Agent; (hereinafter — Initial Requirements on the Tranche B);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to send a duly executed Application for the utilization to the Credit Agent. </w:t>
            </w:r>
          </w:p>
        </w:tc>
      </w:tr>
    </w:tbl>
    <w:p>
      <w:pPr>
        <w:pStyle w:val="TextBody"/>
        <w:spacing w:before="120" w:after="0"/>
        <w:rPr>
          <w:rFonts w:ascii="Times New Roman" w:hAnsi="Times New Roman"/>
          <w:sz w:val="20"/>
        </w:rPr>
      </w:pPr>
      <w:r>
        <w:rPr>
          <w:rFonts w:ascii="Times New Roman" w:hAnsi="Times New Roman"/>
          <w:sz w:val="20"/>
        </w:rPr>
        <w:t xml:space="preserve">The Application for utilization of the Tranche B can be sent by the Borrower upon receipt of notification from the Credit Agent by the Borrower and Creditors that the Borrower duly performed the Initial requirements for the Tranche B.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7"/>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 xml:space="preserve">For the utilization of the Tranche D, the Borrower shall: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0"/>
        <w:gridCol w:w="8577"/>
      </w:tblGrid>
      <w:tr>
        <w:trPr/>
        <w:tc>
          <w:tcPr>
            <w:tcW w:w="1017"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7" w:type="dxa"/>
            <w:tcBorders/>
            <w:shd w:fill="auto" w:val="clear"/>
          </w:tcPr>
          <w:p>
            <w:pPr>
              <w:pStyle w:val="TableContents"/>
              <w:spacing w:before="0" w:after="283"/>
              <w:jc w:val="left"/>
              <w:rPr/>
            </w:pPr>
            <w:r>
              <w:rPr/>
              <w:t>to transfer to the Credit Agent the documents and information listed in the Part 5 of the Annex 2 (</w:t>
            </w:r>
            <w:r>
              <w:rPr>
                <w:i/>
              </w:rPr>
              <w:t>Requirements to the Borrower to get the Credit</w:t>
            </w:r>
            <w:r>
              <w:rPr/>
              <w:t>) in form and with content suitable for the Credit agent, perform actions and fulfill the requirements listed in Part 1 of the Annex 2 (</w:t>
            </w:r>
            <w:r>
              <w:rPr>
                <w:i/>
              </w:rPr>
              <w:t>Requirements for</w:t>
            </w:r>
            <w:r>
              <w:rPr/>
              <w:t xml:space="preserve"> </w:t>
            </w:r>
            <w:r>
              <w:rPr>
                <w:i/>
              </w:rPr>
              <w:t>the Borrower to get the Credit</w:t>
            </w:r>
            <w:r>
              <w:rPr/>
              <w:t xml:space="preserve">) in a form satisfactory for the Credit Agent; (hereinafter — Initial Requirements for the Tranche 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to send a duly executed Application for the utilization to the Credit Agent. </w:t>
            </w:r>
          </w:p>
        </w:tc>
      </w:tr>
    </w:tbl>
    <w:p>
      <w:pPr>
        <w:pStyle w:val="TextBody"/>
        <w:spacing w:before="120" w:after="0"/>
        <w:rPr>
          <w:rFonts w:ascii="Times New Roman" w:hAnsi="Times New Roman"/>
          <w:sz w:val="20"/>
        </w:rPr>
      </w:pPr>
      <w:r>
        <w:rPr>
          <w:rFonts w:ascii="Times New Roman" w:hAnsi="Times New Roman"/>
          <w:sz w:val="20"/>
        </w:rPr>
        <w:t xml:space="preserve">The Application for utilization of the Tranche D can be sent by the Borrower upon receipt of notification from the Credit Agent by the Borrower and Creditors that the Borrower duly performed the Initial requirements for the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4.2</w:t>
            </w:r>
          </w:p>
        </w:tc>
        <w:tc>
          <w:tcPr>
            <w:tcW w:w="9696" w:type="dxa"/>
            <w:tcBorders/>
            <w:shd w:fill="auto" w:val="clear"/>
          </w:tcPr>
          <w:p>
            <w:pPr>
              <w:pStyle w:val="TableContents"/>
              <w:spacing w:before="0" w:after="283"/>
              <w:jc w:val="left"/>
              <w:rPr/>
            </w:pPr>
            <w:r>
              <w:rPr/>
              <w:t xml:space="preserve">Submission of Applications for the utilization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The Borrower may submit to the Credit agent only :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2"/>
        <w:gridCol w:w="8575"/>
      </w:tblGrid>
      <w:tr>
        <w:trPr/>
        <w:tc>
          <w:tcPr>
            <w:tcW w:w="1017"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one duly issued Application for utilization for the full amount of the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oneduly issued Application for utilization for the full amount of the Tranche B;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one duly issued Application for utilization for the full amount of the Tranche B;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2"/>
        <w:gridCol w:w="8572"/>
      </w:tblGrid>
      <w:tr>
        <w:trPr/>
        <w:tc>
          <w:tcPr>
            <w:tcW w:w="1020"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(iv)</w:t>
            </w:r>
          </w:p>
        </w:tc>
        <w:tc>
          <w:tcPr>
            <w:tcW w:w="8572" w:type="dxa"/>
            <w:tcBorders/>
            <w:shd w:fill="auto" w:val="clear"/>
          </w:tcPr>
          <w:p>
            <w:pPr>
              <w:pStyle w:val="TableContents"/>
              <w:spacing w:before="0" w:after="283"/>
              <w:jc w:val="left"/>
              <w:rPr/>
            </w:pPr>
            <w:r>
              <w:rPr/>
              <w:t xml:space="preserve">one duly issued Application for utilization for the full amount of the Tranche D. </w:t>
            </w:r>
          </w:p>
        </w:tc>
      </w:tr>
    </w:tbl>
    <w:p>
      <w:pPr>
        <w:pStyle w:val="TextBody"/>
        <w:spacing w:before="120" w:after="0"/>
        <w:rPr>
          <w:rFonts w:ascii="Times New Roman" w:hAnsi="Times New Roman"/>
          <w:sz w:val="20"/>
        </w:rPr>
      </w:pPr>
      <w:r>
        <w:rPr>
          <w:rFonts w:ascii="Times New Roman" w:hAnsi="Times New Roman"/>
          <w:sz w:val="20"/>
        </w:rPr>
        <w:t xml:space="preserve">Credit Amount specified by the Borrower in the corresponding Application for the Utilisation can not exceed the amount of the total Unused Credit Limit.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Unless otherwise agreed with the Credit Agent, the Borrower shall submit each Application for the Utilization to the Credit Agent no later than 12.00am two (2) Business days prior to the expected Utilization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Each Application for the utilization must be signed by the authorized person of the Borrower. Each Application for the utilization should indicate the requested Credit amount and the Utilization Date, which is the Business Day within the respective Credit Utilization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 xml:space="preserve">The Borrower shall not have the right to withdraw the Application for the utilization that was received by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5.</w:t>
            </w:r>
          </w:p>
        </w:tc>
        <w:tc>
          <w:tcPr>
            <w:tcW w:w="9697" w:type="dxa"/>
            <w:tcBorders/>
            <w:shd w:fill="auto" w:val="clear"/>
          </w:tcPr>
          <w:p>
            <w:pPr>
              <w:pStyle w:val="TableContents"/>
              <w:spacing w:before="0" w:after="283"/>
              <w:jc w:val="left"/>
              <w:rPr/>
            </w:pPr>
            <w:r>
              <w:rPr/>
              <w:t xml:space="preserve">PROVISION OF THE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Upon receipt of any Application for the utilization the Credit Agent must immediately send a copy to each Creditor the copy of the Application for the utilization and inform each Creditor of the amount corresponding to its Proportionate share in the requested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In the absence of the circumstances specified in Article 6 (</w:t>
            </w:r>
            <w:r>
              <w:rPr>
                <w:i/>
              </w:rPr>
              <w:t>Termination</w:t>
            </w:r>
            <w:r>
              <w:rPr/>
              <w:t xml:space="preserve"> </w:t>
            </w:r>
            <w:r>
              <w:rPr>
                <w:i/>
              </w:rPr>
              <w:t>of the Creditor</w:t>
            </w:r>
            <w:r>
              <w:rPr/>
              <w:t>’</w:t>
            </w:r>
            <w:r>
              <w:rPr>
                <w:i/>
              </w:rPr>
              <w:t>s obligations</w:t>
            </w:r>
            <w:r>
              <w:rPr/>
              <w:t xml:space="preserve">) each Creditor must transfer to the Credit agent the amount corresponding to its Proportionate share in the Credit requested by the Borrower, not later than 12:00am of the Utilization Date specified in the corresponding Application.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Not later than 3:00am of the corresponding Utilization Date, the Credit agent must transfer to the Borrower’s account specified in the Application for the utilization, Credit amount specified in this Application for the Utilization, but no more than the amount of the Credit received from the Creditors.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bookmarkStart w:id="1" w:name="ex10_4674579_7"/>
            <w:bookmarkEnd w:id="1"/>
            <w:r>
              <w:rPr/>
              <w:t>6.</w:t>
            </w:r>
          </w:p>
        </w:tc>
        <w:tc>
          <w:tcPr>
            <w:tcW w:w="9695" w:type="dxa"/>
            <w:tcBorders/>
            <w:shd w:fill="auto" w:val="clear"/>
          </w:tcPr>
          <w:p>
            <w:pPr>
              <w:pStyle w:val="TableContents"/>
              <w:spacing w:before="0" w:after="283"/>
              <w:jc w:val="left"/>
              <w:rPr/>
            </w:pPr>
            <w:r>
              <w:rPr/>
              <w:t xml:space="preserve">TERMINATION OF THE CREDITOR’S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The obligation of each Creditor to provide the Credit to the Borrower shall be terminated in whole or in part, depending on the circumstances: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0"/>
        <w:gridCol w:w="8577"/>
      </w:tblGrid>
      <w:tr>
        <w:trPr/>
        <w:tc>
          <w:tcPr>
            <w:tcW w:w="1017"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7" w:type="dxa"/>
            <w:tcBorders/>
            <w:shd w:fill="auto" w:val="clear"/>
          </w:tcPr>
          <w:p>
            <w:pPr>
              <w:pStyle w:val="TableContents"/>
              <w:spacing w:before="0" w:after="283"/>
              <w:jc w:val="left"/>
              <w:rPr/>
            </w:pPr>
            <w:r>
              <w:rPr/>
              <w:t xml:space="preserve">in case of granting of the Credit in the size of the Credit Limit of the corresponding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at the end of the Utilization Period of the Tranche A, Utilization Period of the Tranche B or Utilization Period of the Tranche B and Utilization Period of the Tranche 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in other cases stipulated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7"/>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Each Creditor shall have the right to refuse to perform the obligation to provide the Credit to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3" w:type="dxa"/>
            <w:tcBorders/>
            <w:shd w:fill="auto" w:val="clear"/>
          </w:tcPr>
          <w:p>
            <w:pPr>
              <w:pStyle w:val="TableContents"/>
              <w:spacing w:before="0" w:after="283"/>
              <w:jc w:val="left"/>
              <w:rPr/>
            </w:pPr>
            <w:r>
              <w:rPr/>
              <w:t xml:space="preserve">in the circumstances, which obviously suggests that the Credit will not be returned by the Borrower within the specified term of the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upon the onset of event of Default in accordance with Article 21.18 (</w:t>
            </w:r>
            <w:r>
              <w:rPr>
                <w:i/>
              </w:rPr>
              <w:t>Early demand</w:t>
            </w:r>
            <w:r>
              <w:rPr/>
              <w:t xml:space="preserve">) and sending by the Credit Agent the relevant notification to the Borrower;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in the circumstances specified in Article 8.1 (</w:t>
            </w:r>
            <w:r>
              <w:rPr>
                <w:i/>
              </w:rPr>
              <w:t>Illegality</w:t>
            </w:r>
            <w:r>
              <w:rPr/>
              <w:t>) and Article 8.2 (</w:t>
            </w:r>
            <w:r>
              <w:rPr>
                <w:i/>
              </w:rPr>
              <w:t>Change of control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the event of failure of any Creditor to grant the Credit on the basis of this Article, the Parties agree that the Credit does not accept any liability to the Borrower or to any Financing Party for refusal to provide the Credit.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7.</w:t>
            </w:r>
          </w:p>
        </w:tc>
        <w:tc>
          <w:tcPr>
            <w:tcW w:w="9696" w:type="dxa"/>
            <w:tcBorders/>
            <w:shd w:fill="auto" w:val="clear"/>
          </w:tcPr>
          <w:p>
            <w:pPr>
              <w:pStyle w:val="TableContents"/>
              <w:spacing w:before="0" w:after="283"/>
              <w:jc w:val="left"/>
              <w:rPr/>
            </w:pPr>
            <w:r>
              <w:rPr/>
              <w:t xml:space="preserve">REPAYMENT OF THE CREDIT </w:t>
            </w:r>
          </w:p>
        </w:tc>
      </w:tr>
    </w:tbl>
    <w:p>
      <w:pPr>
        <w:pStyle w:val="TextBody"/>
        <w:spacing w:before="120" w:after="0"/>
        <w:rPr>
          <w:rFonts w:ascii="Times New Roman" w:hAnsi="Times New Roman"/>
          <w:sz w:val="20"/>
        </w:rPr>
      </w:pPr>
      <w:r>
        <w:rPr>
          <w:rFonts w:ascii="Times New Roman" w:hAnsi="Times New Roman"/>
          <w:sz w:val="20"/>
        </w:rPr>
        <w:t xml:space="preserve">The Borrower shall return the Outstanding Credit by transfer to the Credit Agent’s account through quarterly payments in size and according to the procedure prescribed in 6 ( </w:t>
      </w:r>
      <w:r>
        <w:rPr>
          <w:rFonts w:ascii="Times New Roman" w:hAnsi="Times New Roman"/>
          <w:i/>
          <w:sz w:val="20"/>
        </w:rPr>
        <w:t>(Credit repayment schedule</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8.</w:t>
            </w:r>
          </w:p>
        </w:tc>
        <w:tc>
          <w:tcPr>
            <w:tcW w:w="9696" w:type="dxa"/>
            <w:tcBorders/>
            <w:shd w:fill="auto" w:val="clear"/>
          </w:tcPr>
          <w:p>
            <w:pPr>
              <w:pStyle w:val="TableContents"/>
              <w:spacing w:before="0" w:after="283"/>
              <w:jc w:val="left"/>
              <w:rPr/>
            </w:pPr>
            <w:r>
              <w:rPr/>
              <w:t xml:space="preserve">EARLY REPAYMENT AND WAIVER OF THE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bookmarkStart w:id="2" w:name="ex10_4674579_17"/>
            <w:bookmarkEnd w:id="2"/>
            <w:r>
              <w:rPr/>
              <w:t>8.1</w:t>
            </w:r>
          </w:p>
        </w:tc>
        <w:tc>
          <w:tcPr>
            <w:tcW w:w="9696" w:type="dxa"/>
            <w:tcBorders/>
            <w:shd w:fill="auto" w:val="clear"/>
          </w:tcPr>
          <w:p>
            <w:pPr>
              <w:pStyle w:val="TableContents"/>
              <w:spacing w:before="0" w:after="283"/>
              <w:jc w:val="left"/>
              <w:rPr/>
            </w:pPr>
            <w:r>
              <w:rPr/>
              <w:t xml:space="preserve">Illegality </w:t>
            </w:r>
          </w:p>
        </w:tc>
      </w:tr>
    </w:tbl>
    <w:p>
      <w:pPr>
        <w:pStyle w:val="TextBody"/>
        <w:spacing w:before="120" w:after="0"/>
        <w:rPr>
          <w:rFonts w:ascii="Times New Roman" w:hAnsi="Times New Roman"/>
          <w:sz w:val="20"/>
        </w:rPr>
      </w:pPr>
      <w:r>
        <w:rPr>
          <w:rFonts w:ascii="Times New Roman" w:hAnsi="Times New Roman"/>
          <w:sz w:val="20"/>
        </w:rPr>
        <w:t xml:space="preserve">If, in accordance with any applicable law, the provision of the credit to the Borrower and (or) participation in it becomes unlawful for any Creditor, then: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such the Creditor must notify the Credit Agent and the Borrower, as soon as it becomes aware of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any unfulfilled obligation of that Creditor to grant the Credit shall be terminated at the date of notification specified in paragraph (a) above;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The Borrower shall repay the amount corresponding to the Proportionate share of such Creditor in the Credit on the last day of the Interest Period, in which the Creditor was aware of the illegality of the participation in the Credit or (if this term comes earlier) at the date specified by the Creditor in the notice sent to the Credit Agent and the Borrower, which can not be earlier than the date established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bookmarkStart w:id="3" w:name="ex10_4674579_19"/>
            <w:bookmarkEnd w:id="3"/>
            <w:r>
              <w:rPr/>
              <w:t>8.2</w:t>
            </w:r>
          </w:p>
        </w:tc>
        <w:tc>
          <w:tcPr>
            <w:tcW w:w="9696" w:type="dxa"/>
            <w:tcBorders/>
            <w:shd w:fill="auto" w:val="clear"/>
          </w:tcPr>
          <w:p>
            <w:pPr>
              <w:pStyle w:val="TableContents"/>
              <w:spacing w:before="0" w:after="283"/>
              <w:jc w:val="left"/>
              <w:rPr/>
            </w:pPr>
            <w:r>
              <w:rPr/>
              <w:t xml:space="preserve">Change of control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In the event of the change of control: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The Borrower shall notify the Credit Agent immediately after it becomes aware of it;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if so requested by the Majority of Creditors, the Credit Agent shall send to the Borrower a notice and demand immediate repayment of the full amount of the Outstanding Credit with all accrued interests and other amounts payable by the Borrower, and the Borrower shall repay the amount of the Outstanding Credit in full in accordance with the requirements specified in the notice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For the purposes of item (a) above and iterm 8.4 (</w:t>
            </w:r>
            <w:r>
              <w:rPr>
                <w:i/>
              </w:rPr>
              <w:t>Comission</w:t>
            </w:r>
            <w:r>
              <w:rPr/>
              <w:t xml:space="preserve"> </w:t>
            </w:r>
            <w:r>
              <w:rPr>
                <w:i/>
              </w:rPr>
              <w:t>for the earlier repayment of the</w:t>
            </w:r>
            <w:r>
              <w:rPr/>
              <w:t xml:space="preserve"> </w:t>
            </w:r>
            <w:r>
              <w:rPr>
                <w:i/>
              </w:rPr>
              <w:t>Outstanding Credit</w:t>
            </w:r>
            <w:r>
              <w:rPr/>
              <w:t xml:space="preserve">), “Change of Control” means (except for the changes approved in accordance with the Financial documents, including as a result of a Permitted Payment or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09"/>
        <w:gridCol w:w="8576"/>
      </w:tblGrid>
      <w:tr>
        <w:trPr/>
        <w:tc>
          <w:tcPr>
            <w:tcW w:w="1019"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that Beneficiaries have lost the right they had by virtue of their joint direct or indirect participation in the share capital of any Group member on the basis of a written agreement by virtue of law or otherwise: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3" w:type="dxa"/>
            <w:tcBorders/>
            <w:shd w:fill="auto" w:val="clear"/>
          </w:tcPr>
          <w:p>
            <w:pPr>
              <w:pStyle w:val="TableContents"/>
              <w:spacing w:before="0" w:after="283"/>
              <w:jc w:val="left"/>
              <w:rPr/>
            </w:pPr>
            <w:r>
              <w:rPr/>
              <w:t xml:space="preserve">to exercise the right to vote (or to control the exercising of the right to vote) based on the share in the authorized capital of any Group member specified in the Group structure scheme;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8064" w:type="dxa"/>
            <w:tcBorders/>
            <w:shd w:fill="auto" w:val="clear"/>
          </w:tcPr>
          <w:p>
            <w:pPr>
              <w:pStyle w:val="TableContents"/>
              <w:spacing w:before="0" w:after="283"/>
              <w:jc w:val="left"/>
              <w:rPr/>
            </w:pPr>
            <w:r>
              <w:rPr/>
              <w:t xml:space="preserve">to appoint or dismiss the person performing functions of the sole executive body of any Group member or majority of members of any of the governance body of any Group member;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8063" w:type="dxa"/>
            <w:tcBorders/>
            <w:shd w:fill="auto" w:val="clear"/>
          </w:tcPr>
          <w:p>
            <w:pPr>
              <w:pStyle w:val="TableContents"/>
              <w:spacing w:before="0" w:after="283"/>
              <w:jc w:val="left"/>
              <w:rPr/>
            </w:pPr>
            <w:r>
              <w:rPr/>
              <w:t xml:space="preserve">to give binding instructions in respect of the activities or financial policy of any Group member;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that the Beneficiaries no longer together, directly or indirectly own shares in the share capital of any Group member that is specified in the Group Structure Scheme. </w:t>
            </w:r>
          </w:p>
        </w:tc>
      </w:tr>
    </w:tbl>
    <w:p>
      <w:pPr>
        <w:pStyle w:val="TextBody"/>
        <w:spacing w:before="120" w:after="0"/>
        <w:rPr>
          <w:rFonts w:ascii="Times New Roman" w:hAnsi="Times New Roman"/>
          <w:sz w:val="20"/>
        </w:rPr>
      </w:pPr>
      <w:r>
        <w:rPr>
          <w:rFonts w:ascii="Times New Roman" w:hAnsi="Times New Roman"/>
          <w:sz w:val="20"/>
        </w:rPr>
        <w:t xml:space="preserve">For the purposes of this item (b) “The Beneficiary”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Elbrus Capital Fund II, L.P. (registration number 63023, registered address: 190 Elgin Avenue, KY1- 9005 George Town, Grand Cayman, Cayman Islands)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Elbrus Capital Fund II B, L.P. (registration number 68103, registered address: 190 Elgin Avenue, KY1- 9005 George Town, Grand Cayman, Cayman Islands)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5" w:type="dxa"/>
            <w:tcBorders/>
            <w:shd w:fill="auto" w:val="clear"/>
          </w:tcPr>
          <w:p>
            <w:pPr>
              <w:pStyle w:val="TableContents"/>
              <w:spacing w:before="0" w:after="283"/>
              <w:jc w:val="left"/>
              <w:rPr/>
            </w:pPr>
            <w:r>
              <w:rPr/>
              <w:t xml:space="preserve">Goldman Sachs Group, Inc. (registration number 2923466, registered address: 1209 Orange Street, Wilmington, Delaware 19801, United States of America.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8.3</w:t>
            </w:r>
          </w:p>
        </w:tc>
        <w:tc>
          <w:tcPr>
            <w:tcW w:w="9695" w:type="dxa"/>
            <w:tcBorders/>
            <w:shd w:fill="auto" w:val="clear"/>
          </w:tcPr>
          <w:p>
            <w:pPr>
              <w:pStyle w:val="TableContents"/>
              <w:spacing w:before="0" w:after="283"/>
              <w:jc w:val="left"/>
              <w:rPr/>
            </w:pPr>
            <w:r>
              <w:rPr/>
              <w:t xml:space="preserve">Voluntary early repayment of the Outstanding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The Borrower shall be entitled, subject to the sending to the Credit Agent the prior notice not less than ten (10) Business days (unless a shorter period has been agreed with the Majority of Creditors) to make the early repayment of all the Outstanding Credit or any part thereof. The amount of the Outstanding Credit, returned early shall be at least fifty million (50,000,000)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The earlier partial repayment of the Outstanding credit proportionally reduces the size of the Borrower’s obligation to repay the Outstanding Credit before each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This earlier payment will be used for repayment of the Outstanding Credit, payment deadlines on which onset according to calendar order.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Within thirty (30) days after the demand of the Credit Agent to the Borrower in accordance with Article 13.1 13.1 (</w:t>
            </w:r>
            <w:r>
              <w:rPr>
                <w:i/>
              </w:rPr>
              <w:t>Additional</w:t>
            </w:r>
            <w:r>
              <w:rPr/>
              <w:t xml:space="preserve"> </w:t>
            </w:r>
            <w:r>
              <w:rPr>
                <w:i/>
              </w:rPr>
              <w:t>Costs</w:t>
            </w:r>
            <w:r>
              <w:rPr/>
              <w:t xml:space="preserve">), the Borrower shall be entitled, subject to the sending to the Credit Agent the prior notice not less than five (5) Business days (unless a shorter period was not It agreed with the Majority of Creditors) to make the early repayment of the full amount of the Outstanding Credit. In this case, the fee for early repayment of the Outstanding Credit in accordance with Article 8.4 </w:t>
            </w:r>
            <w:r>
              <w:rPr>
                <w:i/>
              </w:rPr>
              <w:t>(The Commission for early repayment of the Outstanding Credit</w:t>
            </w:r>
            <w:r>
              <w:rPr/>
              <w:t xml:space="preserve">) shall not be charged.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4" w:type="dxa"/>
            <w:tcBorders/>
            <w:shd w:fill="auto" w:val="clear"/>
          </w:tcPr>
          <w:p>
            <w:pPr>
              <w:pStyle w:val="TableContents"/>
              <w:spacing w:before="0" w:after="283"/>
              <w:jc w:val="left"/>
              <w:rPr/>
            </w:pPr>
            <w:r>
              <w:rPr/>
              <w:t xml:space="preserve">The Borrower can use the right of early repayment of the Outstanding Credit or part thereof only after the expiration of the Utilization Period of the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bookmarkStart w:id="4" w:name="ex10_4674579_25"/>
            <w:bookmarkEnd w:id="4"/>
            <w:r>
              <w:rPr/>
              <w:t>8.4</w:t>
            </w:r>
          </w:p>
        </w:tc>
        <w:tc>
          <w:tcPr>
            <w:tcW w:w="9695" w:type="dxa"/>
            <w:tcBorders/>
            <w:shd w:fill="auto" w:val="clear"/>
          </w:tcPr>
          <w:p>
            <w:pPr>
              <w:pStyle w:val="TableContents"/>
              <w:spacing w:before="0" w:after="283"/>
              <w:jc w:val="left"/>
              <w:rPr/>
            </w:pPr>
            <w:r>
              <w:rPr/>
              <w:t xml:space="preserve">Commission for early repayment of the Outstanding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In the event of early repayment of the Outstanding Credit or part thereof, the Borrower shall pay to the Credit Agent for the subsequent distribution among the Creditors in proportion to their Proportionate share the commission for early repayment of the Outstanding Credit (hereinafter “the Commission for Early Repayment”), the size of which shall be determined in accordance with items (b) and (c)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If at the time of the corresponding repayment of the Outstanding Credit (or part thereof), the Liquidity Event did not onset, the size of the Commission for Early Repayment is: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 xml:space="preserve">two point five (2.5) percent of the amount of early repayment of the Outstanding Credit; and in the case of early repayment during a period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629"/>
        <w:gridCol w:w="8575"/>
      </w:tblGrid>
      <w:tr>
        <w:trPr/>
        <w:tc>
          <w:tcPr>
            <w:tcW w:w="1629" w:type="dxa"/>
            <w:tcBorders/>
            <w:shd w:fill="auto" w:val="clear"/>
            <w:vAlign w:val="center"/>
          </w:tcPr>
          <w:p>
            <w:pPr>
              <w:pStyle w:val="TableContents"/>
              <w:spacing w:before="0" w:after="283"/>
              <w:rPr/>
            </w:pPr>
            <w:r>
              <w:rPr/>
              <w:t> </w:t>
            </w:r>
          </w:p>
        </w:tc>
        <w:tc>
          <w:tcPr>
            <w:tcW w:w="8575" w:type="dxa"/>
            <w:tcBorders/>
            <w:shd w:fill="auto" w:val="clear"/>
          </w:tcPr>
          <w:p>
            <w:pPr>
              <w:pStyle w:val="TableContents"/>
              <w:spacing w:before="0" w:after="283"/>
              <w:jc w:val="left"/>
              <w:rPr/>
            </w:pPr>
            <w:r>
              <w:rPr/>
              <w:t xml:space="preserve">beginning on the date of the Amendment Agreement No.3 and ending on the date falling 18 months from the date of the Amendment Agreement No.3 (including such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two (2.0) percent of the amount of early repayment of the Outstanding Credit; in the case of early repayment during a period beginning on the date falling 18 months from the date of the Amendment Agreement No.3 (excluding such date) and ending on the date onset in 24 months from the date of the Amendment Agreement No.3 (including such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one point five (1.5) percent of the amount of early repayment of the Outstanding Credit; in the case of early repayment during a period beginning on the date falling 24 months from the date of the Amendment Agreement No.3 (excluding such date), and ending on the date falling 36 months from the date of the Amendments Agreement No.3 (including such date);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(iv)</w:t>
            </w:r>
          </w:p>
        </w:tc>
        <w:tc>
          <w:tcPr>
            <w:tcW w:w="8574" w:type="dxa"/>
            <w:tcBorders/>
            <w:shd w:fill="auto" w:val="clear"/>
          </w:tcPr>
          <w:p>
            <w:pPr>
              <w:pStyle w:val="TableContents"/>
              <w:spacing w:before="0" w:after="283"/>
              <w:jc w:val="left"/>
              <w:rPr/>
            </w:pPr>
            <w:r>
              <w:rPr/>
              <w:t xml:space="preserve">one (1.0) percent of the amount of early repayment of the Outstanding Credit; in the case of early repayment during a period beginning on the date falling 36 months from the date of the Amendment Agreement No.3 (excluding such date) and ending on the date onset after 48 months from the date of the Amendment Agreement No.3 (including such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In case of onset of the Liquidity event during the period beginning on the date of the Amendment Agreement No.3 and ending on the date falling 18 months from the date of the Amendment Agreement No.3 (including such date), the Commission for early repayment shall make up one point five (1.5) percent of the amount of early repayment of the Outstanding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 xml:space="preserve">In the case of early return of the Outstanding Credit (or part thereof):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3" w:type="dxa"/>
            <w:tcBorders/>
            <w:shd w:fill="auto" w:val="clear"/>
          </w:tcPr>
          <w:p>
            <w:pPr>
              <w:pStyle w:val="TableContents"/>
              <w:spacing w:before="0" w:after="283"/>
              <w:jc w:val="left"/>
              <w:rPr/>
            </w:pPr>
            <w:r>
              <w:rPr/>
              <w:t xml:space="preserve">in case of the onset of the Liquidity event - at the end of eighteen (18) months;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in other cases - at the end of forty-eight (48) months </w:t>
            </w:r>
          </w:p>
        </w:tc>
      </w:tr>
    </w:tbl>
    <w:p>
      <w:pPr>
        <w:pStyle w:val="TextBody"/>
        <w:spacing w:before="120" w:after="0"/>
        <w:rPr>
          <w:rFonts w:ascii="Times New Roman" w:hAnsi="Times New Roman"/>
          <w:sz w:val="20"/>
        </w:rPr>
      </w:pPr>
      <w:r>
        <w:rPr>
          <w:rFonts w:ascii="Times New Roman" w:hAnsi="Times New Roman"/>
          <w:sz w:val="20"/>
        </w:rPr>
        <w:t xml:space="preserve">from the date of the Amendment Agreement No.3 (excluding such date), the Commission for early repayment shall not be charged.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7" w:type="dxa"/>
            <w:tcBorders/>
            <w:shd w:fill="auto" w:val="clear"/>
          </w:tcPr>
          <w:p>
            <w:pPr>
              <w:pStyle w:val="TableContents"/>
              <w:spacing w:before="0" w:after="283"/>
              <w:jc w:val="left"/>
              <w:rPr/>
            </w:pPr>
            <w:r>
              <w:rPr/>
              <w:t>For the purposes of this clause 8.4 (</w:t>
            </w:r>
            <w:r>
              <w:rPr>
                <w:i/>
              </w:rPr>
              <w:t>the Commission for early repayment of the Outstanding Credit</w:t>
            </w:r>
            <w:r>
              <w:rPr/>
              <w:t xml:space="preserve"> </w:t>
            </w:r>
            <w:r>
              <w:rPr>
                <w:u w:val="single"/>
              </w:rPr>
              <w:t>bookmark49</w:t>
            </w:r>
            <w:r>
              <w:rPr/>
              <w:t xml:space="preserve">), “the Liquidity event” means: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6"/>
        <w:gridCol w:w="612"/>
        <w:gridCol w:w="8576"/>
      </w:tblGrid>
      <w:tr>
        <w:trPr/>
        <w:tc>
          <w:tcPr>
            <w:tcW w:w="1016"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initial public offering of the shares of the Group’s company with their inclusion into the quotation list of auction organizer;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Change of Control, </w:t>
            </w:r>
          </w:p>
        </w:tc>
      </w:tr>
    </w:tbl>
    <w:p>
      <w:pPr>
        <w:pStyle w:val="TextBody"/>
        <w:spacing w:before="120" w:after="0"/>
        <w:rPr>
          <w:rFonts w:ascii="Times New Roman" w:hAnsi="Times New Roman"/>
          <w:sz w:val="20"/>
        </w:rPr>
      </w:pPr>
      <w:r>
        <w:rPr>
          <w:rFonts w:ascii="Times New Roman" w:hAnsi="Times New Roman"/>
          <w:sz w:val="20"/>
        </w:rPr>
        <w:t xml:space="preserve">provided that the Borrower (or its affiliate) will provide to the Credit Agent (or its affiliated person) the right to provide the following services (in this case detailed conditions of these services may be agreed between the Borrower and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3" w:type="dxa"/>
            <w:tcBorders/>
            <w:shd w:fill="auto" w:val="clear"/>
          </w:tcPr>
          <w:p>
            <w:pPr>
              <w:pStyle w:val="TableContents"/>
              <w:spacing w:before="0" w:after="283"/>
              <w:jc w:val="left"/>
              <w:rPr/>
            </w:pPr>
            <w:r>
              <w:rPr/>
              <w:t xml:space="preserve">the services of the global coordinator and organizer (bookrunner) in relation to the Liquidity event referred to in item (i) above;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1"/>
        <w:gridCol w:w="8062"/>
      </w:tblGrid>
      <w:tr>
        <w:trPr/>
        <w:tc>
          <w:tcPr>
            <w:tcW w:w="1631" w:type="dxa"/>
            <w:tcBorders/>
            <w:shd w:fill="auto" w:val="clear"/>
            <w:vAlign w:val="center"/>
          </w:tcPr>
          <w:p>
            <w:pPr>
              <w:pStyle w:val="TableContents"/>
              <w:spacing w:before="0" w:after="283"/>
              <w:rPr/>
            </w:pPr>
            <w:r>
              <w:rPr/>
              <w:t> </w:t>
            </w:r>
          </w:p>
        </w:tc>
        <w:tc>
          <w:tcPr>
            <w:tcW w:w="511"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consulting or provision of other services for the purposes of the Liquidity Event referred to in paragraph (ii)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8.5</w:t>
            </w:r>
          </w:p>
        </w:tc>
        <w:tc>
          <w:tcPr>
            <w:tcW w:w="9695" w:type="dxa"/>
            <w:tcBorders/>
            <w:shd w:fill="auto" w:val="clear"/>
          </w:tcPr>
          <w:p>
            <w:pPr>
              <w:pStyle w:val="TableContents"/>
              <w:spacing w:before="0" w:after="283"/>
              <w:jc w:val="left"/>
              <w:rPr/>
            </w:pPr>
            <w:r>
              <w:rPr/>
              <w:t xml:space="preserve">Other provisions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The Borrower shall have the right to withdraw its notices of early repayment of the Outstanding Credit or part thereof. Such notice shall contain a reference to the relevant repayment date and the size of the early repaid amount of the Outstanding Credit.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 xml:space="preserve">If the Credit Agent receives any notification under this Article 8 (Early repayment and cancellation of the Credit), it shall, within the same Business Day, send a copy of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16"/>
        <w:gridCol w:w="9188"/>
      </w:tblGrid>
      <w:tr>
        <w:trPr/>
        <w:tc>
          <w:tcPr>
            <w:tcW w:w="1016" w:type="dxa"/>
            <w:tcBorders/>
            <w:shd w:fill="auto" w:val="clear"/>
            <w:vAlign w:val="center"/>
          </w:tcPr>
          <w:p>
            <w:pPr>
              <w:pStyle w:val="TableContents"/>
              <w:spacing w:before="0" w:after="283"/>
              <w:rPr/>
            </w:pPr>
            <w:r>
              <w:rPr/>
              <w:t> </w:t>
            </w:r>
          </w:p>
        </w:tc>
        <w:tc>
          <w:tcPr>
            <w:tcW w:w="9188" w:type="dxa"/>
            <w:tcBorders/>
            <w:shd w:fill="auto" w:val="clear"/>
          </w:tcPr>
          <w:p>
            <w:pPr>
              <w:pStyle w:val="TableContents"/>
              <w:spacing w:before="0" w:after="283"/>
              <w:jc w:val="left"/>
              <w:rPr/>
            </w:pPr>
            <w:r>
              <w:rPr/>
              <w:t xml:space="preserve">the notification to the Party, to which this notice is addressed. The Credit Agent shall, within not more than one Business day from the date of receipt of the corresponding notification to notify all the Creditors of any such notification received.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At any early repayment of the Outstanding Credit, the Borrower shall return the Outstanding Credit together with the full amount of interest and other amounts due from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 xml:space="preserve">The Borrower shall not have the right to perform the early repayment of the Outstanding Credit or any part of it or refuse to receive the Credit or part of it on conditions not expressly provided in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4" w:type="dxa"/>
            <w:tcBorders/>
            <w:shd w:fill="auto" w:val="clear"/>
          </w:tcPr>
          <w:p>
            <w:pPr>
              <w:pStyle w:val="TableContents"/>
              <w:spacing w:before="0" w:after="283"/>
              <w:jc w:val="left"/>
              <w:rPr/>
            </w:pPr>
            <w:r>
              <w:rPr/>
              <w:t xml:space="preserve">The Borrower shall not be entitled to submit the Application for the utilisation in relation to the amount of the Credit, from the reception of which the Borrower refused, as well as in respect of the amount of the Outstanding Credit early repaid by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9.</w:t>
            </w:r>
          </w:p>
        </w:tc>
        <w:tc>
          <w:tcPr>
            <w:tcW w:w="9697" w:type="dxa"/>
            <w:tcBorders/>
            <w:shd w:fill="auto" w:val="clear"/>
          </w:tcPr>
          <w:p>
            <w:pPr>
              <w:pStyle w:val="TableContents"/>
              <w:spacing w:before="0" w:after="283"/>
              <w:jc w:val="left"/>
              <w:rPr/>
            </w:pPr>
            <w:r>
              <w:rPr/>
              <w:t xml:space="preserve">INTEREST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9.1</w:t>
            </w:r>
          </w:p>
        </w:tc>
        <w:tc>
          <w:tcPr>
            <w:tcW w:w="9695" w:type="dxa"/>
            <w:tcBorders/>
            <w:shd w:fill="auto" w:val="clear"/>
          </w:tcPr>
          <w:p>
            <w:pPr>
              <w:pStyle w:val="TableContents"/>
              <w:spacing w:before="0" w:after="283"/>
              <w:jc w:val="left"/>
              <w:rPr/>
            </w:pPr>
            <w:r>
              <w:rPr/>
              <w:t xml:space="preserve">Interest calculation </w:t>
            </w:r>
          </w:p>
        </w:tc>
      </w:tr>
    </w:tbl>
    <w:p>
      <w:pPr>
        <w:pStyle w:val="TextBody"/>
        <w:spacing w:before="120" w:after="0"/>
        <w:rPr>
          <w:rFonts w:ascii="Times New Roman" w:hAnsi="Times New Roman"/>
          <w:sz w:val="20"/>
        </w:rPr>
      </w:pPr>
      <w:r>
        <w:rPr>
          <w:rFonts w:ascii="Times New Roman" w:hAnsi="Times New Roman"/>
          <w:sz w:val="20"/>
        </w:rPr>
        <w:t xml:space="preserve">The interest rate on the Outstanding Credit for each Interest Period is the annual interest rate equal to the sum of: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margin;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Key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9.2</w:t>
            </w:r>
          </w:p>
        </w:tc>
        <w:tc>
          <w:tcPr>
            <w:tcW w:w="9694" w:type="dxa"/>
            <w:tcBorders/>
            <w:shd w:fill="auto" w:val="clear"/>
          </w:tcPr>
          <w:p>
            <w:pPr>
              <w:pStyle w:val="TableContents"/>
              <w:spacing w:before="0" w:after="283"/>
              <w:jc w:val="left"/>
              <w:rPr/>
            </w:pPr>
            <w:r>
              <w:rPr/>
              <w:t xml:space="preserve">Revision of the margin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Upon the onset of any of circumstances specified in this paragraph (a), the size of the Margin by a decision of the Majority of the Creditors shall be increased by two point five (2.5) percent per annum since the first day of the Interest period following the respective Calculation Date (of which, the Credit Agent shall notify the Borrower in writing), if the Indicator of the Debt burden is more than: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3.75:1 in any settlement date for the period beginning January 1, 2017 (inclusive) and ending on December 31, 2017 (inclusive);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3.5:1 in any settlement date for the period beginning January 1, 2018 (inclusive) and ending on December 31, 2018 (inclusive);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(iii)</w:t>
            </w:r>
          </w:p>
        </w:tc>
        <w:tc>
          <w:tcPr>
            <w:tcW w:w="8575" w:type="dxa"/>
            <w:tcBorders/>
            <w:shd w:fill="auto" w:val="clear"/>
          </w:tcPr>
          <w:p>
            <w:pPr>
              <w:pStyle w:val="TableContents"/>
              <w:spacing w:before="0" w:after="283"/>
              <w:jc w:val="left"/>
              <w:rPr/>
            </w:pPr>
            <w:r>
              <w:rPr/>
              <w:t xml:space="preserve">3.0:1 in any settlement date for the period beginning January 1, 2019 (inclusive) and ending on December 31, 2019 (inclusive);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(iv)</w:t>
            </w:r>
          </w:p>
        </w:tc>
        <w:tc>
          <w:tcPr>
            <w:tcW w:w="8575" w:type="dxa"/>
            <w:tcBorders/>
            <w:shd w:fill="auto" w:val="clear"/>
          </w:tcPr>
          <w:p>
            <w:pPr>
              <w:pStyle w:val="TableContents"/>
              <w:spacing w:before="0" w:after="283"/>
              <w:jc w:val="left"/>
              <w:rPr/>
            </w:pPr>
            <w:r>
              <w:rPr/>
              <w:t xml:space="preserve">3.5: 1 in any settlement date for the period beginning January 1, 2020 (inclusive) and ending on the date of the final repayment of Tranche B and Tranche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(provided that the Credit Agent will confirm that the Indicator of debt burden is less than the corresponding value indicated below), the effect of paragraph (a) of this Article will continue until the first day of the Interest Period following the Calculation Date, in which the Indicator of debt burden will be less than: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3.75:1 in any settlement date for the period beginning January 1, 2017 (inclusive) and ending on December 31, 2017 (inclusive);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3.5:1 in any settlement date for the period beginning January 1, 2018 (inclusive) and ending on December 31, 2018 (inclusive);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(iii)</w:t>
            </w:r>
          </w:p>
        </w:tc>
        <w:tc>
          <w:tcPr>
            <w:tcW w:w="8575" w:type="dxa"/>
            <w:tcBorders/>
            <w:shd w:fill="auto" w:val="clear"/>
          </w:tcPr>
          <w:p>
            <w:pPr>
              <w:pStyle w:val="TableContents"/>
              <w:spacing w:before="0" w:after="283"/>
              <w:jc w:val="left"/>
              <w:rPr/>
            </w:pPr>
            <w:r>
              <w:rPr/>
              <w:t xml:space="preserve">3.0:1 in any settlement date for the period beginning January 1, 2019 (inclusive) and ending on December 31, 2019 (inclusive);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(iv)</w:t>
            </w:r>
          </w:p>
        </w:tc>
        <w:tc>
          <w:tcPr>
            <w:tcW w:w="8575" w:type="dxa"/>
            <w:tcBorders/>
            <w:shd w:fill="auto" w:val="clear"/>
          </w:tcPr>
          <w:p>
            <w:pPr>
              <w:pStyle w:val="TableContents"/>
              <w:spacing w:before="0" w:after="283"/>
              <w:jc w:val="left"/>
              <w:rPr/>
            </w:pPr>
            <w:r>
              <w:rPr/>
              <w:t xml:space="preserve">3.5: 1 in any settlement date for the period beginning January 1, 2020 (inclusive) and ending on the date of the final repayment of Tranche B and Tranche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9.3</w:t>
            </w:r>
          </w:p>
        </w:tc>
        <w:tc>
          <w:tcPr>
            <w:tcW w:w="9695" w:type="dxa"/>
            <w:tcBorders/>
            <w:shd w:fill="auto" w:val="clear"/>
          </w:tcPr>
          <w:p>
            <w:pPr>
              <w:pStyle w:val="TableContents"/>
              <w:spacing w:before="0" w:after="283"/>
              <w:jc w:val="left"/>
              <w:rPr/>
            </w:pPr>
            <w:r>
              <w:rPr/>
              <w:t xml:space="preserve">Payment of interest </w:t>
            </w:r>
          </w:p>
        </w:tc>
      </w:tr>
    </w:tbl>
    <w:p>
      <w:pPr>
        <w:pStyle w:val="TextBody"/>
        <w:spacing w:before="120" w:after="0"/>
        <w:rPr>
          <w:rFonts w:ascii="Times New Roman" w:hAnsi="Times New Roman"/>
          <w:sz w:val="20"/>
        </w:rPr>
      </w:pPr>
      <w:r>
        <w:rPr>
          <w:rFonts w:ascii="Times New Roman" w:hAnsi="Times New Roman"/>
          <w:sz w:val="20"/>
        </w:rPr>
        <w:t xml:space="preserve">The Borrower shall pay to the Credit Agent in favour of the Creditors the interest on the Outstanding Credit in each Interest payment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9.4</w:t>
            </w:r>
          </w:p>
        </w:tc>
        <w:tc>
          <w:tcPr>
            <w:tcW w:w="9695" w:type="dxa"/>
            <w:tcBorders/>
            <w:shd w:fill="auto" w:val="clear"/>
          </w:tcPr>
          <w:p>
            <w:pPr>
              <w:pStyle w:val="TableContents"/>
              <w:spacing w:before="0" w:after="283"/>
              <w:jc w:val="left"/>
              <w:rPr/>
            </w:pPr>
            <w:r>
              <w:rPr/>
              <w:t xml:space="preserve">Penalty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If the Borrower fails to fulfil its obligation, within the prescribed period, to pay any amount to be paid by it under the Fnancial Document, that the penalty shall be accrured on such overdue amount from the date following the date of the due date of payment until the date of actual payment (both before and after the issuance of the relevant judgment).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This penalty shall be charged at a rate of 2/365 of the interest rate determined in accordance with Article 9.1 ( </w:t>
            </w:r>
            <w:r>
              <w:rPr>
                <w:i/>
              </w:rPr>
              <w:t>(Calculation of interest</w:t>
            </w:r>
            <w:r>
              <w:rPr/>
              <w:t>) subject to the provisions of Article 9.2 (</w:t>
            </w:r>
            <w:r>
              <w:rPr>
                <w:i/>
              </w:rPr>
              <w:t>(Revision of the margin</w:t>
            </w:r>
            <w:r>
              <w:rPr/>
              <w:t xml:space="preserve">) of the overdue amount of on the Outstanding Credit for each day of delay.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The penalty accrued pursuant to this Article 9.4, shall be paid by the Borrower immediately at the request of the Loan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7"/>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 xml:space="preserve">The Parties agree that the payment of the penalty by the Borrower provided for in this Article 9.4,, in any way limits the rights of the Creditors to use any other remedies, including the right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7"/>
        <w:gridCol w:w="9190"/>
      </w:tblGrid>
      <w:tr>
        <w:trPr/>
        <w:tc>
          <w:tcPr>
            <w:tcW w:w="507" w:type="dxa"/>
            <w:tcBorders/>
            <w:shd w:fill="auto" w:val="clear"/>
            <w:vAlign w:val="center"/>
          </w:tcPr>
          <w:p>
            <w:pPr>
              <w:pStyle w:val="TableContents"/>
              <w:spacing w:before="0" w:after="283"/>
              <w:rPr/>
            </w:pPr>
            <w:r>
              <w:rPr/>
              <w:t> </w:t>
            </w:r>
          </w:p>
        </w:tc>
        <w:tc>
          <w:tcPr>
            <w:tcW w:w="507" w:type="dxa"/>
            <w:tcBorders/>
            <w:shd w:fill="auto" w:val="clear"/>
          </w:tcPr>
          <w:p>
            <w:pPr>
              <w:pStyle w:val="TableContents"/>
              <w:spacing w:before="0" w:after="283"/>
              <w:jc w:val="left"/>
              <w:rPr/>
            </w:pPr>
            <w:r>
              <w:rPr/>
              <w:t>  </w:t>
            </w:r>
          </w:p>
        </w:tc>
        <w:tc>
          <w:tcPr>
            <w:tcW w:w="9190" w:type="dxa"/>
            <w:tcBorders/>
            <w:shd w:fill="auto" w:val="clear"/>
          </w:tcPr>
          <w:p>
            <w:pPr>
              <w:pStyle w:val="TableContents"/>
              <w:spacing w:before="0" w:after="283"/>
              <w:jc w:val="left"/>
              <w:rPr/>
            </w:pPr>
            <w:r>
              <w:rPr/>
              <w:t xml:space="preserve">to require the Borrower to reimburse damages and expenses caused by the delay of the Borrower, to the extent not covered by the penalty.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4" w:type="dxa"/>
            <w:tcBorders/>
            <w:shd w:fill="auto" w:val="clear"/>
          </w:tcPr>
          <w:p>
            <w:pPr>
              <w:pStyle w:val="TableContents"/>
              <w:spacing w:before="0" w:after="283"/>
              <w:jc w:val="left"/>
              <w:rPr/>
            </w:pPr>
            <w:r>
              <w:rPr/>
              <w:t>For avoidance of doubt, the Parties confirm that the penalty provided for in this Article shall be paid by the Debtor over and above the interest provided for in Article 9.1 (</w:t>
            </w:r>
            <w:r>
              <w:rPr>
                <w:i/>
              </w:rPr>
              <w:t>(Calculation of interest</w:t>
            </w:r>
            <w:r>
              <w:rPr/>
              <w:t xml:space="preserve">) subject to the provisions of Article 9.2 ( </w:t>
            </w:r>
            <w:r>
              <w:rPr>
                <w:i/>
              </w:rPr>
              <w:t>(Revision Margin size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9.5</w:t>
            </w:r>
          </w:p>
        </w:tc>
        <w:tc>
          <w:tcPr>
            <w:tcW w:w="9694" w:type="dxa"/>
            <w:tcBorders/>
            <w:shd w:fill="auto" w:val="clear"/>
          </w:tcPr>
          <w:p>
            <w:pPr>
              <w:pStyle w:val="TableContents"/>
              <w:spacing w:before="0" w:after="283"/>
              <w:jc w:val="left"/>
              <w:rPr/>
            </w:pPr>
            <w:r>
              <w:rPr/>
              <w:t xml:space="preserve">Notice of the key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Subject to paragraph (d) below, the Key rate effective in each day of Interest Period shall be used when calculating the amount of accrued interest.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The Credit Agent shall notify each Party of Key rates in effect at the respective Utilization Date in each Utilization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In case of change in the Key rate after any Utilization date, the new Key rate begins to be applied for the purposes of determination of the interest rate in accordance with Article 9.1 (</w:t>
            </w:r>
            <w:r>
              <w:rPr>
                <w:i/>
              </w:rPr>
              <w:t>Calculation of Interest</w:t>
            </w:r>
            <w:r>
              <w:rPr/>
              <w:t xml:space="preserve">), starting from the date of entry into force of the amended value of the Key rate, of which the Credit Agent shall notify the Parties no later than the Business Day following the date of entry into force of the amended value of the Key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Notwithstanding the provisions of paragraph (c) above, if the date of entry into force of the amended value of the Key rate falls on the last day of each Interest Period, the corresponding changed Key rate begins to be applied for the purposes of determination of the interest rate in accordance with Article 9.1 (</w:t>
            </w:r>
            <w:r>
              <w:rPr>
                <w:i/>
              </w:rPr>
              <w:t>Calculation of Interest</w:t>
            </w:r>
            <w:r>
              <w:rPr/>
              <w:t xml:space="preserve">), starting from the first day of the next Interest Period.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10.</w:t>
            </w:r>
          </w:p>
        </w:tc>
        <w:tc>
          <w:tcPr>
            <w:tcW w:w="9695" w:type="dxa"/>
            <w:tcBorders/>
            <w:shd w:fill="auto" w:val="clear"/>
          </w:tcPr>
          <w:p>
            <w:pPr>
              <w:pStyle w:val="TableContents"/>
              <w:spacing w:before="0" w:after="283"/>
              <w:jc w:val="left"/>
              <w:rPr/>
            </w:pPr>
            <w:r>
              <w:rPr/>
              <w:t xml:space="preserve">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The first Interest period relating to Tranche A, begins on the day following the Utilization Date of the Tranche A and ends at the Interest payment date following the Utilization Date of the Tranche A. If such Iterest payment date comes earlier than ten (10) days after the Utilization date of the Tranche, the first Interest period relating to the Tranche A finishes at the second Interest payment date following the Utilization date of the Tranche A. Each subsequent Interest Period It shall begin on the day following the last day of the preceding Interest Period, and ends immediately on the Interest payment date following such a day.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7"/>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The first Interest Period relating to Tranche B, shall begin on the day following the Utilization date of the Tranche B, and shall end on the Interest payment date following the Utilization date of the Tranche B. If such Interest payment date comes earlier than ten (10) days after the Utilization date of the Tranche B, first Interest period relating to Tranche B shall end on the second Interest payment date, following the Utilization date of the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Starting from the Interest period coming immediately after the first Interest period relating to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3" w:type="dxa"/>
            <w:tcBorders/>
            <w:shd w:fill="auto" w:val="clear"/>
          </w:tcPr>
          <w:p>
            <w:pPr>
              <w:pStyle w:val="TableContents"/>
              <w:spacing w:before="0" w:after="283"/>
              <w:jc w:val="left"/>
              <w:rPr/>
            </w:pPr>
            <w:r>
              <w:rPr/>
              <w:t xml:space="preserve">The Outstanding Credit relating to the Tranche A and Outstanding Credit relating to the Tranche B for purposes of determination of the Interest Period shall be combined into the single Outstanding Credit (hereinafter - the Outstanding Credit A and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6" w:type="dxa"/>
            <w:tcBorders/>
            <w:shd w:fill="auto" w:val="clear"/>
          </w:tcPr>
          <w:p>
            <w:pPr>
              <w:pStyle w:val="TableContents"/>
              <w:spacing w:before="0" w:after="283"/>
              <w:jc w:val="left"/>
              <w:rPr/>
            </w:pPr>
            <w:r>
              <w:rPr/>
              <w:t xml:space="preserve">The Interest Periods related to the Outstanding Credits A and B shall be determined in accordance with paragraph (a) of this Article 10; ;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the last Interest Period relating to the Outstanding Credits A and B shall be ended on the date of the final repayment of the Tranche A and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The first Interest Period relating to Tranche B shall begin on the day following the date of the Utilization of the Tranche B, and shall end on the Interest payment date following the Utilization date of the Tranche B. If such Interest payment date comes earlier than ten (10) days after the Utilization date of the Tranche B, the first Interest period relating to Tranche B shall be finished on the second Interest payment date following the Utilization Date of the Tranche B. Each subsequent Interest Period shall begin on the day following the last day of the preceding Interest Period, and shall be ended on the Interest payment date immediately following such a day.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(e)</w:t>
            </w:r>
          </w:p>
        </w:tc>
        <w:tc>
          <w:tcPr>
            <w:tcW w:w="9188" w:type="dxa"/>
            <w:tcBorders/>
            <w:shd w:fill="auto" w:val="clear"/>
          </w:tcPr>
          <w:p>
            <w:pPr>
              <w:pStyle w:val="TableContents"/>
              <w:spacing w:before="0" w:after="283"/>
              <w:jc w:val="left"/>
              <w:rPr/>
            </w:pPr>
            <w:r>
              <w:rPr/>
              <w:t xml:space="preserve">The first Interest Period relating to Tranche D shall begin on the day following the date of the Utilization of the Tranche D, and shall end on the Interest payment date following the Utilization date of the Tranche D. If such Interest payment date comes earlier than ten (10) days after the Utilization date of the Tranche D, first Interest period relating to Tranche D shall end on the second Interest payment date, following the Utilization date of the Tranche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9187" w:type="dxa"/>
            <w:tcBorders/>
            <w:shd w:fill="auto" w:val="clear"/>
          </w:tcPr>
          <w:p>
            <w:pPr>
              <w:pStyle w:val="TableContents"/>
              <w:spacing w:before="0" w:after="283"/>
              <w:jc w:val="left"/>
              <w:rPr/>
            </w:pPr>
            <w:r>
              <w:rPr/>
              <w:t xml:space="preserve">Starting from the Interest period coming immediately after the first Interest period relating to Tranche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3" w:type="dxa"/>
            <w:tcBorders/>
            <w:shd w:fill="auto" w:val="clear"/>
          </w:tcPr>
          <w:p>
            <w:pPr>
              <w:pStyle w:val="TableContents"/>
              <w:spacing w:before="0" w:after="283"/>
              <w:jc w:val="left"/>
              <w:rPr/>
            </w:pPr>
            <w:r>
              <w:rPr/>
              <w:t xml:space="preserve">The Outstanding Credit relating to the Tranche A and Outstanding Credit relating to the Tranche B for purposes of determination of the Interest Period shall be combined into the single Outstanding Credit (hereinafter - the Outstanding Credit A and B);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6" w:type="dxa"/>
            <w:tcBorders/>
            <w:shd w:fill="auto" w:val="clear"/>
          </w:tcPr>
          <w:p>
            <w:pPr>
              <w:pStyle w:val="TableContents"/>
              <w:spacing w:before="0" w:after="283"/>
              <w:jc w:val="left"/>
              <w:rPr/>
            </w:pPr>
            <w:r>
              <w:rPr/>
              <w:t xml:space="preserve">The Interest Periods related to the Outstanding Credits A, B, and C shall be determined in accordance with paragraph (a) of this Article 10; ;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the last Interest Period relating to the Outstanding Credits A, B and C shall be ended on the date of the final repayment of the Tranche A and Tranche 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(g)</w:t>
            </w:r>
          </w:p>
        </w:tc>
        <w:tc>
          <w:tcPr>
            <w:tcW w:w="9188" w:type="dxa"/>
            <w:tcBorders/>
            <w:shd w:fill="auto" w:val="clear"/>
          </w:tcPr>
          <w:p>
            <w:pPr>
              <w:pStyle w:val="TableContents"/>
              <w:spacing w:before="0" w:after="283"/>
              <w:jc w:val="left"/>
              <w:rPr/>
            </w:pPr>
            <w:r>
              <w:rPr/>
              <w:t xml:space="preserve">Starting from the Interest period coming immediately after the first Interest period relating to Tranche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3" w:type="dxa"/>
            <w:tcBorders/>
            <w:shd w:fill="auto" w:val="clear"/>
          </w:tcPr>
          <w:p>
            <w:pPr>
              <w:pStyle w:val="TableContents"/>
              <w:spacing w:before="0" w:after="283"/>
              <w:jc w:val="left"/>
              <w:rPr/>
            </w:pPr>
            <w:r>
              <w:rPr/>
              <w:t xml:space="preserve">The Outstanding Credit relating to the Tranche A, Outstanding Credit relating to the Tranche B, Outstanding Credit relating to the Tranche C, and Outstanding Credit relating to the Tranche D for purposes of determination of the Interest Period shall be combined into the single Outstanding Credit (hereinafter - the Outstanding Credit A, B, C and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6" w:type="dxa"/>
            <w:tcBorders/>
            <w:shd w:fill="auto" w:val="clear"/>
          </w:tcPr>
          <w:p>
            <w:pPr>
              <w:pStyle w:val="TableContents"/>
              <w:spacing w:before="0" w:after="283"/>
              <w:jc w:val="left"/>
              <w:rPr/>
            </w:pPr>
            <w:r>
              <w:rPr/>
              <w:t xml:space="preserve">The Interest Periods related to the Outstanding Credits A, B, C, and D shall be determined in accordance with paragraph (a) of this Article 10; ;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the last Interest Period relating to outstanding loans A, B, C and D, ending on the date of the final repayment of Tranche B and Tranche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11.</w:t>
            </w:r>
          </w:p>
        </w:tc>
        <w:tc>
          <w:tcPr>
            <w:tcW w:w="9695" w:type="dxa"/>
            <w:tcBorders/>
            <w:shd w:fill="auto" w:val="clear"/>
          </w:tcPr>
          <w:p>
            <w:pPr>
              <w:pStyle w:val="TableContents"/>
              <w:spacing w:before="0" w:after="283"/>
              <w:jc w:val="left"/>
              <w:rPr/>
            </w:pPr>
            <w:r>
              <w:rPr/>
              <w:t xml:space="preserve">REMUNERATION OF THE PARTIES TO FINANCING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11.1</w:t>
            </w:r>
          </w:p>
        </w:tc>
        <w:tc>
          <w:tcPr>
            <w:tcW w:w="9695" w:type="dxa"/>
            <w:tcBorders/>
            <w:shd w:fill="auto" w:val="clear"/>
          </w:tcPr>
          <w:p>
            <w:pPr>
              <w:pStyle w:val="TableContents"/>
              <w:spacing w:before="0" w:after="283"/>
              <w:jc w:val="left"/>
              <w:rPr/>
            </w:pPr>
            <w:r>
              <w:rPr/>
              <w:t xml:space="preserve">Commission fee for obligation under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The Borrower undertakes to pay the commission fee to the Credit Agent (in favor of Creditors) for the obligation to render the Credit which amount is to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2"/>
        <w:gridCol w:w="8572"/>
      </w:tblGrid>
      <w:tr>
        <w:trPr/>
        <w:tc>
          <w:tcPr>
            <w:tcW w:w="1020"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2" w:type="dxa"/>
            <w:tcBorders/>
            <w:shd w:fill="auto" w:val="clear"/>
          </w:tcPr>
          <w:p>
            <w:pPr>
              <w:pStyle w:val="TableContents"/>
              <w:spacing w:before="0" w:after="283"/>
              <w:jc w:val="left"/>
              <w:rPr/>
            </w:pPr>
            <w:r>
              <w:rPr/>
              <w:t xml:space="preserve">at the rate of 0.15 (nought point one five) of the annual interest rate out of the amount of Unused Limit of Crediting within the limits of the Tranche A (without deduction of the Amount subject to be rendered);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at the rate of 0.5 (nought point five) of the annual interest rate out of the amount of Unused Limit of Crediting within the limits of the Tranche B (without deduction of the Amount subject to be rendered);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The above-mentioned commission fee is charged and paid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0"/>
        <w:gridCol w:w="8577"/>
      </w:tblGrid>
      <w:tr>
        <w:trPr/>
        <w:tc>
          <w:tcPr>
            <w:tcW w:w="1017"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7" w:type="dxa"/>
            <w:tcBorders/>
            <w:shd w:fill="auto" w:val="clear"/>
          </w:tcPr>
          <w:p>
            <w:pPr>
              <w:pStyle w:val="TableContents"/>
              <w:spacing w:before="0" w:after="283"/>
              <w:jc w:val="left"/>
              <w:rPr/>
            </w:pPr>
            <w:r>
              <w:rPr/>
              <w:t xml:space="preserve">In respect of the Unused Limit of Crediting within the limits of the Tranche A – to be charged for the Tranche A Disbursement Period and paid on the last day of the Tranche A Disbursement Period or at the Date of Tranche A Disbursement, whichever shall be the earlier of the two;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in respect of the Unused Limit of Crediting within the limits of the Tranche B - to be charged for the Tranche B Disbursement Period and shall be paid (i) at each Date of the Interest Payment during the Tranche B Disbursement Period and (ii) at the last day of the Tranche B Disbursement Period or at the Date of Tranche B Disbursement, whichever shall be the earlier of the two.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The Commission fee for the obligation for rendering of the Credit in respect of the Unused Limit of Crediting within the limits of the Tranche V and Tranche G shall not be charged.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11.2</w:t>
            </w:r>
          </w:p>
        </w:tc>
        <w:tc>
          <w:tcPr>
            <w:tcW w:w="9695" w:type="dxa"/>
            <w:tcBorders/>
            <w:shd w:fill="auto" w:val="clear"/>
          </w:tcPr>
          <w:p>
            <w:pPr>
              <w:pStyle w:val="TableContents"/>
              <w:spacing w:before="0" w:after="283"/>
              <w:jc w:val="left"/>
              <w:rPr/>
            </w:pPr>
            <w:r>
              <w:rPr/>
              <w:t xml:space="preserve">Commission fee for Credit accommodation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pay the commission fee to the Credit Agent (for payment to Creditors) for Credit accommodation at the following rate: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1.5 (one point five) percent out of the amount of the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1.5 (one point five) percent out of the amount of the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0.25 (nought point two five) percent out of the amount of the Tranche V;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0.25 (nought point two five) percent out of the amount of the Tranche G on or prior to the Disbursement Date relating to any corresponding Tranche.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12.</w:t>
            </w:r>
          </w:p>
        </w:tc>
        <w:tc>
          <w:tcPr>
            <w:tcW w:w="9695" w:type="dxa"/>
            <w:tcBorders/>
            <w:shd w:fill="auto" w:val="clear"/>
          </w:tcPr>
          <w:p>
            <w:pPr>
              <w:pStyle w:val="TableContents"/>
              <w:spacing w:before="0" w:after="283"/>
              <w:jc w:val="left"/>
              <w:rPr/>
            </w:pPr>
            <w:r>
              <w:rPr/>
              <w:t xml:space="preserve">TAXES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12.1</w:t>
            </w:r>
          </w:p>
        </w:tc>
        <w:tc>
          <w:tcPr>
            <w:tcW w:w="9695" w:type="dxa"/>
            <w:tcBorders/>
            <w:shd w:fill="auto" w:val="clear"/>
          </w:tcPr>
          <w:p>
            <w:pPr>
              <w:pStyle w:val="TableContents"/>
              <w:spacing w:before="0" w:after="283"/>
              <w:jc w:val="left"/>
              <w:rPr/>
            </w:pPr>
            <w:r>
              <w:rPr/>
              <w:t xml:space="preserve">Reimbursement for Tax Deduction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Immediately after the Debtor or the Creditor become aware of the fact that this or that Debtor is obliged to effect the Tax Deduction (or of introduction of alterations of the rate or base of the Tax Deduction), the Debtor or the Creditor (as the situation requires) is obliged to notify the Credit Agent. If the Credit Agent receives such notification from the Creditor, he should notify the corresponding Debtor in this respect.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If the Debtor is obliged according to the legislation to effect the Tax Deduction in respect of any amount subject to be transferred to the Party of Financing under the Financial Documents, the amount paid by the Debtor to the Party of Financing, should be increased so that after the completed Tax Deduction the corresponding Party of Financing would receive the amount which would be received by him if such deduction in the form of the Tax Deduction was not required. However the Debtor is not obliged to increase the amounts to be paid to the Financing Parties up to a figure of the Additional Tax Payment if any Party of Financing has ceased to be the Acceptable Creditor by the date of any corresponding payment for any reason which has been not related to changes in the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The Debtor is obliged to submit the proof to the Credit Agent, acceptable for Party of Financing, within 30 (thirty) days after the Tax Deduction acknowledging the withheld Tax Deduction amount transfer to the state budget by the Debtor in accordance with the applicable legislation requirements, for onward transmission of such proof to the corresponding Party of Financing.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12.2</w:t>
            </w:r>
          </w:p>
        </w:tc>
        <w:tc>
          <w:tcPr>
            <w:tcW w:w="9695" w:type="dxa"/>
            <w:tcBorders/>
            <w:shd w:fill="auto" w:val="clear"/>
          </w:tcPr>
          <w:p>
            <w:pPr>
              <w:pStyle w:val="TableContents"/>
              <w:spacing w:before="0" w:after="283"/>
              <w:jc w:val="left"/>
              <w:rPr/>
            </w:pPr>
            <w:r>
              <w:rPr/>
              <w:t xml:space="preserve">Reimbursement with reference of payment of Taxes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Debtor shall reimburse the Party of Financing which is not the Russian juridical person with either the amount equivalent to the amount of the Tax paid by the Financing Party or amount of the Tax subject to be paid in judgment of this Party of Financing by virtue of any Financial Document within 3 (three) Working Days after presentation of the corresponding request by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Provisions of section (a) above are not applied: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2"/>
        <w:gridCol w:w="8575"/>
      </w:tblGrid>
      <w:tr>
        <w:trPr/>
        <w:tc>
          <w:tcPr>
            <w:tcW w:w="1017"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in respect of the Taxes to be paid by the Party of Financing: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1"/>
        <w:gridCol w:w="8062"/>
      </w:tblGrid>
      <w:tr>
        <w:trPr/>
        <w:tc>
          <w:tcPr>
            <w:tcW w:w="1631" w:type="dxa"/>
            <w:tcBorders/>
            <w:shd w:fill="auto" w:val="clear"/>
            <w:vAlign w:val="center"/>
          </w:tcPr>
          <w:p>
            <w:pPr>
              <w:pStyle w:val="TableContents"/>
              <w:spacing w:before="0" w:after="283"/>
              <w:rPr/>
            </w:pPr>
            <w:r>
              <w:rPr/>
              <w:t> </w:t>
            </w:r>
          </w:p>
        </w:tc>
        <w:tc>
          <w:tcPr>
            <w:tcW w:w="511"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by virtue of the Russian Federation Laws;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in conformity with the Laws of jurisdiction where the credit division of such Party of the Financing is located that is related to the amounts to be received or receivable in such jurisdiction,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6"/>
        <w:gridCol w:w="610"/>
        <w:gridCol w:w="8578"/>
      </w:tblGrid>
      <w:tr>
        <w:trPr/>
        <w:tc>
          <w:tcPr>
            <w:tcW w:w="1016"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  </w:t>
            </w:r>
          </w:p>
        </w:tc>
        <w:tc>
          <w:tcPr>
            <w:tcW w:w="8578" w:type="dxa"/>
            <w:tcBorders/>
            <w:shd w:fill="auto" w:val="clear"/>
          </w:tcPr>
          <w:p>
            <w:pPr>
              <w:pStyle w:val="TableContents"/>
              <w:spacing w:before="0" w:after="283"/>
              <w:jc w:val="left"/>
              <w:rPr/>
            </w:pPr>
            <w:r>
              <w:rPr/>
              <w:t xml:space="preserve">if such Tax is levied or charged proceeding from net profit received or receivable by such Party of Financing;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to the extent that expenditures due to payment of Taxes are compensated in of the way of increase in the amount of payment according to the Article 12.1 (</w:t>
            </w:r>
            <w:r>
              <w:rPr>
                <w:i/>
              </w:rPr>
              <w:t>Reimbursement for the Tax Deduction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The Party of Financing which shows or intends to put forward a claim according to section (a) above, is obliged to notify immediately the Credit Agent in respect of the event which is meant to be or became the ground for making of such claim and then the Credit Agent should notify the Borrower in this respect.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12.3</w:t>
            </w:r>
          </w:p>
        </w:tc>
        <w:tc>
          <w:tcPr>
            <w:tcW w:w="9695" w:type="dxa"/>
            <w:tcBorders/>
            <w:shd w:fill="auto" w:val="clear"/>
          </w:tcPr>
          <w:p>
            <w:pPr>
              <w:pStyle w:val="TableContents"/>
              <w:spacing w:before="0" w:after="283"/>
              <w:jc w:val="left"/>
              <w:rPr/>
            </w:pPr>
            <w:r>
              <w:rPr/>
              <w:t xml:space="preserve">Tax indemnity </w:t>
            </w:r>
          </w:p>
        </w:tc>
      </w:tr>
    </w:tbl>
    <w:p>
      <w:pPr>
        <w:pStyle w:val="TextBody"/>
        <w:spacing w:before="120" w:after="0"/>
        <w:rPr>
          <w:rFonts w:ascii="Times New Roman" w:hAnsi="Times New Roman"/>
          <w:sz w:val="20"/>
        </w:rPr>
      </w:pPr>
      <w:r>
        <w:rPr>
          <w:rFonts w:ascii="Times New Roman" w:hAnsi="Times New Roman"/>
          <w:sz w:val="20"/>
        </w:rPr>
        <w:t xml:space="preserve">If the Debtor has effected the Tax Payment, and the corresponding Party of Financing determines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Tax indemnity can be applied to the additional payment that includes such Tax Payment, to such Tax Payment or to the Tax Deduction owing to which such Tax Payment was required; and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(b)    Such Party of Financing has received such Tax indemnity, </w:t>
      </w:r>
    </w:p>
    <w:p>
      <w:pPr>
        <w:pStyle w:val="TextBody"/>
        <w:spacing w:before="120" w:after="0"/>
        <w:rPr>
          <w:rFonts w:ascii="Times New Roman" w:hAnsi="Times New Roman"/>
          <w:sz w:val="20"/>
        </w:rPr>
      </w:pPr>
      <w:r>
        <w:rPr>
          <w:rFonts w:ascii="Times New Roman" w:hAnsi="Times New Roman"/>
          <w:sz w:val="20"/>
        </w:rPr>
        <w:t xml:space="preserve">then such Party of Financing is obliged to transfer the amount to such Debtor which would put such Party of Financing (after such payment) in the same position after payment of Taxes in which it would appear if the Debtor should not make such Tax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12.4</w:t>
            </w:r>
          </w:p>
        </w:tc>
        <w:tc>
          <w:tcPr>
            <w:tcW w:w="9695" w:type="dxa"/>
            <w:tcBorders/>
            <w:shd w:fill="auto" w:val="clear"/>
          </w:tcPr>
          <w:p>
            <w:pPr>
              <w:pStyle w:val="TableContents"/>
              <w:spacing w:before="0" w:after="283"/>
              <w:jc w:val="left"/>
              <w:rPr/>
            </w:pPr>
            <w:r>
              <w:rPr/>
              <w:t xml:space="preserve">Charges and duties </w:t>
            </w:r>
          </w:p>
        </w:tc>
      </w:tr>
    </w:tbl>
    <w:p>
      <w:pPr>
        <w:pStyle w:val="TextBody"/>
        <w:spacing w:before="120" w:after="0"/>
        <w:rPr>
          <w:rFonts w:ascii="Times New Roman" w:hAnsi="Times New Roman"/>
          <w:sz w:val="20"/>
        </w:rPr>
      </w:pPr>
      <w:r>
        <w:rPr>
          <w:rFonts w:ascii="Times New Roman" w:hAnsi="Times New Roman"/>
          <w:sz w:val="20"/>
        </w:rPr>
        <w:t xml:space="preserve">The Debtor undertakes to reimburse this Party of Financing within 3 (three) Working Days after obtaining of the corresponding claim from the Party of Financing with the amount of its entire expenditures incurred by payment of the amounts of the state tax, stamp duties, registration duties and all other similar Taxes subject to be paid with reference of any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12.5</w:t>
            </w:r>
          </w:p>
        </w:tc>
        <w:tc>
          <w:tcPr>
            <w:tcW w:w="9695" w:type="dxa"/>
            <w:tcBorders/>
            <w:shd w:fill="auto" w:val="clear"/>
          </w:tcPr>
          <w:p>
            <w:pPr>
              <w:pStyle w:val="TableContents"/>
              <w:spacing w:before="0" w:after="283"/>
              <w:jc w:val="left"/>
              <w:rPr/>
            </w:pPr>
            <w:r>
              <w:rPr/>
              <w:t xml:space="preserve">Value-added tax (VAT) and other taxes </w:t>
            </w:r>
          </w:p>
        </w:tc>
      </w:tr>
    </w:tbl>
    <w:p>
      <w:pPr>
        <w:pStyle w:val="TextBody"/>
        <w:spacing w:before="120" w:after="0"/>
        <w:rPr>
          <w:rFonts w:ascii="Times New Roman" w:hAnsi="Times New Roman"/>
          <w:sz w:val="20"/>
        </w:rPr>
      </w:pPr>
      <w:r>
        <w:rPr>
          <w:rFonts w:ascii="Times New Roman" w:hAnsi="Times New Roman"/>
          <w:sz w:val="20"/>
        </w:rPr>
        <w:t xml:space="preserve">In the cases stipulated in the Russian legislation concerning the taxes and duties, the amount of remuneration payable to the Parties of Financing is increased for the corresponding amounts of the VAT calculated at the effective tax rate. </w:t>
      </w:r>
    </w:p>
    <w:p>
      <w:pPr>
        <w:pStyle w:val="TextBody"/>
        <w:spacing w:before="360" w:after="0"/>
        <w:rPr>
          <w:rFonts w:ascii="Times New Roman" w:hAnsi="Times New Roman"/>
          <w:sz w:val="20"/>
        </w:rPr>
      </w:pPr>
      <w:r>
        <w:rPr>
          <w:rFonts w:ascii="Times New Roman" w:hAnsi="Times New Roman"/>
          <w:sz w:val="20"/>
        </w:rPr>
        <w:t xml:space="preserve">13. ADDITIONAL EXPENSES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13.1</w:t>
            </w:r>
          </w:p>
        </w:tc>
        <w:tc>
          <w:tcPr>
            <w:tcW w:w="9695" w:type="dxa"/>
            <w:tcBorders/>
            <w:shd w:fill="auto" w:val="clear"/>
          </w:tcPr>
          <w:p>
            <w:pPr>
              <w:pStyle w:val="TableContents"/>
              <w:spacing w:before="0" w:after="283"/>
              <w:jc w:val="left"/>
              <w:rPr/>
            </w:pPr>
            <w:r>
              <w:rPr/>
              <w:t xml:space="preserve">Additional expenditures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Taking into account Article 13.3 </w:t>
            </w:r>
            <w:r>
              <w:rPr>
                <w:i/>
              </w:rPr>
              <w:t>(Exception)</w:t>
            </w:r>
            <w:r>
              <w:rPr/>
              <w:t xml:space="preserve"> the Borrower undertakes to pay the amount of the Additional Expenditures to the corresponding Party of Financing within 3 (three) Working Days after expiration of 30 (thirty) days period upon presentation of the corresponding demand by the Credit Agent incurred by such Party of Financing within the period after the expiry of such 30-days period in result of enactment of any Law, introduction of alterations to the legislation (or into the practice in its construction or application) after the present Agreement date or assigning by the relevant jurisdiction central bank or other competent authority of obligation in respect of application or observance by the Parties of Financing of the norms and requirements stipulated in Basel III.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In the present Article the term “Additional Expenditures” means as follows: </w:t>
            </w:r>
          </w:p>
        </w:tc>
      </w:tr>
    </w:tbl>
    <w:p>
      <w:pPr>
        <w:pStyle w:val="TextBody"/>
        <w:spacing w:before="120" w:after="0"/>
        <w:rPr>
          <w:rFonts w:ascii="Times New Roman" w:hAnsi="Times New Roman"/>
          <w:sz w:val="20"/>
        </w:rPr>
      </w:pPr>
      <w:r>
        <w:rPr>
          <w:rFonts w:ascii="Times New Roman" w:hAnsi="Times New Roman"/>
          <w:sz w:val="20"/>
        </w:rPr>
        <w:t xml:space="preserve">(i)    Additional costs or losses incurred by the Party of Financing with reference of reduction of any amounts either received or payable; or </w:t>
      </w:r>
    </w:p>
    <w:p>
      <w:pPr>
        <w:pStyle w:val="TextBody"/>
        <w:spacing w:before="120" w:after="0"/>
        <w:rPr>
          <w:rFonts w:ascii="Times New Roman" w:hAnsi="Times New Roman"/>
          <w:sz w:val="20"/>
        </w:rPr>
      </w:pPr>
      <w:r>
        <w:rPr>
          <w:rFonts w:ascii="Times New Roman" w:hAnsi="Times New Roman"/>
          <w:sz w:val="20"/>
        </w:rPr>
        <w:t xml:space="preserve">(ii)    any additional or increased costs or losses; or </w:t>
      </w:r>
    </w:p>
    <w:p>
      <w:pPr>
        <w:pStyle w:val="TextBody"/>
        <w:spacing w:before="120" w:after="0"/>
        <w:rPr>
          <w:rFonts w:ascii="Times New Roman" w:hAnsi="Times New Roman"/>
          <w:sz w:val="20"/>
        </w:rPr>
      </w:pPr>
      <w:r>
        <w:rPr>
          <w:rFonts w:ascii="Times New Roman" w:hAnsi="Times New Roman"/>
          <w:sz w:val="20"/>
        </w:rPr>
        <w:t xml:space="preserve">(iii)    costs or losses related to reduction of any amount subject to be paid by the Borrower according to any Financial Document incurred by any Party of Financing because of the fact that this Party of Financing was the Party to the present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For the sake of clarity, the Additional Expenditures stipulated in the present Article are to be paid by the Borrower as fee related to use of the Credit in addition to the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13.2</w:t>
            </w:r>
          </w:p>
        </w:tc>
        <w:tc>
          <w:tcPr>
            <w:tcW w:w="9695" w:type="dxa"/>
            <w:tcBorders/>
            <w:shd w:fill="auto" w:val="clear"/>
          </w:tcPr>
          <w:p>
            <w:pPr>
              <w:pStyle w:val="TableContents"/>
              <w:spacing w:before="0" w:after="283"/>
              <w:jc w:val="left"/>
              <w:rPr/>
            </w:pPr>
            <w:r>
              <w:rPr/>
              <w:t xml:space="preserve">Requests for payment of Additional Expenditures </w:t>
            </w:r>
          </w:p>
        </w:tc>
      </w:tr>
    </w:tbl>
    <w:p>
      <w:pPr>
        <w:pStyle w:val="TextBody"/>
        <w:spacing w:before="120" w:after="0"/>
        <w:rPr>
          <w:rFonts w:ascii="Times New Roman" w:hAnsi="Times New Roman"/>
          <w:sz w:val="20"/>
        </w:rPr>
      </w:pPr>
      <w:r>
        <w:rPr>
          <w:rFonts w:ascii="Times New Roman" w:hAnsi="Times New Roman"/>
          <w:sz w:val="20"/>
        </w:rPr>
        <w:t xml:space="preserve">The Party of Financing claiming according to the present Article 13, is obliged to notify the Credit Agent in respect of the circumstances triggered for such requirement and to submit the reasonable calculation of the amount of Additional Expenditures to the Credit Agent and then the Credit Agent shall be obliged to notify the Borrower within 1 (one) Working day in this respect and to deliver the Financing calculation received from the Party to him.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13.3</w:t>
            </w:r>
          </w:p>
        </w:tc>
        <w:tc>
          <w:tcPr>
            <w:tcW w:w="9694" w:type="dxa"/>
            <w:tcBorders/>
            <w:shd w:fill="auto" w:val="clear"/>
          </w:tcPr>
          <w:p>
            <w:pPr>
              <w:pStyle w:val="TableContents"/>
              <w:spacing w:before="0" w:after="283"/>
              <w:jc w:val="left"/>
              <w:rPr/>
            </w:pPr>
            <w:r>
              <w:rPr/>
              <w:t xml:space="preserve">Exceptions </w:t>
            </w:r>
          </w:p>
        </w:tc>
      </w:tr>
    </w:tbl>
    <w:p>
      <w:pPr>
        <w:pStyle w:val="TextBody"/>
        <w:spacing w:before="120" w:after="0"/>
        <w:rPr>
          <w:rFonts w:ascii="Times New Roman" w:hAnsi="Times New Roman"/>
          <w:sz w:val="20"/>
        </w:rPr>
      </w:pPr>
      <w:r>
        <w:rPr>
          <w:rFonts w:ascii="Times New Roman" w:hAnsi="Times New Roman"/>
          <w:sz w:val="20"/>
        </w:rPr>
        <w:t xml:space="preserve">Provisions of the present Article 13 are not applied if Additional Expenditures: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are to be reimbursed to the Financing Party according to another Article of the Agreement or would be reimbursed in case of absence of exceptions from such Article;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7"/>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are incurred due to deliberate disregard of the legislation by the Financing Party;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are incurred due to application or observance of the normative standards established in Basel II (as in effect at the date of the present Agreement) or in normative acts of the Central bank of the Russian Federation or in any other legislation based on which provisions of Basel II are implemented except for the changes subsequent upon Basel III. </w:t>
            </w:r>
          </w:p>
        </w:tc>
      </w:tr>
    </w:tbl>
    <w:p>
      <w:pPr>
        <w:pStyle w:val="TextBody"/>
        <w:spacing w:before="360" w:after="0"/>
        <w:rPr>
          <w:rFonts w:ascii="Times New Roman" w:hAnsi="Times New Roman"/>
          <w:sz w:val="20"/>
        </w:rPr>
      </w:pPr>
      <w:r>
        <w:rPr>
          <w:rFonts w:ascii="Times New Roman" w:hAnsi="Times New Roman"/>
          <w:sz w:val="20"/>
        </w:rPr>
        <w:t xml:space="preserve">14. REIMBURSEMENT OF EXPENSES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14.1</w:t>
            </w:r>
          </w:p>
        </w:tc>
        <w:tc>
          <w:tcPr>
            <w:tcW w:w="9695" w:type="dxa"/>
            <w:tcBorders/>
            <w:shd w:fill="auto" w:val="clear"/>
          </w:tcPr>
          <w:p>
            <w:pPr>
              <w:pStyle w:val="TableContents"/>
              <w:spacing w:before="0" w:after="283"/>
              <w:jc w:val="left"/>
              <w:rPr/>
            </w:pPr>
            <w:r>
              <w:rPr/>
              <w:t xml:space="preserve">Reimbursement of currency expenditures </w:t>
            </w:r>
          </w:p>
        </w:tc>
      </w:tr>
    </w:tbl>
    <w:p>
      <w:pPr>
        <w:pStyle w:val="TextBody"/>
        <w:spacing w:before="120" w:after="0"/>
        <w:rPr>
          <w:rFonts w:ascii="Times New Roman" w:hAnsi="Times New Roman"/>
          <w:sz w:val="20"/>
        </w:rPr>
      </w:pPr>
      <w:r>
        <w:rPr>
          <w:rFonts w:ascii="Times New Roman" w:hAnsi="Times New Roman"/>
          <w:sz w:val="20"/>
        </w:rPr>
        <w:t xml:space="preserve">If any amount (hereinafter referred to as the Amount) due and payable to the Financing Party by one or other Debtor according to Financial Documents or based on any court judgment, arbitration decision or court of referees award, has to be converted from currency in which such amount should be paid (hereinafter referred to as the First Currency) into another currency (hereinafter referred to as the Second Currency) or should be calculated in the Second Currency, for the purposes as follows: </w:t>
      </w:r>
    </w:p>
    <w:p>
      <w:pPr>
        <w:pStyle w:val="TextBody"/>
        <w:spacing w:before="120" w:after="0"/>
        <w:rPr>
          <w:rFonts w:ascii="Times New Roman" w:hAnsi="Times New Roman"/>
          <w:sz w:val="20"/>
        </w:rPr>
      </w:pPr>
      <w:r>
        <w:rPr>
          <w:rFonts w:ascii="Times New Roman" w:hAnsi="Times New Roman"/>
          <w:sz w:val="20"/>
        </w:rPr>
        <w:t xml:space="preserve">(a)    any claim in respect of such Debtor; or </w:t>
      </w:r>
    </w:p>
    <w:p>
      <w:pPr>
        <w:pStyle w:val="TextBody"/>
        <w:spacing w:before="120" w:after="0"/>
        <w:rPr>
          <w:rFonts w:ascii="Times New Roman" w:hAnsi="Times New Roman"/>
          <w:sz w:val="20"/>
        </w:rPr>
      </w:pPr>
      <w:r>
        <w:rPr>
          <w:rFonts w:ascii="Times New Roman" w:hAnsi="Times New Roman"/>
          <w:sz w:val="20"/>
        </w:rPr>
        <w:t xml:space="preserve">(b)    compulsory execution of any judicial or arbitral decision within the limits of any judicial, arbitration or referees court proceedings. In such a case the Debtor is obliged to reimburse the payable amount of the expenditures to each Party of Financing within 5 (five) Working Days upon receipt of the corresponding claim incurred due to such converting including a difference between (A) the exchange rate used for converting of the indicated Amount from the First Currency into the Second Currency and (B) the exchange rate accessible by such person at the time of receipt of the above-indicated Amount by him (her).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14.2</w:t>
            </w:r>
          </w:p>
        </w:tc>
        <w:tc>
          <w:tcPr>
            <w:tcW w:w="9695" w:type="dxa"/>
            <w:tcBorders/>
            <w:shd w:fill="auto" w:val="clear"/>
          </w:tcPr>
          <w:p>
            <w:pPr>
              <w:pStyle w:val="TableContents"/>
              <w:spacing w:before="0" w:after="283"/>
              <w:jc w:val="left"/>
              <w:rPr/>
            </w:pPr>
            <w:r>
              <w:rPr/>
              <w:t xml:space="preserve">Reimbursement of the other expenditures </w:t>
            </w:r>
          </w:p>
        </w:tc>
      </w:tr>
    </w:tbl>
    <w:p>
      <w:pPr>
        <w:pStyle w:val="TextBody"/>
        <w:spacing w:before="120" w:after="0"/>
        <w:rPr>
          <w:rFonts w:ascii="Times New Roman" w:hAnsi="Times New Roman"/>
          <w:sz w:val="20"/>
        </w:rPr>
      </w:pPr>
      <w:r>
        <w:rPr>
          <w:rFonts w:ascii="Times New Roman" w:hAnsi="Times New Roman"/>
          <w:sz w:val="20"/>
        </w:rPr>
        <w:t xml:space="preserve">The Borrower is obliged to reimburse each Party of Financing with the amount of all documentarily confirmed expenditures incurred by the corresponding Party of Financing within 10 (ten) Working Days upon receipt of the corresponding claim: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either in result of Event of Failure to Perform;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(if such expenditures have been incurred neither through fault nor by negligence of the Party of Financing, except for the circumstances out of the control of the Party of Financing (not including international sanctions introduction)) in result of: </w:t>
            </w:r>
          </w:p>
        </w:tc>
      </w:tr>
    </w:tbl>
    <w:p>
      <w:pPr>
        <w:pStyle w:val="TextBody"/>
        <w:spacing w:before="120" w:after="0"/>
        <w:rPr>
          <w:rFonts w:ascii="Times New Roman" w:hAnsi="Times New Roman"/>
          <w:sz w:val="20"/>
        </w:rPr>
      </w:pPr>
      <w:r>
        <w:rPr>
          <w:rFonts w:ascii="Times New Roman" w:hAnsi="Times New Roman"/>
          <w:sz w:val="20"/>
        </w:rPr>
        <w:t xml:space="preserve">(i)    impossibility to grant the Loan to the Borrower according to the Request for Disbursement owing to action of any provisions of the present Agreement; or </w:t>
      </w:r>
    </w:p>
    <w:p>
      <w:pPr>
        <w:pStyle w:val="TextBody"/>
        <w:spacing w:before="120" w:after="0"/>
        <w:rPr>
          <w:rFonts w:ascii="Times New Roman" w:hAnsi="Times New Roman"/>
          <w:sz w:val="20"/>
        </w:rPr>
      </w:pPr>
      <w:r>
        <w:rPr>
          <w:rFonts w:ascii="Times New Roman" w:hAnsi="Times New Roman"/>
          <w:sz w:val="20"/>
        </w:rPr>
        <w:t xml:space="preserve">(ii)    impossibility for the Borrower to effect early redemption of the Outstanding Credit or its part despite of the early redemption notification presented to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14.3</w:t>
            </w:r>
          </w:p>
        </w:tc>
        <w:tc>
          <w:tcPr>
            <w:tcW w:w="9695" w:type="dxa"/>
            <w:tcBorders/>
            <w:shd w:fill="auto" w:val="clear"/>
          </w:tcPr>
          <w:p>
            <w:pPr>
              <w:pStyle w:val="TableContents"/>
              <w:spacing w:before="0" w:after="283"/>
              <w:jc w:val="left"/>
              <w:rPr/>
            </w:pPr>
            <w:r>
              <w:rPr/>
              <w:t xml:space="preserve">Remuneration of the Credit Agent </w:t>
            </w:r>
          </w:p>
        </w:tc>
      </w:tr>
    </w:tbl>
    <w:p>
      <w:pPr>
        <w:pStyle w:val="TextBody"/>
        <w:spacing w:before="120" w:after="0"/>
        <w:rPr>
          <w:rFonts w:ascii="Times New Roman" w:hAnsi="Times New Roman"/>
          <w:sz w:val="20"/>
        </w:rPr>
      </w:pPr>
      <w:r>
        <w:rPr>
          <w:rFonts w:ascii="Times New Roman" w:hAnsi="Times New Roman"/>
          <w:sz w:val="20"/>
        </w:rPr>
        <w:t xml:space="preserve">The Borrower is obliged to reimburse the Credit Agent with the amount of all documentarily confirmed expenditures of the Credit Agent incurred subsequent upon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investigation of any event which the Credit Agent may reasonably consider as Failure to Perform Obligations;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any actions on the basis of any notification or order by any Party of Financing according to the present Agreement which the Credit Agent may reasonably consider as subject to execution.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 xml:space="preserve">At that, such expenditures are subject to be agreed upon by the Borrower in advance except for the Cases of the Failure to Perform.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14.4</w:t>
            </w:r>
          </w:p>
        </w:tc>
        <w:tc>
          <w:tcPr>
            <w:tcW w:w="9695" w:type="dxa"/>
            <w:tcBorders/>
            <w:shd w:fill="auto" w:val="clear"/>
          </w:tcPr>
          <w:p>
            <w:pPr>
              <w:pStyle w:val="TableContents"/>
              <w:spacing w:before="0" w:after="283"/>
              <w:jc w:val="left"/>
              <w:rPr/>
            </w:pPr>
            <w:r>
              <w:rPr/>
              <w:t xml:space="preserve">Expenditures with reference of the transaction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Borrower undertakes to pay the documentarily confirmed and in advance agreed upon with the Borrower in written form or by e-mail amount of all expenditures incurred with reference of preparation and signing of the present Agreement and other Financial Documents to the Credit Agent and the Organizer (including fees of legal advisers) within 10 (ten) Working Days upon receipt of the corresponding request.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The obligation of the Borrower in respect of payment of fees of legal advisers will be considered performed if the participant of the Group pays the corresponding fees prior to the first Date of Disbursement (in the amount, agreed in advance by the Credit Agent, Zemenik Trading and Orrick (CIS) LLC) in written form or by e-mail) directly to Orrick (CIS) LLC.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The Borrower undertakes to incur to the fullest extent all expenditures related to registration of the Security Agreements according to requirements of the applicable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14.5</w:t>
            </w:r>
          </w:p>
        </w:tc>
        <w:tc>
          <w:tcPr>
            <w:tcW w:w="9695" w:type="dxa"/>
            <w:tcBorders/>
            <w:shd w:fill="auto" w:val="clear"/>
          </w:tcPr>
          <w:p>
            <w:pPr>
              <w:pStyle w:val="TableContents"/>
              <w:spacing w:before="0" w:after="283"/>
              <w:jc w:val="left"/>
              <w:rPr/>
            </w:pPr>
            <w:r>
              <w:rPr/>
              <w:t xml:space="preserve">Expenditures for amendment </w:t>
            </w:r>
          </w:p>
        </w:tc>
      </w:tr>
    </w:tbl>
    <w:p>
      <w:pPr>
        <w:pStyle w:val="TextBody"/>
        <w:spacing w:before="120" w:after="0"/>
        <w:rPr>
          <w:rFonts w:ascii="Times New Roman" w:hAnsi="Times New Roman"/>
          <w:sz w:val="20"/>
        </w:rPr>
      </w:pPr>
      <w:r>
        <w:rPr>
          <w:rFonts w:ascii="Times New Roman" w:hAnsi="Times New Roman"/>
          <w:sz w:val="20"/>
        </w:rPr>
        <w:t xml:space="preserve">If it is required at the initiative of the Debtor or according to requirements of the applicable legislation to amend the Financial Documents or to obtain the Creditors’ consent for any action or inaction, then the Borrower undertakes to reimburse the documentarily confirmed and in advance agreed upon with the Borrower in written form or by e-mail amount of all expenditures to the Credit Agent within 10 (ten) Working Days after obtaining of the corresponding request (including fees of legal and other advisers) incurred by the Credit Agent in the course of coordination and respective amendment of the Financial Documents and (or) obtaining of the corresponding consent of the Creditors.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14.6</w:t>
            </w:r>
          </w:p>
        </w:tc>
        <w:tc>
          <w:tcPr>
            <w:tcW w:w="9695" w:type="dxa"/>
            <w:tcBorders/>
            <w:shd w:fill="auto" w:val="clear"/>
          </w:tcPr>
          <w:p>
            <w:pPr>
              <w:pStyle w:val="TableContents"/>
              <w:spacing w:before="0" w:after="283"/>
              <w:jc w:val="left"/>
              <w:rPr/>
            </w:pPr>
            <w:r>
              <w:rPr/>
              <w:t xml:space="preserve">Expenditures for compulsory execution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reimburse each Party of Financing with the documentarily confirmed amount of all expenditures within 10 (ten) Working Days after obtaining of the corresponding request of the Credit Agent, (including fees of legal and other advisers), incurred by the corresponding Party of Financing with reference of the compulsory execution of any Financial Document or protection of their rights under the Financial Documents. </w:t>
      </w:r>
    </w:p>
    <w:p>
      <w:pPr>
        <w:pStyle w:val="TextBody"/>
        <w:spacing w:before="360" w:after="0"/>
        <w:rPr>
          <w:rFonts w:ascii="Times New Roman" w:hAnsi="Times New Roman"/>
          <w:sz w:val="20"/>
        </w:rPr>
      </w:pPr>
      <w:r>
        <w:rPr>
          <w:rFonts w:ascii="Times New Roman" w:hAnsi="Times New Roman"/>
          <w:sz w:val="20"/>
        </w:rPr>
        <w:t xml:space="preserve">15. OBLIGATION OF THE PARTIES TO THE FINANCING TO UNDERTAKE ALL ACTIONS TO AVOID NEGATIVE CONSEQUENCES FOR THE BORROWER </w:t>
      </w:r>
    </w:p>
    <w:p>
      <w:pPr>
        <w:pStyle w:val="TextBody"/>
        <w:spacing w:before="120" w:after="0"/>
        <w:rPr>
          <w:rFonts w:ascii="Times New Roman" w:hAnsi="Times New Roman"/>
          <w:sz w:val="20"/>
        </w:rPr>
      </w:pPr>
      <w:r>
        <w:rPr>
          <w:rFonts w:ascii="Times New Roman" w:hAnsi="Times New Roman"/>
          <w:sz w:val="20"/>
        </w:rPr>
        <w:t xml:space="preserve">Each Party of Financing undertakes, upon consultations with the Borrower, to take all reasonable measures for reduction of possible negative consequences for the Borrower which may result in a situation where any amount becomes due and payable or its payment to the Borrower is cancelled according to Articles 8.1 </w:t>
      </w:r>
      <w:r>
        <w:rPr>
          <w:rFonts w:ascii="Times New Roman" w:hAnsi="Times New Roman"/>
          <w:i/>
          <w:sz w:val="20"/>
        </w:rPr>
        <w:t>(Illegality)</w:t>
      </w:r>
      <w:r>
        <w:rPr>
          <w:rFonts w:ascii="Times New Roman" w:hAnsi="Times New Roman"/>
          <w:sz w:val="20"/>
        </w:rPr>
        <w:t xml:space="preserve">, 12 </w:t>
      </w:r>
      <w:r>
        <w:rPr>
          <w:rFonts w:ascii="Times New Roman" w:hAnsi="Times New Roman"/>
          <w:i/>
          <w:sz w:val="20"/>
        </w:rPr>
        <w:t>(Taxes)</w:t>
      </w:r>
      <w:r>
        <w:rPr>
          <w:rFonts w:ascii="Times New Roman" w:hAnsi="Times New Roman"/>
          <w:sz w:val="20"/>
        </w:rPr>
        <w:t xml:space="preserve"> and 14 </w:t>
      </w:r>
      <w:r>
        <w:rPr>
          <w:rFonts w:ascii="Times New Roman" w:hAnsi="Times New Roman"/>
          <w:i/>
          <w:sz w:val="20"/>
        </w:rPr>
        <w:t>(Reimbursement)</w:t>
      </w:r>
      <w:r>
        <w:rPr>
          <w:rFonts w:ascii="Times New Roman" w:hAnsi="Times New Roman"/>
          <w:sz w:val="20"/>
        </w:rPr>
        <w:t xml:space="preserve">. </w:t>
      </w:r>
    </w:p>
    <w:p>
      <w:pPr>
        <w:pStyle w:val="TextBody"/>
        <w:spacing w:before="360" w:after="0"/>
        <w:rPr>
          <w:rFonts w:ascii="Times New Roman" w:hAnsi="Times New Roman"/>
          <w:sz w:val="20"/>
        </w:rPr>
      </w:pPr>
      <w:r>
        <w:rPr>
          <w:rFonts w:ascii="Times New Roman" w:hAnsi="Times New Roman"/>
          <w:sz w:val="20"/>
        </w:rPr>
        <w:t xml:space="preserve">16. REPRESENTATIONS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16.1</w:t>
            </w:r>
          </w:p>
        </w:tc>
        <w:tc>
          <w:tcPr>
            <w:tcW w:w="9695" w:type="dxa"/>
            <w:tcBorders/>
            <w:shd w:fill="auto" w:val="clear"/>
          </w:tcPr>
          <w:p>
            <w:pPr>
              <w:pStyle w:val="TableContents"/>
              <w:spacing w:before="0" w:after="283"/>
              <w:jc w:val="left"/>
              <w:rPr/>
            </w:pPr>
            <w:r>
              <w:rPr/>
              <w:t xml:space="preserve">Warranties and Representations </w:t>
            </w:r>
          </w:p>
        </w:tc>
      </w:tr>
    </w:tbl>
    <w:p>
      <w:pPr>
        <w:pStyle w:val="TextBody"/>
        <w:spacing w:before="120" w:after="0"/>
        <w:rPr>
          <w:rFonts w:ascii="Times New Roman" w:hAnsi="Times New Roman"/>
          <w:sz w:val="20"/>
        </w:rPr>
      </w:pPr>
      <w:r>
        <w:rPr>
          <w:rFonts w:ascii="Times New Roman" w:hAnsi="Times New Roman"/>
          <w:sz w:val="20"/>
        </w:rPr>
        <w:t xml:space="preserve">Warranties and Representations stated in the present Article 16 are to be given by the Borrower to each Party of Financing. Each Party of Financing shall place reliance upon such warranties and representations of each Debtor and their reliability is of substantial significance for the Financing Parties.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16.2</w:t>
            </w:r>
          </w:p>
        </w:tc>
        <w:tc>
          <w:tcPr>
            <w:tcW w:w="9695" w:type="dxa"/>
            <w:tcBorders/>
            <w:shd w:fill="auto" w:val="clear"/>
          </w:tcPr>
          <w:p>
            <w:pPr>
              <w:pStyle w:val="TableContents"/>
              <w:spacing w:before="0" w:after="283"/>
              <w:jc w:val="left"/>
              <w:rPr/>
            </w:pPr>
            <w:r>
              <w:rPr/>
              <w:t xml:space="preserve">The Status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Borrower and each Affiliated Company of the Borrower is the juridical person founded as per the stipulated procedure and legally acting in compliance with the applicable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The Borrower and each Affiliated Company of the Borrower is the rightful owner of the property belonging to him and carries out its activities in compliance with the applicable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16.3</w:t>
            </w:r>
          </w:p>
        </w:tc>
        <w:tc>
          <w:tcPr>
            <w:tcW w:w="9695" w:type="dxa"/>
            <w:tcBorders/>
            <w:shd w:fill="auto" w:val="clear"/>
          </w:tcPr>
          <w:p>
            <w:pPr>
              <w:pStyle w:val="TableContents"/>
              <w:spacing w:before="0" w:after="283"/>
              <w:jc w:val="left"/>
              <w:rPr/>
            </w:pPr>
            <w:r>
              <w:rPr/>
              <w:t xml:space="preserve">Legal capacity and authorities </w:t>
            </w:r>
          </w:p>
        </w:tc>
      </w:tr>
    </w:tbl>
    <w:p>
      <w:pPr>
        <w:pStyle w:val="TextBody"/>
        <w:spacing w:before="120" w:after="0"/>
        <w:rPr>
          <w:rFonts w:ascii="Times New Roman" w:hAnsi="Times New Roman"/>
          <w:sz w:val="20"/>
        </w:rPr>
      </w:pPr>
      <w:r>
        <w:rPr>
          <w:rFonts w:ascii="Times New Roman" w:hAnsi="Times New Roman"/>
          <w:sz w:val="20"/>
        </w:rPr>
        <w:t xml:space="preserve">The Borrower and each Affiliated Company of the Borrower possesses legal capacity and authorities for the conclusion and execution of the Financial Documents (a Party of which they are) and transactions stipulated in them, and has received all the required approvals for conclusion and execution of the Financial Documents as per the procedure stipulated in the legislation and his constituent and other internal documents, including approval of the transactions stipulated in the Financial Documents in quality of the large transaction and transaction with interest. The person acting on behalf of the Borrower and each Affiliated Company of the Borrower possesses authorities for conclusion of the Financial Documents a Party of which the Borrower and each Affiliated Company of the Borrower are.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16.4</w:t>
            </w:r>
          </w:p>
        </w:tc>
        <w:tc>
          <w:tcPr>
            <w:tcW w:w="9695" w:type="dxa"/>
            <w:tcBorders/>
            <w:shd w:fill="auto" w:val="clear"/>
          </w:tcPr>
          <w:p>
            <w:pPr>
              <w:pStyle w:val="TableContents"/>
              <w:spacing w:before="0" w:after="283"/>
              <w:jc w:val="left"/>
              <w:rPr/>
            </w:pPr>
            <w:r>
              <w:rPr/>
              <w:t xml:space="preserve">Validity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Except for registration of the Financial Documents as recorded in the Article 16.9 (Requirements in respect of the registration) each Financial Document a party of which the Borrower and each Affiliated Company of the Borrower are, represents the obligation corresponding to the applicable legislation, effective and being of binding legal force for him which may be performed in an enforcement procedure.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Each Financial Document a party of which the corresponding Debtor is has been executed in due form providing a capability of its compulsory execution in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16.5</w:t>
            </w:r>
          </w:p>
        </w:tc>
        <w:tc>
          <w:tcPr>
            <w:tcW w:w="9694" w:type="dxa"/>
            <w:tcBorders/>
            <w:shd w:fill="auto" w:val="clear"/>
          </w:tcPr>
          <w:p>
            <w:pPr>
              <w:pStyle w:val="TableContents"/>
              <w:spacing w:before="0" w:after="283"/>
              <w:jc w:val="left"/>
              <w:rPr/>
            </w:pPr>
            <w:r>
              <w:rPr/>
              <w:t xml:space="preserve">Non-contravention </w:t>
            </w:r>
          </w:p>
        </w:tc>
      </w:tr>
    </w:tbl>
    <w:p>
      <w:pPr>
        <w:pStyle w:val="TextBody"/>
        <w:spacing w:before="120" w:after="0"/>
        <w:rPr>
          <w:rFonts w:ascii="Times New Roman" w:hAnsi="Times New Roman"/>
          <w:sz w:val="20"/>
        </w:rPr>
      </w:pPr>
      <w:r>
        <w:rPr>
          <w:rFonts w:ascii="Times New Roman" w:hAnsi="Times New Roman"/>
          <w:sz w:val="20"/>
        </w:rPr>
        <w:t xml:space="preserve">Conclusion and execution by the Borrower and each Affiliated Company of the Borrower of each of the Financial Documents, a party of which they are, and transactions stipulated in them is without prejudice 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any applicable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the Borrower’s constituent and other internal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any decisions of the Borrower’s governing board;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any other documents or agreements of binding character for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16.6</w:t>
            </w:r>
          </w:p>
        </w:tc>
        <w:tc>
          <w:tcPr>
            <w:tcW w:w="9695" w:type="dxa"/>
            <w:tcBorders/>
            <w:shd w:fill="auto" w:val="clear"/>
          </w:tcPr>
          <w:p>
            <w:pPr>
              <w:pStyle w:val="TableContents"/>
              <w:spacing w:before="0" w:after="283"/>
              <w:jc w:val="left"/>
              <w:rPr/>
            </w:pPr>
            <w:r>
              <w:rPr/>
              <w:t xml:space="preserve">The Compliance with Law </w:t>
            </w:r>
          </w:p>
        </w:tc>
      </w:tr>
    </w:tbl>
    <w:p>
      <w:pPr>
        <w:pStyle w:val="TextBody"/>
        <w:spacing w:before="120" w:after="0"/>
        <w:rPr>
          <w:rFonts w:ascii="Times New Roman" w:hAnsi="Times New Roman"/>
          <w:sz w:val="20"/>
        </w:rPr>
      </w:pPr>
      <w:r>
        <w:rPr>
          <w:rFonts w:ascii="Times New Roman" w:hAnsi="Times New Roman"/>
          <w:sz w:val="20"/>
        </w:rPr>
        <w:t xml:space="preserve">Management of economic activities in all aspects, essential in the Credit Agent’s judgment, of the Borrower and each Affiliated Company of the Borrower complies with the applicable legislation. The Borrower and each Affiliated Company of the Borrower file tax accounts in due time and pay taxes within due terms and to the extent stipulated in any applicable legislation in all aspects, essential in the Credit Agent’s judgment.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16.7</w:t>
            </w:r>
          </w:p>
        </w:tc>
        <w:tc>
          <w:tcPr>
            <w:tcW w:w="9695" w:type="dxa"/>
            <w:tcBorders/>
            <w:shd w:fill="auto" w:val="clear"/>
          </w:tcPr>
          <w:p>
            <w:pPr>
              <w:pStyle w:val="TableContents"/>
              <w:spacing w:before="0" w:after="283"/>
              <w:jc w:val="left"/>
              <w:rPr/>
            </w:pPr>
            <w:r>
              <w:rPr/>
              <w:t xml:space="preserve">Absence of Failure to Perform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Failure to Perform Obligations in consequence of either conclusion or execution of any Financial Documents or the transactions stipulated in them by the Borrower and each Affiliated Company of the Borrower is absent and shall not occur;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There are no other events or the circumstances representing a failure to perform obligations under any document of binding character for the Borrower and each Affiliated Company of the Borrower or limiting use of their assets and either renders or may reasonably render the Essential Adverse Effect.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16.8</w:t>
            </w:r>
          </w:p>
        </w:tc>
        <w:tc>
          <w:tcPr>
            <w:tcW w:w="9694" w:type="dxa"/>
            <w:tcBorders/>
            <w:shd w:fill="auto" w:val="clear"/>
          </w:tcPr>
          <w:p>
            <w:pPr>
              <w:pStyle w:val="TableContents"/>
              <w:spacing w:before="0" w:after="283"/>
              <w:jc w:val="left"/>
              <w:rPr/>
            </w:pPr>
            <w:r>
              <w:rPr/>
              <w:t xml:space="preserve">Authorization </w:t>
            </w:r>
          </w:p>
        </w:tc>
      </w:tr>
    </w:tbl>
    <w:p>
      <w:pPr>
        <w:pStyle w:val="TextBody"/>
        <w:spacing w:before="120" w:after="0"/>
        <w:rPr>
          <w:rFonts w:ascii="Times New Roman" w:hAnsi="Times New Roman"/>
          <w:sz w:val="20"/>
        </w:rPr>
      </w:pPr>
      <w:r>
        <w:rPr>
          <w:rFonts w:ascii="Times New Roman" w:hAnsi="Times New Roman"/>
          <w:sz w:val="20"/>
        </w:rPr>
        <w:t xml:space="preserve">At the date of the present Agreement, the Borrower and each Affiliated Company of the Borrower have received all the effective authorizations and approvals required with reference of conclusion, execution, provision of validity and enforceability of each Financial Document, a party of which the Borrower is, and transactions stipulated therein.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16.9</w:t>
            </w:r>
          </w:p>
        </w:tc>
        <w:tc>
          <w:tcPr>
            <w:tcW w:w="9695" w:type="dxa"/>
            <w:tcBorders/>
            <w:shd w:fill="auto" w:val="clear"/>
          </w:tcPr>
          <w:p>
            <w:pPr>
              <w:pStyle w:val="TableContents"/>
              <w:spacing w:before="0" w:after="283"/>
              <w:jc w:val="left"/>
              <w:rPr/>
            </w:pPr>
            <w:r>
              <w:rPr/>
              <w:t xml:space="preserve">Requirements in respect of registration </w:t>
            </w:r>
          </w:p>
        </w:tc>
      </w:tr>
    </w:tbl>
    <w:p>
      <w:pPr>
        <w:pStyle w:val="TextBody"/>
        <w:spacing w:before="120" w:after="0"/>
        <w:rPr>
          <w:rFonts w:ascii="Times New Roman" w:hAnsi="Times New Roman"/>
          <w:sz w:val="20"/>
        </w:rPr>
      </w:pPr>
      <w:r>
        <w:rPr>
          <w:rFonts w:ascii="Times New Roman" w:hAnsi="Times New Roman"/>
          <w:sz w:val="20"/>
        </w:rPr>
        <w:t xml:space="preserve">Any notarization with reference of any Financial Document or registration of any Financial Document including that with any State Bodies or organizations is not required with an exception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notarial certification of the Share Pledge Agreement and making corresponding entry into the Unified State Register of Juridical Persons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Registration of corresponding Security Agreements in compliance with the Republic Cyprus legislation in the register of companies (</w:t>
            </w:r>
            <w:r>
              <w:rPr>
                <w:i/>
              </w:rPr>
              <w:t>Register of Companies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Registration of corresponding Security Agreements in compliance with the legislation of the British Virgin Islands in the register of corporate affairs (</w:t>
            </w:r>
            <w:r>
              <w:rPr>
                <w:i/>
              </w:rPr>
              <w:t>Register of Corporate Affairs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79"/>
        <w:gridCol w:w="9626"/>
      </w:tblGrid>
      <w:tr>
        <w:trPr/>
        <w:tc>
          <w:tcPr>
            <w:tcW w:w="579" w:type="dxa"/>
            <w:tcBorders/>
            <w:shd w:fill="auto" w:val="clear"/>
          </w:tcPr>
          <w:p>
            <w:pPr>
              <w:pStyle w:val="TableContents"/>
              <w:spacing w:before="0" w:after="283"/>
              <w:jc w:val="left"/>
              <w:rPr/>
            </w:pPr>
            <w:r>
              <w:rPr/>
              <w:t>16.10</w:t>
            </w:r>
          </w:p>
        </w:tc>
        <w:tc>
          <w:tcPr>
            <w:tcW w:w="9626" w:type="dxa"/>
            <w:tcBorders/>
            <w:shd w:fill="auto" w:val="clear"/>
          </w:tcPr>
          <w:p>
            <w:pPr>
              <w:pStyle w:val="TableContents"/>
              <w:spacing w:before="0" w:after="283"/>
              <w:jc w:val="left"/>
              <w:rPr/>
            </w:pPr>
            <w:r>
              <w:rPr/>
              <w:t xml:space="preserve">Financial Accountability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most recent financial statements of the Group (and each participant of the Group) submitted to the Credit Agent: </w:t>
            </w:r>
          </w:p>
        </w:tc>
      </w:tr>
    </w:tbl>
    <w:p>
      <w:pPr>
        <w:pStyle w:val="TextBody"/>
        <w:spacing w:before="120" w:after="0"/>
        <w:rPr>
          <w:rFonts w:ascii="Times New Roman" w:hAnsi="Times New Roman"/>
          <w:sz w:val="20"/>
        </w:rPr>
      </w:pPr>
      <w:r>
        <w:rPr>
          <w:rFonts w:ascii="Times New Roman" w:hAnsi="Times New Roman"/>
          <w:sz w:val="20"/>
        </w:rPr>
        <w:t xml:space="preserve">(i)    are executed in compliance with the Applicable Reporting Standards; and </w:t>
      </w:r>
    </w:p>
    <w:p>
      <w:pPr>
        <w:pStyle w:val="TextBody"/>
        <w:spacing w:before="120" w:after="0"/>
        <w:rPr>
          <w:rFonts w:ascii="Times New Roman" w:hAnsi="Times New Roman"/>
          <w:sz w:val="20"/>
        </w:rPr>
      </w:pPr>
      <w:r>
        <w:rPr>
          <w:rFonts w:ascii="Times New Roman" w:hAnsi="Times New Roman"/>
          <w:sz w:val="20"/>
        </w:rPr>
        <w:t xml:space="preserve">(ii)     authentically shows its financial situation in every material respect (on a consolidated basis, if applicable) as at the drawing up date, with an exception, in each case, where otherwise indicated in such financial statements.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no events occur which could render the Essential Adverse Effect as from the date of the financial statements indicated in section (a)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51"/>
        <w:gridCol w:w="9654"/>
      </w:tblGrid>
      <w:tr>
        <w:trPr/>
        <w:tc>
          <w:tcPr>
            <w:tcW w:w="551" w:type="dxa"/>
            <w:tcBorders/>
            <w:shd w:fill="auto" w:val="clear"/>
          </w:tcPr>
          <w:p>
            <w:pPr>
              <w:pStyle w:val="TableContents"/>
              <w:spacing w:before="0" w:after="283"/>
              <w:jc w:val="left"/>
              <w:rPr/>
            </w:pPr>
            <w:r>
              <w:rPr/>
              <w:t>16.11</w:t>
            </w:r>
          </w:p>
        </w:tc>
        <w:tc>
          <w:tcPr>
            <w:tcW w:w="9654" w:type="dxa"/>
            <w:tcBorders/>
            <w:shd w:fill="auto" w:val="clear"/>
          </w:tcPr>
          <w:p>
            <w:pPr>
              <w:pStyle w:val="TableContents"/>
              <w:spacing w:before="0" w:after="283"/>
              <w:jc w:val="left"/>
              <w:rPr/>
            </w:pPr>
            <w:r>
              <w:rPr/>
              <w:t xml:space="preserve">Legal proceedings </w:t>
            </w:r>
          </w:p>
        </w:tc>
      </w:tr>
    </w:tbl>
    <w:p>
      <w:pPr>
        <w:pStyle w:val="TextBody"/>
        <w:spacing w:before="120" w:after="0"/>
        <w:rPr>
          <w:rFonts w:ascii="Times New Roman" w:hAnsi="Times New Roman"/>
          <w:sz w:val="20"/>
        </w:rPr>
      </w:pPr>
      <w:r>
        <w:rPr>
          <w:rFonts w:ascii="Times New Roman" w:hAnsi="Times New Roman"/>
          <w:sz w:val="20"/>
        </w:rPr>
        <w:t xml:space="preserve">Except for the legal proceedings indicated in the Annex 10 </w:t>
      </w:r>
      <w:r>
        <w:rPr>
          <w:rFonts w:ascii="Times New Roman" w:hAnsi="Times New Roman"/>
          <w:i/>
          <w:sz w:val="20"/>
        </w:rPr>
        <w:t>(Legal Proceedings)</w:t>
      </w:r>
      <w:r>
        <w:rPr>
          <w:rFonts w:ascii="Times New Roman" w:hAnsi="Times New Roman"/>
          <w:sz w:val="20"/>
        </w:rPr>
        <w:t xml:space="preserve"> There are no legal proceedings in respect of the Borrower and each Affiliated Company of the Borrower initiated and, as far as is known by the Borrower and each Affiliated Company of the Borrower, and any judicial, arbitration or administrative proceedings are not anticipated, and also no investigation is underway in which result the adverse judgments have been adopted or their adoption is anticipated with high degree of probability, that would be capable to render the Essential Adverse Effect.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72"/>
        <w:gridCol w:w="9633"/>
      </w:tblGrid>
      <w:tr>
        <w:trPr/>
        <w:tc>
          <w:tcPr>
            <w:tcW w:w="572" w:type="dxa"/>
            <w:tcBorders/>
            <w:shd w:fill="auto" w:val="clear"/>
          </w:tcPr>
          <w:p>
            <w:pPr>
              <w:pStyle w:val="TableContents"/>
              <w:spacing w:before="0" w:after="283"/>
              <w:jc w:val="left"/>
              <w:rPr/>
            </w:pPr>
            <w:r>
              <w:rPr/>
              <w:t>16.12</w:t>
            </w:r>
          </w:p>
        </w:tc>
        <w:tc>
          <w:tcPr>
            <w:tcW w:w="9633" w:type="dxa"/>
            <w:tcBorders/>
            <w:shd w:fill="auto" w:val="clear"/>
          </w:tcPr>
          <w:p>
            <w:pPr>
              <w:pStyle w:val="TableContents"/>
              <w:spacing w:before="0" w:after="283"/>
              <w:jc w:val="left"/>
              <w:rPr/>
            </w:pPr>
            <w:r>
              <w:rPr/>
              <w:t xml:space="preserve">Information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The factual information that is, in the Credit Agent’s judgment, of substantial significance, presented by any Debtor to the Financing Parties with reference of the Financial Documents, a party of which they are, is authentic and exact as at the date of its presentation or (as the situation requires) as at the date (if any) which is indicated as date of its presentation.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Any Debtor has not committed non-disclosure of the information which, in case of its disclosure, would lead to the situation where any other information indicated in section (a) above, would become unreliable or misleading information with regard to the part thereof that is, in the Credit Agent’s judgment, essential.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As at the date of the present Agreement and by the first Date of Disbursement after the date of presentation of the information determined in section (a) above, no circumstances occur that, in case of their disclosure, would lead to the situation that the presented information would become unreliable or misleading with regard to the part thereof that is, in the Credit Agent’s judgment, essential.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89"/>
        <w:gridCol w:w="9616"/>
      </w:tblGrid>
      <w:tr>
        <w:trPr/>
        <w:tc>
          <w:tcPr>
            <w:tcW w:w="589" w:type="dxa"/>
            <w:tcBorders/>
            <w:shd w:fill="auto" w:val="clear"/>
          </w:tcPr>
          <w:p>
            <w:pPr>
              <w:pStyle w:val="TableContents"/>
              <w:spacing w:before="0" w:after="283"/>
              <w:jc w:val="left"/>
              <w:rPr/>
            </w:pPr>
            <w:r>
              <w:rPr/>
              <w:t>16.13</w:t>
            </w:r>
          </w:p>
        </w:tc>
        <w:tc>
          <w:tcPr>
            <w:tcW w:w="9616" w:type="dxa"/>
            <w:tcBorders/>
            <w:shd w:fill="auto" w:val="clear"/>
          </w:tcPr>
          <w:p>
            <w:pPr>
              <w:pStyle w:val="TableContents"/>
              <w:spacing w:before="0" w:after="283"/>
              <w:jc w:val="left"/>
              <w:rPr/>
            </w:pPr>
            <w:r>
              <w:rPr/>
              <w:t xml:space="preserve">Security priority </w:t>
            </w:r>
          </w:p>
        </w:tc>
      </w:tr>
    </w:tbl>
    <w:p>
      <w:pPr>
        <w:pStyle w:val="TextBody"/>
        <w:spacing w:before="120" w:after="0"/>
        <w:rPr>
          <w:rFonts w:ascii="Times New Roman" w:hAnsi="Times New Roman"/>
          <w:sz w:val="20"/>
        </w:rPr>
      </w:pPr>
      <w:r>
        <w:rPr>
          <w:rFonts w:ascii="Times New Roman" w:hAnsi="Times New Roman"/>
          <w:sz w:val="20"/>
        </w:rPr>
        <w:t xml:space="preserve">The security posted by each Security Agreement, is security which may be enforced by the Credit Agent as a matter of priority based on decision of the Majority of Creditors. The third parties have neither right (of claim) nor other rights in respect of the property and the assets of the Pledger covered hereby the Security Agreements.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7"/>
        <w:gridCol w:w="9638"/>
      </w:tblGrid>
      <w:tr>
        <w:trPr/>
        <w:tc>
          <w:tcPr>
            <w:tcW w:w="567" w:type="dxa"/>
            <w:tcBorders/>
            <w:shd w:fill="auto" w:val="clear"/>
          </w:tcPr>
          <w:p>
            <w:pPr>
              <w:pStyle w:val="TableContents"/>
              <w:spacing w:before="0" w:after="283"/>
              <w:jc w:val="left"/>
              <w:rPr/>
            </w:pPr>
            <w:r>
              <w:rPr/>
              <w:t>16.14</w:t>
            </w:r>
          </w:p>
        </w:tc>
        <w:tc>
          <w:tcPr>
            <w:tcW w:w="9638" w:type="dxa"/>
            <w:tcBorders/>
            <w:shd w:fill="auto" w:val="clear"/>
          </w:tcPr>
          <w:p>
            <w:pPr>
              <w:pStyle w:val="TableContents"/>
              <w:spacing w:before="0" w:after="283"/>
              <w:jc w:val="left"/>
              <w:rPr/>
            </w:pPr>
            <w:r>
              <w:rPr/>
              <w:t xml:space="preserve">Loans granted </w:t>
            </w:r>
          </w:p>
        </w:tc>
      </w:tr>
    </w:tbl>
    <w:p>
      <w:pPr>
        <w:pStyle w:val="TextBody"/>
        <w:spacing w:before="120" w:after="0"/>
        <w:rPr>
          <w:rFonts w:ascii="Times New Roman" w:hAnsi="Times New Roman"/>
          <w:sz w:val="20"/>
        </w:rPr>
      </w:pPr>
      <w:r>
        <w:rPr>
          <w:rFonts w:ascii="Times New Roman" w:hAnsi="Times New Roman"/>
          <w:sz w:val="20"/>
        </w:rPr>
        <w:t xml:space="preserve">Any of the Debtors have not granted loans to the third parties other than the Debtors, except for the Permitted Loans.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89"/>
        <w:gridCol w:w="9616"/>
      </w:tblGrid>
      <w:tr>
        <w:trPr/>
        <w:tc>
          <w:tcPr>
            <w:tcW w:w="589" w:type="dxa"/>
            <w:tcBorders/>
            <w:shd w:fill="auto" w:val="clear"/>
          </w:tcPr>
          <w:p>
            <w:pPr>
              <w:pStyle w:val="TableContents"/>
              <w:spacing w:before="0" w:after="283"/>
              <w:jc w:val="left"/>
              <w:rPr/>
            </w:pPr>
            <w:r>
              <w:rPr/>
              <w:t>16.15</w:t>
            </w:r>
          </w:p>
        </w:tc>
        <w:tc>
          <w:tcPr>
            <w:tcW w:w="9616" w:type="dxa"/>
            <w:tcBorders/>
            <w:shd w:fill="auto" w:val="clear"/>
          </w:tcPr>
          <w:p>
            <w:pPr>
              <w:pStyle w:val="TableContents"/>
              <w:spacing w:before="0" w:after="283"/>
              <w:jc w:val="left"/>
              <w:rPr/>
            </w:pPr>
            <w:r>
              <w:rPr/>
              <w:t xml:space="preserve">Charges and duties </w:t>
            </w:r>
          </w:p>
        </w:tc>
      </w:tr>
    </w:tbl>
    <w:p>
      <w:pPr>
        <w:pStyle w:val="TextBody"/>
        <w:spacing w:before="120" w:after="0"/>
        <w:rPr>
          <w:rFonts w:ascii="Times New Roman" w:hAnsi="Times New Roman"/>
          <w:sz w:val="20"/>
        </w:rPr>
      </w:pPr>
      <w:r>
        <w:rPr>
          <w:rFonts w:ascii="Times New Roman" w:hAnsi="Times New Roman"/>
          <w:sz w:val="20"/>
        </w:rPr>
        <w:t xml:space="preserve">As at the date of the present Agreement, payment of any State or registration duties or taxes or charges with reference of the Financial Documents is not required, with the exception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Payment for notarization with regard to the Security Agreements;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Charges and duties for registration of Security Agreements, including payments of the stamp duty in respect of the present Agreement and other corresponding Agreements on Security in Cyprus and British Virgin Islands.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3"/>
        <w:gridCol w:w="9642"/>
      </w:tblGrid>
      <w:tr>
        <w:trPr/>
        <w:tc>
          <w:tcPr>
            <w:tcW w:w="563" w:type="dxa"/>
            <w:tcBorders/>
            <w:shd w:fill="auto" w:val="clear"/>
          </w:tcPr>
          <w:p>
            <w:pPr>
              <w:pStyle w:val="TableContents"/>
              <w:spacing w:before="0" w:after="283"/>
              <w:jc w:val="left"/>
              <w:rPr/>
            </w:pPr>
            <w:r>
              <w:rPr/>
              <w:t>16.16</w:t>
            </w:r>
          </w:p>
        </w:tc>
        <w:tc>
          <w:tcPr>
            <w:tcW w:w="9642" w:type="dxa"/>
            <w:tcBorders/>
            <w:shd w:fill="auto" w:val="clear"/>
          </w:tcPr>
          <w:p>
            <w:pPr>
              <w:pStyle w:val="TableContents"/>
              <w:spacing w:before="0" w:after="283"/>
              <w:jc w:val="left"/>
              <w:rPr/>
            </w:pPr>
            <w:r>
              <w:rPr/>
              <w:t xml:space="preserve">Regulated procurements </w:t>
            </w:r>
          </w:p>
        </w:tc>
      </w:tr>
    </w:tbl>
    <w:p>
      <w:pPr>
        <w:pStyle w:val="TextBody"/>
        <w:spacing w:before="120" w:after="0"/>
        <w:rPr>
          <w:rFonts w:ascii="Times New Roman" w:hAnsi="Times New Roman"/>
          <w:sz w:val="20"/>
        </w:rPr>
      </w:pPr>
      <w:r>
        <w:rPr>
          <w:rFonts w:ascii="Times New Roman" w:hAnsi="Times New Roman"/>
          <w:sz w:val="20"/>
        </w:rPr>
        <w:t xml:space="preserve">Provisions of the Law concerning regulated procurements are not applied to conclusion and execution of the Financial Documents by the Borrower and Headhunter as at the date of conclusion of the Financial Documents. At that, the Borrower makes no representations in respect of application of the Law concerning regulated procurements to any Party of Financing.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80"/>
        <w:gridCol w:w="9625"/>
      </w:tblGrid>
      <w:tr>
        <w:trPr/>
        <w:tc>
          <w:tcPr>
            <w:tcW w:w="580" w:type="dxa"/>
            <w:tcBorders/>
            <w:shd w:fill="auto" w:val="clear"/>
          </w:tcPr>
          <w:p>
            <w:pPr>
              <w:pStyle w:val="TableContents"/>
              <w:spacing w:before="0" w:after="283"/>
              <w:jc w:val="left"/>
              <w:rPr/>
            </w:pPr>
            <w:r>
              <w:rPr/>
              <w:t>16.17</w:t>
            </w:r>
          </w:p>
        </w:tc>
        <w:tc>
          <w:tcPr>
            <w:tcW w:w="9625" w:type="dxa"/>
            <w:tcBorders/>
            <w:shd w:fill="auto" w:val="clear"/>
          </w:tcPr>
          <w:p>
            <w:pPr>
              <w:pStyle w:val="TableContents"/>
              <w:spacing w:before="0" w:after="283"/>
              <w:jc w:val="left"/>
              <w:rPr/>
            </w:pPr>
            <w:r>
              <w:rPr/>
              <w:t xml:space="preserve">Chart of the Group Structure </w:t>
            </w:r>
          </w:p>
        </w:tc>
      </w:tr>
    </w:tbl>
    <w:p>
      <w:pPr>
        <w:pStyle w:val="TextBody"/>
        <w:spacing w:before="120" w:after="0"/>
        <w:rPr>
          <w:rFonts w:ascii="Times New Roman" w:hAnsi="Times New Roman"/>
          <w:sz w:val="20"/>
        </w:rPr>
      </w:pPr>
      <w:r>
        <w:rPr>
          <w:rFonts w:ascii="Times New Roman" w:hAnsi="Times New Roman"/>
          <w:sz w:val="20"/>
        </w:rPr>
        <w:t xml:space="preserve">Chart of the Group Structure is factually correct.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59"/>
        <w:gridCol w:w="9646"/>
      </w:tblGrid>
      <w:tr>
        <w:trPr/>
        <w:tc>
          <w:tcPr>
            <w:tcW w:w="559" w:type="dxa"/>
            <w:tcBorders/>
            <w:shd w:fill="auto" w:val="clear"/>
          </w:tcPr>
          <w:p>
            <w:pPr>
              <w:pStyle w:val="TableContents"/>
              <w:spacing w:before="0" w:after="283"/>
              <w:jc w:val="left"/>
              <w:rPr/>
            </w:pPr>
            <w:r>
              <w:rPr/>
              <w:t>16.18.</w:t>
            </w:r>
          </w:p>
        </w:tc>
        <w:tc>
          <w:tcPr>
            <w:tcW w:w="9646" w:type="dxa"/>
            <w:tcBorders/>
            <w:shd w:fill="auto" w:val="clear"/>
          </w:tcPr>
          <w:p>
            <w:pPr>
              <w:pStyle w:val="TableContents"/>
              <w:spacing w:before="0" w:after="283"/>
              <w:jc w:val="left"/>
              <w:rPr/>
            </w:pPr>
            <w:r>
              <w:rPr/>
              <w:t xml:space="preserve">Warranties and Representations submission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Representations in respect of the circumstances stated in the present Article 16 are submitted by the Borrower as at the date of the present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Except for the cases when any Warranties and Representations should be submitted as at the certain date, all Warranties and Representations are considered submitted by the Borrower repeatedly as at date of each Request for Disbursement, each Date of Disbursement and in the first day of each 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In case of repeated submission of particular Warranties and Representations, such Warranties and Representations should apply to the actual circumstances existing at the time of their repeated submission.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17. OBLIGATIONS TO PROVIDE INFORMATION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17.1</w:t>
            </w:r>
          </w:p>
        </w:tc>
        <w:tc>
          <w:tcPr>
            <w:tcW w:w="9695" w:type="dxa"/>
            <w:tcBorders/>
            <w:shd w:fill="auto" w:val="clear"/>
          </w:tcPr>
          <w:p>
            <w:pPr>
              <w:pStyle w:val="TableContents"/>
              <w:spacing w:before="0" w:after="283"/>
              <w:jc w:val="left"/>
              <w:rPr/>
            </w:pPr>
            <w:r>
              <w:rPr/>
              <w:t xml:space="preserve">Financial accountability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give the following certified copies to the Credit Agent for all Creditors in a sufficient quantity: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of the consolidated financial statements of the Group for a fiscal year confirmed with the Auditors, prepared in compliance with International Financial Reporting Standards progressively as drawing up, but anyway within 120 (one hundred twenty) days as from an expiry date of each such fiscal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of the consolidated financial statements of the Group for each financial half-year viewed by the Auditors, prepared in compliance with International Financial Reporting Standards progressively as drawing up, but anyway within 90 (ninety) days as from an expiry date of each such fiscal half-year;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progressively as drawing up, but anyway within 60 (sixty) days as from an expiry date of each quarter of corresponding fiscal year of the administrative reporting of the Group for such quarter of corresponding fiscal year (including the report on financial results, balance and the report on movement of funds), prepared in compliance with the Group’s registration policy of administrative accounting;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progressively as drawing up, but anyway within 40 (forty) days as from an expiry date of each quarter of corresponding fiscal year of the financial accounting (including the profits and losses report, balance and the report on movement of funds) of the Borrower and Headhunter for such quarter of the corresponding fiscal year, prepared in compliance with Russian Accounting Standards.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17.2</w:t>
            </w:r>
          </w:p>
        </w:tc>
        <w:tc>
          <w:tcPr>
            <w:tcW w:w="9695" w:type="dxa"/>
            <w:tcBorders/>
            <w:shd w:fill="auto" w:val="clear"/>
          </w:tcPr>
          <w:p>
            <w:pPr>
              <w:pStyle w:val="TableContents"/>
              <w:spacing w:before="0" w:after="283"/>
              <w:jc w:val="left"/>
              <w:rPr/>
            </w:pPr>
            <w:r>
              <w:rPr/>
              <w:t xml:space="preserve">Confirmation of observance of financial indicators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The Borrower undertakes to submit an acknowledgement to the Credit Agent in respect of observance of financial indicators with the calculation proving observance of such financial indicators by the Borrower on the basis of such financial statements, contained in the Article 18 (</w:t>
            </w:r>
            <w:r>
              <w:rPr>
                <w:i/>
              </w:rPr>
              <w:t xml:space="preserve">Obligations in respect of observance of financial indicators) </w:t>
            </w:r>
            <w:r>
              <w:rPr/>
              <w:t>as of the date of such financial statements drawing up with each complete set of the consolidated financial statements confirmed and reviewed by the Auditors to be submitted in compliance with sections (a) or (b) of Article 17.1 (</w:t>
            </w:r>
            <w:r>
              <w:rPr>
                <w:i/>
              </w:rPr>
              <w:t>the Financial statements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Confirmation about observance of financial indicators on the basis of the reporting prepared in compliance with International Financial Reporting Standards, should be drawn up as per the form provided in the Annex 5 Part 1 (Form of confirmation of observance of financial indicators on the basis of International Financial Reporting Standards) signed by the authorized person of the Borrower and should be accompanied with the Borrower’s auditors’ report as per the form agreed upon by the Borrower, Credit Agent and Auditors of the Borrower; at that the Parties agree in respect of the confirmation of observance of financial indicators as at June 30, 2016 that calculation of indicators for the second half of the year 2015 will be conducted on the basis of the administrative reporting of the Group which have been checked up by auditors on the basis of registers of accounting of the company, and for the first half of the year 2016 the calculation of indicators will be conducted on the basis of the reporting prepared in compliance with the International Financial Reporting Standards.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Confirmation about observance of financial indicators on the basis of the administrative reporting or reporting prepared in compliance with Russian Accounting Standards, should be drawn up as per the form provided in the Annex 5 Part 2 (Form of confirmation of observance of financial indicators on the basis of administrative reporting and Russian Accounting Standards) and signed by the authorized person of the Borrower.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17.3</w:t>
            </w:r>
          </w:p>
        </w:tc>
        <w:tc>
          <w:tcPr>
            <w:tcW w:w="9695" w:type="dxa"/>
            <w:tcBorders/>
            <w:shd w:fill="auto" w:val="clear"/>
          </w:tcPr>
          <w:p>
            <w:pPr>
              <w:pStyle w:val="TableContents"/>
              <w:spacing w:before="0" w:after="283"/>
              <w:jc w:val="left"/>
              <w:rPr/>
            </w:pPr>
            <w:r>
              <w:rPr/>
              <w:t xml:space="preserve">Requirements shown to the financial statements </w:t>
            </w:r>
          </w:p>
        </w:tc>
      </w:tr>
    </w:tbl>
    <w:p>
      <w:pPr>
        <w:pStyle w:val="TextBody"/>
        <w:spacing w:before="120" w:after="0"/>
        <w:rPr>
          <w:rFonts w:ascii="Times New Roman" w:hAnsi="Times New Roman"/>
          <w:sz w:val="20"/>
        </w:rPr>
      </w:pPr>
      <w:r>
        <w:rPr>
          <w:rFonts w:ascii="Times New Roman" w:hAnsi="Times New Roman"/>
          <w:sz w:val="20"/>
        </w:rPr>
        <w:t>The Borrower undertakes to procure that each complete set of the financial statements submitted in compliance with the Article 17.1 (</w:t>
      </w:r>
      <w:r>
        <w:rPr>
          <w:rFonts w:ascii="Times New Roman" w:hAnsi="Times New Roman"/>
          <w:i/>
          <w:sz w:val="20"/>
        </w:rPr>
        <w:t>Financial statements</w:t>
      </w:r>
      <w:r>
        <w:rPr>
          <w:rFonts w:ascii="Times New Roman" w:hAnsi="Times New Roman"/>
          <w:sz w:val="20"/>
        </w:rPr>
        <w:t xml:space="preserve">) is drawn up with use of the same principles of accounting and the same reporting periods which have been used when drawing up the latest presented financial statements of the Group (except for possible change in accounting in respect of capitalization of the internal development). If any Debtor notifies the Credit Agent in respect of changes into the accounting principles or reporting periods for such cases the Borrower undertakes to procure that his Auditors and auditors of the corresponding Debtor submit to the Credit Agent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description of changes necessary to be for introduced into the corresponding financial statements to display changes introduced into the accounting principles and reporting periods used when drawing up the Initial Financial statements of the Group or such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information meeting the Credit Agent’s requirements in respect of form and substance and sufficient for the Creditors to assure themselves of observance by the Borrower of requirements of Article 18 (</w:t>
            </w:r>
            <w:r>
              <w:rPr>
                <w:i/>
              </w:rPr>
              <w:t>Obligations in respect of observance of financial indicators</w:t>
            </w:r>
            <w:r>
              <w:rPr/>
              <w:t xml:space="preserve">) and adequately estimate a financial condition of the Debtor in compliance with the current financial statements in comparison with the Initial Financial statements of such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17.4</w:t>
            </w:r>
          </w:p>
        </w:tc>
        <w:tc>
          <w:tcPr>
            <w:tcW w:w="9695" w:type="dxa"/>
            <w:tcBorders/>
            <w:shd w:fill="auto" w:val="clear"/>
          </w:tcPr>
          <w:p>
            <w:pPr>
              <w:pStyle w:val="TableContents"/>
              <w:spacing w:before="0" w:after="283"/>
              <w:jc w:val="left"/>
              <w:rPr/>
            </w:pPr>
            <w:r>
              <w:rPr/>
              <w:t xml:space="preserve">Information: miscellaneous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submit to the Credit Agent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simultaneously with dispatch to the addressees - copies of all documents to be forwarded to all of the creditors or to all participants with reference of circumstances of Essential Adverse Effect;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immediately after having become aware but not later than within 5 (five) Working Days as from the date when he became aware of this fact - detailed data about any judicial, arbitration, referee or administrative proceedings including investigatory actions in which result a decision is taken or there is a high degree of probability of making of a decision in result of which expenditures of the Group exceed 2.5 (two naught five) percent of the EBITDA Consolidated indicator;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immediately after having become aware but not later than within 5 (five) Working Days after becoming effective of any changes in the Group Structure in comparison with Chart of Structure of the Group contained in the Annex 9 (</w:t>
            </w:r>
            <w:r>
              <w:rPr>
                <w:i/>
              </w:rPr>
              <w:t>Chart of the Group Structure</w:t>
            </w:r>
            <w:r>
              <w:rPr/>
              <w:t xml:space="preserve">), or if the renovated Chart of the Group Structure was submitted to the Credit Agent after the present Agreement date, in comparison with such renovated Chart of the Group Structure - the actual Chart of the Group Structure;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(without limitation of effects of section (e) of Article 25.2 (</w:t>
            </w:r>
            <w:r>
              <w:rPr>
                <w:i/>
              </w:rPr>
              <w:t>Addresses</w:t>
            </w:r>
            <w:r>
              <w:rPr/>
              <w:t xml:space="preserve">) immediately after having become aware but not later than within 20 (twenty) Working Days as from the date when he became aware of this fact or as from the date of the state registration (if any), whichever event shall be the later of the two – in respect of the change of location or mailing address of the Borrower or any other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(e)</w:t>
            </w:r>
          </w:p>
        </w:tc>
        <w:tc>
          <w:tcPr>
            <w:tcW w:w="9188" w:type="dxa"/>
            <w:tcBorders/>
            <w:shd w:fill="auto" w:val="clear"/>
          </w:tcPr>
          <w:p>
            <w:pPr>
              <w:pStyle w:val="TableContents"/>
              <w:spacing w:before="0" w:after="283"/>
              <w:jc w:val="left"/>
              <w:rPr/>
            </w:pPr>
            <w:r>
              <w:rPr/>
              <w:t xml:space="preserve">immediately upon his demand, but not later than within 5 (five) days as from the date of such demand - such additional information in respect of the financial situation and economic activities of any participant of the Group which the Credit Agent may demand in the interests of any Party of Financing.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17.5</w:t>
            </w:r>
          </w:p>
        </w:tc>
        <w:tc>
          <w:tcPr>
            <w:tcW w:w="9695" w:type="dxa"/>
            <w:tcBorders/>
            <w:shd w:fill="auto" w:val="clear"/>
          </w:tcPr>
          <w:p>
            <w:pPr>
              <w:pStyle w:val="TableContents"/>
              <w:spacing w:before="0" w:after="283"/>
              <w:jc w:val="left"/>
              <w:rPr/>
            </w:pPr>
            <w:r>
              <w:rPr/>
              <w:t xml:space="preserve">Auditors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change the Auditors without consent of the Majority of Creditors except for the Auditors with reference to the financial statements of the Group and its participants prepared in compliance with the International Financial Reporting Standards approved or permitted in compliance with the present Agreement.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17.6</w:t>
            </w:r>
          </w:p>
        </w:tc>
        <w:tc>
          <w:tcPr>
            <w:tcW w:w="9695" w:type="dxa"/>
            <w:tcBorders/>
            <w:shd w:fill="auto" w:val="clear"/>
          </w:tcPr>
          <w:p>
            <w:pPr>
              <w:pStyle w:val="TableContents"/>
              <w:spacing w:before="0" w:after="283"/>
              <w:jc w:val="left"/>
              <w:rPr/>
            </w:pPr>
            <w:r>
              <w:rPr/>
              <w:t xml:space="preserve">Chart of the Group Structure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change and undertakes to procure that no Affiliated Company of the Borrower would change the Chart of the Group Structure except for the changes provided or permitted by Financial Documents.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17.7</w:t>
            </w:r>
          </w:p>
        </w:tc>
        <w:tc>
          <w:tcPr>
            <w:tcW w:w="9694" w:type="dxa"/>
            <w:tcBorders/>
            <w:shd w:fill="auto" w:val="clear"/>
          </w:tcPr>
          <w:p>
            <w:pPr>
              <w:pStyle w:val="TableContents"/>
              <w:spacing w:before="0" w:after="283"/>
              <w:jc w:val="left"/>
              <w:rPr/>
            </w:pPr>
            <w:r>
              <w:rPr/>
              <w:t xml:space="preserve">Notification of Failure to Perform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The Borrower undertakes to notify the Credit Agent in respect of any Failure to Perform Obligations (and correction measures in respect of such Failure to perform of Obligations, if any) immediately after having become aware of this fact.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the Borrower undertakes to submit the statement to the Credit Agent on demand of the Credit Agent signed by the sole executive board or authorized representative of the Borrower, certifying that Failure to Perform Obligations has been corrected or if Failure to Perform Obligations proceeds - statement describing in detail the measures taken for its correction.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17.8</w:t>
            </w:r>
          </w:p>
        </w:tc>
        <w:tc>
          <w:tcPr>
            <w:tcW w:w="9695" w:type="dxa"/>
            <w:tcBorders/>
            <w:shd w:fill="auto" w:val="clear"/>
          </w:tcPr>
          <w:p>
            <w:pPr>
              <w:pStyle w:val="TableContents"/>
              <w:spacing w:before="0" w:after="283"/>
              <w:jc w:val="left"/>
              <w:rPr/>
            </w:pPr>
            <w:r>
              <w:rPr/>
              <w:t xml:space="preserve">Check of “the client data”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If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any changes in any applicable legislation after the present Agreement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changes of the organizational and legal form of the Borrower or structure of its shareholders or participants (possessing more than two percent of accordingly voting shares or shares of participation after the date of the present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assignment or transfer by any Creditor of the entire or part of the rights and obligations under the present Agreement to the party which was not the Creditor prior to such assignment or transfer, or replacement of any other Party of Financing in compliance with the present Agreement, or other change in the Agreement Parties, </w:t>
            </w:r>
          </w:p>
        </w:tc>
      </w:tr>
    </w:tbl>
    <w:p>
      <w:pPr>
        <w:pStyle w:val="TextBody"/>
        <w:spacing w:before="120" w:after="0"/>
        <w:rPr>
          <w:rFonts w:ascii="Times New Roman" w:hAnsi="Times New Roman"/>
          <w:sz w:val="20"/>
        </w:rPr>
      </w:pPr>
      <w:r>
        <w:rPr>
          <w:rFonts w:ascii="Times New Roman" w:hAnsi="Times New Roman"/>
          <w:sz w:val="20"/>
        </w:rPr>
        <w:t xml:space="preserve">an obligation of the Credit Agent, Creditor or any other Party of Financing (or in case of section (iii), the possible new party) shall appear, by virtue of the legislation applicable to them, to inspect “the client data” or similar client check procedures, and the necessary information has not been submitted earlier by the Borrower, then the Borrower is to submit the information and the documents to the Credit Agent (acting in his own name, on behalf of the corresponding Party of Financing or on behalf of the possible new party) required for the purpose that the Credit Agent, corresponding Party of Financing or possible new party could fulfill requirements applicable to them in respect of check of “the client data”.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Each Party of Financing shall submit the information and the documents to the Credit Agent required for the purpose that the Credit Agent could fulfill requirements applicable to him in respect of check of “the client data”.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17.9</w:t>
            </w:r>
          </w:p>
        </w:tc>
        <w:tc>
          <w:tcPr>
            <w:tcW w:w="9694" w:type="dxa"/>
            <w:tcBorders/>
            <w:shd w:fill="auto" w:val="clear"/>
          </w:tcPr>
          <w:p>
            <w:pPr>
              <w:pStyle w:val="TableContents"/>
              <w:spacing w:before="0" w:after="283"/>
              <w:jc w:val="left"/>
              <w:rPr/>
            </w:pPr>
            <w:r>
              <w:rPr/>
              <w:t xml:space="preserve">Targeted use of funds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submit the copies of the payment orders to the Credit Agent confirming the targeted use of the Credit and certified by the Borrower on or prior to the date 5 (five) Working Days after each of the corresponding payments stipulated in section (c) of the Article 3 </w:t>
      </w:r>
      <w:r>
        <w:rPr>
          <w:rFonts w:ascii="Times New Roman" w:hAnsi="Times New Roman"/>
          <w:i/>
          <w:sz w:val="20"/>
        </w:rPr>
        <w:t>(Purpose)</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18. OBLIGATIONS TO COMPLY WITH FINANCIAL INDICATORS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18.1</w:t>
            </w:r>
          </w:p>
        </w:tc>
        <w:tc>
          <w:tcPr>
            <w:tcW w:w="9695" w:type="dxa"/>
            <w:tcBorders/>
            <w:shd w:fill="auto" w:val="clear"/>
          </w:tcPr>
          <w:p>
            <w:pPr>
              <w:pStyle w:val="TableContents"/>
              <w:spacing w:before="0" w:after="283"/>
              <w:jc w:val="left"/>
              <w:rPr/>
            </w:pPr>
            <w:r>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Except otherwise provided in the present Agreement, the accounting terms used in the present Article 18 are subject to interpretation in compliance with International Financial Reporting Standards.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With a view of the present Article 18, any amount expressed not in Rubles is counted in a ruble equivalent calculated based on the exchange rates used by the Borrower in his financial statements for the corresponding reporting period on which base calculation of financial indicators is executed.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Any indicator cannot be counted for the calculations in compliance with the present Article 18 more than once.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Except otherwise provided in the present Agreement, the indicators specified in the present Article 18 shall be checked in respect of each Settlement Period at the corresponding Settlement Date on the following basis: </w:t>
            </w:r>
          </w:p>
        </w:tc>
      </w:tr>
    </w:tbl>
    <w:p>
      <w:pPr>
        <w:pStyle w:val="TextBody"/>
        <w:spacing w:before="120" w:after="0"/>
        <w:rPr>
          <w:rFonts w:ascii="Times New Roman" w:hAnsi="Times New Roman"/>
          <w:sz w:val="20"/>
        </w:rPr>
      </w:pPr>
      <w:r>
        <w:rPr>
          <w:rFonts w:ascii="Times New Roman" w:hAnsi="Times New Roman"/>
          <w:sz w:val="20"/>
        </w:rPr>
        <w:t>(i)    for the Settlement Period expiring at the last day of the Fiscal year of the Group – based on the financial statements of the Group on the International Financial Reporting Standards (to be submitted in compliance with section (a) of Article 17.1 (</w:t>
      </w:r>
      <w:r>
        <w:rPr>
          <w:rFonts w:ascii="Times New Roman" w:hAnsi="Times New Roman"/>
          <w:i/>
          <w:sz w:val="20"/>
        </w:rPr>
        <w:t>Financial statements</w:t>
      </w:r>
      <w:r>
        <w:rPr>
          <w:rFonts w:ascii="Times New Roman" w:hAnsi="Times New Roman"/>
          <w:sz w:val="20"/>
        </w:rPr>
        <w:t xml:space="preserve">)) for corresponding fiscal year; and </w:t>
      </w:r>
    </w:p>
    <w:p>
      <w:pPr>
        <w:pStyle w:val="TextBody"/>
        <w:spacing w:before="120" w:after="0"/>
        <w:rPr>
          <w:rFonts w:ascii="Times New Roman" w:hAnsi="Times New Roman"/>
          <w:sz w:val="20"/>
        </w:rPr>
      </w:pPr>
      <w:r>
        <w:rPr>
          <w:rFonts w:ascii="Times New Roman" w:hAnsi="Times New Roman"/>
          <w:sz w:val="20"/>
        </w:rPr>
        <w:t>(ii)    for the Settlement Period expiring at the last day of the first financial half-year of the Group – based on the financial statements of the Group on the International Financial Reporting Standards (submitted in compliance with section (b) of the Article 17.1 (</w:t>
      </w:r>
      <w:r>
        <w:rPr>
          <w:rFonts w:ascii="Times New Roman" w:hAnsi="Times New Roman"/>
          <w:i/>
          <w:sz w:val="20"/>
        </w:rPr>
        <w:t>Financial statements</w:t>
      </w:r>
      <w:r>
        <w:rPr>
          <w:rFonts w:ascii="Times New Roman" w:hAnsi="Times New Roman"/>
          <w:sz w:val="20"/>
        </w:rPr>
        <w:t xml:space="preserve">)) for previous two financial half-years.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18.2</w:t>
            </w:r>
          </w:p>
        </w:tc>
        <w:tc>
          <w:tcPr>
            <w:tcW w:w="9695" w:type="dxa"/>
            <w:tcBorders/>
            <w:shd w:fill="auto" w:val="clear"/>
          </w:tcPr>
          <w:p>
            <w:pPr>
              <w:pStyle w:val="TableContents"/>
              <w:spacing w:before="0" w:after="283"/>
              <w:jc w:val="left"/>
              <w:rPr/>
            </w:pPr>
            <w:r>
              <w:rPr/>
              <w:t xml:space="preserve">Debt Load Indicator </w:t>
            </w:r>
          </w:p>
        </w:tc>
      </w:tr>
    </w:tbl>
    <w:p>
      <w:pPr>
        <w:pStyle w:val="TextBody"/>
        <w:spacing w:before="120" w:after="0"/>
        <w:rPr>
          <w:rFonts w:ascii="Times New Roman" w:hAnsi="Times New Roman"/>
          <w:sz w:val="20"/>
        </w:rPr>
      </w:pPr>
      <w:r>
        <w:rPr>
          <w:rFonts w:ascii="Times New Roman" w:hAnsi="Times New Roman"/>
          <w:sz w:val="20"/>
        </w:rPr>
        <w:t xml:space="preserve">The Borrower should procure that the ratio of the Consolidated net indebtedness to Consolidated indicator EBITDA (hereinafter referred to as the Debt Load Indicator) for each Settlement Date is not more than the corresponding value in the following table. </w:t>
      </w:r>
    </w:p>
    <w:p>
      <w:pPr>
        <w:pStyle w:val="TextBody"/>
        <w:spacing w:before="0" w:after="0"/>
        <w:rPr/>
      </w:pPr>
      <w:r>
        <w:rPr/>
        <w:t> </w:t>
      </w:r>
    </w:p>
    <w:tbl>
      <w:tblPr>
        <w:tblW w:w="3400" w:type="pct"/>
        <w:jc w:val="center"/>
        <w:tblInd w:w="0" w:type="dxa"/>
        <w:tblBorders/>
        <w:tblCellMar>
          <w:top w:w="0" w:type="dxa"/>
          <w:left w:w="0" w:type="dxa"/>
          <w:bottom w:w="0" w:type="dxa"/>
          <w:right w:w="0" w:type="dxa"/>
        </w:tblCellMar>
      </w:tblPr>
      <w:tblGrid>
        <w:gridCol w:w="3024"/>
        <w:gridCol w:w="840"/>
        <w:gridCol w:w="330"/>
        <w:gridCol w:w="2683"/>
        <w:gridCol w:w="62"/>
      </w:tblGrid>
      <w:tr>
        <w:trPr/>
        <w:tc>
          <w:tcPr>
            <w:tcW w:w="3024" w:type="dxa"/>
            <w:tcBorders/>
            <w:shd w:fill="auto" w:val="clear"/>
            <w:vAlign w:val="center"/>
          </w:tcPr>
          <w:p>
            <w:pPr>
              <w:pStyle w:val="TableContents"/>
              <w:spacing w:before="0" w:after="283"/>
              <w:rPr>
                <w:sz w:val="4"/>
                <w:szCs w:val="4"/>
              </w:rPr>
            </w:pPr>
            <w:r>
              <w:rPr>
                <w:sz w:val="4"/>
                <w:szCs w:val="4"/>
              </w:rPr>
            </w:r>
          </w:p>
        </w:tc>
        <w:tc>
          <w:tcPr>
            <w:tcW w:w="840" w:type="dxa"/>
            <w:tcBorders/>
            <w:shd w:fill="auto" w:val="clear"/>
            <w:vAlign w:val="bottom"/>
          </w:tcPr>
          <w:p>
            <w:pPr>
              <w:pStyle w:val="TableContents"/>
              <w:spacing w:before="0" w:after="283"/>
              <w:rPr>
                <w:sz w:val="4"/>
                <w:szCs w:val="4"/>
              </w:rPr>
            </w:pPr>
            <w:r>
              <w:rPr>
                <w:sz w:val="4"/>
                <w:szCs w:val="4"/>
              </w:rPr>
            </w:r>
          </w:p>
        </w:tc>
        <w:tc>
          <w:tcPr>
            <w:tcW w:w="330" w:type="dxa"/>
            <w:tcBorders/>
            <w:shd w:fill="auto" w:val="clear"/>
            <w:vAlign w:val="center"/>
          </w:tcPr>
          <w:p>
            <w:pPr>
              <w:pStyle w:val="TableContents"/>
              <w:spacing w:before="0" w:after="283"/>
              <w:rPr>
                <w:sz w:val="4"/>
                <w:szCs w:val="4"/>
              </w:rPr>
            </w:pPr>
            <w:r>
              <w:rPr>
                <w:sz w:val="4"/>
                <w:szCs w:val="4"/>
              </w:rPr>
            </w:r>
          </w:p>
        </w:tc>
        <w:tc>
          <w:tcPr>
            <w:tcW w:w="2683" w:type="dxa"/>
            <w:tcBorders/>
            <w:shd w:fill="auto" w:val="clear"/>
            <w:vAlign w:val="center"/>
          </w:tcPr>
          <w:p>
            <w:pPr>
              <w:pStyle w:val="TableContents"/>
              <w:spacing w:before="0" w:after="283"/>
              <w:rPr>
                <w:sz w:val="4"/>
                <w:szCs w:val="4"/>
              </w:rPr>
            </w:pPr>
            <w:r>
              <w:rPr>
                <w:sz w:val="4"/>
                <w:szCs w:val="4"/>
              </w:rPr>
            </w:r>
          </w:p>
        </w:tc>
        <w:tc>
          <w:tcPr>
            <w:tcW w:w="62" w:type="dxa"/>
            <w:tcBorders/>
            <w:shd w:fill="auto" w:val="clear"/>
            <w:vAlign w:val="center"/>
          </w:tcPr>
          <w:p>
            <w:pPr>
              <w:pStyle w:val="TableContents"/>
              <w:spacing w:before="0" w:after="283"/>
              <w:rPr>
                <w:sz w:val="4"/>
                <w:szCs w:val="4"/>
              </w:rPr>
            </w:pPr>
            <w:r>
              <w:rPr>
                <w:sz w:val="4"/>
                <w:szCs w:val="4"/>
              </w:rPr>
            </w:r>
          </w:p>
        </w:tc>
      </w:tr>
      <w:tr>
        <w:trPr/>
        <w:tc>
          <w:tcPr>
            <w:tcW w:w="3024" w:type="dxa"/>
            <w:tcBorders/>
            <w:shd w:fill="auto" w:val="clear"/>
            <w:vAlign w:val="bottom"/>
          </w:tcPr>
          <w:p>
            <w:pPr>
              <w:pStyle w:val="TableContents"/>
              <w:pBdr>
                <w:bottom w:val="single" w:sz="8" w:space="1" w:color="000000"/>
              </w:pBdr>
              <w:spacing w:before="0" w:after="0"/>
              <w:rPr>
                <w:rFonts w:ascii="Times New Roman" w:hAnsi="Times New Roman"/>
                <w:sz w:val="16"/>
              </w:rPr>
            </w:pPr>
            <w:r>
              <w:rPr>
                <w:rFonts w:ascii="Times New Roman" w:hAnsi="Times New Roman"/>
                <w:sz w:val="16"/>
              </w:rPr>
              <w:t>Settlement Date</w:t>
            </w:r>
          </w:p>
        </w:tc>
        <w:tc>
          <w:tcPr>
            <w:tcW w:w="840" w:type="dxa"/>
            <w:tcBorders/>
            <w:shd w:fill="auto" w:val="clear"/>
            <w:vAlign w:val="bottom"/>
          </w:tcPr>
          <w:p>
            <w:pPr>
              <w:pStyle w:val="TableContents"/>
              <w:spacing w:before="0" w:after="283"/>
              <w:rPr/>
            </w:pPr>
            <w:r>
              <w:rPr/>
              <w:t>  </w:t>
            </w:r>
          </w:p>
        </w:tc>
        <w:tc>
          <w:tcPr>
            <w:tcW w:w="3013"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Value of the Debt Load Indicator</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June 30, 2017</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4.0:1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2017</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4.0:1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June 30, 2018</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4.0:1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2018</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4.0:1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June 30, 2019</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3.5:1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2019</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3.5:1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June 30, 2020</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3.5:1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2020</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3.0:1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June 30, 2021</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3.0:1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2021</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3.0:1</w:t>
            </w:r>
          </w:p>
        </w:tc>
        <w:tc>
          <w:tcPr>
            <w:tcW w:w="62" w:type="dxa"/>
            <w:tcBorders/>
            <w:shd w:fill="auto" w:val="clear"/>
            <w:vAlign w:val="bottom"/>
          </w:tcPr>
          <w:p>
            <w:pPr>
              <w:pStyle w:val="TableContents"/>
              <w:spacing w:before="0" w:after="283"/>
              <w:rPr/>
            </w:pPr>
            <w:r>
              <w:rPr/>
              <w:t> </w:t>
            </w:r>
          </w:p>
        </w:tc>
      </w:tr>
      <w:tr>
        <w:trPr/>
        <w:tc>
          <w:tcPr>
            <w:tcW w:w="3024" w:type="dxa"/>
            <w:tcBorders/>
            <w:shd w:fill="auto" w:val="clear"/>
          </w:tcPr>
          <w:p>
            <w:pPr>
              <w:pStyle w:val="TableContents"/>
              <w:spacing w:before="0" w:after="0"/>
              <w:rPr>
                <w:rFonts w:ascii="Times New Roman" w:hAnsi="Times New Roman"/>
                <w:sz w:val="20"/>
              </w:rPr>
            </w:pPr>
            <w:r>
              <w:rPr>
                <w:rFonts w:ascii="Times New Roman" w:hAnsi="Times New Roman"/>
                <w:sz w:val="20"/>
              </w:rPr>
              <w:t>June 30, 2022 and so on</w:t>
            </w:r>
          </w:p>
        </w:tc>
        <w:tc>
          <w:tcPr>
            <w:tcW w:w="840" w:type="dxa"/>
            <w:tcBorders/>
            <w:shd w:fill="auto" w:val="clear"/>
            <w:vAlign w:val="bottom"/>
          </w:tcPr>
          <w:p>
            <w:pPr>
              <w:pStyle w:val="TableContents"/>
              <w:spacing w:before="0" w:after="283"/>
              <w:rPr/>
            </w:pPr>
            <w:r>
              <w:rPr/>
              <w:t>  </w:t>
            </w:r>
          </w:p>
        </w:tc>
        <w:tc>
          <w:tcPr>
            <w:tcW w:w="330" w:type="dxa"/>
            <w:tcBorders/>
            <w:shd w:fill="auto" w:val="clear"/>
            <w:vAlign w:val="bottom"/>
          </w:tcPr>
          <w:p>
            <w:pPr>
              <w:pStyle w:val="TableContents"/>
              <w:spacing w:before="0" w:after="283"/>
              <w:rPr/>
            </w:pPr>
            <w:r>
              <w:rPr/>
              <w:t> </w:t>
            </w:r>
          </w:p>
        </w:tc>
        <w:tc>
          <w:tcPr>
            <w:tcW w:w="2683" w:type="dxa"/>
            <w:tcBorders/>
            <w:shd w:fill="auto" w:val="clear"/>
            <w:vAlign w:val="bottom"/>
          </w:tcPr>
          <w:p>
            <w:pPr>
              <w:pStyle w:val="TableContents"/>
              <w:spacing w:before="0" w:after="283"/>
              <w:jc w:val="right"/>
              <w:rPr/>
            </w:pPr>
            <w:r>
              <w:rPr/>
              <w:t>3.0:1</w:t>
            </w:r>
          </w:p>
        </w:tc>
        <w:tc>
          <w:tcPr>
            <w:tcW w:w="62"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18.3</w:t>
            </w:r>
          </w:p>
        </w:tc>
        <w:tc>
          <w:tcPr>
            <w:tcW w:w="9695" w:type="dxa"/>
            <w:tcBorders/>
            <w:shd w:fill="auto" w:val="clear"/>
          </w:tcPr>
          <w:p>
            <w:pPr>
              <w:pStyle w:val="TableContents"/>
              <w:spacing w:before="0" w:after="283"/>
              <w:jc w:val="left"/>
              <w:rPr/>
            </w:pPr>
            <w:r>
              <w:rPr/>
              <w:t xml:space="preserve">Interest Coverage Indicator </w:t>
            </w:r>
          </w:p>
        </w:tc>
      </w:tr>
    </w:tbl>
    <w:p>
      <w:pPr>
        <w:pStyle w:val="TextBody"/>
        <w:spacing w:before="120" w:after="0"/>
        <w:rPr>
          <w:rFonts w:ascii="Times New Roman" w:hAnsi="Times New Roman"/>
          <w:sz w:val="20"/>
        </w:rPr>
      </w:pPr>
      <w:r>
        <w:rPr>
          <w:rFonts w:ascii="Times New Roman" w:hAnsi="Times New Roman"/>
          <w:sz w:val="20"/>
        </w:rPr>
        <w:t xml:space="preserve">The Borrower should procure that the ratio of the Consolidated indicator EBITDA to the Interest Amount (hereinafter referred to as the Interest Coverage Indicator) for each Settlement Date is not more than the corresponding value in the following table. </w:t>
      </w:r>
    </w:p>
    <w:p>
      <w:pPr>
        <w:pStyle w:val="TextBody"/>
        <w:spacing w:before="0" w:after="0"/>
        <w:rPr/>
      </w:pPr>
      <w:r>
        <w:rPr/>
        <w:t> </w:t>
      </w:r>
    </w:p>
    <w:tbl>
      <w:tblPr>
        <w:tblW w:w="3400" w:type="pct"/>
        <w:jc w:val="center"/>
        <w:tblInd w:w="0" w:type="dxa"/>
        <w:tblBorders/>
        <w:tblCellMar>
          <w:top w:w="0" w:type="dxa"/>
          <w:left w:w="0" w:type="dxa"/>
          <w:bottom w:w="0" w:type="dxa"/>
          <w:right w:w="0" w:type="dxa"/>
        </w:tblCellMar>
      </w:tblPr>
      <w:tblGrid>
        <w:gridCol w:w="2480"/>
        <w:gridCol w:w="810"/>
        <w:gridCol w:w="3649"/>
      </w:tblGrid>
      <w:tr>
        <w:trPr/>
        <w:tc>
          <w:tcPr>
            <w:tcW w:w="2480" w:type="dxa"/>
            <w:tcBorders/>
            <w:shd w:fill="auto" w:val="clear"/>
            <w:vAlign w:val="center"/>
          </w:tcPr>
          <w:p>
            <w:pPr>
              <w:pStyle w:val="TableContents"/>
              <w:spacing w:before="0" w:after="283"/>
              <w:rPr>
                <w:sz w:val="4"/>
                <w:szCs w:val="4"/>
              </w:rPr>
            </w:pPr>
            <w:r>
              <w:rPr>
                <w:sz w:val="4"/>
                <w:szCs w:val="4"/>
              </w:rPr>
            </w:r>
          </w:p>
        </w:tc>
        <w:tc>
          <w:tcPr>
            <w:tcW w:w="810" w:type="dxa"/>
            <w:tcBorders/>
            <w:shd w:fill="auto" w:val="clear"/>
            <w:vAlign w:val="bottom"/>
          </w:tcPr>
          <w:p>
            <w:pPr>
              <w:pStyle w:val="TableContents"/>
              <w:spacing w:before="0" w:after="283"/>
              <w:rPr>
                <w:sz w:val="4"/>
                <w:szCs w:val="4"/>
              </w:rPr>
            </w:pPr>
            <w:r>
              <w:rPr>
                <w:sz w:val="4"/>
                <w:szCs w:val="4"/>
              </w:rPr>
            </w:r>
          </w:p>
        </w:tc>
        <w:tc>
          <w:tcPr>
            <w:tcW w:w="3649" w:type="dxa"/>
            <w:tcBorders/>
            <w:shd w:fill="auto" w:val="clear"/>
            <w:vAlign w:val="center"/>
          </w:tcPr>
          <w:p>
            <w:pPr>
              <w:pStyle w:val="TableContents"/>
              <w:spacing w:before="0" w:after="283"/>
              <w:rPr>
                <w:sz w:val="4"/>
                <w:szCs w:val="4"/>
              </w:rPr>
            </w:pPr>
            <w:r>
              <w:rPr>
                <w:sz w:val="4"/>
                <w:szCs w:val="4"/>
              </w:rPr>
            </w:r>
          </w:p>
        </w:tc>
      </w:tr>
      <w:tr>
        <w:trPr/>
        <w:tc>
          <w:tcPr>
            <w:tcW w:w="2480" w:type="dxa"/>
            <w:tcBorders/>
            <w:shd w:fill="auto" w:val="clear"/>
            <w:vAlign w:val="bottom"/>
          </w:tcPr>
          <w:p>
            <w:pPr>
              <w:pStyle w:val="TableContents"/>
              <w:pBdr>
                <w:bottom w:val="single" w:sz="8" w:space="1" w:color="000000"/>
              </w:pBdr>
              <w:spacing w:before="0" w:after="0"/>
              <w:rPr>
                <w:rFonts w:ascii="Times New Roman" w:hAnsi="Times New Roman"/>
                <w:sz w:val="16"/>
              </w:rPr>
            </w:pPr>
            <w:r>
              <w:rPr>
                <w:rFonts w:ascii="Times New Roman" w:hAnsi="Times New Roman"/>
                <w:sz w:val="16"/>
              </w:rPr>
              <w:t>Settlement Date</w:t>
            </w:r>
          </w:p>
        </w:tc>
        <w:tc>
          <w:tcPr>
            <w:tcW w:w="810" w:type="dxa"/>
            <w:tcBorders/>
            <w:shd w:fill="auto" w:val="clear"/>
            <w:vAlign w:val="bottom"/>
          </w:tcPr>
          <w:p>
            <w:pPr>
              <w:pStyle w:val="TableContents"/>
              <w:spacing w:before="0" w:after="283"/>
              <w:rPr/>
            </w:pPr>
            <w:r>
              <w:rPr/>
              <w:t>  </w:t>
            </w:r>
          </w:p>
        </w:tc>
        <w:tc>
          <w:tcPr>
            <w:tcW w:w="3649"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Value of the Interest Coverage Indicator</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June 30, 2017</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1.5:1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2017</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1.5:1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June 30, 2018</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1.5:1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2018</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1.5:1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June 30, 2019</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2.5:1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2019</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2.5:1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June 30, 2020</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2.5:1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2020</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2.5:1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June 30, 2021</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2.5:1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December 31, 2021</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2.5:1</w:t>
            </w:r>
          </w:p>
        </w:tc>
      </w:tr>
      <w:tr>
        <w:trPr/>
        <w:tc>
          <w:tcPr>
            <w:tcW w:w="2480" w:type="dxa"/>
            <w:tcBorders/>
            <w:shd w:fill="auto" w:val="clear"/>
          </w:tcPr>
          <w:p>
            <w:pPr>
              <w:pStyle w:val="TableContents"/>
              <w:spacing w:before="0" w:after="0"/>
              <w:rPr>
                <w:rFonts w:ascii="Times New Roman" w:hAnsi="Times New Roman"/>
                <w:sz w:val="20"/>
              </w:rPr>
            </w:pPr>
            <w:r>
              <w:rPr>
                <w:rFonts w:ascii="Times New Roman" w:hAnsi="Times New Roman"/>
                <w:sz w:val="20"/>
              </w:rPr>
              <w:t>June 30, 2022 and so on</w:t>
            </w:r>
          </w:p>
        </w:tc>
        <w:tc>
          <w:tcPr>
            <w:tcW w:w="810" w:type="dxa"/>
            <w:tcBorders/>
            <w:shd w:fill="auto" w:val="clear"/>
            <w:vAlign w:val="bottom"/>
          </w:tcPr>
          <w:p>
            <w:pPr>
              <w:pStyle w:val="TableContents"/>
              <w:spacing w:before="0" w:after="283"/>
              <w:rPr/>
            </w:pPr>
            <w:r>
              <w:rPr/>
              <w:t>  </w:t>
            </w:r>
          </w:p>
        </w:tc>
        <w:tc>
          <w:tcPr>
            <w:tcW w:w="3649" w:type="dxa"/>
            <w:tcBorders/>
            <w:shd w:fill="auto" w:val="clear"/>
            <w:vAlign w:val="bottom"/>
          </w:tcPr>
          <w:p>
            <w:pPr>
              <w:pStyle w:val="TableContents"/>
              <w:spacing w:before="0" w:after="283"/>
              <w:jc w:val="center"/>
              <w:rPr/>
            </w:pPr>
            <w:r>
              <w:rPr/>
              <w:t>2.5:1</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18.4</w:t>
            </w:r>
          </w:p>
        </w:tc>
        <w:tc>
          <w:tcPr>
            <w:tcW w:w="9695" w:type="dxa"/>
            <w:tcBorders/>
            <w:shd w:fill="auto" w:val="clear"/>
          </w:tcPr>
          <w:p>
            <w:pPr>
              <w:pStyle w:val="TableContents"/>
              <w:spacing w:before="0" w:after="283"/>
              <w:jc w:val="left"/>
              <w:rPr/>
            </w:pPr>
            <w:r>
              <w:rPr/>
              <w:t xml:space="preserve">Revenue extent according to Russian Accounting Standards </w:t>
            </w:r>
          </w:p>
        </w:tc>
      </w:tr>
    </w:tbl>
    <w:p>
      <w:pPr>
        <w:pStyle w:val="TextBody"/>
        <w:spacing w:before="120" w:after="0"/>
        <w:rPr>
          <w:rFonts w:ascii="Times New Roman" w:hAnsi="Times New Roman"/>
          <w:sz w:val="20"/>
        </w:rPr>
      </w:pPr>
      <w:r>
        <w:rPr>
          <w:rFonts w:ascii="Times New Roman" w:hAnsi="Times New Roman"/>
          <w:sz w:val="20"/>
        </w:rPr>
        <w:t>The Borrower should procure that by the end of each financial quarter the cumulative extent of the Revenue of the Borrower and Headhunter without dual standard for 4 (four) previous financial quarters determined on the basis of the financial statements of the Borrower and Headhunter based on the Russian Accounting Standards submitted in compliance with section (d) of the Article 17.1 (</w:t>
      </w:r>
      <w:r>
        <w:rPr>
          <w:rFonts w:ascii="Times New Roman" w:hAnsi="Times New Roman"/>
          <w:i/>
          <w:sz w:val="20"/>
        </w:rPr>
        <w:t>Financial statements</w:t>
      </w:r>
      <w:r>
        <w:rPr>
          <w:rFonts w:ascii="Times New Roman" w:hAnsi="Times New Roman"/>
          <w:sz w:val="20"/>
        </w:rPr>
        <w:t xml:space="preserve">) would be not less than 95 (ninety five) percent of a similar indicator in compliance with the reporting of the Borrower and Headhunter prepared in compliance with the Russian Accounting Standards submitted as a part of the Initial Financial Reporting.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18.5</w:t>
            </w:r>
          </w:p>
        </w:tc>
        <w:tc>
          <w:tcPr>
            <w:tcW w:w="9695" w:type="dxa"/>
            <w:tcBorders/>
            <w:shd w:fill="auto" w:val="clear"/>
          </w:tcPr>
          <w:p>
            <w:pPr>
              <w:pStyle w:val="TableContents"/>
              <w:spacing w:before="0" w:after="283"/>
              <w:jc w:val="left"/>
              <w:rPr/>
            </w:pPr>
            <w:r>
              <w:rPr/>
              <w:t xml:space="preserve">Granting of Additional guarantees </w:t>
            </w:r>
          </w:p>
        </w:tc>
      </w:tr>
    </w:tbl>
    <w:p>
      <w:pPr>
        <w:pStyle w:val="TextBody"/>
        <w:spacing w:before="120" w:after="0"/>
        <w:rPr>
          <w:rFonts w:ascii="Times New Roman" w:hAnsi="Times New Roman"/>
          <w:sz w:val="20"/>
        </w:rPr>
      </w:pPr>
      <w:r>
        <w:rPr>
          <w:rFonts w:ascii="Times New Roman" w:hAnsi="Times New Roman"/>
          <w:sz w:val="20"/>
        </w:rPr>
        <w:t xml:space="preserve">If it was accrued in aggregate for the Debtors as at any Settlement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less than 80 (eighty) percent of the Consolidated indicator EBITDA;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4" w:type="dxa"/>
            <w:tcBorders/>
            <w:shd w:fill="auto" w:val="clear"/>
          </w:tcPr>
          <w:p>
            <w:pPr>
              <w:pStyle w:val="TableContents"/>
              <w:spacing w:before="0" w:after="283"/>
              <w:jc w:val="left"/>
              <w:rPr/>
            </w:pPr>
            <w:r>
              <w:rPr/>
              <w:t xml:space="preserve">less than 80 (eighty) percent of the Revenue of the Group;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less than 70 (seventy) percent of Assets of the Group, </w:t>
            </w:r>
          </w:p>
        </w:tc>
      </w:tr>
    </w:tbl>
    <w:p>
      <w:pPr>
        <w:pStyle w:val="TextBody"/>
        <w:spacing w:before="120" w:after="0"/>
        <w:rPr>
          <w:rFonts w:ascii="Times New Roman" w:hAnsi="Times New Roman"/>
          <w:sz w:val="20"/>
        </w:rPr>
      </w:pPr>
      <w:r>
        <w:rPr>
          <w:rFonts w:ascii="Times New Roman" w:hAnsi="Times New Roman"/>
          <w:sz w:val="20"/>
        </w:rPr>
        <w:t xml:space="preserve">then the Borrower is obliged to provide conclusion of the additional guarantee (hereinafter referred to as the Additional guarantee) as well as Agreement concerning issue of such additional guarantee (hereinafter referred to as the Additional Guarantee Issue Agreement) by the juridical person acceptable for the Credit Agent (hereinafter referred to as the Additional Guarantor) within 30 (thirty) days as from the corresponding Settlement Date and conclusion of the Agreement of pledge for one hundred percent of shares and (or) share in the authorized capital stock of such Additional Guarantor belonging to any Pledger or participant of the Group (hereinafter referred to as the Additional Agreement of Pledge) within 60 (sixty) days as from the corresponding Settlement Date, in each case on the conditions acceptable for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18.6</w:t>
            </w:r>
          </w:p>
        </w:tc>
        <w:tc>
          <w:tcPr>
            <w:tcW w:w="9695" w:type="dxa"/>
            <w:tcBorders/>
            <w:shd w:fill="auto" w:val="clear"/>
          </w:tcPr>
          <w:p>
            <w:pPr>
              <w:pStyle w:val="TableContents"/>
              <w:spacing w:before="0" w:after="283"/>
              <w:jc w:val="left"/>
              <w:rPr/>
            </w:pPr>
            <w:r>
              <w:rPr/>
              <w:t xml:space="preserve">The Money Receipts Extent </w:t>
            </w:r>
          </w:p>
        </w:tc>
      </w:tr>
    </w:tbl>
    <w:p>
      <w:pPr>
        <w:pStyle w:val="TextBody"/>
        <w:spacing w:before="120" w:after="0"/>
        <w:rPr>
          <w:rFonts w:ascii="Times New Roman" w:hAnsi="Times New Roman"/>
          <w:sz w:val="20"/>
        </w:rPr>
      </w:pPr>
      <w:r>
        <w:rPr>
          <w:rFonts w:ascii="Times New Roman" w:hAnsi="Times New Roman"/>
          <w:sz w:val="20"/>
        </w:rPr>
        <w:t xml:space="preserve">The Borrower should procure the following as of the end of each financial quarter, starting from the calendar quarter following immediately after calendar quarter at which the first Disbursement Date falls: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reduction of the Money Receipts extent for 4 (four) previous financial quarters is no more than 10 (ten) percent in comparison with the Money Receipts extent according to the administrative reporting of HeadHunter FSU submitted as a part of the Initial Reporting;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reduction of the Money Receipts extent is no more than 5 (five) percent in comparison with the Money Receipts extent determined as of the same date of the preceding year according to the administrative reporting of Zemenik Trading submitted in compliance with section (c) of Article 17.1 (</w:t>
            </w:r>
            <w:r>
              <w:rPr>
                <w:i/>
              </w:rPr>
              <w:t>Financial statements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18.7</w:t>
            </w:r>
          </w:p>
        </w:tc>
        <w:tc>
          <w:tcPr>
            <w:tcW w:w="9695" w:type="dxa"/>
            <w:tcBorders/>
            <w:shd w:fill="auto" w:val="clear"/>
          </w:tcPr>
          <w:p>
            <w:pPr>
              <w:pStyle w:val="TableContents"/>
              <w:spacing w:before="0" w:after="283"/>
              <w:jc w:val="left"/>
              <w:rPr/>
            </w:pPr>
            <w:r>
              <w:rPr/>
              <w:t xml:space="preserve">Terms and Definitions </w:t>
            </w:r>
          </w:p>
        </w:tc>
      </w:tr>
    </w:tbl>
    <w:p>
      <w:pPr>
        <w:pStyle w:val="TextBody"/>
        <w:spacing w:before="120" w:after="0"/>
        <w:rPr>
          <w:rFonts w:ascii="Times New Roman" w:hAnsi="Times New Roman"/>
          <w:sz w:val="20"/>
        </w:rPr>
      </w:pPr>
      <w:r>
        <w:rPr>
          <w:rFonts w:ascii="Times New Roman" w:hAnsi="Times New Roman"/>
          <w:sz w:val="20"/>
        </w:rPr>
        <w:t xml:space="preserve">Assets means the Group’s assets, including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long-term tangible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intangible assets (with the exception of “goodwill”);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money funds;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equivalent of money funds. </w:t>
            </w:r>
          </w:p>
        </w:tc>
      </w:tr>
    </w:tbl>
    <w:p>
      <w:pPr>
        <w:pStyle w:val="TextBody"/>
        <w:spacing w:before="120" w:after="0"/>
        <w:rPr>
          <w:rFonts w:ascii="Times New Roman" w:hAnsi="Times New Roman"/>
          <w:sz w:val="20"/>
        </w:rPr>
      </w:pPr>
      <w:r>
        <w:rPr>
          <w:rFonts w:ascii="Times New Roman" w:hAnsi="Times New Roman"/>
          <w:sz w:val="20"/>
        </w:rPr>
        <w:t>At that, the Money funds and Equivalent of money funds of each Affiliated Company belonging to the Borrower, Headhunter or HeadHunter FSU shall be taken into accounts for the purpose of the Article 18.5 (</w:t>
      </w:r>
      <w:r>
        <w:rPr>
          <w:rFonts w:ascii="Times New Roman" w:hAnsi="Times New Roman"/>
          <w:i/>
          <w:sz w:val="20"/>
        </w:rPr>
        <w:t>Granting of Additional guarantees</w:t>
      </w:r>
      <w:r>
        <w:rPr>
          <w:rFonts w:ascii="Times New Roman" w:hAnsi="Times New Roman"/>
          <w:sz w:val="20"/>
        </w:rPr>
        <w:t xml:space="preserve">) if the following conditions are satisfied as at the corresponding Settlement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the authorized body of such Affiliated Company has adopted the corporate decision (satisfying the Credit Agent) concerning transfer of such Money funds in favor of the Borrower, Headhunter or HeadHunter FSU;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such transfer of Money funds should take place not later than within 90 (ninety) days as from the Settlement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the financial statements of such Affiliated Company is consolidated with the financial statements of the Borrower, Headhunter or HeadHunter FSU in compliance with International Financial Reporting Standards during the corresponding period of time in the way of direct consolidation;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the applicable legislation does not prohibit transfer of Money funds by a corresponding Affiliated Company to the Holding Company in quality of dividends or otherwise. </w:t>
            </w:r>
          </w:p>
        </w:tc>
      </w:tr>
    </w:tbl>
    <w:p>
      <w:pPr>
        <w:pStyle w:val="TextBody"/>
        <w:spacing w:before="120" w:after="0"/>
        <w:rPr>
          <w:rFonts w:ascii="Times New Roman" w:hAnsi="Times New Roman"/>
          <w:sz w:val="20"/>
        </w:rPr>
      </w:pPr>
      <w:r>
        <w:rPr>
          <w:rFonts w:ascii="Times New Roman" w:hAnsi="Times New Roman"/>
          <w:sz w:val="20"/>
        </w:rPr>
        <w:t>For the purpose of the Article 18.5 (</w:t>
      </w:r>
      <w:r>
        <w:rPr>
          <w:rFonts w:ascii="Times New Roman" w:hAnsi="Times New Roman"/>
          <w:i/>
          <w:sz w:val="20"/>
        </w:rPr>
        <w:t>Granting of Additional guarantees</w:t>
      </w:r>
      <w:r>
        <w:rPr>
          <w:rFonts w:ascii="Times New Roman" w:hAnsi="Times New Roman"/>
          <w:sz w:val="20"/>
        </w:rPr>
        <w:t xml:space="preserve">), in case of fulfillment of all the conditions indicated above such Money funds shall be counted in the calculation as belonging not to the Affiliated Company of the Borrower, Headhunter and HeadHunter FSU, but directly to the Borrower, Headhunter and HeadHunter FSU in proportion to its participation in an authorized capital stock of such Affiliated Company. </w:t>
      </w:r>
    </w:p>
    <w:p>
      <w:pPr>
        <w:pStyle w:val="TextBody"/>
        <w:spacing w:before="120" w:after="0"/>
        <w:rPr>
          <w:rFonts w:ascii="Times New Roman" w:hAnsi="Times New Roman"/>
          <w:sz w:val="20"/>
        </w:rPr>
      </w:pPr>
      <w:r>
        <w:rPr>
          <w:rFonts w:ascii="Times New Roman" w:hAnsi="Times New Roman"/>
          <w:sz w:val="20"/>
        </w:rPr>
        <w:t>Money Receipts means the Money Receipts obtained by the Group from Clients within the previous 12 (twelve) months, to be determined on the basis of the financial statements submitted in compliance with section (c) of Article 17.1 (</w:t>
      </w:r>
      <w:r>
        <w:rPr>
          <w:rFonts w:ascii="Times New Roman" w:hAnsi="Times New Roman"/>
          <w:i/>
          <w:sz w:val="20"/>
        </w:rPr>
        <w:t>Financial statements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Clients means physical and juridical persons, and also individual businessmen who have paid or should pay for the services of the main services of Headhunter (access to recruitment database and publication of vacancies) in compliance with Agreements with Headhunter including those concluded as a result of the offer acceptance in Websites of Debtors. </w:t>
      </w:r>
    </w:p>
    <w:p>
      <w:pPr>
        <w:pStyle w:val="TextBody"/>
        <w:spacing w:before="120" w:after="0"/>
        <w:rPr>
          <w:rFonts w:ascii="Times New Roman" w:hAnsi="Times New Roman"/>
          <w:sz w:val="20"/>
        </w:rPr>
      </w:pPr>
      <w:r>
        <w:rPr>
          <w:rFonts w:ascii="Times New Roman" w:hAnsi="Times New Roman"/>
          <w:sz w:val="20"/>
        </w:rPr>
        <w:t xml:space="preserve">The consolidated net indebtedness means in respect of any Settlement Period the cumulative extent of Financial Indebtedness of the Group (without any indebtedness of the participant of the Group to the other participants of the Group) with the deduction of Money funds and the Equivalent of money funds of the Group in compliance with the consolidated financial statements of the Group prepared in compliance with International Financial Reporting Standards as at the last day of such Settlement Period or in compliance with the administrative reporting of the Group as at the last day of such Settlement Period.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The consolidated net profit of the Group means the consolidated net profit of the Group determined as at the last reporting date that is (depending on the date of determination):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As of the end of fiscal year or financial half-year, in conformity with the financial statements of the Group for corresponding fiscal year or financial half-year (accordingly) prepared in compliance with the International Financial Reporting Standards and submitted to the Credit Agent in compliance with section (a) or (b) of the Article 17.1 (Financial statements);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As of the end of the first or third financial quarter, on the basis of the corresponding administrative reporting of the Group submitted to the Credit Agent in compliance with section (c) of Article 17.1 (</w:t>
            </w:r>
            <w:r>
              <w:rPr>
                <w:i/>
              </w:rPr>
              <w:t>Financial statements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Interest Amount means the Interest payable/receivable charged on all Financial Indebtedness of the Group. </w:t>
      </w:r>
    </w:p>
    <w:p>
      <w:pPr>
        <w:pStyle w:val="TextBody"/>
        <w:spacing w:before="360" w:after="0"/>
        <w:rPr>
          <w:rFonts w:ascii="Times New Roman" w:hAnsi="Times New Roman"/>
          <w:sz w:val="20"/>
        </w:rPr>
      </w:pPr>
      <w:r>
        <w:rPr>
          <w:rFonts w:ascii="Times New Roman" w:hAnsi="Times New Roman"/>
          <w:sz w:val="20"/>
        </w:rPr>
        <w:t xml:space="preserve">19. GENERAL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19.1</w:t>
            </w:r>
          </w:p>
        </w:tc>
        <w:tc>
          <w:tcPr>
            <w:tcW w:w="9694" w:type="dxa"/>
            <w:tcBorders/>
            <w:shd w:fill="auto" w:val="clear"/>
          </w:tcPr>
          <w:p>
            <w:pPr>
              <w:pStyle w:val="TableContents"/>
              <w:spacing w:before="0" w:after="283"/>
              <w:jc w:val="left"/>
              <w:rPr/>
            </w:pPr>
            <w:r>
              <w:rPr/>
              <w:t xml:space="preserve">Authorization and corporate approval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The Borrower is obliged and undertakes to procure that each Affiliated Company of the Borrower in due time received, provided the validity and met conditions of any authorization, permission and corporate approvals required in compliance with any applicable legislation for execution of their obligations under the Financial Documents, a party of which they are, and for making it possible to use the Financial Documents as the proof in arbitrations and in the courts of the Russian Federation including arbitration tribunals.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Except for obtaining of license in the Republic of Azerbaijan for handling the personal data, the Borrower is obliged and undertakes to procure that each Affiliated Company of the Borrower in due time received necessary state and municipal authorization, consent, licenses and patents and also membership in the self-regulated organizations, demanded in compliance with any applicable legislation for management of economic activities of any participant of the Group in that kind in which it is performed, and also provides their validity and met their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19.2</w:t>
            </w:r>
          </w:p>
        </w:tc>
        <w:tc>
          <w:tcPr>
            <w:tcW w:w="9695" w:type="dxa"/>
            <w:tcBorders/>
            <w:shd w:fill="auto" w:val="clear"/>
          </w:tcPr>
          <w:p>
            <w:pPr>
              <w:pStyle w:val="TableContents"/>
              <w:spacing w:before="0" w:after="283"/>
              <w:jc w:val="left"/>
              <w:rPr/>
            </w:pPr>
            <w:r>
              <w:rPr/>
              <w:t xml:space="preserve">Prohibition on Assets Encumbrance </w:t>
            </w:r>
          </w:p>
        </w:tc>
      </w:tr>
    </w:tbl>
    <w:p>
      <w:pPr>
        <w:pStyle w:val="TextBody"/>
        <w:spacing w:before="120" w:after="0"/>
        <w:rPr>
          <w:rFonts w:ascii="Times New Roman" w:hAnsi="Times New Roman"/>
          <w:sz w:val="20"/>
        </w:rPr>
      </w:pPr>
      <w:r>
        <w:rPr>
          <w:rFonts w:ascii="Times New Roman" w:hAnsi="Times New Roman"/>
          <w:sz w:val="20"/>
        </w:rPr>
        <w:t xml:space="preserve">The Borrower undertakes and takes an obligation to procure that each Affiliated Company of the Borrower refrain from creation and prevent existence of any Encumbrance in respect of the assets without preliminary written consent of the Credit Agent with the exception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Encumbrances of assets (except for that indicated in section (d) below, but without double accounting) which balance cost in aggregate does not exceed at any time 5 (five) percent of the Consolidated indicator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The encumbrance arising in compliance with the Security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Any Encumbrance arising by virtue of the law in the normal course of economic activities;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Any Encumbrance in the form of the right of writing-off of funds from the account with pre-authorization of the payer or the similar right of writing-off if it result in discarding of money funds from such account at the rate of no more than 5 (five) percent of the Consolidated indicator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19.3</w:t>
            </w:r>
          </w:p>
        </w:tc>
        <w:tc>
          <w:tcPr>
            <w:tcW w:w="9695" w:type="dxa"/>
            <w:tcBorders/>
            <w:shd w:fill="auto" w:val="clear"/>
          </w:tcPr>
          <w:p>
            <w:pPr>
              <w:pStyle w:val="TableContents"/>
              <w:spacing w:before="0" w:after="283"/>
              <w:jc w:val="left"/>
              <w:rPr/>
            </w:pPr>
            <w:r>
              <w:rPr/>
              <w:t xml:space="preserve">Alienation of assets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keep from sale, lease or otherwise alienate any assets or property without preliminary written consent of the Credit Agent and undertakes to procure that any Affiliated Company of the Borrower keep from sale, lease and otherwise alienation of any assets or property without preliminary written consent of the Credit Agent, with the exception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Alienations of assets or property within the frameworks of normal economic activities;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Alienations of assets or property within the limits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Alienations of assets or property within the limits of re-structuring with reference of ownership of limited liability partnership “HEADHUNTER.KZ”;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Alienations of assets or property of participants of the Group for the cumulative amount as per the balance or market cost (depending on whichever amount is larger of two) to be received as a result of one or several transactions made within each consecutive 12 (twelve) months not exceeding 5 (five) percent of the Consolidated indicator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6" w:type="dxa"/>
            <w:tcBorders/>
            <w:shd w:fill="auto" w:val="clear"/>
          </w:tcPr>
          <w:p>
            <w:pPr>
              <w:pStyle w:val="TableContents"/>
              <w:spacing w:before="0" w:after="283"/>
              <w:jc w:val="left"/>
              <w:rPr/>
            </w:pPr>
            <w:r>
              <w:rPr/>
              <w:t>Alienations of shares of the company CV Keskus OU (serial number 11325768, registered at the address Mustamae tee 46, Tallinna linn, Harju maakond 10621) provided that the Debt Load Indicator After Alienation would not exceed the Debt Load Indicator as at the last Settlement Date. At that, for the purposes of observance of the Debt Load Indicator After Alienation specified above, the Borrower (or other participant of the Group) has the right, before payment in favor of the other participant of the Group or shareholders of Zemenik Trading of the money funds received from sale of shares of the company CV Keskus OU, to forward a part of the money funds received as a result of alienation of shares of the company CV Keskus OU, for the partial redemption of the Outstanding Credit in compliance with the Article 8.3 (</w:t>
            </w:r>
            <w:r>
              <w:rPr>
                <w:i/>
              </w:rPr>
              <w:t>Voluntary early repayment of the Outstanding Credit</w:t>
            </w:r>
            <w:r>
              <w:rPr/>
              <w:t xml:space="preserve">). The Borrower undertakes to submit the certificate to the Credit Agent not later than within 5 (five) Working Days prior to alienation of shares of the company CV Keskus OU, confirming fulfillment of a condition indicated above that contains calculation of the Debt Load Indicator After Alienation and (if applicable) specifies the period of time required for the Borrower (or other participant of the Group) for partial repayment of the Outstanding Credit stipulated in the calculation of the Debt Load Indicator After Alienation. Payment to shareholders Zemenik Trading of the money funds received as a result of alienation of shares of the company CV Keskus OU can be effected by the Borrower or by the other participants of the Group based on the results of alienation one time only;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Alienations of shares or participatory shares in the authorized capital stock of the participant of the Group not being the Debtor except for the company CV Keskus OU, provided that after such alienation: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value of the Debt Indicator (as determined below) will not exceed 2.0:1;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value of the Debt Indicator after payment of the Distributable Amount will not be increased in comparison with the Debt Load Indicator as of the last Settlement Date. </w:t>
            </w:r>
          </w:p>
        </w:tc>
      </w:tr>
    </w:tbl>
    <w:p>
      <w:pPr>
        <w:pStyle w:val="TextBody"/>
        <w:spacing w:before="120" w:after="0"/>
        <w:rPr>
          <w:rFonts w:ascii="Times New Roman" w:hAnsi="Times New Roman"/>
          <w:sz w:val="20"/>
        </w:rPr>
      </w:pPr>
      <w:r>
        <w:rPr>
          <w:rFonts w:ascii="Times New Roman" w:hAnsi="Times New Roman"/>
          <w:sz w:val="20"/>
        </w:rPr>
        <w:t xml:space="preserve">At that such alienation in compliance with the present section (f) should be executed on market conditions and subject to the following conditions: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(A)</w:t>
            </w:r>
          </w:p>
        </w:tc>
        <w:tc>
          <w:tcPr>
            <w:tcW w:w="8574" w:type="dxa"/>
            <w:tcBorders/>
            <w:shd w:fill="auto" w:val="clear"/>
          </w:tcPr>
          <w:p>
            <w:pPr>
              <w:pStyle w:val="TableContents"/>
              <w:spacing w:before="0" w:after="283"/>
              <w:jc w:val="left"/>
              <w:rPr/>
            </w:pPr>
            <w:r>
              <w:rPr/>
              <w:t>the Borrower shall forward the notification to the Credit Agent before alienation of the Alienated Participant of the Group specifying the sale price of the Alienated Participant of the Group with instructions in such notification of the extent of the Distributable Amount, amount which is supposed to be used for the economic activities of the participant of the Group alienating the Alienated Participant of the Group, and (or) the amount which is supposed to be used for early repayment of the Outstanding Credit or its part in conformity with the Article</w:t>
            </w:r>
            <w:r>
              <w:rPr>
                <w:u w:val="single"/>
              </w:rPr>
              <w:t xml:space="preserve"> 8.3</w:t>
            </w:r>
            <w:r>
              <w:rPr/>
              <w:t xml:space="preserve"> </w:t>
            </w:r>
            <w:r>
              <w:rPr>
                <w:u w:val="single"/>
              </w:rPr>
              <w:t>(</w:t>
            </w:r>
            <w:r>
              <w:rPr>
                <w:i/>
                <w:u w:val="single"/>
              </w:rPr>
              <w:t>Voluntary early repayment of the Outstanding Credit</w:t>
            </w:r>
            <w:r>
              <w:rPr>
                <w:u w:val="single"/>
              </w:rPr>
              <w: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8063" w:type="dxa"/>
            <w:tcBorders/>
            <w:shd w:fill="auto" w:val="clear"/>
          </w:tcPr>
          <w:p>
            <w:pPr>
              <w:pStyle w:val="TableContents"/>
              <w:spacing w:before="0" w:after="283"/>
              <w:jc w:val="left"/>
              <w:rPr/>
            </w:pPr>
            <w:r>
              <w:rPr/>
              <w:t xml:space="preserve">the Borrower shall submit the certificate to the Credit Agent not later than within 5 (five) Working Days prior to alienation of the Alienated Participant of the Group confirming satisfaction of all conditions indicated in sections (i) and (ii) above;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8063" w:type="dxa"/>
            <w:tcBorders/>
            <w:shd w:fill="auto" w:val="clear"/>
          </w:tcPr>
          <w:p>
            <w:pPr>
              <w:pStyle w:val="TableContents"/>
              <w:spacing w:before="0" w:after="283"/>
              <w:jc w:val="left"/>
              <w:rPr/>
            </w:pPr>
            <w:r>
              <w:rPr/>
              <w:t xml:space="preserve">sale of the Alienated Participant of the Group should be finished within 30 days as from the date of the notification indicated in the subparagraph (A) above, and anyway within the calendar quarter in which the Borrower had directed the documents indicated in sections (a) and (B) above to the Credit Agent;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8063" w:type="dxa"/>
            <w:tcBorders/>
            <w:shd w:fill="auto" w:val="clear"/>
          </w:tcPr>
          <w:p>
            <w:pPr>
              <w:pStyle w:val="TableContents"/>
              <w:spacing w:before="0" w:after="283"/>
              <w:jc w:val="left"/>
              <w:rPr/>
            </w:pPr>
            <w:r>
              <w:rPr/>
              <w:t xml:space="preserve">sale of the Alienated Participant of the Group will not cause violation of the obligations stipulated in the Article 18 (Obligations in respect of observance of the financial indicators). </w:t>
            </w:r>
          </w:p>
        </w:tc>
      </w:tr>
    </w:tbl>
    <w:p>
      <w:pPr>
        <w:pStyle w:val="TextBody"/>
        <w:spacing w:before="120" w:after="0"/>
        <w:rPr>
          <w:rFonts w:ascii="Times New Roman" w:hAnsi="Times New Roman"/>
          <w:sz w:val="20"/>
        </w:rPr>
      </w:pPr>
      <w:r>
        <w:rPr>
          <w:rFonts w:ascii="Times New Roman" w:hAnsi="Times New Roman"/>
          <w:sz w:val="20"/>
        </w:rPr>
        <w:t xml:space="preserve">The participant of the Group alienating the Alienated Participant of the Group has the right to effect payment of the Distributable Amount without consent of the Credit Agent at the rate not implicating violation of a financial indicator stipulated in subparagraphs (i) and (ii) of the present section (f). At that, payment of the Distributable Amount may be effected based on results of sale of the Alienated Participant of the Group one time only. The money funds remained after payment of the Distributable Amount shall be used by the seller of the Alienated Participant of the Group by agreement with the Credit Agent. </w:t>
      </w:r>
    </w:p>
    <w:p>
      <w:pPr>
        <w:pStyle w:val="TextBody"/>
        <w:spacing w:before="240" w:after="0"/>
        <w:rPr>
          <w:rFonts w:ascii="Times New Roman" w:hAnsi="Times New Roman"/>
          <w:sz w:val="20"/>
        </w:rPr>
      </w:pPr>
      <w:r>
        <w:rPr>
          <w:rFonts w:ascii="Times New Roman" w:hAnsi="Times New Roman"/>
          <w:sz w:val="20"/>
        </w:rPr>
        <w:t xml:space="preserve">(g)    For the purposes of the sections (e) and (f) above the following definitions have the following meaning: </w:t>
      </w:r>
    </w:p>
    <w:p>
      <w:pPr>
        <w:pStyle w:val="TextBody"/>
        <w:spacing w:before="120" w:after="0"/>
        <w:rPr>
          <w:rFonts w:ascii="Times New Roman" w:hAnsi="Times New Roman"/>
          <w:sz w:val="20"/>
        </w:rPr>
      </w:pPr>
      <w:r>
        <w:rPr>
          <w:rFonts w:ascii="Times New Roman" w:hAnsi="Times New Roman"/>
          <w:sz w:val="20"/>
        </w:rPr>
        <w:t xml:space="preserve">The Group money funds means the Money funds and the Equivalent of the Money funds, belonging to Group. </w:t>
      </w:r>
    </w:p>
    <w:p>
      <w:pPr>
        <w:pStyle w:val="TextBody"/>
        <w:spacing w:before="120" w:after="0"/>
        <w:rPr>
          <w:rFonts w:ascii="Times New Roman" w:hAnsi="Times New Roman"/>
          <w:sz w:val="20"/>
        </w:rPr>
      </w:pPr>
      <w:r>
        <w:rPr>
          <w:rFonts w:ascii="Times New Roman" w:hAnsi="Times New Roman"/>
          <w:sz w:val="20"/>
        </w:rPr>
        <w:t xml:space="preserve">Money funds of the Alienated Participant of the Group means Money funds and the Equivalent of the Money funds belonging to the Alienated Participant of the Group. </w:t>
      </w:r>
    </w:p>
    <w:p>
      <w:pPr>
        <w:pStyle w:val="TextBody"/>
        <w:spacing w:before="120" w:after="0"/>
        <w:rPr>
          <w:rFonts w:ascii="Times New Roman" w:hAnsi="Times New Roman"/>
          <w:sz w:val="20"/>
        </w:rPr>
      </w:pPr>
      <w:r>
        <w:rPr>
          <w:rFonts w:ascii="Times New Roman" w:hAnsi="Times New Roman"/>
          <w:sz w:val="20"/>
        </w:rPr>
        <w:t xml:space="preserve">The alienated Participant of the Group means the participant of the Group that is not the Debtor except for the company CV Keskus OU which shares participatory shares in the authorized capital stock are subject to alienation. </w:t>
      </w:r>
    </w:p>
    <w:p>
      <w:pPr>
        <w:pStyle w:val="TextBody"/>
        <w:spacing w:before="120" w:after="0"/>
        <w:rPr>
          <w:rFonts w:ascii="Times New Roman" w:hAnsi="Times New Roman"/>
          <w:sz w:val="20"/>
        </w:rPr>
      </w:pPr>
      <w:r>
        <w:rPr>
          <w:rFonts w:ascii="Times New Roman" w:hAnsi="Times New Roman"/>
          <w:sz w:val="20"/>
        </w:rPr>
        <w:t xml:space="preserve">The Debt Indicator means a ratio of the Amount of the Net debt to EBITDA. </w:t>
      </w:r>
    </w:p>
    <w:p>
      <w:pPr>
        <w:pStyle w:val="TextBody"/>
        <w:spacing w:before="120" w:after="0"/>
        <w:rPr>
          <w:rFonts w:ascii="Times New Roman" w:hAnsi="Times New Roman"/>
          <w:sz w:val="20"/>
        </w:rPr>
      </w:pPr>
      <w:r>
        <w:rPr>
          <w:rFonts w:ascii="Times New Roman" w:hAnsi="Times New Roman"/>
          <w:sz w:val="20"/>
        </w:rPr>
        <w:t xml:space="preserve">The Indicator of Debt Load After Alienation means the indicator to be calculated in case of alienation of shares or participatory shares in the authorized capital stock of the participant of the Group (hereinafter referred to as the Alienated Participant of the Group) under the following formula: </w:t>
      </w:r>
    </w:p>
    <w:p>
      <w:pPr>
        <w:pStyle w:val="TextBody"/>
        <w:spacing w:before="120" w:after="0"/>
        <w:rPr>
          <w:rFonts w:ascii="Times New Roman" w:hAnsi="Times New Roman"/>
          <w:sz w:val="20"/>
        </w:rPr>
      </w:pPr>
      <w:r>
        <w:rPr>
          <w:rFonts w:ascii="Times New Roman" w:hAnsi="Times New Roman"/>
          <w:i/>
          <w:sz w:val="20"/>
        </w:rPr>
        <w:t>Indicator of Debt Load After Alienation = (A - B-) / (D-E),</w:t>
      </w:r>
      <w:r>
        <w:rPr>
          <w:rFonts w:ascii="Times New Roman" w:hAnsi="Times New Roman"/>
          <w:sz w:val="20"/>
        </w:rPr>
        <w:t xml:space="preserve"> where: </w:t>
      </w:r>
    </w:p>
    <w:p>
      <w:pPr>
        <w:pStyle w:val="TextBody"/>
        <w:spacing w:before="120" w:after="0"/>
        <w:rPr>
          <w:rFonts w:ascii="Times New Roman" w:hAnsi="Times New Roman"/>
          <w:sz w:val="20"/>
        </w:rPr>
      </w:pPr>
      <w:r>
        <w:rPr>
          <w:rFonts w:ascii="Times New Roman" w:hAnsi="Times New Roman"/>
          <w:sz w:val="20"/>
        </w:rPr>
        <w:t xml:space="preserve">A means the Consolidated net indebtedness as of the last Settlement Date; </w:t>
      </w:r>
    </w:p>
    <w:p>
      <w:pPr>
        <w:pStyle w:val="TextBody"/>
        <w:spacing w:before="120" w:after="0"/>
        <w:rPr>
          <w:rFonts w:ascii="Times New Roman" w:hAnsi="Times New Roman"/>
          <w:sz w:val="20"/>
        </w:rPr>
      </w:pPr>
      <w:r>
        <w:rPr>
          <w:rFonts w:ascii="Times New Roman" w:hAnsi="Times New Roman"/>
          <w:sz w:val="20"/>
        </w:rPr>
        <w:t xml:space="preserve">B means the extent of a part of the Outstanding Credit to be repaid by the Borrower on early basis at the expense of funds gained from alienation of the shares or participant shares in the authorized capital stock of the Alienated Participant of the Group; </w:t>
      </w:r>
    </w:p>
    <w:p>
      <w:pPr>
        <w:pStyle w:val="TextBody"/>
        <w:spacing w:before="120" w:after="0"/>
        <w:rPr>
          <w:rFonts w:ascii="Times New Roman" w:hAnsi="Times New Roman"/>
          <w:sz w:val="20"/>
        </w:rPr>
      </w:pPr>
      <w:r>
        <w:rPr>
          <w:rFonts w:ascii="Times New Roman" w:hAnsi="Times New Roman"/>
          <w:sz w:val="20"/>
        </w:rPr>
        <w:t xml:space="preserve">C means the amount of the Credit reset by the Borrower during the period starting at the last date of the Settlement Period and finishing at the date of submission of the certificate containing calculation of the corresponding Debt Load Indicator After Alienation; </w:t>
      </w:r>
    </w:p>
    <w:p>
      <w:pPr>
        <w:pStyle w:val="TextBody"/>
        <w:spacing w:before="120" w:after="0"/>
        <w:rPr>
          <w:rFonts w:ascii="Times New Roman" w:hAnsi="Times New Roman"/>
          <w:sz w:val="20"/>
        </w:rPr>
      </w:pPr>
      <w:r>
        <w:rPr>
          <w:rFonts w:ascii="Times New Roman" w:hAnsi="Times New Roman"/>
          <w:sz w:val="20"/>
        </w:rPr>
        <w:t>D means the Consolidated indicator EBITDA for the last Settlement Date to be determined in compliance with last financial statements of the Group for the corresponding Settlement Period prepared in compliance with International Financial Reporting Standards and submitted to the Credit Agent in compliance with section (a) or (b) of the Article 17.1 (</w:t>
      </w:r>
      <w:r>
        <w:rPr>
          <w:rFonts w:ascii="Times New Roman" w:hAnsi="Times New Roman"/>
          <w:i/>
          <w:sz w:val="20"/>
        </w:rPr>
        <w:t xml:space="preserve">Financial statements) </w:t>
      </w:r>
      <w:r>
        <w:rPr>
          <w:rFonts w:ascii="Times New Roman" w:hAnsi="Times New Roman"/>
          <w:sz w:val="20"/>
        </w:rPr>
        <w:t>(or which should be submitted to the Credit Agent in compliance with time period of submission of the reporting stipulated in section (a) or (b) of the Article 17.1 (</w:t>
      </w:r>
      <w:r>
        <w:rPr>
          <w:rFonts w:ascii="Times New Roman" w:hAnsi="Times New Roman"/>
          <w:i/>
          <w:sz w:val="20"/>
        </w:rPr>
        <w:t>Financial statements</w:t>
      </w:r>
      <w:r>
        <w:rPr>
          <w:rFonts w:ascii="Times New Roman" w:hAnsi="Times New Roman"/>
          <w:sz w:val="20"/>
        </w:rPr>
        <w:t xml:space="preserve">)); and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E means indicator EBITDA of the Alienated Participant of the Group calculated based on the administrative reporting of the company of the Alienated Participant of the Group for the last Settlement Date on the basis of the calculation method similar to the calculation method of the Consolidated indicator EBITDA. </w:t>
      </w:r>
    </w:p>
    <w:p>
      <w:pPr>
        <w:pStyle w:val="TextBody"/>
        <w:spacing w:before="120" w:after="0"/>
        <w:rPr>
          <w:rFonts w:ascii="Times New Roman" w:hAnsi="Times New Roman"/>
          <w:sz w:val="20"/>
        </w:rPr>
      </w:pPr>
      <w:r>
        <w:rPr>
          <w:rFonts w:ascii="Times New Roman" w:hAnsi="Times New Roman"/>
          <w:sz w:val="20"/>
        </w:rPr>
        <w:t xml:space="preserve">Purchase Price means the money funds actually received as a result of sale of the Alienated Participant of the Group. </w:t>
      </w:r>
    </w:p>
    <w:p>
      <w:pPr>
        <w:pStyle w:val="TextBody"/>
        <w:spacing w:before="120" w:after="0"/>
        <w:rPr>
          <w:rFonts w:ascii="Times New Roman" w:hAnsi="Times New Roman"/>
          <w:sz w:val="20"/>
        </w:rPr>
      </w:pPr>
      <w:r>
        <w:rPr>
          <w:rFonts w:ascii="Times New Roman" w:hAnsi="Times New Roman"/>
          <w:sz w:val="20"/>
        </w:rPr>
        <w:t xml:space="preserve">The Distributable Amount means the amount of money funds to be paid to the shareholders of Zemenik Trading as a result of alienation of the Alienated Participant of the Group. </w:t>
      </w:r>
    </w:p>
    <w:p>
      <w:pPr>
        <w:pStyle w:val="TextBody"/>
        <w:spacing w:before="120" w:after="0"/>
        <w:rPr>
          <w:rFonts w:ascii="Times New Roman" w:hAnsi="Times New Roman"/>
          <w:sz w:val="20"/>
        </w:rPr>
      </w:pPr>
      <w:r>
        <w:rPr>
          <w:rFonts w:ascii="Times New Roman" w:hAnsi="Times New Roman"/>
          <w:sz w:val="20"/>
        </w:rPr>
        <w:t xml:space="preserve">The Amount of Money funds means the amount received in the way of computation of a difference between Money funds of the Group, Money funds of the Alienated Participant of the Group and the Distributable Amount and addition of the Purchase price to the acquired difference. </w:t>
      </w:r>
    </w:p>
    <w:p>
      <w:pPr>
        <w:pStyle w:val="TextBody"/>
        <w:spacing w:before="120" w:after="0"/>
        <w:rPr>
          <w:rFonts w:ascii="Times New Roman" w:hAnsi="Times New Roman"/>
          <w:sz w:val="20"/>
        </w:rPr>
      </w:pPr>
      <w:r>
        <w:rPr>
          <w:rFonts w:ascii="Times New Roman" w:hAnsi="Times New Roman"/>
          <w:sz w:val="20"/>
        </w:rPr>
        <w:t xml:space="preserve">The Net Debt Amount means a difference between Financial Indebtedness of the Group (taking into account Financial Indebtedness of the Group before the Alienated Participant of the Group to be recognized effectively after alienation of the Alienated Participant of the Group) and the amount of Financial Indebtedness of the Alienated Participant of the Group (without Financial Indebtedness of the Alienated Participant of the Group to the other participants of the Group) and the Amount of Money Funds. </w:t>
      </w:r>
    </w:p>
    <w:p>
      <w:pPr>
        <w:pStyle w:val="TextBody"/>
        <w:spacing w:before="120" w:after="0"/>
        <w:rPr>
          <w:rFonts w:ascii="Times New Roman" w:hAnsi="Times New Roman"/>
          <w:sz w:val="20"/>
        </w:rPr>
      </w:pPr>
      <w:r>
        <w:rPr>
          <w:rFonts w:ascii="Times New Roman" w:hAnsi="Times New Roman"/>
          <w:sz w:val="20"/>
        </w:rPr>
        <w:t xml:space="preserve">EBITDA means a difference between the Consolidated indicator EBITDA and EBITDA indicator of the Alienated Participant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19.4</w:t>
            </w:r>
          </w:p>
        </w:tc>
        <w:tc>
          <w:tcPr>
            <w:tcW w:w="9695" w:type="dxa"/>
            <w:tcBorders/>
            <w:shd w:fill="auto" w:val="clear"/>
          </w:tcPr>
          <w:p>
            <w:pPr>
              <w:pStyle w:val="TableContents"/>
              <w:spacing w:before="0" w:after="283"/>
              <w:jc w:val="left"/>
              <w:rPr/>
            </w:pPr>
            <w:r>
              <w:rPr/>
              <w:t xml:space="preserve">Acquisition of Assets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acquisition of any assets without preliminary written consent of the Credit Agent and undertakes to procure that any Affiliated Company of the Borrower refrain from acquisition of any assets without preliminary written consent of the Credit Agent, except for acquisition of assets: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within the limits of normal economic activities;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within the limits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within the limits of re-structuring with reference of the ownership to the Limited Liability Partnership “HEADHUNTER.KZ”;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(d)</w:t>
            </w:r>
          </w:p>
        </w:tc>
        <w:tc>
          <w:tcPr>
            <w:tcW w:w="9695" w:type="dxa"/>
            <w:tcBorders/>
            <w:shd w:fill="auto" w:val="clear"/>
          </w:tcPr>
          <w:p>
            <w:pPr>
              <w:pStyle w:val="TableContents"/>
              <w:spacing w:before="0" w:after="283"/>
              <w:jc w:val="left"/>
              <w:rPr/>
            </w:pPr>
            <w:r>
              <w:rPr/>
              <w:t xml:space="preserve">by the participant of the Group for the cumulative amount to be paid by such participant of the Group as a result of one or several transactions on acquisition of the assets made within each consecutive 12 (twelve) months not exceeding 7.5 (seven naught five) percent of the Consolidated indicator EBITDA;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(e)</w:t>
            </w:r>
          </w:p>
        </w:tc>
        <w:tc>
          <w:tcPr>
            <w:tcW w:w="9694" w:type="dxa"/>
            <w:tcBorders/>
            <w:shd w:fill="auto" w:val="clear"/>
          </w:tcPr>
          <w:p>
            <w:pPr>
              <w:pStyle w:val="TableContents"/>
              <w:spacing w:before="0" w:after="283"/>
              <w:jc w:val="left"/>
              <w:rPr/>
            </w:pPr>
            <w:r>
              <w:rPr/>
              <w:t xml:space="preserve">(e) to be acquired at the expense of the Permitted Financial Indebtedness.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19.5</w:t>
            </w:r>
          </w:p>
        </w:tc>
        <w:tc>
          <w:tcPr>
            <w:tcW w:w="9695" w:type="dxa"/>
            <w:tcBorders/>
            <w:shd w:fill="auto" w:val="clear"/>
          </w:tcPr>
          <w:p>
            <w:pPr>
              <w:pStyle w:val="TableContents"/>
              <w:spacing w:before="0" w:after="283"/>
              <w:jc w:val="left"/>
              <w:rPr/>
            </w:pPr>
            <w:r>
              <w:rPr/>
              <w:t xml:space="preserve">Transactions on market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The Borrower has not the right to conclude transaction with any persons on the conditions different from the market conditions and undertakes to procure that any Affiliated Company of the Borrower refrain from conclusion of the transactions with any persons on the conditions different from the market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Provisions of section (a) shall not apply to the transactions with Debtors.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19.6</w:t>
            </w:r>
          </w:p>
        </w:tc>
        <w:tc>
          <w:tcPr>
            <w:tcW w:w="9695" w:type="dxa"/>
            <w:tcBorders/>
            <w:shd w:fill="auto" w:val="clear"/>
          </w:tcPr>
          <w:p>
            <w:pPr>
              <w:pStyle w:val="TableContents"/>
              <w:spacing w:before="0" w:after="283"/>
              <w:jc w:val="left"/>
              <w:rPr/>
            </w:pPr>
            <w:r>
              <w:rPr/>
              <w:t xml:space="preserve">Crediting </w:t>
            </w:r>
          </w:p>
        </w:tc>
      </w:tr>
    </w:tbl>
    <w:p>
      <w:pPr>
        <w:pStyle w:val="TextBody"/>
        <w:spacing w:before="120" w:after="0"/>
        <w:rPr>
          <w:rFonts w:ascii="Times New Roman" w:hAnsi="Times New Roman"/>
          <w:sz w:val="20"/>
        </w:rPr>
      </w:pPr>
      <w:r>
        <w:rPr>
          <w:rFonts w:ascii="Times New Roman" w:hAnsi="Times New Roman"/>
          <w:sz w:val="20"/>
        </w:rPr>
        <w:t xml:space="preserve">Except for the Permitted Loans, the Borrower has not the right to represent himself as the creditor in respect of any Financial Indebtedness without preliminary written consent of the Credit Agent and undertakes to procure that any Affiliated Company of the Borrower refrain from representation of themselves as the creditor in respect of any Financial Indebtedness without preliminary written consent of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19.7</w:t>
            </w:r>
          </w:p>
        </w:tc>
        <w:tc>
          <w:tcPr>
            <w:tcW w:w="9695" w:type="dxa"/>
            <w:tcBorders/>
            <w:shd w:fill="auto" w:val="clear"/>
          </w:tcPr>
          <w:p>
            <w:pPr>
              <w:pStyle w:val="TableContents"/>
              <w:spacing w:before="0" w:after="283"/>
              <w:jc w:val="left"/>
              <w:rPr/>
            </w:pPr>
            <w:r>
              <w:rPr/>
              <w:t xml:space="preserve">Submission of Guarantees and Sureties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The Borrower has not the right to act as the guarantor or the indemnitor in respect of the obligations of any person without preliminary written consent of the Credit Agent and undertakes to procure that any Affiliated Company of the Borrower refrain from to act as the guarantor or the indemnitor in respect of the obligations of any person without preliminary written consent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Provisions of section (a) above are not applied when such guarantee or surety provide fulfillment of obligation of another participant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09"/>
        <w:gridCol w:w="8578"/>
      </w:tblGrid>
      <w:tr>
        <w:trPr/>
        <w:tc>
          <w:tcPr>
            <w:tcW w:w="1017"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8" w:type="dxa"/>
            <w:tcBorders/>
            <w:shd w:fill="auto" w:val="clear"/>
          </w:tcPr>
          <w:p>
            <w:pPr>
              <w:pStyle w:val="TableContents"/>
              <w:spacing w:before="0" w:after="283"/>
              <w:jc w:val="left"/>
              <w:rPr/>
            </w:pPr>
            <w:r>
              <w:rPr/>
              <w:t xml:space="preserve">created within the limits of the Permitted Financial Indebtedness;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2"/>
        <w:gridCol w:w="8575"/>
      </w:tblGrid>
      <w:tr>
        <w:trPr/>
        <w:tc>
          <w:tcPr>
            <w:tcW w:w="1017"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claims under such guarantee or surety are subordinated in relation to obligations of the Borrower under the Financial Documents in compliance with the Intercreditor Agreement, </w:t>
            </w:r>
          </w:p>
        </w:tc>
      </w:tr>
    </w:tbl>
    <w:p>
      <w:pPr>
        <w:pStyle w:val="TextBody"/>
        <w:spacing w:before="120" w:after="0"/>
        <w:rPr>
          <w:rFonts w:ascii="Times New Roman" w:hAnsi="Times New Roman"/>
          <w:sz w:val="20"/>
        </w:rPr>
      </w:pPr>
      <w:r>
        <w:rPr>
          <w:rFonts w:ascii="Times New Roman" w:hAnsi="Times New Roman"/>
          <w:sz w:val="20"/>
        </w:rPr>
        <w:t xml:space="preserve">In any case without double-entry accounting.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19.8</w:t>
            </w:r>
          </w:p>
        </w:tc>
        <w:tc>
          <w:tcPr>
            <w:tcW w:w="9694" w:type="dxa"/>
            <w:tcBorders/>
            <w:shd w:fill="auto" w:val="clear"/>
          </w:tcPr>
          <w:p>
            <w:pPr>
              <w:pStyle w:val="TableContents"/>
              <w:spacing w:before="0" w:after="283"/>
              <w:jc w:val="left"/>
              <w:rPr/>
            </w:pPr>
            <w:r>
              <w:rPr/>
              <w:t xml:space="preserve">Financial Indebtedness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making the transaction in result of which the Borrower’s Financial Indebtedness arises and to refrain from creation of the overdue Financial Indebtedness, and undertakes to procure that any Affiliated Company of the Borrower shall refrain from making transaction in result of which such Affiliated Company of the Borrower would have a Financial Indebtedness and that any Affiliated Company of the Borrower shall refrain from creation of the overdue Financial Indebtedness without preliminary written consent of the Credit Agent except for the Permitted Financial Indebtedness.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19.9</w:t>
            </w:r>
          </w:p>
        </w:tc>
        <w:tc>
          <w:tcPr>
            <w:tcW w:w="9694" w:type="dxa"/>
            <w:tcBorders/>
            <w:shd w:fill="auto" w:val="clear"/>
          </w:tcPr>
          <w:p>
            <w:pPr>
              <w:pStyle w:val="TableContents"/>
              <w:spacing w:before="0" w:after="283"/>
              <w:jc w:val="left"/>
              <w:rPr/>
            </w:pPr>
            <w:r>
              <w:rPr/>
              <w:t xml:space="preserve">Reorganization and reduction of the authorized capital stock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reorganization or reduction of the authorized capital stock, additional capital or another capital, and undertakes to procure that Zemenik Trading and any Affiliated Company Zemenik Trading shall refrain from reorganization or reduction of authorized, additional capital or another capital without preliminary written consent of the Credit Agent, with the exception of the following (i) Permitted Redemption, (ii) payments stipulated in subparagraphs (c) and (d) of definition of “Permitted Payments” of section 1.1 </w:t>
      </w:r>
      <w:r>
        <w:rPr>
          <w:rFonts w:ascii="Times New Roman" w:hAnsi="Times New Roman"/>
          <w:i/>
          <w:sz w:val="20"/>
        </w:rPr>
        <w:t>(Terms)</w:t>
      </w:r>
      <w:r>
        <w:rPr>
          <w:rFonts w:ascii="Times New Roman" w:hAnsi="Times New Roman"/>
          <w:sz w:val="20"/>
        </w:rPr>
        <w:t xml:space="preserve"> in the form of reduction of additional capital of Zemenik Trading with reference of distribution of these amounts in favor of shareholders of Zemenik Trading, and (iii) reduction of additional capital of Zemenik Trading for a total amount not exceeding the extent of the Outstanding Credit relating to the Tranche V and Tranche G, with reference of distribution of this amount in favor of shareholders of Zemenik Trading provided by subparagraph </w:t>
      </w:r>
      <w:r>
        <w:rPr>
          <w:rFonts w:ascii="Times New Roman" w:hAnsi="Times New Roman"/>
          <w:sz w:val="20"/>
          <w:u w:val="single"/>
        </w:rPr>
        <w:t>(c)</w:t>
      </w:r>
      <w:r>
        <w:rPr>
          <w:rFonts w:ascii="Times New Roman" w:hAnsi="Times New Roman"/>
          <w:sz w:val="20"/>
        </w:rPr>
        <w:t> </w:t>
      </w:r>
      <w:r>
        <w:rPr>
          <w:rFonts w:ascii="Times New Roman" w:hAnsi="Times New Roman"/>
          <w:sz w:val="20"/>
          <w:u w:val="single"/>
        </w:rPr>
        <w:t xml:space="preserve">of section 3 </w:t>
      </w:r>
      <w:r>
        <w:rPr>
          <w:rFonts w:ascii="Times New Roman" w:hAnsi="Times New Roman"/>
          <w:i/>
          <w:sz w:val="20"/>
          <w:u w:val="single"/>
        </w:rPr>
        <w:t>(Purpose)</w:t>
      </w:r>
      <w:r>
        <w:rPr>
          <w:rFonts w:ascii="Times New Roman" w:hAnsi="Times New Roman"/>
          <w:sz w:val="20"/>
        </w:rPr>
        <w:t xml:space="preserv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76"/>
        <w:gridCol w:w="9629"/>
      </w:tblGrid>
      <w:tr>
        <w:trPr/>
        <w:tc>
          <w:tcPr>
            <w:tcW w:w="576" w:type="dxa"/>
            <w:tcBorders/>
            <w:shd w:fill="auto" w:val="clear"/>
          </w:tcPr>
          <w:p>
            <w:pPr>
              <w:pStyle w:val="TableContents"/>
              <w:spacing w:before="0" w:after="283"/>
              <w:jc w:val="left"/>
              <w:rPr/>
            </w:pPr>
            <w:r>
              <w:rPr/>
              <w:t>19.10</w:t>
            </w:r>
          </w:p>
        </w:tc>
        <w:tc>
          <w:tcPr>
            <w:tcW w:w="9629" w:type="dxa"/>
            <w:tcBorders/>
            <w:shd w:fill="auto" w:val="clear"/>
          </w:tcPr>
          <w:p>
            <w:pPr>
              <w:pStyle w:val="TableContents"/>
              <w:spacing w:before="0" w:after="283"/>
              <w:jc w:val="left"/>
              <w:rPr/>
            </w:pPr>
            <w:r>
              <w:rPr/>
              <w:t xml:space="preserve">Issue of new shares or increase of the authorized capital stock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increasing the authorized capital and undertakes to procure that any Affiliated Company of the Borrower refrain from issuance of new shares and increase of the authorized capital without preliminary written consent of the Credit Agent, except for the following cases: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when the participant of the Group acquires such issued shares or increases a share in the authorized capital stock of the Affiliated Company belonging to him;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if shares or participatory shares in the authorized capital stock of such Affiliated Company are pledged in favor of Creditors in compliance with the Agreement of Pledge, then such Agreement of Pledge will cover all 100 (one hundred) percent of shares or participatory shares in the authorized capital stock of such Affiliated Company, belonging to participants of the Group or Pledgers.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51"/>
        <w:gridCol w:w="9654"/>
      </w:tblGrid>
      <w:tr>
        <w:trPr/>
        <w:tc>
          <w:tcPr>
            <w:tcW w:w="551" w:type="dxa"/>
            <w:tcBorders/>
            <w:shd w:fill="auto" w:val="clear"/>
          </w:tcPr>
          <w:p>
            <w:pPr>
              <w:pStyle w:val="TableContents"/>
              <w:spacing w:before="0" w:after="283"/>
              <w:jc w:val="left"/>
              <w:rPr/>
            </w:pPr>
            <w:r>
              <w:rPr/>
              <w:t>19.11</w:t>
            </w:r>
          </w:p>
        </w:tc>
        <w:tc>
          <w:tcPr>
            <w:tcW w:w="9654" w:type="dxa"/>
            <w:tcBorders/>
            <w:shd w:fill="auto" w:val="clear"/>
          </w:tcPr>
          <w:p>
            <w:pPr>
              <w:pStyle w:val="TableContents"/>
              <w:spacing w:before="0" w:after="283"/>
              <w:jc w:val="left"/>
              <w:rPr/>
            </w:pPr>
            <w:r>
              <w:rPr/>
              <w:t xml:space="preserve">Amendment of the constituent documents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amendment of the constituent documents including amendments related to changes in the organizational and legal form or name of the Borrower, and undertakes to procure that any Debtor shall refrain from amendment of the constituent documents including amendments related to changes in its organizational and legal form or name without preliminary written consent of the Credit Agent, except for changes of technical character and cases when such amendment is required in compliance with the applicable legislation.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3"/>
        <w:gridCol w:w="9642"/>
      </w:tblGrid>
      <w:tr>
        <w:trPr/>
        <w:tc>
          <w:tcPr>
            <w:tcW w:w="563" w:type="dxa"/>
            <w:tcBorders/>
            <w:shd w:fill="auto" w:val="clear"/>
          </w:tcPr>
          <w:p>
            <w:pPr>
              <w:pStyle w:val="TableContents"/>
              <w:spacing w:before="0" w:after="283"/>
              <w:jc w:val="left"/>
              <w:rPr/>
            </w:pPr>
            <w:r>
              <w:rPr/>
              <w:t>19.12</w:t>
            </w:r>
          </w:p>
        </w:tc>
        <w:tc>
          <w:tcPr>
            <w:tcW w:w="9642" w:type="dxa"/>
            <w:tcBorders/>
            <w:shd w:fill="auto" w:val="clear"/>
          </w:tcPr>
          <w:p>
            <w:pPr>
              <w:pStyle w:val="TableContents"/>
              <w:spacing w:before="0" w:after="283"/>
              <w:jc w:val="left"/>
              <w:rPr/>
            </w:pPr>
            <w:r>
              <w:rPr/>
              <w:t xml:space="preserve">Payment of dividends and redemption of shares / participation shares </w:t>
            </w:r>
          </w:p>
        </w:tc>
      </w:tr>
    </w:tbl>
    <w:p>
      <w:pPr>
        <w:pStyle w:val="TextBody"/>
        <w:spacing w:before="120" w:after="0"/>
        <w:rPr>
          <w:rFonts w:ascii="Times New Roman" w:hAnsi="Times New Roman"/>
          <w:sz w:val="20"/>
        </w:rPr>
      </w:pPr>
      <w:r>
        <w:rPr>
          <w:rFonts w:ascii="Times New Roman" w:hAnsi="Times New Roman"/>
          <w:sz w:val="20"/>
        </w:rPr>
        <w:t xml:space="preserve">(a)    The Borrower undertakes to refrain from declaring and paying dividends without preliminary written consent of the Credit Agent, and also to refrain from redemption of his shares of participation (with the exception of the cases when it shall be required by virtue of the applicable legislation) and undertakes to procure that any Debtor shall refrain from declaring and paying dividends, and also shall refrain from redemption of the shares or participation shares (except for the cases when it shall be required by virtue of the applicable legislation) with the exception for the following cases: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09"/>
        <w:gridCol w:w="8578"/>
      </w:tblGrid>
      <w:tr>
        <w:trPr/>
        <w:tc>
          <w:tcPr>
            <w:tcW w:w="1017"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8" w:type="dxa"/>
            <w:tcBorders/>
            <w:shd w:fill="auto" w:val="clear"/>
          </w:tcPr>
          <w:p>
            <w:pPr>
              <w:pStyle w:val="TableContents"/>
              <w:spacing w:before="0" w:after="283"/>
              <w:jc w:val="left"/>
              <w:rPr/>
            </w:pPr>
            <w:r>
              <w:rPr/>
              <w:t xml:space="preserve">payments of distributable profit by any Debtor in favor of another Debtor and by any participant of the Group in favor of the Borrower or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payments of distributable profit (including that in the form of the Permitted Redemption) in favor of shareholders of Zemenik Trading in the amount not exceeding 50 (fifty) percent out of the Corrected Consolidated Net profit of the Group in case of confirmation by the Credit Agent that value of the Corrected Debt Load Indicator does not exceed 2.9:1;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payments of distributable profit (including that in the form of the Permitted Redemption) in favor of shareholders of Zemenik Trading in the amount not exceeding 70 (seventy) percent out of the Corrected Consolidated Net profit of the Group in case of confirmation by the Credit Agent that value of the Corrected Debt Load Indicator does not exceed 2.7:1;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2"/>
        <w:gridCol w:w="8572"/>
      </w:tblGrid>
      <w:tr>
        <w:trPr/>
        <w:tc>
          <w:tcPr>
            <w:tcW w:w="1020"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(iv)</w:t>
            </w:r>
          </w:p>
        </w:tc>
        <w:tc>
          <w:tcPr>
            <w:tcW w:w="8572" w:type="dxa"/>
            <w:tcBorders/>
            <w:shd w:fill="auto" w:val="clear"/>
          </w:tcPr>
          <w:p>
            <w:pPr>
              <w:pStyle w:val="TableContents"/>
              <w:spacing w:before="0" w:after="283"/>
              <w:jc w:val="left"/>
              <w:rPr/>
            </w:pPr>
            <w:r>
              <w:rPr/>
              <w:t xml:space="preserve">payments of distributable profit by any participant of the Group to the minority shareholders provided that similar payments are effected in favor of shareholders (participants) being participants of the Group of such participant of the Group proportionally to their share in the authorized capital stock of such participant of the Group.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When effecting the payments stipulated in sections (ii) and (iii), the Borrower should submit calculation of the Corrected Debt Load Indicator to the Credit Agent not less than 5 (five) Working Days prior to such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For the purposes of the present Article 19.12: </w:t>
            </w:r>
          </w:p>
        </w:tc>
      </w:tr>
    </w:tbl>
    <w:p>
      <w:pPr>
        <w:pStyle w:val="TextBody"/>
        <w:spacing w:before="120" w:after="0"/>
        <w:rPr>
          <w:rFonts w:ascii="Times New Roman" w:hAnsi="Times New Roman"/>
          <w:sz w:val="20"/>
        </w:rPr>
      </w:pPr>
      <w:r>
        <w:rPr>
          <w:rFonts w:ascii="Times New Roman" w:hAnsi="Times New Roman"/>
          <w:sz w:val="20"/>
        </w:rPr>
        <w:t xml:space="preserve">The Consolidated Net profit of the Group has the meaning indicated in the Article 18.7 </w:t>
      </w:r>
      <w:r>
        <w:rPr>
          <w:rFonts w:ascii="Times New Roman" w:hAnsi="Times New Roman"/>
          <w:i/>
          <w:sz w:val="20"/>
        </w:rPr>
        <w:t>(Definitions)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The Corrected Consolidated Net profit of the Group means the consolidated net profit of the Group for the Settlement Period as at the last Settlement Date where such period expires on such Settlement Date, without taking into account: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profits and losses resulted from revaluation of any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depreciation of “goodwill”;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(iii)</w:t>
            </w:r>
          </w:p>
        </w:tc>
        <w:tc>
          <w:tcPr>
            <w:tcW w:w="8575" w:type="dxa"/>
            <w:tcBorders/>
            <w:shd w:fill="auto" w:val="clear"/>
          </w:tcPr>
          <w:p>
            <w:pPr>
              <w:pStyle w:val="TableContents"/>
              <w:spacing w:before="0" w:after="283"/>
              <w:jc w:val="left"/>
              <w:rPr/>
            </w:pPr>
            <w:r>
              <w:rPr/>
              <w:t>amortization and depreciation of the following intangible assets (identified in the course of acquisition of HeadHunter FSU in the accounts of the Group for the year of 2016 prepared in compliance with the International Financial Reporting Standards based on IFRS 3 standard) provided that such amortization/depreciation of intangible assets will be indicated in confirmation of the observance of financial indicators to be submitted by the Borrower to the Credit Agent together with the financial statements of the Group for the year of 2016 in compliance with the Article 17.2 (</w:t>
            </w:r>
            <w:r>
              <w:rPr>
                <w:i/>
              </w:rPr>
              <w:t>Confirmation of observance of financial indicators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3"/>
        <w:gridCol w:w="509"/>
        <w:gridCol w:w="8062"/>
      </w:tblGrid>
      <w:tr>
        <w:trPr/>
        <w:tc>
          <w:tcPr>
            <w:tcW w:w="1633"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Trade mark hh;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3"/>
        <w:gridCol w:w="508"/>
        <w:gridCol w:w="8063"/>
      </w:tblGrid>
      <w:tr>
        <w:trPr/>
        <w:tc>
          <w:tcPr>
            <w:tcW w:w="1633"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8063" w:type="dxa"/>
            <w:tcBorders/>
            <w:shd w:fill="auto" w:val="clear"/>
          </w:tcPr>
          <w:p>
            <w:pPr>
              <w:pStyle w:val="TableContents"/>
              <w:spacing w:before="0" w:after="283"/>
              <w:jc w:val="left"/>
              <w:rPr/>
            </w:pPr>
            <w:r>
              <w:rPr/>
              <w:t xml:space="preserve">Trade mark CV Keskus;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8063" w:type="dxa"/>
            <w:tcBorders/>
            <w:shd w:fill="auto" w:val="clear"/>
          </w:tcPr>
          <w:p>
            <w:pPr>
              <w:pStyle w:val="TableContents"/>
              <w:spacing w:before="0" w:after="283"/>
              <w:jc w:val="left"/>
              <w:rPr/>
            </w:pPr>
            <w:r>
              <w:rPr/>
              <w:t xml:space="preserve">Recruitment database hh.ru;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8063" w:type="dxa"/>
            <w:tcBorders/>
            <w:shd w:fill="auto" w:val="clear"/>
          </w:tcPr>
          <w:p>
            <w:pPr>
              <w:pStyle w:val="TableContents"/>
              <w:spacing w:before="0" w:after="283"/>
              <w:jc w:val="left"/>
              <w:rPr/>
            </w:pPr>
            <w:r>
              <w:rPr/>
              <w:t xml:space="preserve">Recruitment database CV Keskus;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8063" w:type="dxa"/>
            <w:tcBorders/>
            <w:shd w:fill="auto" w:val="clear"/>
          </w:tcPr>
          <w:p>
            <w:pPr>
              <w:pStyle w:val="TableContents"/>
              <w:spacing w:before="0" w:after="283"/>
              <w:jc w:val="left"/>
              <w:rPr/>
            </w:pPr>
            <w:r>
              <w:rPr/>
              <w:t xml:space="preserve">Relations of Headhunter with clients;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8064" w:type="dxa"/>
            <w:tcBorders/>
            <w:shd w:fill="auto" w:val="clear"/>
          </w:tcPr>
          <w:p>
            <w:pPr>
              <w:pStyle w:val="TableContents"/>
              <w:spacing w:before="0" w:after="283"/>
              <w:jc w:val="left"/>
              <w:rPr/>
            </w:pPr>
            <w:r>
              <w:rPr/>
              <w:t xml:space="preserve">Relations of CV Keskus with clients;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(G)</w:t>
            </w:r>
          </w:p>
        </w:tc>
        <w:tc>
          <w:tcPr>
            <w:tcW w:w="8063" w:type="dxa"/>
            <w:tcBorders/>
            <w:shd w:fill="auto" w:val="clear"/>
          </w:tcPr>
          <w:p>
            <w:pPr>
              <w:pStyle w:val="TableContents"/>
              <w:spacing w:before="0" w:after="283"/>
              <w:jc w:val="left"/>
              <w:rPr/>
            </w:pPr>
            <w:r>
              <w:rPr/>
              <w:t xml:space="preserve">Software for website hh.ru;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2"/>
        <w:gridCol w:w="8572"/>
      </w:tblGrid>
      <w:tr>
        <w:trPr/>
        <w:tc>
          <w:tcPr>
            <w:tcW w:w="1020"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(iv)</w:t>
            </w:r>
          </w:p>
        </w:tc>
        <w:tc>
          <w:tcPr>
            <w:tcW w:w="8572" w:type="dxa"/>
            <w:tcBorders/>
            <w:shd w:fill="auto" w:val="clear"/>
          </w:tcPr>
          <w:p>
            <w:pPr>
              <w:pStyle w:val="TableContents"/>
              <w:spacing w:before="0" w:after="283"/>
              <w:jc w:val="left"/>
              <w:rPr/>
            </w:pPr>
            <w:r>
              <w:rPr/>
              <w:t xml:space="preserve">profits and losses of non-monetary character from Plans of Remuneration Based On The Equity Instruments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(v)</w:t>
            </w:r>
          </w:p>
        </w:tc>
        <w:tc>
          <w:tcPr>
            <w:tcW w:w="8576" w:type="dxa"/>
            <w:tcBorders/>
            <w:shd w:fill="auto" w:val="clear"/>
          </w:tcPr>
          <w:p>
            <w:pPr>
              <w:pStyle w:val="TableContents"/>
              <w:spacing w:before="0" w:after="283"/>
              <w:jc w:val="left"/>
              <w:rPr/>
            </w:pPr>
            <w:r>
              <w:rPr/>
              <w:t xml:space="preserve">profit tax accounted in the Consolidated net profit of the Group on profit and losses of non-monetary character indicated in sections (i) - (iv) above;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(vi)</w:t>
            </w:r>
          </w:p>
        </w:tc>
        <w:tc>
          <w:tcPr>
            <w:tcW w:w="8573" w:type="dxa"/>
            <w:tcBorders/>
            <w:shd w:fill="auto" w:val="clear"/>
          </w:tcPr>
          <w:p>
            <w:pPr>
              <w:pStyle w:val="TableContents"/>
              <w:spacing w:before="0" w:after="283"/>
              <w:jc w:val="left"/>
              <w:rPr/>
            </w:pPr>
            <w:r>
              <w:rPr/>
              <w:t xml:space="preserve">profits and losses from forming of a reserve of the postponed tax for undistributed profit. </w:t>
            </w:r>
          </w:p>
        </w:tc>
      </w:tr>
    </w:tbl>
    <w:p>
      <w:pPr>
        <w:pStyle w:val="TextBody"/>
        <w:spacing w:before="120" w:after="0"/>
        <w:rPr>
          <w:rFonts w:ascii="Times New Roman" w:hAnsi="Times New Roman"/>
          <w:sz w:val="20"/>
        </w:rPr>
      </w:pPr>
      <w:r>
        <w:rPr>
          <w:rFonts w:ascii="Times New Roman" w:hAnsi="Times New Roman"/>
          <w:sz w:val="20"/>
        </w:rPr>
        <w:t>The corrected Debt Load Indicator means a ratio as at the last Settlement Date of the amount of the Consolidated net indebtedness (as at such Settlement Date) and Amount of Dividends to the Consolidated indicator EBITDA calculated based on the consolidated financial statements of the Group (submitted to the Credit Agent on the basis of section (a) or (b) of the Article 17.1 (</w:t>
      </w:r>
      <w:r>
        <w:rPr>
          <w:rFonts w:ascii="Times New Roman" w:hAnsi="Times New Roman"/>
          <w:i/>
          <w:sz w:val="20"/>
        </w:rPr>
        <w:t>Financial statements</w:t>
      </w:r>
      <w:r>
        <w:rPr>
          <w:rFonts w:ascii="Times New Roman" w:hAnsi="Times New Roman"/>
          <w:sz w:val="20"/>
        </w:rPr>
        <w:t>)) as at the Settlement Date which has come no more than for 5 (five) months prior to the date of payment of the distributable profit in compliance with the subparagraph (ii) or</w:t>
      </w:r>
      <w:r>
        <w:rPr>
          <w:rFonts w:ascii="Times New Roman" w:hAnsi="Times New Roman"/>
          <w:sz w:val="20"/>
          <w:u w:val="single"/>
        </w:rPr>
        <w:t xml:space="preserve"> (iii) </w:t>
      </w:r>
      <w:r>
        <w:rPr>
          <w:rFonts w:ascii="Times New Roman" w:hAnsi="Times New Roman"/>
          <w:sz w:val="20"/>
        </w:rPr>
        <w:t xml:space="preserve">of section (a) above.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The amount of Dividends is determined as the amount of dividends: (i) paid in favor of shareholders of Zemenik Trading within the financial half-year terminating at the last Settlement Date, and (ii) planned for payment in favor of shareholders of Zemenik Trading within the financial half-year beginning on the day following immediately after such Settlement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4"/>
        <w:gridCol w:w="9641"/>
      </w:tblGrid>
      <w:tr>
        <w:trPr/>
        <w:tc>
          <w:tcPr>
            <w:tcW w:w="564" w:type="dxa"/>
            <w:tcBorders/>
            <w:shd w:fill="auto" w:val="clear"/>
          </w:tcPr>
          <w:p>
            <w:pPr>
              <w:pStyle w:val="TableContents"/>
              <w:spacing w:before="0" w:after="283"/>
              <w:jc w:val="left"/>
              <w:rPr/>
            </w:pPr>
            <w:r>
              <w:rPr/>
              <w:t>19.13</w:t>
            </w:r>
          </w:p>
        </w:tc>
        <w:tc>
          <w:tcPr>
            <w:tcW w:w="9641" w:type="dxa"/>
            <w:tcBorders/>
            <w:shd w:fill="auto" w:val="clear"/>
          </w:tcPr>
          <w:p>
            <w:pPr>
              <w:pStyle w:val="TableContents"/>
              <w:spacing w:before="0" w:after="283"/>
              <w:jc w:val="left"/>
              <w:rPr/>
            </w:pPr>
            <w:r>
              <w:rPr/>
              <w:t xml:space="preserve">Fulfillment of the subsequent conditions </w:t>
            </w:r>
          </w:p>
        </w:tc>
      </w:tr>
    </w:tbl>
    <w:p>
      <w:pPr>
        <w:pStyle w:val="TextBody"/>
        <w:spacing w:before="120" w:after="0"/>
        <w:rPr>
          <w:rFonts w:ascii="Times New Roman" w:hAnsi="Times New Roman"/>
          <w:sz w:val="20"/>
        </w:rPr>
      </w:pPr>
      <w:r>
        <w:rPr>
          <w:rFonts w:ascii="Times New Roman" w:hAnsi="Times New Roman"/>
          <w:sz w:val="20"/>
        </w:rPr>
        <w:t>The Borrower undertakes to fulfill by himself and to procure that any Affiliated Company of the Borrower shall fulfill all the subsequent conditions relating to him indicated regarding 2 Appendices 2 (</w:t>
      </w:r>
      <w:r>
        <w:rPr>
          <w:rFonts w:ascii="Times New Roman" w:hAnsi="Times New Roman"/>
          <w:i/>
          <w:sz w:val="20"/>
        </w:rPr>
        <w:t>Requirements to the Borrower for Credit obtaining</w:t>
      </w:r>
      <w:r>
        <w:rPr>
          <w:rFonts w:ascii="Times New Roman" w:hAnsi="Times New Roman"/>
          <w:sz w:val="20"/>
        </w:rPr>
        <w:t xml:space="preserve">) within the time period stipulated in the present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59"/>
        <w:gridCol w:w="9646"/>
      </w:tblGrid>
      <w:tr>
        <w:trPr/>
        <w:tc>
          <w:tcPr>
            <w:tcW w:w="559" w:type="dxa"/>
            <w:tcBorders/>
            <w:shd w:fill="auto" w:val="clear"/>
          </w:tcPr>
          <w:p>
            <w:pPr>
              <w:pStyle w:val="TableContents"/>
              <w:spacing w:before="0" w:after="283"/>
              <w:jc w:val="left"/>
              <w:rPr/>
            </w:pPr>
            <w:r>
              <w:rPr/>
              <w:t>19.14</w:t>
            </w:r>
          </w:p>
        </w:tc>
        <w:tc>
          <w:tcPr>
            <w:tcW w:w="9646" w:type="dxa"/>
            <w:tcBorders/>
            <w:shd w:fill="auto" w:val="clear"/>
          </w:tcPr>
          <w:p>
            <w:pPr>
              <w:pStyle w:val="TableContents"/>
              <w:spacing w:before="0" w:after="283"/>
              <w:jc w:val="left"/>
              <w:rPr/>
            </w:pPr>
            <w:r>
              <w:rPr/>
              <w:t xml:space="preserve">Net assets </w:t>
            </w:r>
          </w:p>
        </w:tc>
      </w:tr>
    </w:tbl>
    <w:p>
      <w:pPr>
        <w:pStyle w:val="TextBody"/>
        <w:spacing w:before="120" w:after="0"/>
        <w:rPr>
          <w:rFonts w:ascii="Times New Roman" w:hAnsi="Times New Roman"/>
          <w:sz w:val="20"/>
        </w:rPr>
      </w:pPr>
      <w:r>
        <w:rPr>
          <w:rFonts w:ascii="Times New Roman" w:hAnsi="Times New Roman"/>
          <w:sz w:val="20"/>
        </w:rPr>
        <w:t>The Borrower undertakes to procure that the extent of the net assets of the Borrower, Headhunter and Zemenik Trading to be determined in respect of the Borrower and Headhunter on the basis of the financial statements submitted in compliance with section (d) of Article 17.1 (</w:t>
      </w:r>
      <w:r>
        <w:rPr>
          <w:rFonts w:ascii="Times New Roman" w:hAnsi="Times New Roman"/>
          <w:i/>
          <w:sz w:val="20"/>
        </w:rPr>
        <w:t>Financial statements</w:t>
      </w:r>
      <w:r>
        <w:rPr>
          <w:rFonts w:ascii="Times New Roman" w:hAnsi="Times New Roman"/>
          <w:sz w:val="20"/>
        </w:rPr>
        <w:t>) and in respect of the Zemenik Trading on the basis of the financial statements submitted in compliance with sections (a) or (b) of Article 17.1 (</w:t>
      </w:r>
      <w:r>
        <w:rPr>
          <w:rFonts w:ascii="Times New Roman" w:hAnsi="Times New Roman"/>
          <w:i/>
          <w:sz w:val="20"/>
        </w:rPr>
        <w:t>Financial statements</w:t>
      </w:r>
      <w:r>
        <w:rPr>
          <w:rFonts w:ascii="Times New Roman" w:hAnsi="Times New Roman"/>
          <w:sz w:val="20"/>
        </w:rPr>
        <w:t xml:space="preserve">) is positive as at the end of each financial half-year within the period of validity of the present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73"/>
        <w:gridCol w:w="9632"/>
      </w:tblGrid>
      <w:tr>
        <w:trPr/>
        <w:tc>
          <w:tcPr>
            <w:tcW w:w="573" w:type="dxa"/>
            <w:tcBorders/>
            <w:shd w:fill="auto" w:val="clear"/>
          </w:tcPr>
          <w:p>
            <w:pPr>
              <w:pStyle w:val="TableContents"/>
              <w:spacing w:before="0" w:after="283"/>
              <w:jc w:val="left"/>
              <w:rPr/>
            </w:pPr>
            <w:r>
              <w:rPr/>
              <w:t>19.15</w:t>
            </w:r>
          </w:p>
        </w:tc>
        <w:tc>
          <w:tcPr>
            <w:tcW w:w="9632" w:type="dxa"/>
            <w:tcBorders/>
            <w:shd w:fill="auto" w:val="clear"/>
          </w:tcPr>
          <w:p>
            <w:pPr>
              <w:pStyle w:val="TableContents"/>
              <w:spacing w:before="0" w:after="283"/>
              <w:jc w:val="left"/>
              <w:rPr/>
            </w:pPr>
            <w:r>
              <w:rPr/>
              <w:t xml:space="preserve">Change of activity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refrain from essential changes in the main lines of the economic activities and undertakes to procure that each Debtor shall refrain from essential changes in the main lines of the economic activities without preliminary written consent of the Credit Agent. For the sake of clarity, the present Article 19.15 shall not apply for reduction or termination of economic activities of Headhunter in result of Permitted Reorganization.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90"/>
        <w:gridCol w:w="9615"/>
      </w:tblGrid>
      <w:tr>
        <w:trPr/>
        <w:tc>
          <w:tcPr>
            <w:tcW w:w="590" w:type="dxa"/>
            <w:tcBorders/>
            <w:shd w:fill="auto" w:val="clear"/>
          </w:tcPr>
          <w:p>
            <w:pPr>
              <w:pStyle w:val="TableContents"/>
              <w:spacing w:before="0" w:after="283"/>
              <w:jc w:val="left"/>
              <w:rPr/>
            </w:pPr>
            <w:r>
              <w:rPr/>
              <w:t>19.16</w:t>
            </w:r>
          </w:p>
        </w:tc>
        <w:tc>
          <w:tcPr>
            <w:tcW w:w="9615" w:type="dxa"/>
            <w:tcBorders/>
            <w:shd w:fill="auto" w:val="clear"/>
          </w:tcPr>
          <w:p>
            <w:pPr>
              <w:pStyle w:val="TableContents"/>
              <w:spacing w:before="0" w:after="283"/>
              <w:jc w:val="left"/>
              <w:rPr/>
            </w:pPr>
            <w:r>
              <w:rPr/>
              <w:t xml:space="preserve">Existing Commercial Contracts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provide validity of the Existing Commercial Agreements up to the Date of Definitive Repayment of the Tranche V and Tranche G or conclusion of new Agreements on similar conditions, if commercially reasonable, not later than one month prior to expiration of validity of the Existing Commercial Agreements.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95"/>
        <w:gridCol w:w="9610"/>
      </w:tblGrid>
      <w:tr>
        <w:trPr/>
        <w:tc>
          <w:tcPr>
            <w:tcW w:w="595" w:type="dxa"/>
            <w:tcBorders/>
            <w:shd w:fill="auto" w:val="clear"/>
          </w:tcPr>
          <w:p>
            <w:pPr>
              <w:pStyle w:val="TableContents"/>
              <w:spacing w:before="0" w:after="283"/>
              <w:jc w:val="left"/>
              <w:rPr/>
            </w:pPr>
            <w:r>
              <w:rPr/>
              <w:t>19.17</w:t>
            </w:r>
          </w:p>
        </w:tc>
        <w:tc>
          <w:tcPr>
            <w:tcW w:w="9610" w:type="dxa"/>
            <w:tcBorders/>
            <w:shd w:fill="auto" w:val="clear"/>
          </w:tcPr>
          <w:p>
            <w:pPr>
              <w:pStyle w:val="TableContents"/>
              <w:spacing w:before="0" w:after="283"/>
              <w:jc w:val="left"/>
              <w:rPr/>
            </w:pPr>
            <w:r>
              <w:rPr/>
              <w:t xml:space="preserve">Taxation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pay in due time taxes and duties to the corresponding budgets and to effect the obligatory payments to the off-budget funds of the Russian Federation (hereinafter referred to as Obligatory Payments), and undertakes to procure that each Affiliated Company of the Borrower shall pay the Obligatory Payments in due time, with the exception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Obligatory Payments to be challenged by the Borrower and any Affiliated Company of the Borrower as per the procedure established by the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Obligatory Payments and costs for contest of them in which relation the corresponding reserves have been created that are shown in the most recent financial statements submitted to the Credit Agent in compliance with the Article 17.1 (</w:t>
            </w:r>
            <w:r>
              <w:rPr>
                <w:i/>
              </w:rPr>
              <w:t>Financial statements</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a case when failure to effect such Obligatory Payments will not render the Essential Adverse Effect.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85"/>
        <w:gridCol w:w="9620"/>
      </w:tblGrid>
      <w:tr>
        <w:trPr/>
        <w:tc>
          <w:tcPr>
            <w:tcW w:w="585" w:type="dxa"/>
            <w:tcBorders/>
            <w:shd w:fill="auto" w:val="clear"/>
          </w:tcPr>
          <w:p>
            <w:pPr>
              <w:pStyle w:val="TableContents"/>
              <w:spacing w:before="0" w:after="283"/>
              <w:jc w:val="left"/>
              <w:rPr/>
            </w:pPr>
            <w:r>
              <w:rPr/>
              <w:t>19.18</w:t>
            </w:r>
          </w:p>
        </w:tc>
        <w:tc>
          <w:tcPr>
            <w:tcW w:w="9620" w:type="dxa"/>
            <w:tcBorders/>
            <w:shd w:fill="auto" w:val="clear"/>
          </w:tcPr>
          <w:p>
            <w:pPr>
              <w:pStyle w:val="TableContents"/>
              <w:spacing w:before="0" w:after="283"/>
              <w:jc w:val="left"/>
              <w:rPr/>
            </w:pPr>
            <w:r>
              <w:rPr/>
              <w:t xml:space="preserve">The Equal status of obligations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procure that his obligations under the present Agreement are satisfied as per the same priority as his other existing and future unfunded payment obligations and that any Affiliated Company of the Borrower has provided that its obligations under the present Agreement are satisfied per the same priority as the other existing and future unfunded payment obligations of such Affiliated Company of the Borrower, except for the obligations which primary satisfaction is explicitly provided by the legislation.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80"/>
        <w:gridCol w:w="9625"/>
      </w:tblGrid>
      <w:tr>
        <w:trPr/>
        <w:tc>
          <w:tcPr>
            <w:tcW w:w="580" w:type="dxa"/>
            <w:tcBorders/>
            <w:shd w:fill="auto" w:val="clear"/>
          </w:tcPr>
          <w:p>
            <w:pPr>
              <w:pStyle w:val="TableContents"/>
              <w:spacing w:before="0" w:after="283"/>
              <w:jc w:val="left"/>
              <w:rPr/>
            </w:pPr>
            <w:r>
              <w:rPr/>
              <w:t>19.19</w:t>
            </w:r>
          </w:p>
        </w:tc>
        <w:tc>
          <w:tcPr>
            <w:tcW w:w="9625" w:type="dxa"/>
            <w:tcBorders/>
            <w:shd w:fill="auto" w:val="clear"/>
          </w:tcPr>
          <w:p>
            <w:pPr>
              <w:pStyle w:val="TableContents"/>
              <w:spacing w:before="0" w:after="283"/>
              <w:jc w:val="left"/>
              <w:rPr/>
            </w:pPr>
            <w:r>
              <w:rPr/>
              <w:t xml:space="preserve">Chart of the Group Structure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provide preserving of the Group Structure in compliance with Chart of the Group Structure. The present obligation shall not apply to the actions permitted or stipulated in compliance with the Financial Documents.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1"/>
        <w:gridCol w:w="9644"/>
      </w:tblGrid>
      <w:tr>
        <w:trPr/>
        <w:tc>
          <w:tcPr>
            <w:tcW w:w="561" w:type="dxa"/>
            <w:tcBorders/>
            <w:shd w:fill="auto" w:val="clear"/>
          </w:tcPr>
          <w:p>
            <w:pPr>
              <w:pStyle w:val="TableContents"/>
              <w:spacing w:before="0" w:after="283"/>
              <w:jc w:val="left"/>
              <w:rPr/>
            </w:pPr>
            <w:r>
              <w:rPr/>
              <w:t>19.20</w:t>
            </w:r>
          </w:p>
        </w:tc>
        <w:tc>
          <w:tcPr>
            <w:tcW w:w="9644" w:type="dxa"/>
            <w:tcBorders/>
            <w:shd w:fill="auto" w:val="clear"/>
          </w:tcPr>
          <w:p>
            <w:pPr>
              <w:pStyle w:val="TableContents"/>
              <w:spacing w:before="0" w:after="283"/>
              <w:jc w:val="left"/>
              <w:rPr/>
            </w:pPr>
            <w:r>
              <w:rPr/>
              <w:t xml:space="preserve">Access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allow (undertakes to procure that each Affiliated Company of the Borrower shall allow) on demand of the Credit Agent, in case of occurrence and failure to correct the Failure to perform Obligations or in case the Credit Agent would have good causes to believe that occurrence of the Failure to perform Obligations is possible, an easy access to the premises, assets and primary documents (on paper or electronic media) of accounting and tax accounting to the Credit Agent and (or) to his auditors or other professional advisers, including issue of letters of attorney for the corresponding persons, and also to arrange a meeting with the Management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8"/>
        <w:gridCol w:w="9637"/>
      </w:tblGrid>
      <w:tr>
        <w:trPr/>
        <w:tc>
          <w:tcPr>
            <w:tcW w:w="568" w:type="dxa"/>
            <w:tcBorders/>
            <w:shd w:fill="auto" w:val="clear"/>
          </w:tcPr>
          <w:p>
            <w:pPr>
              <w:pStyle w:val="TableContents"/>
              <w:spacing w:before="0" w:after="283"/>
              <w:jc w:val="left"/>
              <w:rPr/>
            </w:pPr>
            <w:r>
              <w:rPr/>
              <w:t>19.21</w:t>
            </w:r>
          </w:p>
        </w:tc>
        <w:tc>
          <w:tcPr>
            <w:tcW w:w="9637" w:type="dxa"/>
            <w:tcBorders/>
            <w:shd w:fill="auto" w:val="clear"/>
          </w:tcPr>
          <w:p>
            <w:pPr>
              <w:pStyle w:val="TableContents"/>
              <w:spacing w:before="0" w:after="283"/>
              <w:jc w:val="left"/>
              <w:rPr/>
            </w:pPr>
            <w:r>
              <w:rPr/>
              <w:t xml:space="preserve">Additional General Obligations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take at own expense on request of any Party of Financing any actions and to sign any documents and undertakes to procure that any Affiliated Company of the Borrower at own expense take any actions and sign any documents necessary to provide the validity and proper execution of the Financial Documents. In particular, the Borrower undertakes to provide on request of the Credit Agent conclusion at his own expense of: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new Agreements on Issue of the Independent Warranty with the Creditors and issue of new Independent Warranties in favor of Creditors (on the conditions identical to the conditions of existing Agreements on Issue of the Independent Warranty and Independent Warranties);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supplementary Agreements to the Agreement of Pledge of the Borrower and Agreement of Pledge of Headhunter (on the conditions, acceptable for the Creditors), </w:t>
            </w:r>
          </w:p>
        </w:tc>
      </w:tr>
    </w:tbl>
    <w:p>
      <w:pPr>
        <w:pStyle w:val="TextBody"/>
        <w:spacing w:before="120" w:after="0"/>
        <w:rPr>
          <w:rFonts w:ascii="Times New Roman" w:hAnsi="Times New Roman"/>
          <w:sz w:val="20"/>
        </w:rPr>
      </w:pPr>
      <w:r>
        <w:rPr>
          <w:rFonts w:ascii="Times New Roman" w:hAnsi="Times New Roman"/>
          <w:sz w:val="20"/>
        </w:rPr>
        <w:t>as well as commission of all actions required to provide the validity of such Agreements in case of acquisition by any Creditor (other than the Creditors who are the party of the existing Agreements on Issue of the Independent Warranty, Agreement of Pledge of the Borrower and Agreement of Pledge of Headhunter) of the rights (to claim) against the Borrower and (or) obligations in respect of Credit granting in compliance with provisions of the Article 22.2 (</w:t>
      </w:r>
      <w:r>
        <w:rPr>
          <w:rFonts w:ascii="Times New Roman" w:hAnsi="Times New Roman"/>
          <w:i/>
          <w:sz w:val="20"/>
        </w:rPr>
        <w:t>Assignment of the rights and transfer of obligations by Creditors</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8"/>
        <w:gridCol w:w="9637"/>
      </w:tblGrid>
      <w:tr>
        <w:trPr/>
        <w:tc>
          <w:tcPr>
            <w:tcW w:w="568" w:type="dxa"/>
            <w:tcBorders/>
            <w:shd w:fill="auto" w:val="clear"/>
          </w:tcPr>
          <w:p>
            <w:pPr>
              <w:pStyle w:val="TableContents"/>
              <w:spacing w:before="0" w:after="283"/>
              <w:jc w:val="left"/>
              <w:rPr/>
            </w:pPr>
            <w:r>
              <w:rPr/>
              <w:t>19.22</w:t>
            </w:r>
          </w:p>
        </w:tc>
        <w:tc>
          <w:tcPr>
            <w:tcW w:w="9637" w:type="dxa"/>
            <w:tcBorders/>
            <w:shd w:fill="auto" w:val="clear"/>
          </w:tcPr>
          <w:p>
            <w:pPr>
              <w:pStyle w:val="TableContents"/>
              <w:spacing w:before="0" w:after="283"/>
              <w:jc w:val="left"/>
              <w:rPr/>
            </w:pPr>
            <w:r>
              <w:rPr/>
              <w:t xml:space="preserve">Obligations of Zemenik Trading </w:t>
            </w:r>
          </w:p>
        </w:tc>
      </w:tr>
    </w:tbl>
    <w:p>
      <w:pPr>
        <w:pStyle w:val="TextBody"/>
        <w:spacing w:before="120" w:after="0"/>
        <w:rPr>
          <w:rFonts w:ascii="Times New Roman" w:hAnsi="Times New Roman"/>
          <w:sz w:val="20"/>
        </w:rPr>
      </w:pPr>
      <w:r>
        <w:rPr>
          <w:rFonts w:ascii="Times New Roman" w:hAnsi="Times New Roman"/>
          <w:sz w:val="20"/>
        </w:rPr>
        <w:t>The Borrower undertakes to procure that Zemenik Trading shall perform the obligations contained in the Articles 19.2 (</w:t>
      </w:r>
      <w:r>
        <w:rPr>
          <w:rFonts w:ascii="Times New Roman" w:hAnsi="Times New Roman"/>
          <w:i/>
          <w:sz w:val="20"/>
        </w:rPr>
        <w:t>Prohibition on Encumbrance of assets</w:t>
      </w:r>
      <w:r>
        <w:rPr>
          <w:rFonts w:ascii="Times New Roman" w:hAnsi="Times New Roman"/>
          <w:sz w:val="20"/>
        </w:rPr>
        <w:t>), 19.3 (</w:t>
      </w:r>
      <w:r>
        <w:rPr>
          <w:rFonts w:ascii="Times New Roman" w:hAnsi="Times New Roman"/>
          <w:i/>
          <w:sz w:val="20"/>
        </w:rPr>
        <w:t>Alienation</w:t>
      </w:r>
      <w:r>
        <w:rPr>
          <w:rFonts w:ascii="Times New Roman" w:hAnsi="Times New Roman"/>
          <w:sz w:val="20"/>
        </w:rPr>
        <w:t xml:space="preserve"> of assets), 19.4 (Acquisition of assets), 19.5 (Transactions on market conditions), 19.6 (Crediting), 19.7 (Administration of guarantees and sureties), 19.8 (Financial Indebtedness), 19.9 (Reorganization and authorized capital stock reduction), 19.10 (Issue of new shares or increase of the authorized capital stock) and 19.11 (Amendment of the constituent documents) in a manner as likely as Zemenik Trading is directly indicated in such Articles.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20.</w:t>
            </w:r>
          </w:p>
        </w:tc>
        <w:tc>
          <w:tcPr>
            <w:tcW w:w="9695" w:type="dxa"/>
            <w:tcBorders/>
            <w:shd w:fill="auto" w:val="clear"/>
          </w:tcPr>
          <w:p>
            <w:pPr>
              <w:pStyle w:val="TableContents"/>
              <w:spacing w:before="0" w:after="283"/>
              <w:jc w:val="left"/>
              <w:rPr/>
            </w:pPr>
            <w:r>
              <w:rPr/>
              <w:t xml:space="preserve">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Creditors agree hereby that the Permitted Reorganization is directly authorized by the Financial Documents if all conditions indicated in definition of the term “Permitted Reorganization” in Article 1.1 </w:t>
            </w:r>
            <w:r>
              <w:rPr>
                <w:i/>
              </w:rPr>
              <w:t>(Terms)</w:t>
            </w:r>
            <w:r>
              <w:rPr/>
              <w:t xml:space="preserve"> are satisfied.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The Credit Agent undertakes to take actions on request of the Borrower and at the expense of the Borrower and to sign the documents required by the participants of the Group or Pledgers to provide of carrying out of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w:t>
            </w:r>
          </w:p>
        </w:tc>
        <w:tc>
          <w:tcPr>
            <w:tcW w:w="9695" w:type="dxa"/>
            <w:tcBorders/>
            <w:shd w:fill="auto" w:val="clear"/>
          </w:tcPr>
          <w:p>
            <w:pPr>
              <w:pStyle w:val="TableContents"/>
              <w:spacing w:before="0" w:after="283"/>
              <w:jc w:val="left"/>
              <w:rPr/>
            </w:pPr>
            <w:r>
              <w:rPr/>
              <w:t xml:space="preserve">EVENTS OF DEFAULT </w:t>
            </w:r>
          </w:p>
        </w:tc>
      </w:tr>
    </w:tbl>
    <w:p>
      <w:pPr>
        <w:pStyle w:val="TextBody"/>
        <w:spacing w:before="120" w:after="0"/>
        <w:rPr>
          <w:rFonts w:ascii="Times New Roman" w:hAnsi="Times New Roman"/>
          <w:sz w:val="20"/>
        </w:rPr>
      </w:pPr>
      <w:r>
        <w:rPr>
          <w:rFonts w:ascii="Times New Roman" w:hAnsi="Times New Roman"/>
          <w:sz w:val="20"/>
        </w:rPr>
        <w:t>Each of the cases, events or circumstances described in the present Article (except for the Article 21.18 (</w:t>
      </w:r>
      <w:r>
        <w:rPr>
          <w:rFonts w:ascii="Times New Roman" w:hAnsi="Times New Roman"/>
          <w:i/>
          <w:sz w:val="20"/>
        </w:rPr>
        <w:t>Acceleration</w:t>
      </w:r>
      <w:r>
        <w:rPr>
          <w:rFonts w:ascii="Times New Roman" w:hAnsi="Times New Roman"/>
          <w:sz w:val="20"/>
        </w:rPr>
        <w:t xml:space="preserve">)) is the Failure to perform Case.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21.1</w:t>
            </w:r>
          </w:p>
        </w:tc>
        <w:tc>
          <w:tcPr>
            <w:tcW w:w="9695" w:type="dxa"/>
            <w:tcBorders/>
            <w:shd w:fill="auto" w:val="clear"/>
          </w:tcPr>
          <w:p>
            <w:pPr>
              <w:pStyle w:val="TableContents"/>
              <w:spacing w:before="0" w:after="283"/>
              <w:jc w:val="left"/>
              <w:rPr/>
            </w:pPr>
            <w:r>
              <w:rPr/>
              <w:t xml:space="preserve">Non-payment </w:t>
            </w:r>
          </w:p>
        </w:tc>
      </w:tr>
    </w:tbl>
    <w:p>
      <w:pPr>
        <w:pStyle w:val="TextBody"/>
        <w:spacing w:before="120" w:after="0"/>
        <w:rPr>
          <w:rFonts w:ascii="Times New Roman" w:hAnsi="Times New Roman"/>
          <w:sz w:val="20"/>
        </w:rPr>
      </w:pPr>
      <w:r>
        <w:rPr>
          <w:rFonts w:ascii="Times New Roman" w:hAnsi="Times New Roman"/>
          <w:sz w:val="20"/>
        </w:rPr>
        <w:t xml:space="preserve">Non-payment by the Debtor when due hereunder of any amount due and payable under the Financial Documents in such place and in such currency in which its payment is stipulated, with the exception of the cases when: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Such non-payment is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1"/>
        <w:gridCol w:w="8576"/>
      </w:tblGrid>
      <w:tr>
        <w:trPr/>
        <w:tc>
          <w:tcPr>
            <w:tcW w:w="1017"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either technical or administrative error;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Technical Failure; and provided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the payment is effected within 3 (three) Working Days as from the established maturity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21.2</w:t>
            </w:r>
          </w:p>
        </w:tc>
        <w:tc>
          <w:tcPr>
            <w:tcW w:w="9695" w:type="dxa"/>
            <w:tcBorders/>
            <w:shd w:fill="auto" w:val="clear"/>
          </w:tcPr>
          <w:p>
            <w:pPr>
              <w:pStyle w:val="TableContents"/>
              <w:spacing w:before="0" w:after="283"/>
              <w:jc w:val="left"/>
              <w:rPr/>
            </w:pPr>
            <w:r>
              <w:rPr/>
              <w:t xml:space="preserve">Violation by the Debtor of financial indicators </w:t>
            </w:r>
          </w:p>
        </w:tc>
      </w:tr>
    </w:tbl>
    <w:p>
      <w:pPr>
        <w:pStyle w:val="TextBody"/>
        <w:spacing w:before="120" w:after="0"/>
        <w:rPr>
          <w:rFonts w:ascii="Times New Roman" w:hAnsi="Times New Roman"/>
          <w:sz w:val="20"/>
        </w:rPr>
      </w:pPr>
      <w:r>
        <w:rPr>
          <w:rFonts w:ascii="Times New Roman" w:hAnsi="Times New Roman"/>
          <w:sz w:val="20"/>
        </w:rPr>
        <w:t>Disregard by any Debtor of any obligation stipulated in Article 18 (</w:t>
      </w:r>
      <w:r>
        <w:rPr>
          <w:rFonts w:ascii="Times New Roman" w:hAnsi="Times New Roman"/>
          <w:i/>
          <w:sz w:val="20"/>
        </w:rPr>
        <w:t>Obligations in respect of observance of financial indicators</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21.3</w:t>
            </w:r>
          </w:p>
        </w:tc>
        <w:tc>
          <w:tcPr>
            <w:tcW w:w="9695" w:type="dxa"/>
            <w:tcBorders/>
            <w:shd w:fill="auto" w:val="clear"/>
          </w:tcPr>
          <w:p>
            <w:pPr>
              <w:pStyle w:val="TableContents"/>
              <w:spacing w:before="0" w:after="283"/>
              <w:jc w:val="left"/>
              <w:rPr/>
            </w:pPr>
            <w:r>
              <w:rPr/>
              <w:t xml:space="preserve">Other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Disregard by the Debtor or the Pledger of any provisions of the Financial Documents (except for those indicated in the Article 21.1 (</w:t>
            </w:r>
            <w:r>
              <w:rPr>
                <w:i/>
              </w:rPr>
              <w:t>Non-payment</w:t>
            </w:r>
            <w:r>
              <w:rPr/>
              <w:t>) and in the Article 21.2 (</w:t>
            </w:r>
            <w:r>
              <w:rPr>
                <w:i/>
              </w:rPr>
              <w:t>Violation by the Debtor of financial indicators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Event of Failure to Perform in compliance with section (a) above is not considered occurred if such disregard can be corrected and is being corrected: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3" w:type="dxa"/>
            <w:tcBorders/>
            <w:shd w:fill="auto" w:val="clear"/>
          </w:tcPr>
          <w:p>
            <w:pPr>
              <w:pStyle w:val="TableContents"/>
              <w:spacing w:before="0" w:after="283"/>
              <w:jc w:val="left"/>
              <w:rPr/>
            </w:pPr>
            <w:r>
              <w:rPr/>
              <w:t>in respect of the obligations stipulated in sections (a) and (b) of the Article 17.1 (</w:t>
            </w:r>
            <w:r>
              <w:rPr>
                <w:i/>
              </w:rPr>
              <w:t>Financial statements</w:t>
            </w:r>
            <w:r>
              <w:rPr/>
              <w:t xml:space="preserve">) - within 30 (thirty) days;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in respect of any other provisions of the Financial Documents - within 10 (ten) Working Days </w:t>
            </w:r>
          </w:p>
        </w:tc>
      </w:tr>
    </w:tbl>
    <w:p>
      <w:pPr>
        <w:pStyle w:val="TextBody"/>
        <w:spacing w:before="120" w:after="0"/>
        <w:rPr>
          <w:rFonts w:ascii="Times New Roman" w:hAnsi="Times New Roman"/>
          <w:sz w:val="20"/>
        </w:rPr>
      </w:pPr>
      <w:r>
        <w:rPr>
          <w:rFonts w:ascii="Times New Roman" w:hAnsi="Times New Roman"/>
          <w:sz w:val="20"/>
        </w:rPr>
        <w:t xml:space="preserve">after the earliest of the following two dates: (A) date of forwarding of the notification by the Credit Agent to the Debtor in respect of such failure to perform, or (B) date on which the corresponding Debtor became aware of such failure to perform.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21.4</w:t>
            </w:r>
          </w:p>
        </w:tc>
        <w:tc>
          <w:tcPr>
            <w:tcW w:w="9695" w:type="dxa"/>
            <w:tcBorders/>
            <w:shd w:fill="auto" w:val="clear"/>
          </w:tcPr>
          <w:p>
            <w:pPr>
              <w:pStyle w:val="TableContents"/>
              <w:spacing w:before="0" w:after="283"/>
              <w:jc w:val="left"/>
              <w:rPr/>
            </w:pPr>
            <w:r>
              <w:rPr/>
              <w:t xml:space="preserve">False representation </w:t>
            </w:r>
          </w:p>
        </w:tc>
      </w:tr>
    </w:tbl>
    <w:p>
      <w:pPr>
        <w:pStyle w:val="TextBody"/>
        <w:spacing w:before="120" w:after="0"/>
        <w:rPr>
          <w:rFonts w:ascii="Times New Roman" w:hAnsi="Times New Roman"/>
          <w:sz w:val="20"/>
        </w:rPr>
      </w:pPr>
      <w:r>
        <w:rPr>
          <w:rFonts w:ascii="Times New Roman" w:hAnsi="Times New Roman"/>
          <w:sz w:val="20"/>
        </w:rPr>
        <w:t xml:space="preserve">Any representation in respect of the circumstances submitted by any Debtor or the Pledger in the Financial Documents or with reference of them appears incorrect, doubtful or misleading as at the time when it shall be submitted.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21.5</w:t>
            </w:r>
          </w:p>
        </w:tc>
        <w:tc>
          <w:tcPr>
            <w:tcW w:w="9695" w:type="dxa"/>
            <w:tcBorders/>
            <w:shd w:fill="auto" w:val="clear"/>
          </w:tcPr>
          <w:p>
            <w:pPr>
              <w:pStyle w:val="TableContents"/>
              <w:spacing w:before="0" w:after="283"/>
              <w:jc w:val="left"/>
              <w:rPr/>
            </w:pPr>
            <w:r>
              <w:rPr/>
              <w:t xml:space="preserve">Non-execution of obligations to the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Any participant of the Group fails to redeem any Financial Indebtedness when due hereunder or during any grace period established in accordance with the conditions of the corresponding obligation.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Any Financial Indebtedness of any participant of the Group appears or as per otherwise procedure becomes subject to early repayment in result of occurrence of a case of a failure to perform of any character.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Any creditor of any participant of the Group acquires the right to declare any Financial Indebtedness of any participant of the Group subject to early repayment (prior to expiration of the time period for its repayment) in result of occurrence of a case of a failure to perform (of any character). The event of Failure to Perform is not considered occurred in compliance with the present section (c) if such disregard can be corrected and is corrected within 15 (fifteen) Working Days.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The event of Failure to Perform is not considered occurred bases on the present Article 21.5 if the cumulative amount of Financial Indebtedness or Obligations in respect of the Financial Indebtedness covered by provisions of sections (a) to (c) above is at any time less than 100,000,000 (one hundred millions)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21.6</w:t>
            </w:r>
          </w:p>
        </w:tc>
        <w:tc>
          <w:tcPr>
            <w:tcW w:w="9695" w:type="dxa"/>
            <w:tcBorders/>
            <w:shd w:fill="auto" w:val="clear"/>
          </w:tcPr>
          <w:p>
            <w:pPr>
              <w:pStyle w:val="TableContents"/>
              <w:spacing w:before="0" w:after="283"/>
              <w:jc w:val="left"/>
              <w:rPr/>
            </w:pPr>
            <w:r>
              <w:rPr/>
              <w:t xml:space="preserve">Loss of Property </w:t>
            </w:r>
          </w:p>
        </w:tc>
      </w:tr>
    </w:tbl>
    <w:p>
      <w:pPr>
        <w:pStyle w:val="TextBody"/>
        <w:spacing w:before="120" w:after="0"/>
        <w:rPr>
          <w:rFonts w:ascii="Times New Roman" w:hAnsi="Times New Roman"/>
          <w:sz w:val="20"/>
        </w:rPr>
      </w:pPr>
      <w:r>
        <w:rPr>
          <w:rFonts w:ascii="Times New Roman" w:hAnsi="Times New Roman"/>
          <w:sz w:val="20"/>
        </w:rPr>
        <w:t xml:space="preserve">Loss of property in which relation Encumbrance is created in compliance with any Agreement on Security.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21.7</w:t>
            </w:r>
          </w:p>
        </w:tc>
        <w:tc>
          <w:tcPr>
            <w:tcW w:w="9695" w:type="dxa"/>
            <w:tcBorders/>
            <w:shd w:fill="auto" w:val="clear"/>
          </w:tcPr>
          <w:p>
            <w:pPr>
              <w:pStyle w:val="TableContents"/>
              <w:spacing w:before="0" w:after="283"/>
              <w:jc w:val="left"/>
              <w:rPr/>
            </w:pPr>
            <w:r>
              <w:rPr/>
              <w:t xml:space="preserve">Financial Insolvency </w:t>
            </w:r>
          </w:p>
        </w:tc>
      </w:tr>
    </w:tbl>
    <w:p>
      <w:pPr>
        <w:pStyle w:val="TextBody"/>
        <w:spacing w:before="120" w:after="0"/>
        <w:rPr>
          <w:rFonts w:ascii="Times New Roman" w:hAnsi="Times New Roman"/>
          <w:sz w:val="20"/>
        </w:rPr>
      </w:pPr>
      <w:r>
        <w:rPr>
          <w:rFonts w:ascii="Times New Roman" w:hAnsi="Times New Roman"/>
          <w:sz w:val="20"/>
        </w:rPr>
        <w:t xml:space="preserve">Occurrence of any of the cases or events listed below in respect of any Essential Participant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Any Essential Participant of the Group meets the criteria for insolvency in compliance with the Bankruptcy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Any Essential Participant of the Group meets the criteria for insufficiency of property in compliance with the Bankruptcy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The financial condition of any Essential Participant of the Group affords the grounds for measures for the bankruptcy prevention in compliance with the Bankruptcy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Any Essential Participant of the Group meets the criteria or affords the grounds for measures for the bankruptcy prevention similar to the criteria and measures indicated in sections (a) and (b) of the present Article 21.7 </w:t>
            </w:r>
            <w:r>
              <w:rPr>
                <w:i/>
              </w:rPr>
              <w:t>(Financial Insolvency)</w:t>
            </w:r>
            <w:r>
              <w:rPr/>
              <w:t xml:space="preserve"> stipulated by any legislation applicable to such Essential Participant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6" w:type="dxa"/>
            <w:tcBorders/>
            <w:shd w:fill="auto" w:val="clear"/>
          </w:tcPr>
          <w:p>
            <w:pPr>
              <w:pStyle w:val="TableContents"/>
              <w:spacing w:before="0" w:after="283"/>
              <w:jc w:val="left"/>
              <w:rPr/>
            </w:pPr>
            <w:r>
              <w:rPr/>
              <w:t xml:space="preserve">Any Essential Participant of the Group starts negotiations with one or several creditors in respect of revision of time-periods of repayment of any his indebtedness by the reason of actual or anticipated financial difficulties;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(f)</w:t>
            </w:r>
          </w:p>
        </w:tc>
        <w:tc>
          <w:tcPr>
            <w:tcW w:w="9185" w:type="dxa"/>
            <w:tcBorders/>
            <w:shd w:fill="auto" w:val="clear"/>
          </w:tcPr>
          <w:p>
            <w:pPr>
              <w:pStyle w:val="TableContents"/>
              <w:spacing w:before="0" w:after="283"/>
              <w:jc w:val="left"/>
              <w:rPr/>
            </w:pPr>
            <w:r>
              <w:rPr/>
              <w:t xml:space="preserve">The moratorium on repayment of creditors’ claims in respect of any indebtedness is introduced;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(g)</w:t>
            </w:r>
          </w:p>
        </w:tc>
        <w:tc>
          <w:tcPr>
            <w:tcW w:w="9186" w:type="dxa"/>
            <w:tcBorders/>
            <w:shd w:fill="auto" w:val="clear"/>
          </w:tcPr>
          <w:p>
            <w:pPr>
              <w:pStyle w:val="TableContents"/>
              <w:spacing w:before="0" w:after="283"/>
              <w:jc w:val="left"/>
              <w:rPr/>
            </w:pPr>
            <w:r>
              <w:rPr/>
              <w:t xml:space="preserve">Any Essential Participant of the Group meets any other criteria of the bankruptcy established by the Bankruptcy Law or by any other law applicable to such Essential Participant of the Group.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21.8</w:t>
            </w:r>
          </w:p>
        </w:tc>
        <w:tc>
          <w:tcPr>
            <w:tcW w:w="9695" w:type="dxa"/>
            <w:tcBorders/>
            <w:shd w:fill="auto" w:val="clear"/>
          </w:tcPr>
          <w:p>
            <w:pPr>
              <w:pStyle w:val="TableContents"/>
              <w:spacing w:before="0" w:after="283"/>
              <w:jc w:val="left"/>
              <w:rPr/>
            </w:pPr>
            <w:r>
              <w:rPr/>
              <w:t xml:space="preserve">Financial Insolvency Procedures </w:t>
            </w:r>
          </w:p>
        </w:tc>
      </w:tr>
    </w:tbl>
    <w:p>
      <w:pPr>
        <w:pStyle w:val="TextBody"/>
        <w:spacing w:before="120" w:after="0"/>
        <w:rPr>
          <w:rFonts w:ascii="Times New Roman" w:hAnsi="Times New Roman"/>
          <w:sz w:val="20"/>
        </w:rPr>
      </w:pPr>
      <w:r>
        <w:rPr>
          <w:rFonts w:ascii="Times New Roman" w:hAnsi="Times New Roman"/>
          <w:sz w:val="20"/>
        </w:rPr>
        <w:t xml:space="preserve">Commitment of any one of the following actions in respect of any Essential Participant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sanitation and other measures for the bankruptcy prevention;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beginning of the procedure for liquidation or bankruptcy or appointment of liquidation committee or any similar body or any official;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submission to the court of the petition by any of the Essential Participants of the Group in respect of declaration of such Essential Participant of the Group bankrupt;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submission to the court of petition of any creditor of any Debtor in respect of declaration of such Essential Participant of the Group bankrupt or in respect of liquidation (or any other similar procedure) if the arbitration tribunal or another competent court within 30 (thirty) calendar days as from the date of rendering of ruling in respect of accepting of the statement for declaration of the Essential Participant of the Group bankrupt does not render ruling in respect of refusal to commence a supervision procedure and dismissal of petition without prejudice, ruling in respect of refusal to commence a supervision procedure and termination of proceedings in case of bankruptcy, ruling in respect of returning of such petition, ruling in respect of termination of proceedings in case of bankruptcy, decisions in respect of refusal to declare bankrupt or other similar judicial act which results in either termination of proceedings in case of bankruptcy or refusal to commence such proceedings;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5" w:type="dxa"/>
            <w:tcBorders/>
            <w:shd w:fill="auto" w:val="clear"/>
          </w:tcPr>
          <w:p>
            <w:pPr>
              <w:pStyle w:val="TableContents"/>
              <w:spacing w:before="0" w:after="283"/>
              <w:jc w:val="left"/>
              <w:rPr/>
            </w:pPr>
            <w:r>
              <w:rPr/>
              <w:t xml:space="preserve">commencement of a supervision procedure, external management, financial rehabilitation or bankruptcy administration;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(f)</w:t>
            </w:r>
          </w:p>
        </w:tc>
        <w:tc>
          <w:tcPr>
            <w:tcW w:w="9185" w:type="dxa"/>
            <w:tcBorders/>
            <w:shd w:fill="auto" w:val="clear"/>
          </w:tcPr>
          <w:p>
            <w:pPr>
              <w:pStyle w:val="TableContents"/>
              <w:spacing w:before="0" w:after="283"/>
              <w:jc w:val="left"/>
              <w:rPr/>
            </w:pPr>
            <w:r>
              <w:rPr/>
              <w:t xml:space="preserve">appointment of the temporary manager, external manager, insolvency administrator or any other person executing similar functions;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(g)</w:t>
            </w:r>
          </w:p>
        </w:tc>
        <w:tc>
          <w:tcPr>
            <w:tcW w:w="9184" w:type="dxa"/>
            <w:tcBorders/>
            <w:shd w:fill="auto" w:val="clear"/>
          </w:tcPr>
          <w:p>
            <w:pPr>
              <w:pStyle w:val="TableContents"/>
              <w:spacing w:before="0" w:after="283"/>
              <w:jc w:val="left"/>
              <w:rPr/>
            </w:pPr>
            <w:r>
              <w:rPr/>
              <w:t xml:space="preserve">convening of meeting of creditors for the purpose of consideration of voluntary settlement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(h)</w:t>
            </w:r>
          </w:p>
        </w:tc>
        <w:tc>
          <w:tcPr>
            <w:tcW w:w="9185" w:type="dxa"/>
            <w:tcBorders/>
            <w:shd w:fill="auto" w:val="clear"/>
          </w:tcPr>
          <w:p>
            <w:pPr>
              <w:pStyle w:val="TableContents"/>
              <w:spacing w:before="0" w:after="283"/>
              <w:jc w:val="left"/>
              <w:rPr/>
            </w:pPr>
            <w:r>
              <w:rPr/>
              <w:t xml:space="preserve">initiation of any other insolvency proceeding established by the bankruptcy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w:t>
            </w:r>
          </w:p>
        </w:tc>
        <w:tc>
          <w:tcPr>
            <w:tcW w:w="9185" w:type="dxa"/>
            <w:tcBorders/>
            <w:shd w:fill="auto" w:val="clear"/>
          </w:tcPr>
          <w:p>
            <w:pPr>
              <w:pStyle w:val="TableContents"/>
              <w:spacing w:before="0" w:after="283"/>
              <w:jc w:val="left"/>
              <w:rPr/>
            </w:pPr>
            <w:r>
              <w:rPr/>
              <w:t xml:space="preserve">levy of execution upon any Encumbrance created in the relation of any assets of any Essential Participant of the Group if the extent of assets in which relation such Encumbrance is created, exceeds 100,000,000 (one hundred million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(j)</w:t>
            </w:r>
          </w:p>
        </w:tc>
        <w:tc>
          <w:tcPr>
            <w:tcW w:w="9185" w:type="dxa"/>
            <w:tcBorders/>
            <w:shd w:fill="auto" w:val="clear"/>
          </w:tcPr>
          <w:p>
            <w:pPr>
              <w:pStyle w:val="TableContents"/>
              <w:spacing w:before="0" w:after="283"/>
              <w:jc w:val="left"/>
              <w:rPr/>
            </w:pPr>
            <w:r>
              <w:rPr/>
              <w:t xml:space="preserve">commencement of any other similar procedures provided by the Financial Insolvency (bankruptcy) legislation applicable to the corresponding Essential Participant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21.9</w:t>
            </w:r>
          </w:p>
        </w:tc>
        <w:tc>
          <w:tcPr>
            <w:tcW w:w="9186" w:type="dxa"/>
            <w:tcBorders/>
            <w:shd w:fill="auto" w:val="clear"/>
          </w:tcPr>
          <w:p>
            <w:pPr>
              <w:pStyle w:val="TableContents"/>
              <w:spacing w:before="0" w:after="283"/>
              <w:jc w:val="left"/>
              <w:rPr/>
            </w:pPr>
            <w:r>
              <w:rPr/>
              <w:t xml:space="preserve">Compulsory withdrawal or restriction on disposal of property </w:t>
            </w:r>
          </w:p>
        </w:tc>
      </w:tr>
    </w:tbl>
    <w:p>
      <w:pPr>
        <w:pStyle w:val="TextBody"/>
        <w:spacing w:before="120" w:after="0"/>
        <w:rPr>
          <w:rFonts w:ascii="Times New Roman" w:hAnsi="Times New Roman"/>
          <w:sz w:val="20"/>
        </w:rPr>
      </w:pPr>
      <w:r>
        <w:rPr>
          <w:rFonts w:ascii="Times New Roman" w:hAnsi="Times New Roman"/>
          <w:sz w:val="20"/>
        </w:rPr>
        <w:t xml:space="preserve">Arrest, confiscation, otherwise compulsory withdrawal of property, suspension or limitation of operations at the accounts of any participant of the Group in the cumulative cost exceeding 100,000,000 (one hundred million) Rubles or an equivalent of such amount at the rate of the Central Bank of the Russian Federation for the corresponding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4"/>
        <w:gridCol w:w="9641"/>
      </w:tblGrid>
      <w:tr>
        <w:trPr/>
        <w:tc>
          <w:tcPr>
            <w:tcW w:w="564" w:type="dxa"/>
            <w:tcBorders/>
            <w:shd w:fill="auto" w:val="clear"/>
          </w:tcPr>
          <w:p>
            <w:pPr>
              <w:pStyle w:val="TableContents"/>
              <w:spacing w:before="0" w:after="283"/>
              <w:jc w:val="left"/>
              <w:rPr/>
            </w:pPr>
            <w:r>
              <w:rPr/>
              <w:t>21.10</w:t>
            </w:r>
          </w:p>
        </w:tc>
        <w:tc>
          <w:tcPr>
            <w:tcW w:w="9641" w:type="dxa"/>
            <w:tcBorders/>
            <w:shd w:fill="auto" w:val="clear"/>
          </w:tcPr>
          <w:p>
            <w:pPr>
              <w:pStyle w:val="TableContents"/>
              <w:spacing w:before="0" w:after="283"/>
              <w:jc w:val="left"/>
              <w:rPr/>
            </w:pPr>
            <w:r>
              <w:rPr/>
              <w:t xml:space="preserve">Illegality and invalidity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Execution by any Debtor or Pledger of any Obligations under the Financial Documents becomes inconsistent with the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Any Financial Document ceases to be legally valid and effective.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Any Financial Document is not concluded in compliance with the Law applicable to such Financial Document.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46"/>
        <w:gridCol w:w="9659"/>
      </w:tblGrid>
      <w:tr>
        <w:trPr/>
        <w:tc>
          <w:tcPr>
            <w:tcW w:w="546" w:type="dxa"/>
            <w:tcBorders/>
            <w:shd w:fill="auto" w:val="clear"/>
          </w:tcPr>
          <w:p>
            <w:pPr>
              <w:pStyle w:val="TableContents"/>
              <w:spacing w:before="0" w:after="283"/>
              <w:jc w:val="left"/>
              <w:rPr/>
            </w:pPr>
            <w:r>
              <w:rPr/>
              <w:t>21.11</w:t>
            </w:r>
          </w:p>
        </w:tc>
        <w:tc>
          <w:tcPr>
            <w:tcW w:w="9659" w:type="dxa"/>
            <w:tcBorders/>
            <w:shd w:fill="auto" w:val="clear"/>
          </w:tcPr>
          <w:p>
            <w:pPr>
              <w:pStyle w:val="TableContents"/>
              <w:spacing w:before="0" w:after="283"/>
              <w:jc w:val="left"/>
              <w:rPr/>
            </w:pPr>
            <w:r>
              <w:rPr/>
              <w:t xml:space="preserve">Repudiation of obligations or termination of Agreements </w:t>
            </w:r>
          </w:p>
        </w:tc>
      </w:tr>
    </w:tbl>
    <w:p>
      <w:pPr>
        <w:pStyle w:val="TextBody"/>
        <w:spacing w:before="120" w:after="0"/>
        <w:rPr>
          <w:rFonts w:ascii="Times New Roman" w:hAnsi="Times New Roman"/>
          <w:sz w:val="20"/>
        </w:rPr>
      </w:pPr>
      <w:r>
        <w:rPr>
          <w:rFonts w:ascii="Times New Roman" w:hAnsi="Times New Roman"/>
          <w:sz w:val="20"/>
        </w:rPr>
        <w:t xml:space="preserve">Any Debtor or Pledger declares the intention to terminate any Financial Document or takes the actions directed on contest or termination of any Financial Document or refuses to perform it (except for situations when it as authorized by the Financial Documents).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72"/>
        <w:gridCol w:w="9633"/>
      </w:tblGrid>
      <w:tr>
        <w:trPr/>
        <w:tc>
          <w:tcPr>
            <w:tcW w:w="572" w:type="dxa"/>
            <w:tcBorders/>
            <w:shd w:fill="auto" w:val="clear"/>
          </w:tcPr>
          <w:p>
            <w:pPr>
              <w:pStyle w:val="TableContents"/>
              <w:spacing w:before="0" w:after="283"/>
              <w:jc w:val="left"/>
              <w:rPr/>
            </w:pPr>
            <w:r>
              <w:rPr/>
              <w:t>21.12</w:t>
            </w:r>
          </w:p>
        </w:tc>
        <w:tc>
          <w:tcPr>
            <w:tcW w:w="9633" w:type="dxa"/>
            <w:tcBorders/>
            <w:shd w:fill="auto" w:val="clear"/>
          </w:tcPr>
          <w:p>
            <w:pPr>
              <w:pStyle w:val="TableContents"/>
              <w:spacing w:before="0" w:after="283"/>
              <w:jc w:val="left"/>
              <w:rPr/>
            </w:pPr>
            <w:r>
              <w:rPr/>
              <w:t xml:space="preserve">Termination of economic activities </w:t>
            </w:r>
          </w:p>
        </w:tc>
      </w:tr>
    </w:tbl>
    <w:p>
      <w:pPr>
        <w:pStyle w:val="TextBody"/>
        <w:spacing w:before="120" w:after="0"/>
        <w:rPr>
          <w:rFonts w:ascii="Times New Roman" w:hAnsi="Times New Roman"/>
          <w:sz w:val="20"/>
        </w:rPr>
      </w:pPr>
      <w:r>
        <w:rPr>
          <w:rFonts w:ascii="Times New Roman" w:hAnsi="Times New Roman"/>
          <w:sz w:val="20"/>
        </w:rPr>
        <w:t xml:space="preserve">Any Debtor suspends or terminates (or warns of suspension or termination) his major economic activities.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59"/>
        <w:gridCol w:w="9646"/>
      </w:tblGrid>
      <w:tr>
        <w:trPr/>
        <w:tc>
          <w:tcPr>
            <w:tcW w:w="559" w:type="dxa"/>
            <w:tcBorders/>
            <w:shd w:fill="auto" w:val="clear"/>
          </w:tcPr>
          <w:p>
            <w:pPr>
              <w:pStyle w:val="TableContents"/>
              <w:spacing w:before="0" w:after="283"/>
              <w:jc w:val="left"/>
              <w:rPr/>
            </w:pPr>
            <w:r>
              <w:rPr/>
              <w:t>21.13</w:t>
            </w:r>
          </w:p>
        </w:tc>
        <w:tc>
          <w:tcPr>
            <w:tcW w:w="9646" w:type="dxa"/>
            <w:tcBorders/>
            <w:shd w:fill="auto" w:val="clear"/>
          </w:tcPr>
          <w:p>
            <w:pPr>
              <w:pStyle w:val="TableContents"/>
              <w:spacing w:before="0" w:after="283"/>
              <w:jc w:val="left"/>
              <w:rPr/>
            </w:pPr>
            <w:r>
              <w:rPr/>
              <w:t xml:space="preserve">The Audit report with the reservation </w:t>
            </w:r>
          </w:p>
        </w:tc>
      </w:tr>
    </w:tbl>
    <w:p>
      <w:pPr>
        <w:pStyle w:val="TextBody"/>
        <w:spacing w:before="120" w:after="0"/>
        <w:rPr>
          <w:rFonts w:ascii="Times New Roman" w:hAnsi="Times New Roman"/>
          <w:sz w:val="20"/>
        </w:rPr>
      </w:pPr>
      <w:r>
        <w:rPr>
          <w:rFonts w:ascii="Times New Roman" w:hAnsi="Times New Roman"/>
          <w:sz w:val="20"/>
        </w:rPr>
        <w:t xml:space="preserve">Auditors of the Group submit the conclusion with the reservation in respect of any financial statements of any Debtor checked up by the auditors.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63"/>
        <w:gridCol w:w="9642"/>
      </w:tblGrid>
      <w:tr>
        <w:trPr/>
        <w:tc>
          <w:tcPr>
            <w:tcW w:w="563" w:type="dxa"/>
            <w:tcBorders/>
            <w:shd w:fill="auto" w:val="clear"/>
          </w:tcPr>
          <w:p>
            <w:pPr>
              <w:pStyle w:val="TableContents"/>
              <w:spacing w:before="0" w:after="283"/>
              <w:jc w:val="left"/>
              <w:rPr/>
            </w:pPr>
            <w:r>
              <w:rPr/>
              <w:t>21.14</w:t>
            </w:r>
          </w:p>
        </w:tc>
        <w:tc>
          <w:tcPr>
            <w:tcW w:w="9642" w:type="dxa"/>
            <w:tcBorders/>
            <w:shd w:fill="auto" w:val="clear"/>
          </w:tcPr>
          <w:p>
            <w:pPr>
              <w:pStyle w:val="TableContents"/>
              <w:spacing w:before="0" w:after="283"/>
              <w:jc w:val="left"/>
              <w:rPr/>
            </w:pPr>
            <w:r>
              <w:rPr/>
              <w:t xml:space="preserve">Judicial and administrative proceedings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beginning of any judicial, administrative or arbitrations proceedings in respect of the contest of (i) the Financial Documents, (ii) any rights of the Parties of Financing based on the Financial Documents, or (iii) transactions stipulated in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Accepting by court, arbitration tribunal or the arbitration court (including international arbitration) to action at law of any claim in respect of any participant of the Group or his assets for a total amount which together with the amount of other claims shown to such participant of the Group (or in respect of his assets) or to the other participants of the Group (or in respect of their assets), received to action by any law court, arbitration tribunal or arbitration court (including international arbitration), exceeds 150,000,000 (one hundred fifty million) Rubles or an equivalent of this amount in another currency at the rate of the Central Bank of the Russian Federation for the date of filing of the claim.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Coming into legal force of decisions of any court, arbitration tribunal or arbitration court (including international arbitration) in respect of any participant of the Group or his assets concerning collection of money funds or other assets from such participant of the Group for a total amount which together with the amount of the other legally effective decisions of any court, arbitration tribunal or the arbitration court (including international arbitration) relating to such participant of the Group (or to his assets) or to the other participants of the Group (or to their assets) exceeds 100,000,000 (one hundred million) Rubles or an equivalent of this amount in another currency at the rate of the Central Bank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77"/>
        <w:gridCol w:w="9628"/>
      </w:tblGrid>
      <w:tr>
        <w:trPr/>
        <w:tc>
          <w:tcPr>
            <w:tcW w:w="577" w:type="dxa"/>
            <w:tcBorders/>
            <w:shd w:fill="auto" w:val="clear"/>
          </w:tcPr>
          <w:p>
            <w:pPr>
              <w:pStyle w:val="TableContents"/>
              <w:spacing w:before="0" w:after="283"/>
              <w:jc w:val="left"/>
              <w:rPr/>
            </w:pPr>
            <w:r>
              <w:rPr/>
              <w:t>21.15</w:t>
            </w:r>
          </w:p>
        </w:tc>
        <w:tc>
          <w:tcPr>
            <w:tcW w:w="9628" w:type="dxa"/>
            <w:tcBorders/>
            <w:shd w:fill="auto" w:val="clear"/>
          </w:tcPr>
          <w:p>
            <w:pPr>
              <w:pStyle w:val="TableContents"/>
              <w:spacing w:before="0" w:after="283"/>
              <w:jc w:val="left"/>
              <w:rPr/>
            </w:pPr>
            <w:r>
              <w:rPr/>
              <w:t xml:space="preserve">Deprivation of the right of property disposal </w:t>
            </w:r>
          </w:p>
        </w:tc>
      </w:tr>
    </w:tbl>
    <w:p>
      <w:pPr>
        <w:pStyle w:val="TextBody"/>
        <w:spacing w:before="120" w:after="0"/>
        <w:rPr>
          <w:rFonts w:ascii="Times New Roman" w:hAnsi="Times New Roman"/>
          <w:sz w:val="20"/>
        </w:rPr>
      </w:pPr>
      <w:r>
        <w:rPr>
          <w:rFonts w:ascii="Times New Roman" w:hAnsi="Times New Roman"/>
          <w:sz w:val="20"/>
        </w:rPr>
        <w:t xml:space="preserve">Limitation of capabilities of any participant of the Group to perform the economic activities in a result of: (i) deprivation or limitation of ownership rights, nationalization, requisition, confiscation, expropriation or other compulsory alienation of property, which general balance cost exceeds together with the other property of such participant of the Group and property of any other participant of the Group which has been nationalized, confiscated, confiscated, expropriated or is otherwise compulsorily alienated, is 75,000,000 (seventy five million) Rubles, (ii) prohibition or (iii) any other intervention committed by any state structure in respect of any participant of the Group (including, among the other, discharging from the post of the sole executive body, joint executive body or any managerial board of any participant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85"/>
        <w:gridCol w:w="9620"/>
      </w:tblGrid>
      <w:tr>
        <w:trPr/>
        <w:tc>
          <w:tcPr>
            <w:tcW w:w="585" w:type="dxa"/>
            <w:tcBorders/>
            <w:shd w:fill="auto" w:val="clear"/>
          </w:tcPr>
          <w:p>
            <w:pPr>
              <w:pStyle w:val="TableContents"/>
              <w:spacing w:before="0" w:after="283"/>
              <w:jc w:val="left"/>
              <w:rPr/>
            </w:pPr>
            <w:r>
              <w:rPr/>
              <w:t>21.16</w:t>
            </w:r>
          </w:p>
        </w:tc>
        <w:tc>
          <w:tcPr>
            <w:tcW w:w="9620" w:type="dxa"/>
            <w:tcBorders/>
            <w:shd w:fill="auto" w:val="clear"/>
          </w:tcPr>
          <w:p>
            <w:pPr>
              <w:pStyle w:val="TableContents"/>
              <w:spacing w:before="0" w:after="283"/>
              <w:jc w:val="left"/>
              <w:rPr/>
            </w:pPr>
            <w:r>
              <w:rPr/>
              <w:t xml:space="preserve">Intellectual property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Either complete or partial termination or suspension of action, cancellation of rights to any subject of the Intellectual property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Introduction of any limitations on conditions of use or additional requirements in respect of any subjects of the Intellectual property;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Expiration of period of validity and refusal to prolong the rights to any subject of the Intellectual property substantially on the same conditions;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Encumbrance in respect of any subjects of the Intellectual property, </w:t>
            </w:r>
          </w:p>
        </w:tc>
      </w:tr>
    </w:tbl>
    <w:p>
      <w:pPr>
        <w:pStyle w:val="TextBody"/>
        <w:spacing w:before="120" w:after="0"/>
        <w:rPr>
          <w:rFonts w:ascii="Times New Roman" w:hAnsi="Times New Roman"/>
          <w:sz w:val="20"/>
        </w:rPr>
      </w:pPr>
      <w:r>
        <w:rPr>
          <w:rFonts w:ascii="Times New Roman" w:hAnsi="Times New Roman"/>
          <w:sz w:val="20"/>
        </w:rPr>
        <w:t xml:space="preserve">in each case except for the alienation of any subject of the Intellectual property belonging to the participant of the Group, in case of alienation in favor of the persons who are not participants of the Group, of all shares or participation shares in the authorized capital stock of such participant of the Group belonging to participants of the Group (which owns the corresponding subject of the Intellectual property) if such alienation is authorized by the present Agreement conditions.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17</w:t>
            </w:r>
          </w:p>
        </w:tc>
        <w:tc>
          <w:tcPr>
            <w:tcW w:w="9694" w:type="dxa"/>
            <w:tcBorders/>
            <w:shd w:fill="auto" w:val="clear"/>
          </w:tcPr>
          <w:p>
            <w:pPr>
              <w:pStyle w:val="TableContents"/>
              <w:spacing w:before="0" w:after="283"/>
              <w:jc w:val="left"/>
              <w:rPr/>
            </w:pPr>
            <w:r>
              <w:rPr/>
              <w:t xml:space="preserve">Essential Adverse Effect </w:t>
            </w:r>
          </w:p>
        </w:tc>
      </w:tr>
    </w:tbl>
    <w:p>
      <w:pPr>
        <w:pStyle w:val="TextBody"/>
        <w:spacing w:before="120" w:after="0"/>
        <w:rPr>
          <w:rFonts w:ascii="Times New Roman" w:hAnsi="Times New Roman"/>
          <w:sz w:val="20"/>
        </w:rPr>
      </w:pPr>
      <w:r>
        <w:rPr>
          <w:rFonts w:ascii="Times New Roman" w:hAnsi="Times New Roman"/>
          <w:sz w:val="20"/>
        </w:rPr>
        <w:t xml:space="preserve">Occurrence of the Essential Adverse Effect.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18</w:t>
            </w:r>
          </w:p>
        </w:tc>
        <w:tc>
          <w:tcPr>
            <w:tcW w:w="9696" w:type="dxa"/>
            <w:tcBorders/>
            <w:shd w:fill="auto" w:val="clear"/>
          </w:tcPr>
          <w:p>
            <w:pPr>
              <w:pStyle w:val="TableContents"/>
              <w:spacing w:before="0" w:after="283"/>
              <w:jc w:val="left"/>
              <w:rPr/>
            </w:pPr>
            <w:r>
              <w:rPr/>
              <w:t xml:space="preserve">Acceleration </w:t>
            </w:r>
          </w:p>
        </w:tc>
      </w:tr>
    </w:tbl>
    <w:p>
      <w:pPr>
        <w:pStyle w:val="TextBody"/>
        <w:spacing w:before="120" w:after="0"/>
        <w:rPr>
          <w:rFonts w:ascii="Times New Roman" w:hAnsi="Times New Roman"/>
          <w:sz w:val="20"/>
        </w:rPr>
      </w:pPr>
      <w:r>
        <w:rPr>
          <w:rFonts w:ascii="Times New Roman" w:hAnsi="Times New Roman"/>
          <w:sz w:val="20"/>
        </w:rPr>
        <w:t xml:space="preserve">In case of occurrence of Event of Failure to perform and at any time after occurrence of any Event of Failure to perform which continues: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The Credit Agent, upon having received the Decision of the Majority of Creditors, is obliged send the notification to the Borrower, in which he: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0"/>
        <w:gridCol w:w="8577"/>
      </w:tblGrid>
      <w:tr>
        <w:trPr/>
        <w:tc>
          <w:tcPr>
            <w:tcW w:w="1017"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7" w:type="dxa"/>
            <w:tcBorders/>
            <w:shd w:fill="auto" w:val="clear"/>
          </w:tcPr>
          <w:p>
            <w:pPr>
              <w:pStyle w:val="TableContents"/>
              <w:spacing w:before="0" w:after="283"/>
              <w:jc w:val="left"/>
              <w:rPr/>
            </w:pPr>
            <w:r>
              <w:rPr/>
              <w:t xml:space="preserve">will express refusal of the Creditors to grant money funds within the Cumulative Limit of Crediting (including the Amount subject to be rendered by the Creditors if they avail such Amount at the corresponding moment of time) then the obligation of Creditors for rendering of the Credit to the Borrower ceases;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6" w:type="dxa"/>
            <w:tcBorders/>
            <w:shd w:fill="auto" w:val="clear"/>
          </w:tcPr>
          <w:p>
            <w:pPr>
              <w:pStyle w:val="TableContents"/>
              <w:spacing w:before="0" w:after="283"/>
              <w:jc w:val="left"/>
              <w:rPr/>
            </w:pPr>
            <w:r>
              <w:rPr/>
              <w:t xml:space="preserve">will state the requirement of Creditors to the Borrower about immediate early repayment of the Outstanding Credit or its any part, including the added interest, commission fees and any other amounts due to the Parties of Financing under the Financial Documents;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will notify the Borrower of the fact that the Creditors are informed on the Event of Failure to Perform and reserve the right to demand immediate early repayment from the Borrower of the Outstanding Credit or its any part, including the added interest, commission fees and any other amounts due to the Parties of Financing under the Financial Documents;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(iv)</w:t>
            </w:r>
          </w:p>
        </w:tc>
        <w:tc>
          <w:tcPr>
            <w:tcW w:w="8573" w:type="dxa"/>
            <w:tcBorders/>
            <w:shd w:fill="auto" w:val="clear"/>
          </w:tcPr>
          <w:p>
            <w:pPr>
              <w:pStyle w:val="TableContents"/>
              <w:spacing w:before="0" w:after="283"/>
              <w:jc w:val="left"/>
              <w:rPr/>
            </w:pPr>
            <w:r>
              <w:rPr/>
              <w:t xml:space="preserve">will notify the Borrower that Creditors reserve the right to levy execution upon the property which is a subject of pledge under the Security Agreements, or to claim based on the Independent Warranties.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The Creditors levy execution on the subject of pledge as per the procedure stipulated in the corresponding Security Agreement. The property received by the Creditors in result of execution levied on the subject of pledge under the Agreements on Security shall come into the participatory share property of the Creditors in the amount corresponding to their Proportional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The money funds received by the Creditors in result of execution levied on the property being a subject of pledge under Agreements on Security and (or) its subsequent sale in compliance with section (b) above, and remained after reimbursement of the Creditors and Credit Agent expenditures for such execution and payment of the other obligatory payments shall be charged into the Account of the Credit Agent and then shall be distributed by the Credit Agent between the Creditors according to their Proportional Shares. </w:t>
            </w:r>
          </w:p>
        </w:tc>
      </w:tr>
    </w:tbl>
    <w:p>
      <w:pPr>
        <w:pStyle w:val="TextBody"/>
        <w:spacing w:before="120" w:after="0"/>
        <w:rPr>
          <w:rFonts w:ascii="Times New Roman" w:hAnsi="Times New Roman"/>
          <w:sz w:val="20"/>
        </w:rPr>
      </w:pPr>
      <w:r>
        <w:rPr>
          <w:rFonts w:ascii="Times New Roman" w:hAnsi="Times New Roman"/>
          <w:sz w:val="20"/>
        </w:rPr>
        <w:t xml:space="preserve">For the purposes of the present Article 21.18 it shall be considered that the event of Failure to perform shall continue as from the time of occurrence of such event till the moment of obtaining by the Borrower of the notification from the Credit Agent in respect of that the Majority of Creditors agree not to exercise their rights stipulated in the present Article 21.18 with reference of occurrence of such event or circumstance.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22.</w:t>
            </w:r>
          </w:p>
        </w:tc>
        <w:tc>
          <w:tcPr>
            <w:tcW w:w="9696" w:type="dxa"/>
            <w:tcBorders/>
            <w:shd w:fill="auto" w:val="clear"/>
          </w:tcPr>
          <w:p>
            <w:pPr>
              <w:pStyle w:val="TableContents"/>
              <w:spacing w:before="0" w:after="283"/>
              <w:jc w:val="left"/>
              <w:rPr/>
            </w:pPr>
            <w:r>
              <w:rPr/>
              <w:t xml:space="preserve">REPLACEMENT OF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22.1</w:t>
            </w:r>
          </w:p>
        </w:tc>
        <w:tc>
          <w:tcPr>
            <w:tcW w:w="9695" w:type="dxa"/>
            <w:tcBorders/>
            <w:shd w:fill="auto" w:val="clear"/>
          </w:tcPr>
          <w:p>
            <w:pPr>
              <w:pStyle w:val="TableContents"/>
              <w:spacing w:before="0" w:after="283"/>
              <w:jc w:val="left"/>
              <w:rPr/>
            </w:pPr>
            <w:r>
              <w:rPr/>
              <w:t xml:space="preserve">Assignment by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Borrower has no right neither to assign his rights nor to transfer his obligations under the Financial Documents without the preliminary consent of all Creditors.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The Borrower has the right either to assign his rights or to transfer his obligations under the Financial Documents to Headhunter on the condition of obtaining of advance written consent of all Creditors.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22.2</w:t>
            </w:r>
          </w:p>
        </w:tc>
        <w:tc>
          <w:tcPr>
            <w:tcW w:w="9695" w:type="dxa"/>
            <w:tcBorders/>
            <w:shd w:fill="auto" w:val="clear"/>
          </w:tcPr>
          <w:p>
            <w:pPr>
              <w:pStyle w:val="TableContents"/>
              <w:spacing w:before="0" w:after="283"/>
              <w:jc w:val="left"/>
              <w:rPr/>
            </w:pPr>
            <w:r>
              <w:rPr/>
              <w:t xml:space="preserve">Assignment of rights and transfer of obligations by the Creditors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Creditor (hereinafter referred to as the Existing Creditor) has the right to assign the rights and (or) to transfer the obligations under the Financial Documents at any time in full or in part to the following persons without the consent of the Borrower and other Creditors: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to the other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to his Affiliated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to the Central bank of the Russian Federation, and also in case of the subsequent assignment of the rights and (or) transfer of obligations by the Central Bank or other similar body to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(iv)</w:t>
            </w:r>
          </w:p>
        </w:tc>
        <w:tc>
          <w:tcPr>
            <w:tcW w:w="8574" w:type="dxa"/>
            <w:tcBorders/>
            <w:shd w:fill="auto" w:val="clear"/>
          </w:tcPr>
          <w:p>
            <w:pPr>
              <w:pStyle w:val="TableContents"/>
              <w:spacing w:before="0" w:after="283"/>
              <w:jc w:val="left"/>
              <w:rPr/>
            </w:pPr>
            <w:r>
              <w:rPr/>
              <w:t>to the Russian bank or Russian credit or financial organization listed among the banks a list if which is shown in the Annex 12 (</w:t>
            </w:r>
            <w:r>
              <w:rPr>
                <w:i/>
              </w:rPr>
              <w:t>List of the Russian banks</w:t>
            </w:r>
            <w:r>
              <w:rPr/>
              <w:t xml:space="preser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(v)</w:t>
            </w:r>
          </w:p>
        </w:tc>
        <w:tc>
          <w:tcPr>
            <w:tcW w:w="8574" w:type="dxa"/>
            <w:tcBorders/>
            <w:shd w:fill="auto" w:val="clear"/>
          </w:tcPr>
          <w:p>
            <w:pPr>
              <w:pStyle w:val="TableContents"/>
              <w:spacing w:before="0" w:after="283"/>
              <w:jc w:val="left"/>
              <w:rPr/>
            </w:pPr>
            <w:r>
              <w:rPr/>
              <w:t xml:space="preserve">Any foreign credit or financial organization of good reputation, </w:t>
            </w:r>
          </w:p>
        </w:tc>
      </w:tr>
    </w:tbl>
    <w:p>
      <w:pPr>
        <w:pStyle w:val="TextBody"/>
        <w:spacing w:before="120" w:after="0"/>
        <w:rPr>
          <w:rFonts w:ascii="Times New Roman" w:hAnsi="Times New Roman"/>
          <w:sz w:val="20"/>
        </w:rPr>
      </w:pPr>
      <w:r>
        <w:rPr>
          <w:rFonts w:ascii="Times New Roman" w:hAnsi="Times New Roman"/>
          <w:sz w:val="20"/>
        </w:rPr>
        <w:t xml:space="preserve">Anyway, except for any person in which relation the Borrower has presented confirmation satisfying the Credit Agent (referring to applicable legal acts) that such person falls under any sanctions limiting Pledgers or their Affiliated persons in respect of entering into relationship with such person or maintaining of such relations (hereinafter referred to as the Person under Sanctions).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At any time in case of absence of the event of Failure to perform Obligations the Existing Creditor has the right to assign in full or in part the rights and (or) to transfer obligations under the Financial Documents to the other persons who have been not indicated in section (a) above, provided that such person is not the Person under Sanctions, and on the condition of obtaining of advance written consent of the Borrower, at that the Borrower cannot refuse granting of such consent or protract its granting without valid excuse. </w:t>
            </w:r>
          </w:p>
        </w:tc>
      </w:tr>
    </w:tbl>
    <w:p>
      <w:pPr>
        <w:pStyle w:val="TextBody"/>
        <w:spacing w:before="120" w:after="0"/>
        <w:rPr>
          <w:rFonts w:ascii="Times New Roman" w:hAnsi="Times New Roman"/>
          <w:sz w:val="20"/>
        </w:rPr>
      </w:pPr>
      <w:r>
        <w:rPr>
          <w:rFonts w:ascii="Times New Roman" w:hAnsi="Times New Roman"/>
          <w:sz w:val="20"/>
        </w:rPr>
        <w:t xml:space="preserve">For the purposes of the present Article the New Creditor means the person in which favor the Existing Creditor in full or in part assigns the rights and (or) transfers obligations under the Financial Documents indicated in subparagraphs (a) (i) - (a) (v) of section (a) or in section (b) above.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In the case of event of Failure to Perform Obligations the consent of the Borrower to assign the rights and (or) transfer the obligations of the Existing Creditor is not required, with the exception of the cases when the expected New Creditor is the Person under Sanctions. For the purposes of the Article 388 of the Civil Code, each Debtor confirms hereby that for the purposes of the present paragraph the personality of the Creditor is of no substantial significance for him.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In case of assignment by the Existing Creditor of his rights and transfer of his obligations to the New Creditor in compliance with the present Agreement, the Borrower hereby shall submit the preliminary consent to simultaneous transfer of corresponding obligations of the Existing Creditor (debt transfer), if any, to the New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22.3</w:t>
            </w:r>
          </w:p>
        </w:tc>
        <w:tc>
          <w:tcPr>
            <w:tcW w:w="9695" w:type="dxa"/>
            <w:tcBorders/>
            <w:shd w:fill="auto" w:val="clear"/>
          </w:tcPr>
          <w:p>
            <w:pPr>
              <w:pStyle w:val="TableContents"/>
              <w:spacing w:before="0" w:after="283"/>
              <w:jc w:val="left"/>
              <w:rPr/>
            </w:pPr>
            <w:r>
              <w:rPr/>
              <w:t xml:space="preserve">Procedure of assignment of rights and transfer of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 xml:space="preserve">Assignment of rights and (or) transfer of debt shall be effected in the way of signing of the Creditor Rights Assignment Agreement between the Existing Creditor, New Creditor and Credit Agent and becomes effective as at the date of signing of the Creditor Rights Assignment Agreement unless otherwise expressly provided by the Creditor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9188" w:type="dxa"/>
            <w:tcBorders/>
            <w:shd w:fill="auto" w:val="clear"/>
          </w:tcPr>
          <w:p>
            <w:pPr>
              <w:pStyle w:val="TableContents"/>
              <w:spacing w:before="0" w:after="283"/>
              <w:jc w:val="left"/>
              <w:rPr/>
            </w:pPr>
            <w:r>
              <w:rPr/>
              <w:t xml:space="preserve">Not later than 5 (five) Working Days prior to the date of expected signing of the Creditor Rights Assignment Agreement, the Existing Creditor is obliged to notify in writing the Credit Agent in respect of the expected assignment of the rights and (or) transfer of debt with the indication of the name of the New Creditor. On or prior to the next Working Day after obtaining of the notification indicated above from the Existing Creditor, the Credit Agent is obliged to forward a copy of such notification to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If the Borrower within 10 (ten) Working Days after obtaining of the notification indicated in section (b) above do not submit confirmation to the Credit Agent (containing the reference to the corresponding legal acts) that such New Creditor is the Person under Sanctions, then on the date of signing of the Creditor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2"/>
        <w:gridCol w:w="8575"/>
      </w:tblGrid>
      <w:tr>
        <w:trPr/>
        <w:tc>
          <w:tcPr>
            <w:tcW w:w="1017"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The Existing Creditor assigns the rights of the existing Creditor to the New Creditor in the volume stipulated in the Creditor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The New Creditor undertakes the obligations of the Existing Creditor transferred to him in the volume stipulated in the Creditor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3"/>
        <w:gridCol w:w="8573"/>
      </w:tblGrid>
      <w:tr>
        <w:trPr/>
        <w:tc>
          <w:tcPr>
            <w:tcW w:w="1018" w:type="dxa"/>
            <w:tcBorders/>
            <w:shd w:fill="auto" w:val="clear"/>
            <w:vAlign w:val="center"/>
          </w:tcPr>
          <w:p>
            <w:pPr>
              <w:pStyle w:val="TableContents"/>
              <w:spacing w:before="0" w:after="283"/>
              <w:rPr/>
            </w:pPr>
            <w:r>
              <w:rPr/>
              <w:t> </w:t>
            </w:r>
          </w:p>
        </w:tc>
        <w:tc>
          <w:tcPr>
            <w:tcW w:w="613"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The Existing Creditor is released from the obligations in the part in which these obligations are undertaken by the New Creditor;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(iv)</w:t>
            </w:r>
          </w:p>
        </w:tc>
        <w:tc>
          <w:tcPr>
            <w:tcW w:w="8575" w:type="dxa"/>
            <w:tcBorders/>
            <w:shd w:fill="auto" w:val="clear"/>
          </w:tcPr>
          <w:p>
            <w:pPr>
              <w:pStyle w:val="TableContents"/>
              <w:spacing w:before="0" w:after="283"/>
              <w:jc w:val="left"/>
              <w:rPr/>
            </w:pPr>
            <w:r>
              <w:rPr/>
              <w:t xml:space="preserve">The New Creditor becomes the Creditor under the present Agreement and will be bound by the conditions of the present Agreement in quality of the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The reference in the present Agreement to the Creditor includes any New Creditor as from the date of signing of any Creditor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6" w:type="dxa"/>
            <w:tcBorders/>
            <w:shd w:fill="auto" w:val="clear"/>
          </w:tcPr>
          <w:p>
            <w:pPr>
              <w:pStyle w:val="TableContents"/>
              <w:spacing w:before="0" w:after="283"/>
              <w:jc w:val="left"/>
              <w:rPr/>
            </w:pPr>
            <w:r>
              <w:rPr/>
              <w:t xml:space="preserve">The new Creditor is obliged to pay remuneration on the date of signing of the Creditor Rights Assignment Agreement to the Credit Agent in the amount of 10,000 (ten thousand) Rubles as well as the VAT to be written in the separate line, calculated based on the current tax rate in compliance with the legislation of the Russian Federation on taxes and tax collection for the services of the Credit Agent under the present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9187" w:type="dxa"/>
            <w:tcBorders/>
            <w:shd w:fill="auto" w:val="clear"/>
          </w:tcPr>
          <w:p>
            <w:pPr>
              <w:pStyle w:val="TableContents"/>
              <w:spacing w:before="0" w:after="283"/>
              <w:jc w:val="left"/>
              <w:rPr/>
            </w:pPr>
            <w:r>
              <w:rPr/>
              <w:t xml:space="preserve">The Credit Agent undertakes to notify Debtors in writing immediately after signing of the Creditor Rights Assignment Agreement in respect of such assignment of the rights and (or) transfer of obligations under the present Agreement and to deliver a copy of the signed Creditor Rights Assignment Agreement to each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22.4</w:t>
            </w:r>
          </w:p>
        </w:tc>
        <w:tc>
          <w:tcPr>
            <w:tcW w:w="9695" w:type="dxa"/>
            <w:tcBorders/>
            <w:shd w:fill="auto" w:val="clear"/>
          </w:tcPr>
          <w:p>
            <w:pPr>
              <w:pStyle w:val="TableContents"/>
              <w:spacing w:before="0" w:after="283"/>
              <w:jc w:val="left"/>
              <w:rPr/>
            </w:pPr>
            <w:r>
              <w:rPr/>
              <w:t xml:space="preserve">Payment of interest at the time of assignment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Interest on the Outstanding Credit, penalty and commission fees in respect of the Proportional Share of the Existing Creditor, charged prior to the date of signing of the Creditor Rights Assignment Agreement (including the date of signing) and received from the Borrower (hereinafter referred to as the Charged Amounts), and also the other payments indicated in the Creditor Rights Assignment Agreement shall be paid by the Credit Agent to the Existing Creditor at the nearest Date of Interest Payment following the date of signing of the Creditor Rights Assignment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The rights assigned by the Existing Creditor to the New Creditor, will not include the right of the requirement of the Added Amounts;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The new Creditor will receive the amount of interest charged on the Outstanding Credit in respect of the Proportional Share of the New Creditor for the part of the Interest Period which comes forth after the date of signing of the Creditor Rights Assignment Agreement (not including the date of signing) and comes to an end on the expiry date of the corresponding 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22.5</w:t>
            </w:r>
          </w:p>
        </w:tc>
        <w:tc>
          <w:tcPr>
            <w:tcW w:w="9695" w:type="dxa"/>
            <w:tcBorders/>
            <w:shd w:fill="auto" w:val="clear"/>
          </w:tcPr>
          <w:p>
            <w:pPr>
              <w:pStyle w:val="TableContents"/>
              <w:spacing w:before="0" w:after="283"/>
              <w:jc w:val="left"/>
              <w:rPr/>
            </w:pPr>
            <w:r>
              <w:rPr/>
              <w:t xml:space="preserve">Limitation of Responsibility of the Existing Creditors </w:t>
            </w:r>
          </w:p>
        </w:tc>
      </w:tr>
    </w:tbl>
    <w:p>
      <w:pPr>
        <w:pStyle w:val="TextBody"/>
        <w:spacing w:before="120" w:after="0"/>
        <w:rPr>
          <w:rFonts w:ascii="Times New Roman" w:hAnsi="Times New Roman"/>
          <w:sz w:val="20"/>
        </w:rPr>
      </w:pPr>
      <w:r>
        <w:rPr>
          <w:rFonts w:ascii="Times New Roman" w:hAnsi="Times New Roman"/>
          <w:sz w:val="20"/>
        </w:rPr>
        <w:t xml:space="preserve">Any Existing Creditor shall not submit any representations to the New Creditor and shall not undertake any obligations to the New Creditor in respect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Financial status of any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Observance or performance by any Debtor of his obligations under the Financial Documents or any other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 xml:space="preserve">Correctness of the information contained in any Financial Document. </w:t>
            </w:r>
          </w:p>
        </w:tc>
      </w:tr>
    </w:tbl>
    <w:p>
      <w:pPr>
        <w:pStyle w:val="TextBody"/>
        <w:spacing w:before="120" w:after="0"/>
        <w:rPr>
          <w:rFonts w:ascii="Times New Roman" w:hAnsi="Times New Roman"/>
          <w:sz w:val="20"/>
        </w:rPr>
      </w:pPr>
      <w:r>
        <w:rPr>
          <w:rFonts w:ascii="Times New Roman" w:hAnsi="Times New Roman"/>
          <w:sz w:val="20"/>
        </w:rPr>
        <w:t xml:space="preserve">Each New Creditor shall assure the Existing Creditor, the other Parties of Financing and each Debtor that he has read and understood all the Financial Documents, has conducted (and will continue to conduct) his own independent study and estimation of financial condition of each Debtor and he did not rely on any information submitted to him by the Existing Creditor when making decision in respect of signing of the Creditor Rights Assignment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22.6</w:t>
            </w:r>
          </w:p>
        </w:tc>
        <w:tc>
          <w:tcPr>
            <w:tcW w:w="9695" w:type="dxa"/>
            <w:tcBorders/>
            <w:shd w:fill="auto" w:val="clear"/>
          </w:tcPr>
          <w:p>
            <w:pPr>
              <w:pStyle w:val="TableContents"/>
              <w:spacing w:before="0" w:after="283"/>
              <w:jc w:val="left"/>
              <w:rPr/>
            </w:pPr>
            <w:r>
              <w:rPr/>
              <w:t xml:space="preserve">Ensuring the Lenders’ rights </w:t>
            </w:r>
          </w:p>
        </w:tc>
      </w:tr>
    </w:tbl>
    <w:p>
      <w:pPr>
        <w:pStyle w:val="TextBody"/>
        <w:spacing w:before="120" w:after="0"/>
        <w:rPr>
          <w:rFonts w:ascii="Times New Roman" w:hAnsi="Times New Roman"/>
          <w:sz w:val="20"/>
        </w:rPr>
      </w:pPr>
      <w:r>
        <w:rPr>
          <w:rFonts w:ascii="Times New Roman" w:hAnsi="Times New Roman"/>
          <w:sz w:val="20"/>
        </w:rPr>
        <w:t xml:space="preserve">Each Lender shall have the right, without the consent of the Obligator or another Finance Party, to pledge or create another Encumbrance in favor of any person who is not a Sanctioned Body, in respect of all or some part of its rights under any Finance Document in order to secure the obligations of such a Lender, provided that such Lender continues to fulfill its obligations under the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22.7</w:t>
            </w:r>
          </w:p>
        </w:tc>
        <w:tc>
          <w:tcPr>
            <w:tcW w:w="9695" w:type="dxa"/>
            <w:tcBorders/>
            <w:shd w:fill="auto" w:val="clear"/>
          </w:tcPr>
          <w:p>
            <w:pPr>
              <w:pStyle w:val="TableContents"/>
              <w:spacing w:before="0" w:after="283"/>
              <w:jc w:val="left"/>
              <w:rPr/>
            </w:pPr>
            <w:r>
              <w:rPr/>
              <w:t xml:space="preserve">Prohibition of the cession of rights and transfer of obligations to the Sanctioned Body </w:t>
            </w:r>
          </w:p>
        </w:tc>
      </w:tr>
    </w:tbl>
    <w:p>
      <w:pPr>
        <w:pStyle w:val="TextBody"/>
        <w:spacing w:before="120" w:after="0"/>
        <w:rPr>
          <w:rFonts w:ascii="Times New Roman" w:hAnsi="Times New Roman"/>
          <w:sz w:val="20"/>
        </w:rPr>
      </w:pPr>
      <w:r>
        <w:rPr>
          <w:rFonts w:ascii="Times New Roman" w:hAnsi="Times New Roman"/>
          <w:sz w:val="20"/>
        </w:rPr>
        <w:t xml:space="preserve">The cession of any rights, or transfer of any obligations, hypothecation or creation of any Encumbrance in favor of the Sanctioned Body thereof shall not apply. </w:t>
      </w:r>
    </w:p>
    <w:p>
      <w:pPr>
        <w:pStyle w:val="TextBody"/>
        <w:spacing w:before="360" w:after="0"/>
        <w:rPr>
          <w:rFonts w:ascii="Times New Roman" w:hAnsi="Times New Roman"/>
          <w:sz w:val="20"/>
        </w:rPr>
      </w:pPr>
      <w:r>
        <w:rPr>
          <w:rFonts w:ascii="Times New Roman" w:hAnsi="Times New Roman"/>
          <w:sz w:val="20"/>
        </w:rPr>
        <w:t xml:space="preserve">23. PARTIES TO FINANCING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23.1</w:t>
            </w:r>
          </w:p>
        </w:tc>
        <w:tc>
          <w:tcPr>
            <w:tcW w:w="9695" w:type="dxa"/>
            <w:tcBorders/>
            <w:shd w:fill="auto" w:val="clear"/>
          </w:tcPr>
          <w:p>
            <w:pPr>
              <w:pStyle w:val="TableContents"/>
              <w:spacing w:before="0" w:after="283"/>
              <w:jc w:val="left"/>
              <w:rPr/>
            </w:pPr>
            <w:r>
              <w:rPr/>
              <w:t xml:space="preserve">Decisions of the Majority of Lenders </w:t>
            </w:r>
          </w:p>
        </w:tc>
      </w:tr>
    </w:tbl>
    <w:p>
      <w:pPr>
        <w:pStyle w:val="TextBody"/>
        <w:spacing w:before="120" w:after="0"/>
        <w:rPr>
          <w:rFonts w:ascii="Times New Roman" w:hAnsi="Times New Roman"/>
          <w:sz w:val="20"/>
        </w:rPr>
      </w:pPr>
      <w:r>
        <w:rPr>
          <w:rFonts w:ascii="Times New Roman" w:hAnsi="Times New Roman"/>
          <w:sz w:val="20"/>
        </w:rPr>
        <w:t xml:space="preserve">Lenders hereby agree that, in cases dirctly provided for by the Agreement, the Lenders may exercise their rights under the Agreement or perform any actions only in case if there is a decision of the Majority of Lenders or all the Lenders. Most Lenders, via the Facility Agent, and the Facility Agent himself on his own initiative, have the right to raise the issue for discussion and taking a decision by the Lenders. The Facility Agent is obliged to inform all the Lenders about the issue under discussion using SWIFT system, to get together all the Lenders using the SWIFT system and to determine the position of the Majority of Lenders. The Lenders and the Facility Agent agree that the receipt of the relevant messages (approvals, instructions) by the Facility Agent from theLenders who make up the majority of the Lenders, or from all the Lenders using the SWIFT system, will be considered to be the proper decision of the Majority of the Lenders or all the Lenders (hereafter refered to as the Decision).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Unless otherwise is expressly provided in any Financial Document, any Decisions taken in line with the procedure provided in Article 23.1 (Decisions of the Majority of Lenders) shall be binding for all the Parties to Financing. For the sake of clarity, the Lenders hereby authorize the Facility Agent, and the Facility Agent in his turn agrees to act in line with the Decisions of the Majority of Lenders or the Decisions of all the Lenders in cases, where the existence of such a Decision is expressly set out in the given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23.2</w:t>
            </w:r>
          </w:p>
        </w:tc>
        <w:tc>
          <w:tcPr>
            <w:tcW w:w="9694" w:type="dxa"/>
            <w:tcBorders/>
            <w:shd w:fill="auto" w:val="clear"/>
          </w:tcPr>
          <w:p>
            <w:pPr>
              <w:pStyle w:val="TableContents"/>
              <w:spacing w:before="0" w:after="283"/>
              <w:jc w:val="left"/>
              <w:rPr/>
            </w:pPr>
            <w:r>
              <w:rPr/>
              <w:t xml:space="preserve">Appointing the Facility Agent </w:t>
            </w:r>
          </w:p>
        </w:tc>
      </w:tr>
    </w:tbl>
    <w:p>
      <w:pPr>
        <w:pStyle w:val="TextBody"/>
        <w:spacing w:before="120" w:after="0"/>
        <w:rPr>
          <w:rFonts w:ascii="Times New Roman" w:hAnsi="Times New Roman"/>
          <w:sz w:val="20"/>
        </w:rPr>
      </w:pPr>
      <w:r>
        <w:rPr>
          <w:rFonts w:ascii="Times New Roman" w:hAnsi="Times New Roman"/>
          <w:sz w:val="20"/>
        </w:rPr>
        <w:t xml:space="preserve">The Parties agree that the Lender may perform the functions of the Facility Agent. Each Financing Party (with the exception of the Lender that performs the functions of the Facility Agent) hereby designates the Facility Agent as its agent and comissions him to perform the actions set out by the Financial Documents on behalf and at the expense of such a Financing Party. </w:t>
      </w:r>
    </w:p>
    <w:p>
      <w:pPr>
        <w:pStyle w:val="TextBody"/>
        <w:spacing w:before="240" w:after="0"/>
        <w:rPr>
          <w:rFonts w:ascii="Times New Roman" w:hAnsi="Times New Roman"/>
          <w:sz w:val="20"/>
        </w:rPr>
      </w:pPr>
      <w:r>
        <w:rPr>
          <w:rFonts w:ascii="Times New Roman" w:hAnsi="Times New Roman"/>
          <w:sz w:val="20"/>
        </w:rPr>
        <w:t xml:space="preserve">For the sake of clarity, the Parties confirm that the Lender acting as a Facility Agent, has the same rights and obligations under the Financial Instruments as any other Lender, and has the right to exercise these rights, including the right of voting while adopting the decisions, and to fulfill the obligations as if he is not a Facility Agent. </w:t>
      </w:r>
    </w:p>
    <w:p>
      <w:pPr>
        <w:pStyle w:val="TextBody"/>
        <w:spacing w:before="240" w:after="0"/>
        <w:rPr>
          <w:rFonts w:ascii="Times New Roman" w:hAnsi="Times New Roman"/>
          <w:sz w:val="20"/>
        </w:rPr>
      </w:pPr>
      <w:r>
        <w:rPr>
          <w:rFonts w:ascii="Times New Roman" w:hAnsi="Times New Roman"/>
          <w:sz w:val="20"/>
        </w:rPr>
        <w:t xml:space="preserve">The performance of his obligations by the Facility Agent under the Agreement does not prevent the Facility Agent from performing any banking transactions with any member of the Group, including maintaining the bank accounts, credit arrangements and deposit sourcing. </w:t>
      </w:r>
    </w:p>
    <w:p>
      <w:pPr>
        <w:pStyle w:val="TextBody"/>
        <w:spacing w:before="240" w:after="0"/>
        <w:rPr>
          <w:rFonts w:ascii="Times New Roman" w:hAnsi="Times New Roman"/>
          <w:sz w:val="20"/>
        </w:rPr>
      </w:pPr>
      <w:r>
        <w:rPr>
          <w:rFonts w:ascii="Times New Roman" w:hAnsi="Times New Roman"/>
          <w:sz w:val="20"/>
        </w:rPr>
        <w:t xml:space="preserve">If the recoverable amount received from the Obligators does not cover the amount of expenses or losses incurred by the Facility Agent as a result of performing the functions of the Facility Agent in accordance with the terms of the Financial Documents, the Lender shall have the right to raise a demand before the Lenders (with the exception of the Lender who acts as the Facility Agent), and each Lender (with the exception of the Lender, who carries out the functions of the Facility Agent) undertakes to compensate to him in the amount corresponding to the Proportional Share of the Lender within 10 (ten) Business Days upon request from the Facility Agent, any documented expenses or losses incurred by the Facility Agent (except in cases of gross negligence on the part of the CFacility Agent or an intentional unjust act made by him) as a result of performing the functions of the Facility Agent in accordance with the terms of the Financial Documents in the part not covered by the recoverable amount received from any Obligator. </w:t>
      </w:r>
    </w:p>
    <w:p>
      <w:pPr>
        <w:pStyle w:val="TextBody"/>
        <w:spacing w:before="240" w:after="0"/>
        <w:rPr>
          <w:rFonts w:ascii="Times New Roman" w:hAnsi="Times New Roman"/>
          <w:sz w:val="20"/>
        </w:rPr>
      </w:pPr>
      <w:r>
        <w:rPr>
          <w:rFonts w:ascii="Times New Roman" w:hAnsi="Times New Roman"/>
          <w:sz w:val="20"/>
        </w:rPr>
        <w:t xml:space="preserve">The Facility Agent shall not be liable to the Lenders for his actions (or nonperformance) carried out in accordance with the Decision of the Lenders Majority or by the decision of all the Lenders. </w:t>
      </w:r>
    </w:p>
    <w:p>
      <w:pPr>
        <w:pStyle w:val="TextBody"/>
        <w:spacing w:before="240" w:after="0"/>
        <w:rPr>
          <w:rFonts w:ascii="Times New Roman" w:hAnsi="Times New Roman"/>
          <w:sz w:val="20"/>
        </w:rPr>
      </w:pPr>
      <w:r>
        <w:rPr>
          <w:rFonts w:ascii="Times New Roman" w:hAnsi="Times New Roman"/>
          <w:sz w:val="20"/>
        </w:rPr>
        <w:t xml:space="preserve">In the event that the terms of the Agreement do not require the Decision of the Lenders Majority or the Decisions of all Lenders, the Facility Agent is obliged to act (or abstain from the actions) at his sole discretion, with the maximum acccommodation of the interests of the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23.3</w:t>
            </w:r>
          </w:p>
        </w:tc>
        <w:tc>
          <w:tcPr>
            <w:tcW w:w="9695" w:type="dxa"/>
            <w:tcBorders/>
            <w:shd w:fill="auto" w:val="clear"/>
          </w:tcPr>
          <w:p>
            <w:pPr>
              <w:pStyle w:val="TableContents"/>
              <w:spacing w:before="0" w:after="283"/>
              <w:jc w:val="left"/>
              <w:rPr/>
            </w:pPr>
            <w:r>
              <w:rPr/>
              <w:t xml:space="preserve">Obligations of the Facility Agent </w:t>
            </w:r>
          </w:p>
        </w:tc>
      </w:tr>
    </w:tbl>
    <w:p>
      <w:pPr>
        <w:pStyle w:val="TextBody"/>
        <w:spacing w:before="120" w:after="0"/>
        <w:rPr>
          <w:rFonts w:ascii="Times New Roman" w:hAnsi="Times New Roman"/>
          <w:sz w:val="20"/>
        </w:rPr>
      </w:pPr>
      <w:r>
        <w:rPr>
          <w:rFonts w:ascii="Times New Roman" w:hAnsi="Times New Roman"/>
          <w:sz w:val="20"/>
        </w:rPr>
        <w:t xml:space="preserve">Subject to paragraph (b) below, each Finance Party (with the exception of the Facility Agent) commissions the Facility Agent, and the Facility Agent in his turn agrees to undertake the following actions: </w:t>
      </w:r>
    </w:p>
    <w:p>
      <w:pPr>
        <w:pStyle w:val="TextBody"/>
        <w:spacing w:before="240" w:after="0"/>
        <w:rPr>
          <w:rFonts w:ascii="Times New Roman" w:hAnsi="Times New Roman"/>
          <w:sz w:val="20"/>
        </w:rPr>
      </w:pPr>
      <w:r>
        <w:rPr>
          <w:rFonts w:ascii="Times New Roman" w:hAnsi="Times New Roman"/>
          <w:sz w:val="20"/>
        </w:rPr>
        <w:t xml:space="preserve">To receive any payments due to the Finance Parties from the Obligators under this Agreement on the Facility Agent Account, and transfer the amounts received from the Obligators to the respective Finance Party in accordance with the terms of the given Agreement.;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To receive any Loan Amounts from the Lenders on the Facility AgentAccount and transfer the Loan amounts received from the Lenders to the Borrower in accordance with the terms of this Agreement.; </w:t>
      </w:r>
    </w:p>
    <w:p>
      <w:pPr>
        <w:pStyle w:val="TextBody"/>
        <w:spacing w:before="240" w:after="0"/>
        <w:rPr>
          <w:rFonts w:ascii="Times New Roman" w:hAnsi="Times New Roman"/>
          <w:sz w:val="20"/>
        </w:rPr>
      </w:pPr>
      <w:r>
        <w:rPr>
          <w:rFonts w:ascii="Times New Roman" w:hAnsi="Times New Roman"/>
          <w:sz w:val="20"/>
        </w:rPr>
        <w:t xml:space="preserve">To notify the Borrower and the Lenders about the interest rate for each of the Interest Periods; </w:t>
      </w:r>
    </w:p>
    <w:p>
      <w:pPr>
        <w:pStyle w:val="TextBody"/>
        <w:spacing w:before="240" w:after="0"/>
        <w:rPr>
          <w:rFonts w:ascii="Times New Roman" w:hAnsi="Times New Roman"/>
          <w:sz w:val="20"/>
        </w:rPr>
      </w:pPr>
      <w:r>
        <w:rPr>
          <w:rFonts w:ascii="Times New Roman" w:hAnsi="Times New Roman"/>
          <w:sz w:val="20"/>
        </w:rPr>
        <w:t xml:space="preserve">To sign, on behalf of all the Finance Parties, the amendments to the given Agreement on the terms agreed upon in the Decision of the Lenders Majority or in the Decision of all Lenders, depending on the nature of the changes; </w:t>
      </w:r>
    </w:p>
    <w:p>
      <w:pPr>
        <w:pStyle w:val="TextBody"/>
        <w:spacing w:before="240" w:after="0"/>
        <w:rPr>
          <w:rFonts w:ascii="Times New Roman" w:hAnsi="Times New Roman"/>
          <w:sz w:val="20"/>
        </w:rPr>
      </w:pPr>
      <w:r>
        <w:rPr>
          <w:rFonts w:ascii="Times New Roman" w:hAnsi="Times New Roman"/>
          <w:sz w:val="20"/>
        </w:rPr>
        <w:t xml:space="preserve">To notify the Lenders about the fulfillment (or non-fulfillment) of the requirements stipulated by this Agreement by the Borrower, as a condition for submission of the Utilization Request; </w:t>
      </w:r>
    </w:p>
    <w:p>
      <w:pPr>
        <w:pStyle w:val="TextBody"/>
        <w:spacing w:before="240" w:after="0"/>
        <w:rPr>
          <w:rFonts w:ascii="Times New Roman" w:hAnsi="Times New Roman"/>
          <w:sz w:val="20"/>
        </w:rPr>
      </w:pPr>
      <w:r>
        <w:rPr>
          <w:rFonts w:ascii="Times New Roman" w:hAnsi="Times New Roman"/>
          <w:sz w:val="20"/>
        </w:rPr>
        <w:t xml:space="preserve">To send the original or a copy of any document received by the Facility Agent from any other Party to the respective Party for the transfer to this Party, but at the same time the Facility Agent is not obliged to investigate or verify the correctness, accuracy or completeness of such a document; </w:t>
      </w:r>
    </w:p>
    <w:p>
      <w:pPr>
        <w:pStyle w:val="TextBody"/>
        <w:spacing w:before="240" w:after="0"/>
        <w:rPr>
          <w:rFonts w:ascii="Times New Roman" w:hAnsi="Times New Roman"/>
          <w:sz w:val="20"/>
        </w:rPr>
      </w:pPr>
      <w:r>
        <w:rPr>
          <w:rFonts w:ascii="Times New Roman" w:hAnsi="Times New Roman"/>
          <w:sz w:val="20"/>
        </w:rPr>
        <w:t xml:space="preserve">To notify the Finance Parties of a message received from any Party containing a description of any event or a circumstance, and a statement that such an event or a circumstance is the Non-fulfillment of Obligations; </w:t>
      </w:r>
    </w:p>
    <w:p>
      <w:pPr>
        <w:pStyle w:val="TextBody"/>
        <w:spacing w:before="240" w:after="0"/>
        <w:rPr>
          <w:rFonts w:ascii="Times New Roman" w:hAnsi="Times New Roman"/>
          <w:sz w:val="20"/>
        </w:rPr>
      </w:pPr>
      <w:r>
        <w:rPr>
          <w:rFonts w:ascii="Times New Roman" w:hAnsi="Times New Roman"/>
          <w:sz w:val="20"/>
        </w:rPr>
        <w:t xml:space="preserve">To organize the decision-making process by Lenders Majority or all the Lenders on their own initiative or at the request of the Lenders Majority; </w:t>
      </w:r>
    </w:p>
    <w:p>
      <w:pPr>
        <w:pStyle w:val="TextBody"/>
        <w:spacing w:before="240" w:after="0"/>
        <w:rPr>
          <w:rFonts w:ascii="Times New Roman" w:hAnsi="Times New Roman"/>
          <w:sz w:val="20"/>
        </w:rPr>
      </w:pPr>
      <w:r>
        <w:rPr>
          <w:rFonts w:ascii="Times New Roman" w:hAnsi="Times New Roman"/>
          <w:sz w:val="20"/>
        </w:rPr>
        <w:t xml:space="preserve">To keep the register of all the Parties (with the addresses, contact details of all the Lenders at each moment of time, and the Proportional Share of each Lender) and provide a copy of such register with the information purposes at the request of any Party; </w:t>
      </w:r>
    </w:p>
    <w:p>
      <w:pPr>
        <w:pStyle w:val="TextBody"/>
        <w:spacing w:before="240" w:after="0"/>
        <w:rPr>
          <w:rFonts w:ascii="Times New Roman" w:hAnsi="Times New Roman"/>
          <w:sz w:val="20"/>
        </w:rPr>
      </w:pPr>
      <w:r>
        <w:rPr>
          <w:rFonts w:ascii="Times New Roman" w:hAnsi="Times New Roman"/>
          <w:sz w:val="20"/>
        </w:rPr>
        <w:t xml:space="preserve">To notify the Lenders on the failure to pay any amount of the Uncovered Loan by the Obligator, as well as any interest, remuneration or any other amounts payable by any Finance Party (other than the Facility Agent) according to the Financial Instruments; </w:t>
      </w:r>
    </w:p>
    <w:p>
      <w:pPr>
        <w:pStyle w:val="TextBody"/>
        <w:spacing w:before="240" w:after="0"/>
        <w:rPr>
          <w:rFonts w:ascii="Times New Roman" w:hAnsi="Times New Roman"/>
          <w:sz w:val="20"/>
        </w:rPr>
      </w:pPr>
      <w:r>
        <w:rPr>
          <w:rFonts w:ascii="Times New Roman" w:hAnsi="Times New Roman"/>
          <w:sz w:val="20"/>
        </w:rPr>
        <w:t xml:space="preserve">To handover to the New Facility Agent (as specified iithe paragraph (c) of the Article 23.4 (Termination of the powers of the Facility Agent) in case of the Facility Agent’s termination of powers, all the documents either obtained by the Facility Agent from the Parties, or created by the Facility Agent in the process of performing his duties; </w:t>
      </w:r>
    </w:p>
    <w:p>
      <w:pPr>
        <w:pStyle w:val="TextBody"/>
        <w:spacing w:before="240" w:after="0"/>
        <w:rPr>
          <w:rFonts w:ascii="Times New Roman" w:hAnsi="Times New Roman"/>
          <w:sz w:val="20"/>
        </w:rPr>
      </w:pPr>
      <w:r>
        <w:rPr>
          <w:rFonts w:ascii="Times New Roman" w:hAnsi="Times New Roman"/>
          <w:sz w:val="20"/>
        </w:rPr>
        <w:t xml:space="preserve">To perform all the other actions (or to refrain from the actions) that are provided by the given Agreement and the other Financial Documents, or are necessary for the Lenders to exercise their rights under this Agreement or the other Financial Documents on receiving the relevant Decision of the Lenders Majority or all the Lenders, as applicable. </w:t>
      </w:r>
    </w:p>
    <w:p>
      <w:pPr>
        <w:pStyle w:val="TextBody"/>
        <w:spacing w:before="240" w:after="0"/>
        <w:rPr>
          <w:rFonts w:ascii="Times New Roman" w:hAnsi="Times New Roman"/>
          <w:sz w:val="20"/>
        </w:rPr>
      </w:pPr>
      <w:r>
        <w:rPr>
          <w:rFonts w:ascii="Times New Roman" w:hAnsi="Times New Roman"/>
          <w:sz w:val="20"/>
        </w:rPr>
        <w:t xml:space="preserve">The Facvility Agent is not entitled to exercise any rights or authorities granted in accordance with the paragraph (a) of this Article 23.3, in case if in order to exercise such rights and powers in accordance with the terms of the given Agreement, the Decision of the Lenders Majority or all the Lenders is required, and the Facility Agent has not received such a Decision of the Lenders Majority or the one of all the Lenders in the manner prescribed by this Agreement.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23.4</w:t>
            </w:r>
          </w:p>
        </w:tc>
        <w:tc>
          <w:tcPr>
            <w:tcW w:w="9695" w:type="dxa"/>
            <w:tcBorders/>
            <w:shd w:fill="auto" w:val="clear"/>
          </w:tcPr>
          <w:p>
            <w:pPr>
              <w:pStyle w:val="TableContents"/>
              <w:spacing w:before="0" w:after="283"/>
              <w:jc w:val="left"/>
              <w:rPr/>
            </w:pPr>
            <w:r>
              <w:rPr/>
              <w:t xml:space="preserve">Termination of the Facility Agent’s authorities </w:t>
            </w:r>
          </w:p>
        </w:tc>
      </w:tr>
    </w:tbl>
    <w:p>
      <w:pPr>
        <w:pStyle w:val="TextBody"/>
        <w:spacing w:before="120" w:after="0"/>
        <w:rPr>
          <w:rFonts w:ascii="Times New Roman" w:hAnsi="Times New Roman"/>
          <w:sz w:val="20"/>
        </w:rPr>
      </w:pPr>
      <w:r>
        <w:rPr>
          <w:rFonts w:ascii="Times New Roman" w:hAnsi="Times New Roman"/>
          <w:sz w:val="20"/>
        </w:rPr>
        <w:t xml:space="preserve">The Facility Agent has the right, by notifying other Finance Parties and the Obligators within at least 15 (fifteen) Business Days, to refuse from the obligations of the Facility Agent. By the decision of the Landers Majority, the Lenders may terminate the authorities of the Facility Agent. </w:t>
      </w:r>
    </w:p>
    <w:p>
      <w:pPr>
        <w:pStyle w:val="TextBody"/>
        <w:spacing w:before="240" w:after="0"/>
        <w:rPr>
          <w:rFonts w:ascii="Times New Roman" w:hAnsi="Times New Roman"/>
          <w:sz w:val="20"/>
        </w:rPr>
      </w:pPr>
      <w:r>
        <w:rPr>
          <w:rFonts w:ascii="Times New Roman" w:hAnsi="Times New Roman"/>
          <w:sz w:val="20"/>
        </w:rPr>
        <w:t xml:space="preserve">In the event of the Facility Agent’s banking license withdrawal (1), the Facility Agent’s authorities are automatically terminated from the date of thebanking license withdrawal, and (2) the Facility Agent or any Lender who received the information about the withdrawal of the Facility Agent’s banking license,should notify the other Parties of this event (a Notification of the License Withdrawal) during one Business Day following the day when the Facility Agent or a Lender has received the information about the withdrawal of the Banking License from the Facility Agent. </w:t>
      </w:r>
    </w:p>
    <w:p>
      <w:pPr>
        <w:pStyle w:val="TextBody"/>
        <w:spacing w:before="240" w:after="0"/>
        <w:rPr>
          <w:rFonts w:ascii="Times New Roman" w:hAnsi="Times New Roman"/>
          <w:sz w:val="20"/>
        </w:rPr>
      </w:pPr>
      <w:r>
        <w:rPr>
          <w:rFonts w:ascii="Times New Roman" w:hAnsi="Times New Roman"/>
          <w:sz w:val="20"/>
        </w:rPr>
        <w:t xml:space="preserve">In case of termination of the Facility Agent’s authorityinitiated by the Facility Agent or on the initiative of the Lenders, the Lenders undertake to appoint a new Facility Agent by the Decision of the Lenders Majority from among the Lenders (hereinafter the New Facility Agent), and each Finance Party and the Obligators hereby confirm their consent to such an appointment. In the Decision, the Lenders determine the date of the authority termination for the Facility Agent and the procedure of natification on the authority termination for the Facility Agent to other Parties (Notification on the Authority Termination). </w:t>
      </w:r>
    </w:p>
    <w:p>
      <w:pPr>
        <w:pStyle w:val="TextBody"/>
        <w:spacing w:before="240" w:after="0"/>
        <w:rPr>
          <w:rFonts w:ascii="Times New Roman" w:hAnsi="Times New Roman"/>
          <w:sz w:val="20"/>
        </w:rPr>
      </w:pPr>
      <w:r>
        <w:rPr>
          <w:rFonts w:ascii="Times New Roman" w:hAnsi="Times New Roman"/>
          <w:sz w:val="20"/>
        </w:rPr>
        <w:t xml:space="preserve">The Parties agree that the New Facility Agent will become a Party to this Agreement as a Facility Agent after the decision taken by the Majority of the Lenders on the appoint a New Facility Agent from the date of signing the agreement on amendments to the present Agreement, unless such an agreement provides any different date (the “Date of the New Facility Agent’s Accession). After this, any mentioning of the LFacility Agent in this Agreement will refer to the New LFacility Agent. </w:t>
      </w:r>
    </w:p>
    <w:p>
      <w:pPr>
        <w:pStyle w:val="TextBody"/>
        <w:spacing w:before="240" w:after="0"/>
        <w:rPr>
          <w:rFonts w:ascii="Times New Roman" w:hAnsi="Times New Roman"/>
          <w:sz w:val="20"/>
        </w:rPr>
      </w:pPr>
      <w:r>
        <w:rPr>
          <w:rFonts w:ascii="Times New Roman" w:hAnsi="Times New Roman"/>
          <w:sz w:val="20"/>
        </w:rPr>
        <w:t xml:space="preserve">From the date of the Facility Agent’s authority termination and until the date of the Accession of the New Facility Agent, the Parties hereby agree that the Lender’s obligations under the given Agreement will be temporarily executed by the Lender with the maximum Proportional Share or, in the absence thereof, the Lender appointed by the Decision of the Lenders Majority (hereinafter referred to as an Interim Facility Agent). </w:t>
      </w:r>
    </w:p>
    <w:p>
      <w:pPr>
        <w:pStyle w:val="TextBody"/>
        <w:spacing w:before="240" w:after="0"/>
        <w:rPr>
          <w:rFonts w:ascii="Times New Roman" w:hAnsi="Times New Roman"/>
          <w:sz w:val="20"/>
        </w:rPr>
      </w:pPr>
      <w:r>
        <w:rPr>
          <w:rFonts w:ascii="Times New Roman" w:hAnsi="Times New Roman"/>
          <w:sz w:val="20"/>
        </w:rPr>
        <w:t xml:space="preserve">The Parties agree that from the date of receipt of the Notification of the Authority Termination or of the Notification the Banking License Withdrawal by the Borrower and up to the date of the New Facility Agent Accession, the Obligators should make all payments provided for by this Agreement on the Accountant of the Interim Facility Agenta. </w:t>
      </w:r>
    </w:p>
    <w:p>
      <w:pPr>
        <w:pStyle w:val="TextBody"/>
        <w:spacing w:before="240" w:after="0"/>
        <w:rPr>
          <w:rFonts w:ascii="Times New Roman" w:hAnsi="Times New Roman"/>
          <w:sz w:val="20"/>
        </w:rPr>
      </w:pPr>
      <w:r>
        <w:rPr>
          <w:rFonts w:ascii="Times New Roman" w:hAnsi="Times New Roman"/>
          <w:sz w:val="20"/>
        </w:rPr>
        <w:t xml:space="preserve">If the Facility Agent, whose authority is terminated due to specific reasons, receives any payments from the Parties, he undertakes in line with the requirements of the applicable law, to transfer such payments to the Interim Facility Agent on the same Business Day in order to make the transfer of the corresponding amounts to the Party they are due 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23.5</w:t>
            </w:r>
          </w:p>
        </w:tc>
        <w:tc>
          <w:tcPr>
            <w:tcW w:w="9695" w:type="dxa"/>
            <w:tcBorders/>
            <w:shd w:fill="auto" w:val="clear"/>
          </w:tcPr>
          <w:p>
            <w:pPr>
              <w:pStyle w:val="TableContents"/>
              <w:spacing w:before="0" w:after="283"/>
              <w:jc w:val="left"/>
              <w:rPr/>
            </w:pPr>
            <w:r>
              <w:rPr/>
              <w:t xml:space="preserve">Organizer </w:t>
            </w:r>
          </w:p>
        </w:tc>
      </w:tr>
    </w:tbl>
    <w:p>
      <w:pPr>
        <w:pStyle w:val="TextBody"/>
        <w:spacing w:before="120" w:after="0"/>
        <w:rPr>
          <w:rFonts w:ascii="Times New Roman" w:hAnsi="Times New Roman"/>
          <w:sz w:val="20"/>
        </w:rPr>
      </w:pPr>
      <w:r>
        <w:rPr>
          <w:rFonts w:ascii="Times New Roman" w:hAnsi="Times New Roman"/>
          <w:sz w:val="20"/>
        </w:rPr>
        <w:t xml:space="preserve">The Organizer shall not be bound by any obligations with respect to other Parties, except those that are expressly provided in the Financial Instruments.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w:t>
            </w:r>
          </w:p>
        </w:tc>
        <w:tc>
          <w:tcPr>
            <w:tcW w:w="9695" w:type="dxa"/>
            <w:tcBorders/>
            <w:shd w:fill="auto" w:val="clear"/>
          </w:tcPr>
          <w:p>
            <w:pPr>
              <w:pStyle w:val="TableContents"/>
              <w:spacing w:before="0" w:after="283"/>
              <w:jc w:val="left"/>
              <w:rPr/>
            </w:pPr>
            <w:r>
              <w:rPr/>
              <w:t xml:space="preserve">PAYMENT MECHANISM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24.1</w:t>
            </w:r>
          </w:p>
        </w:tc>
        <w:tc>
          <w:tcPr>
            <w:tcW w:w="9695" w:type="dxa"/>
            <w:tcBorders/>
            <w:shd w:fill="auto" w:val="clear"/>
          </w:tcPr>
          <w:p>
            <w:pPr>
              <w:pStyle w:val="TableContents"/>
              <w:spacing w:before="0" w:after="283"/>
              <w:jc w:val="left"/>
              <w:rPr/>
            </w:pPr>
            <w:r>
              <w:rPr/>
              <w:t xml:space="preserve">Payments to the Facility Agent </w:t>
            </w:r>
          </w:p>
        </w:tc>
      </w:tr>
    </w:tbl>
    <w:p>
      <w:pPr>
        <w:pStyle w:val="TextBody"/>
        <w:spacing w:before="120" w:after="0"/>
        <w:rPr>
          <w:rFonts w:ascii="Times New Roman" w:hAnsi="Times New Roman"/>
          <w:sz w:val="20"/>
        </w:rPr>
      </w:pPr>
      <w:r>
        <w:rPr>
          <w:rFonts w:ascii="Times New Roman" w:hAnsi="Times New Roman"/>
          <w:sz w:val="20"/>
        </w:rPr>
        <w:t xml:space="preserve">Unless expressly provided otherwise by the given Agreement, on every date when any Obligator or a Finance Party under the terms of a Financial Document are obliged to make any payment in favor of any Party, such Obligator or Lender shall transfer the corresponding amount to the Facility Agent Account (unless otherwise provided in the context of the Financial Document) using the currency exchange rate as of the date of the established payment day. All payments made by the Obligator under this Agreement must be transferred to the Facility Agent’s Account no later than 5 p.m. The Obligator’s payments received on the Facility Agent’s Account later than the specified time, are deemed to have been received on the next Business Day.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24.2</w:t>
            </w:r>
          </w:p>
        </w:tc>
        <w:tc>
          <w:tcPr>
            <w:tcW w:w="9695" w:type="dxa"/>
            <w:tcBorders/>
            <w:shd w:fill="auto" w:val="clear"/>
          </w:tcPr>
          <w:p>
            <w:pPr>
              <w:pStyle w:val="TableContents"/>
              <w:spacing w:before="0" w:after="283"/>
              <w:jc w:val="left"/>
              <w:rPr/>
            </w:pPr>
            <w:r>
              <w:rPr/>
              <w:t xml:space="preserve">Distribution of the finances received by the Facility Agent </w:t>
            </w:r>
          </w:p>
        </w:tc>
      </w:tr>
    </w:tbl>
    <w:p>
      <w:pPr>
        <w:pStyle w:val="TextBody"/>
        <w:spacing w:before="120" w:after="0"/>
        <w:rPr>
          <w:rFonts w:ascii="Times New Roman" w:hAnsi="Times New Roman"/>
          <w:sz w:val="20"/>
        </w:rPr>
      </w:pPr>
      <w:r>
        <w:rPr>
          <w:rFonts w:ascii="Times New Roman" w:hAnsi="Times New Roman"/>
          <w:sz w:val="20"/>
        </w:rPr>
        <w:t xml:space="preserve">The finances received by the Facility Agent from the Obligator in fulfillment of his obligations before the Lenders under this Agreement, as well as the ones received from the Lender in the result of an application of recovery on the basis of the Assurance Agreements, are distributed among the Lenders according to the Proportional Share of each of the Lenders. </w:t>
      </w:r>
    </w:p>
    <w:p>
      <w:pPr>
        <w:pStyle w:val="TextBody"/>
        <w:spacing w:before="240" w:after="0"/>
        <w:rPr>
          <w:rFonts w:ascii="Times New Roman" w:hAnsi="Times New Roman"/>
          <w:sz w:val="20"/>
        </w:rPr>
      </w:pPr>
      <w:r>
        <w:rPr>
          <w:rFonts w:ascii="Times New Roman" w:hAnsi="Times New Roman"/>
          <w:sz w:val="20"/>
        </w:rPr>
        <w:t xml:space="preserve">Each amount of the monetary resources getitng into the Account of the Facility Agent for the other Party, shall be transferred by the Facility Agent no later than 11:00 a.m. the next Business Day to the Party which this amount is due to into the account, the details of which such Party can provide to the Facility Agent no less than 5 (five) Business Days prior to the date of payment. The Facility Agent shall transfer this amount to the appropriate Party after he verifies the fact that the required amount has been received by him in full.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24.3</w:t>
            </w:r>
          </w:p>
        </w:tc>
        <w:tc>
          <w:tcPr>
            <w:tcW w:w="9695" w:type="dxa"/>
            <w:tcBorders/>
            <w:shd w:fill="auto" w:val="clear"/>
          </w:tcPr>
          <w:p>
            <w:pPr>
              <w:pStyle w:val="TableContents"/>
              <w:spacing w:before="0" w:after="283"/>
              <w:jc w:val="left"/>
              <w:rPr/>
            </w:pPr>
            <w:r>
              <w:rPr/>
              <w:t xml:space="preserve">Partial payments </w:t>
            </w:r>
          </w:p>
        </w:tc>
      </w:tr>
    </w:tbl>
    <w:p>
      <w:pPr>
        <w:pStyle w:val="TextBody"/>
        <w:spacing w:before="120" w:after="0"/>
        <w:rPr>
          <w:rFonts w:ascii="Times New Roman" w:hAnsi="Times New Roman"/>
          <w:sz w:val="20"/>
        </w:rPr>
      </w:pPr>
      <w:r>
        <w:rPr>
          <w:rFonts w:ascii="Times New Roman" w:hAnsi="Times New Roman"/>
          <w:sz w:val="20"/>
        </w:rPr>
        <w:t xml:space="preserve">If the Lender receives an amount insufficient for a full repayment of all the amounts payable by the Obligator under the terms of the Financial Documents at the relevant moment, the Lender shall use such amount to repay the obligations of such Obligator by the Financial Documents in the following order of priority unless otherwise is provided by the law: </w:t>
      </w:r>
    </w:p>
    <w:p>
      <w:pPr>
        <w:pStyle w:val="TextBody"/>
        <w:spacing w:before="240" w:after="0"/>
        <w:rPr>
          <w:rFonts w:ascii="Times New Roman" w:hAnsi="Times New Roman"/>
          <w:sz w:val="20"/>
        </w:rPr>
      </w:pPr>
      <w:r>
        <w:rPr>
          <w:rFonts w:ascii="Times New Roman" w:hAnsi="Times New Roman"/>
          <w:sz w:val="20"/>
        </w:rPr>
        <w:t xml:space="preserve">first, to compensate to the Finance Parties the costs incurred in connection with the compulsory execution of their claims to the Obligator; </w:t>
      </w:r>
    </w:p>
    <w:p>
      <w:pPr>
        <w:pStyle w:val="TextBody"/>
        <w:spacing w:before="240" w:after="0"/>
        <w:rPr>
          <w:rFonts w:ascii="Times New Roman" w:hAnsi="Times New Roman"/>
          <w:sz w:val="20"/>
        </w:rPr>
      </w:pPr>
      <w:r>
        <w:rPr>
          <w:rFonts w:ascii="Times New Roman" w:hAnsi="Times New Roman"/>
          <w:sz w:val="20"/>
        </w:rPr>
        <w:t xml:space="preserve">second, to pay accrued interest on the Uncovered Loan; </w:t>
      </w:r>
    </w:p>
    <w:p>
      <w:pPr>
        <w:pStyle w:val="TextBody"/>
        <w:spacing w:before="240" w:after="0"/>
        <w:rPr>
          <w:rFonts w:ascii="Times New Roman" w:hAnsi="Times New Roman"/>
          <w:sz w:val="20"/>
        </w:rPr>
      </w:pPr>
      <w:r>
        <w:rPr>
          <w:rFonts w:ascii="Times New Roman" w:hAnsi="Times New Roman"/>
          <w:sz w:val="20"/>
        </w:rPr>
        <w:t xml:space="preserve">third, for the repayment of the due amount by the Uncovered Loan on the relevant date; </w:t>
      </w:r>
    </w:p>
    <w:p>
      <w:pPr>
        <w:pStyle w:val="TextBody"/>
        <w:spacing w:before="240" w:after="0"/>
        <w:rPr>
          <w:rFonts w:ascii="Times New Roman" w:hAnsi="Times New Roman"/>
          <w:sz w:val="20"/>
        </w:rPr>
      </w:pPr>
      <w:r>
        <w:rPr>
          <w:rFonts w:ascii="Times New Roman" w:hAnsi="Times New Roman"/>
          <w:sz w:val="20"/>
        </w:rPr>
        <w:t xml:space="preserve">fourth, to pay the due fee to the Facility Agent; </w:t>
      </w:r>
    </w:p>
    <w:p>
      <w:pPr>
        <w:pStyle w:val="TextBody"/>
        <w:spacing w:before="240" w:after="0"/>
        <w:rPr>
          <w:rFonts w:ascii="Times New Roman" w:hAnsi="Times New Roman"/>
          <w:sz w:val="20"/>
        </w:rPr>
      </w:pPr>
      <w:r>
        <w:rPr>
          <w:rFonts w:ascii="Times New Roman" w:hAnsi="Times New Roman"/>
          <w:sz w:val="20"/>
        </w:rPr>
        <w:t xml:space="preserve">fifth, for the accrued penalty payment; and </w:t>
      </w:r>
    </w:p>
    <w:p>
      <w:pPr>
        <w:pStyle w:val="TextBody"/>
        <w:spacing w:before="240" w:after="0"/>
        <w:rPr>
          <w:rFonts w:ascii="Times New Roman" w:hAnsi="Times New Roman"/>
          <w:sz w:val="20"/>
        </w:rPr>
      </w:pPr>
      <w:r>
        <w:rPr>
          <w:rFonts w:ascii="Times New Roman" w:hAnsi="Times New Roman"/>
          <w:sz w:val="20"/>
        </w:rPr>
        <w:t xml:space="preserve">sixth, for the payment of any other amounts owed by the Obligator according to the terms of the Financial Documents.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24.4</w:t>
            </w:r>
          </w:p>
        </w:tc>
        <w:tc>
          <w:tcPr>
            <w:tcW w:w="9695" w:type="dxa"/>
            <w:tcBorders/>
            <w:shd w:fill="auto" w:val="clear"/>
          </w:tcPr>
          <w:p>
            <w:pPr>
              <w:pStyle w:val="TableContents"/>
              <w:spacing w:before="0" w:after="283"/>
              <w:jc w:val="left"/>
              <w:rPr/>
            </w:pPr>
            <w:r>
              <w:rPr/>
              <w:t xml:space="preserve">Payments bypassing the Facility Agent </w:t>
            </w:r>
          </w:p>
        </w:tc>
      </w:tr>
    </w:tbl>
    <w:p>
      <w:pPr>
        <w:pStyle w:val="TextBody"/>
        <w:spacing w:before="120" w:after="0"/>
        <w:rPr>
          <w:rFonts w:ascii="Times New Roman" w:hAnsi="Times New Roman"/>
          <w:sz w:val="20"/>
        </w:rPr>
      </w:pPr>
      <w:r>
        <w:rPr>
          <w:rFonts w:ascii="Times New Roman" w:hAnsi="Times New Roman"/>
          <w:sz w:val="20"/>
        </w:rPr>
        <w:t xml:space="preserve">The transfer by the Obligator of any finances in compensation of due payments to the Finance Party under the Agreement, bypassing the Account of the Facility Agent, is not a proper performance of the obligations under this Agreement by the Obligator. Upon receipt by the Lender of any payment directly from the Obligator (and not from the Facility Agent), such Lender shall transfer the amount received from the Obligator to the Facility Agent’s Account on the same Business Day for distribution among all the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Finance Parties according to their Proportional Share in the manner described in the Article 24.3 (Partial Payments). Subsequently, the Obligator will be deemed to have fulfilled ihis payment obligations under this Agreement only in the part of that amount,which has been received by all the Finance Parties from the Facility Agent in accordance with the provisions of this Article.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24.5</w:t>
            </w:r>
          </w:p>
        </w:tc>
        <w:tc>
          <w:tcPr>
            <w:tcW w:w="9695" w:type="dxa"/>
            <w:tcBorders/>
            <w:shd w:fill="auto" w:val="clear"/>
          </w:tcPr>
          <w:p>
            <w:pPr>
              <w:pStyle w:val="TableContents"/>
              <w:spacing w:before="0" w:after="283"/>
              <w:jc w:val="left"/>
              <w:rPr/>
            </w:pPr>
            <w:r>
              <w:rPr/>
              <w:t xml:space="preserve">Prohibition of offsetting by Obligators </w:t>
            </w:r>
          </w:p>
        </w:tc>
      </w:tr>
    </w:tbl>
    <w:p>
      <w:pPr>
        <w:pStyle w:val="TextBody"/>
        <w:spacing w:before="120" w:after="0"/>
        <w:rPr>
          <w:rFonts w:ascii="Times New Roman" w:hAnsi="Times New Roman"/>
          <w:sz w:val="20"/>
        </w:rPr>
      </w:pPr>
      <w:r>
        <w:rPr>
          <w:rFonts w:ascii="Times New Roman" w:hAnsi="Times New Roman"/>
          <w:sz w:val="20"/>
        </w:rPr>
        <w:t xml:space="preserve">The Borrower undertakes to carry out (and undertakes to ensure, that the other Obligators carry out as well) any payments under the Financial Documents without offsetting any homogeneous counter claims that the respective Obligator may have to any of the Finance Parties.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24.6</w:t>
            </w:r>
          </w:p>
        </w:tc>
        <w:tc>
          <w:tcPr>
            <w:tcW w:w="9695" w:type="dxa"/>
            <w:tcBorders/>
            <w:shd w:fill="auto" w:val="clear"/>
          </w:tcPr>
          <w:p>
            <w:pPr>
              <w:pStyle w:val="TableContents"/>
              <w:spacing w:before="0" w:after="283"/>
              <w:jc w:val="left"/>
              <w:rPr/>
            </w:pPr>
            <w:r>
              <w:rPr/>
              <w:t xml:space="preserve">Currency of payments </w:t>
            </w:r>
          </w:p>
        </w:tc>
      </w:tr>
    </w:tbl>
    <w:p>
      <w:pPr>
        <w:pStyle w:val="TextBody"/>
        <w:spacing w:before="120" w:after="0"/>
        <w:rPr>
          <w:rFonts w:ascii="Times New Roman" w:hAnsi="Times New Roman"/>
          <w:sz w:val="20"/>
        </w:rPr>
      </w:pPr>
      <w:r>
        <w:rPr>
          <w:rFonts w:ascii="Times New Roman" w:hAnsi="Times New Roman"/>
          <w:sz w:val="20"/>
        </w:rPr>
        <w:t xml:space="preserve">The Borrower makes all the payments under the given Agreement in Rubles, except for the compensation of the costs to the Finance Parties incurred in connection with this Agreement, which are paid by the Borrower in the same currency in which they have occured, provided that this does not contradict the foreign exchange legislation of the Russian Federation (hereinafter - Currency of the Agreement). The Borrower’s payment obligations are deemed to be fulfilled only if the corresponding amounts are received by the Facility Agent in the Currency of the Agreement. If any amounts under this Agreement are received as a compensation of the Borrower’s obligations in a currency other than the Currency of the Agreement, and the Facility Agent converts the amount received into the Currency of the Agreement, the Borrower undertakes to compensate the Facility Agent his costs related to the conversion of the amount received into the Currency of the Agreement (according to theinternally generated rate of the account bank), as well as to compensate the difference between the amount owed to the Borrower in the Currency of the Agreement and the amount received by the Facility Agent in the result of conversion of the monetary resources received from the Borrower into the Currency of the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24.7</w:t>
            </w:r>
          </w:p>
        </w:tc>
        <w:tc>
          <w:tcPr>
            <w:tcW w:w="9695" w:type="dxa"/>
            <w:tcBorders/>
            <w:shd w:fill="auto" w:val="clear"/>
          </w:tcPr>
          <w:p>
            <w:pPr>
              <w:pStyle w:val="TableContents"/>
              <w:spacing w:before="0" w:after="283"/>
              <w:jc w:val="left"/>
              <w:rPr/>
            </w:pPr>
            <w:r>
              <w:rPr/>
              <w:t xml:space="preserve">Payment due date </w:t>
            </w:r>
          </w:p>
        </w:tc>
      </w:tr>
    </w:tbl>
    <w:p>
      <w:pPr>
        <w:pStyle w:val="TextBody"/>
        <w:spacing w:before="120" w:after="0"/>
        <w:rPr>
          <w:rFonts w:ascii="Times New Roman" w:hAnsi="Times New Roman"/>
          <w:sz w:val="20"/>
        </w:rPr>
      </w:pPr>
      <w:r>
        <w:rPr>
          <w:rFonts w:ascii="Times New Roman" w:hAnsi="Times New Roman"/>
          <w:sz w:val="20"/>
        </w:rPr>
        <w:t xml:space="preserve">If any Financial Document does not describe any payment due date, such payment must be made by the Obligator within 5 (five) Business Days after the receipt of the request of the respective Finance Party from the Facility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25.</w:t>
            </w:r>
          </w:p>
        </w:tc>
        <w:tc>
          <w:tcPr>
            <w:tcW w:w="9696" w:type="dxa"/>
            <w:tcBorders/>
            <w:shd w:fill="auto" w:val="clear"/>
          </w:tcPr>
          <w:p>
            <w:pPr>
              <w:pStyle w:val="TableContents"/>
              <w:spacing w:before="0" w:after="283"/>
              <w:jc w:val="left"/>
              <w:rPr/>
            </w:pPr>
            <w:r>
              <w:rPr/>
              <w:t xml:space="preserve">NOTIFICATIONS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25.1</w:t>
            </w:r>
          </w:p>
        </w:tc>
        <w:tc>
          <w:tcPr>
            <w:tcW w:w="9695" w:type="dxa"/>
            <w:tcBorders/>
            <w:shd w:fill="auto" w:val="clear"/>
          </w:tcPr>
          <w:p>
            <w:pPr>
              <w:pStyle w:val="TableContents"/>
              <w:spacing w:before="0" w:after="283"/>
              <w:jc w:val="left"/>
              <w:rPr/>
            </w:pPr>
            <w:r>
              <w:rPr/>
              <w:t xml:space="preserve">Written form </w:t>
            </w:r>
          </w:p>
        </w:tc>
      </w:tr>
    </w:tbl>
    <w:p>
      <w:pPr>
        <w:pStyle w:val="TextBody"/>
        <w:spacing w:before="120" w:after="0"/>
        <w:rPr>
          <w:rFonts w:ascii="Times New Roman" w:hAnsi="Times New Roman"/>
          <w:sz w:val="20"/>
        </w:rPr>
      </w:pPr>
      <w:r>
        <w:rPr>
          <w:rFonts w:ascii="Times New Roman" w:hAnsi="Times New Roman"/>
          <w:sz w:val="20"/>
        </w:rPr>
        <w:t xml:space="preserve">Any messages sent by the Parties under the Financial Documents must be prepared in writing and may be sent by a courier, postal service with notification of the delivery, by fax, or any other means which allows to make sure that the notification oindeed comes from the Party under the Financial Documents. For the purposes of this Agreement, a letter transmitted using electronic means of communication shall be deemed to be a written message.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25.2</w:t>
            </w:r>
          </w:p>
        </w:tc>
        <w:tc>
          <w:tcPr>
            <w:tcW w:w="9695" w:type="dxa"/>
            <w:tcBorders/>
            <w:shd w:fill="auto" w:val="clear"/>
          </w:tcPr>
          <w:p>
            <w:pPr>
              <w:pStyle w:val="TableContents"/>
              <w:spacing w:before="0" w:after="283"/>
              <w:jc w:val="left"/>
              <w:rPr/>
            </w:pPr>
            <w:r>
              <w:rPr/>
              <w:t xml:space="preserve">Addresses </w:t>
            </w:r>
          </w:p>
        </w:tc>
      </w:tr>
    </w:tbl>
    <w:p>
      <w:pPr>
        <w:pStyle w:val="TextBody"/>
        <w:spacing w:before="120" w:after="0"/>
        <w:rPr>
          <w:rFonts w:ascii="Times New Roman" w:hAnsi="Times New Roman"/>
          <w:sz w:val="20"/>
        </w:rPr>
      </w:pPr>
      <w:r>
        <w:rPr>
          <w:rFonts w:ascii="Times New Roman" w:hAnsi="Times New Roman"/>
          <w:sz w:val="20"/>
        </w:rPr>
        <w:t xml:space="preserve">Unless otherwise provided than set forth below, the contact details of each Party for all communications in connection with the given Agreement are the contact details that such Party has provided to the Facility Agent for this purpose..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Contact details of the Borrower: </w:t>
      </w:r>
    </w:p>
    <w:p>
      <w:pPr>
        <w:pStyle w:val="TextBody"/>
        <w:spacing w:before="240" w:after="0"/>
        <w:rPr/>
      </w:pPr>
      <w:r>
        <w:rPr/>
        <w:t>“</w:t>
      </w:r>
      <w:r>
        <w:rPr>
          <w:rFonts w:ascii="Times New Roman" w:hAnsi="Times New Roman"/>
          <w:sz w:val="20"/>
        </w:rPr>
        <w:t xml:space="preserve">Zemenik” Limited Liability Company </w:t>
      </w:r>
    </w:p>
    <w:p>
      <w:pPr>
        <w:pStyle w:val="TextBody"/>
        <w:spacing w:before="240" w:after="0"/>
        <w:rPr>
          <w:rFonts w:ascii="Times New Roman" w:hAnsi="Times New Roman"/>
          <w:sz w:val="20"/>
        </w:rPr>
      </w:pPr>
      <w:r>
        <w:rPr>
          <w:rFonts w:ascii="Times New Roman" w:hAnsi="Times New Roman"/>
          <w:sz w:val="20"/>
        </w:rPr>
        <w:t xml:space="preserve">Address: Academician Ilyushin Str., building 4, section 1, office 54, Moscow, Russian Federation, 125319 </w:t>
      </w:r>
    </w:p>
    <w:p>
      <w:pPr>
        <w:pStyle w:val="TextBody"/>
        <w:spacing w:before="0" w:after="0"/>
        <w:rPr>
          <w:rFonts w:ascii="Times New Roman" w:hAnsi="Times New Roman"/>
          <w:sz w:val="20"/>
        </w:rPr>
      </w:pPr>
      <w:r>
        <w:rPr>
          <w:rFonts w:ascii="Times New Roman" w:hAnsi="Times New Roman"/>
          <w:sz w:val="20"/>
        </w:rPr>
        <w:t xml:space="preserve">Fax number: +7 495 974 64 27 </w:t>
      </w:r>
    </w:p>
    <w:p>
      <w:pPr>
        <w:pStyle w:val="TextBody"/>
        <w:spacing w:before="0" w:after="0"/>
        <w:rPr>
          <w:rFonts w:ascii="Times New Roman" w:hAnsi="Times New Roman"/>
          <w:sz w:val="20"/>
        </w:rPr>
      </w:pPr>
      <w:r>
        <w:rPr>
          <w:rFonts w:ascii="Times New Roman" w:hAnsi="Times New Roman"/>
          <w:sz w:val="20"/>
        </w:rPr>
        <w:t xml:space="preserve">Email Address: karen.agayan@arpartners.ru </w:t>
      </w:r>
    </w:p>
    <w:p>
      <w:pPr>
        <w:pStyle w:val="TextBody"/>
        <w:spacing w:before="240" w:after="0"/>
        <w:rPr>
          <w:rFonts w:ascii="Times New Roman" w:hAnsi="Times New Roman"/>
          <w:sz w:val="20"/>
        </w:rPr>
      </w:pPr>
      <w:r>
        <w:rPr>
          <w:rFonts w:ascii="Times New Roman" w:hAnsi="Times New Roman"/>
          <w:sz w:val="20"/>
        </w:rPr>
        <w:t xml:space="preserve">For consideration: Agayan Karen Eduardovich </w:t>
      </w:r>
    </w:p>
    <w:p>
      <w:pPr>
        <w:pStyle w:val="TextBody"/>
        <w:spacing w:before="240" w:after="0"/>
        <w:rPr>
          <w:rFonts w:ascii="Times New Roman" w:hAnsi="Times New Roman"/>
          <w:sz w:val="20"/>
        </w:rPr>
      </w:pPr>
      <w:r>
        <w:rPr>
          <w:rFonts w:ascii="Times New Roman" w:hAnsi="Times New Roman"/>
          <w:sz w:val="20"/>
        </w:rPr>
        <w:t xml:space="preserve">Copy: Highworld Investment Limited: </w:t>
      </w:r>
    </w:p>
    <w:p>
      <w:pPr>
        <w:pStyle w:val="TextBody"/>
        <w:spacing w:before="240" w:after="0"/>
        <w:rPr>
          <w:rFonts w:ascii="Times New Roman" w:hAnsi="Times New Roman"/>
          <w:sz w:val="20"/>
        </w:rPr>
      </w:pPr>
      <w:r>
        <w:rPr>
          <w:rFonts w:ascii="Times New Roman" w:hAnsi="Times New Roman"/>
          <w:sz w:val="20"/>
        </w:rPr>
        <w:t xml:space="preserve">Address: Trident Chambers, P.O., Box 146, Road Town, Tortola, Virgin Islands (British) </w:t>
      </w:r>
    </w:p>
    <w:p>
      <w:pPr>
        <w:pStyle w:val="TextBody"/>
        <w:spacing w:before="240" w:after="0"/>
        <w:rPr>
          <w:rFonts w:ascii="Times New Roman" w:hAnsi="Times New Roman"/>
          <w:sz w:val="20"/>
        </w:rPr>
      </w:pPr>
      <w:r>
        <w:rPr>
          <w:rFonts w:ascii="Times New Roman" w:hAnsi="Times New Roman"/>
          <w:sz w:val="20"/>
        </w:rPr>
        <w:t xml:space="preserve">Fax number:    +357 22 679096 </w:t>
      </w:r>
    </w:p>
    <w:p>
      <w:pPr>
        <w:pStyle w:val="TextBody"/>
        <w:spacing w:before="240" w:after="0"/>
        <w:rPr>
          <w:rFonts w:ascii="Times New Roman" w:hAnsi="Times New Roman"/>
          <w:sz w:val="20"/>
        </w:rPr>
      </w:pPr>
      <w:r>
        <w:rPr>
          <w:rFonts w:ascii="Times New Roman" w:hAnsi="Times New Roman"/>
          <w:sz w:val="20"/>
        </w:rPr>
        <w:t xml:space="preserve">E-mail address: info@fiduserve.com </w:t>
      </w:r>
    </w:p>
    <w:p>
      <w:pPr>
        <w:pStyle w:val="TextBody"/>
        <w:spacing w:before="240" w:after="0"/>
        <w:rPr>
          <w:rFonts w:ascii="Times New Roman" w:hAnsi="Times New Roman"/>
          <w:sz w:val="20"/>
        </w:rPr>
      </w:pPr>
      <w:r>
        <w:rPr>
          <w:rFonts w:ascii="Times New Roman" w:hAnsi="Times New Roman"/>
          <w:sz w:val="20"/>
        </w:rPr>
        <w:t xml:space="preserve">For consideration:        Stelios Haralambous </w:t>
      </w:r>
    </w:p>
    <w:p>
      <w:pPr>
        <w:pStyle w:val="TextBody"/>
        <w:spacing w:before="240" w:after="0"/>
        <w:rPr>
          <w:rFonts w:ascii="Times New Roman" w:hAnsi="Times New Roman"/>
          <w:sz w:val="20"/>
        </w:rPr>
      </w:pPr>
      <w:r>
        <w:rPr>
          <w:rFonts w:ascii="Times New Roman" w:hAnsi="Times New Roman"/>
          <w:sz w:val="20"/>
        </w:rPr>
        <w:t xml:space="preserve">Copy: ELQ Investors VIII: </w:t>
      </w:r>
    </w:p>
    <w:p>
      <w:pPr>
        <w:pStyle w:val="TextBody"/>
        <w:spacing w:before="240" w:after="0"/>
        <w:rPr>
          <w:rFonts w:ascii="Times New Roman" w:hAnsi="Times New Roman"/>
          <w:sz w:val="20"/>
        </w:rPr>
      </w:pPr>
      <w:r>
        <w:rPr>
          <w:rFonts w:ascii="Times New Roman" w:hAnsi="Times New Roman"/>
          <w:sz w:val="20"/>
        </w:rPr>
        <w:t xml:space="preserve">Address: Goldman Sachs International, Peterborough Court, 133 Fleet Street, London EC4A 2BB </w:t>
      </w:r>
    </w:p>
    <w:p>
      <w:pPr>
        <w:pStyle w:val="TextBody"/>
        <w:spacing w:before="0" w:after="0"/>
        <w:rPr>
          <w:rFonts w:ascii="Times New Roman" w:hAnsi="Times New Roman"/>
          <w:sz w:val="20"/>
        </w:rPr>
      </w:pPr>
      <w:r>
        <w:rPr>
          <w:rFonts w:ascii="Times New Roman" w:hAnsi="Times New Roman"/>
          <w:sz w:val="20"/>
        </w:rPr>
        <w:t xml:space="preserve">Fax number:    +44 20 7522 7070 </w:t>
      </w:r>
    </w:p>
    <w:p>
      <w:pPr>
        <w:pStyle w:val="TextBody"/>
        <w:spacing w:before="240" w:after="0"/>
        <w:rPr>
          <w:rFonts w:ascii="Times New Roman" w:hAnsi="Times New Roman"/>
          <w:sz w:val="20"/>
        </w:rPr>
      </w:pPr>
      <w:r>
        <w:rPr>
          <w:rFonts w:ascii="Times New Roman" w:hAnsi="Times New Roman"/>
          <w:sz w:val="20"/>
        </w:rPr>
        <w:t xml:space="preserve">E-mail address: greg.olafson@gs.com </w:t>
      </w:r>
    </w:p>
    <w:p>
      <w:pPr>
        <w:pStyle w:val="TextBody"/>
        <w:spacing w:before="240" w:after="0"/>
        <w:rPr>
          <w:rFonts w:ascii="Times New Roman" w:hAnsi="Times New Roman"/>
          <w:sz w:val="20"/>
        </w:rPr>
      </w:pPr>
      <w:r>
        <w:rPr>
          <w:rFonts w:ascii="Times New Roman" w:hAnsi="Times New Roman"/>
          <w:sz w:val="20"/>
        </w:rPr>
        <w:t xml:space="preserve">For consideration:        Greg Olafson </w:t>
      </w:r>
    </w:p>
    <w:p>
      <w:pPr>
        <w:pStyle w:val="TextBody"/>
        <w:spacing w:before="240" w:after="0"/>
        <w:rPr>
          <w:rFonts w:ascii="Times New Roman" w:hAnsi="Times New Roman"/>
          <w:sz w:val="20"/>
        </w:rPr>
      </w:pPr>
      <w:r>
        <w:rPr>
          <w:rFonts w:ascii="Times New Roman" w:hAnsi="Times New Roman"/>
          <w:sz w:val="20"/>
        </w:rPr>
        <w:t xml:space="preserve">Copy: </w:t>
      </w:r>
    </w:p>
    <w:p>
      <w:pPr>
        <w:pStyle w:val="TextBody"/>
        <w:spacing w:before="240" w:after="0"/>
        <w:rPr>
          <w:rFonts w:ascii="Times New Roman" w:hAnsi="Times New Roman"/>
          <w:sz w:val="20"/>
        </w:rPr>
      </w:pPr>
      <w:r>
        <w:rPr>
          <w:rFonts w:ascii="Times New Roman" w:hAnsi="Times New Roman"/>
          <w:sz w:val="20"/>
        </w:rPr>
        <w:t xml:space="preserve">Address: Goldman Sachs, </w:t>
      </w:r>
      <w:r>
        <w:rPr>
          <w:rFonts w:ascii="Times New Roman" w:hAnsi="Times New Roman"/>
          <w:sz w:val="20"/>
        </w:rPr>
        <w:drawing>
          <wp:inline distT="0" distB="0" distL="0" distR="0">
            <wp:extent cx="718820" cy="35941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Fax number:    + 7 495 645 4186 </w:t>
      </w:r>
    </w:p>
    <w:p>
      <w:pPr>
        <w:pStyle w:val="TextBody"/>
        <w:spacing w:before="240" w:after="0"/>
        <w:rPr>
          <w:rFonts w:ascii="Times New Roman" w:hAnsi="Times New Roman"/>
          <w:sz w:val="20"/>
        </w:rPr>
      </w:pPr>
      <w:r>
        <w:rPr>
          <w:rFonts w:ascii="Times New Roman" w:hAnsi="Times New Roman"/>
          <w:sz w:val="20"/>
        </w:rPr>
        <w:t xml:space="preserve">E-mail address: Oleg.Bibergan@gs.com </w:t>
      </w:r>
    </w:p>
    <w:p>
      <w:pPr>
        <w:pStyle w:val="TextBody"/>
        <w:spacing w:before="240" w:after="0"/>
        <w:rPr>
          <w:rFonts w:ascii="Times New Roman" w:hAnsi="Times New Roman"/>
          <w:sz w:val="20"/>
        </w:rPr>
      </w:pPr>
      <w:r>
        <w:rPr>
          <w:rFonts w:ascii="Times New Roman" w:hAnsi="Times New Roman"/>
          <w:sz w:val="20"/>
        </w:rPr>
        <w:t xml:space="preserve">For consideration:        Oleg Bibergan </w:t>
      </w:r>
    </w:p>
    <w:p>
      <w:pPr>
        <w:pStyle w:val="TextBody"/>
        <w:spacing w:before="240" w:after="0"/>
        <w:rPr>
          <w:rFonts w:ascii="Times New Roman" w:hAnsi="Times New Roman"/>
          <w:sz w:val="20"/>
        </w:rPr>
      </w:pPr>
      <w:r>
        <w:rPr>
          <w:rFonts w:ascii="Times New Roman" w:hAnsi="Times New Roman"/>
          <w:sz w:val="20"/>
        </w:rPr>
        <w:t xml:space="preserve">Contact details of the Facility Agent: </w:t>
      </w:r>
    </w:p>
    <w:p>
      <w:pPr>
        <w:pStyle w:val="TextBody"/>
        <w:spacing w:before="240" w:after="0"/>
        <w:rPr>
          <w:rFonts w:ascii="Times New Roman" w:hAnsi="Times New Roman"/>
          <w:sz w:val="20"/>
        </w:rPr>
      </w:pPr>
      <w:r>
        <w:rPr>
          <w:rFonts w:ascii="Times New Roman" w:hAnsi="Times New Roman"/>
          <w:sz w:val="20"/>
        </w:rPr>
        <w:t xml:space="preserve">BANK VTB (PUBLIC JOINT STOCK COMPANY) </w:t>
      </w:r>
    </w:p>
    <w:p>
      <w:pPr>
        <w:pStyle w:val="TextBody"/>
        <w:spacing w:before="240" w:after="0"/>
        <w:rPr>
          <w:rFonts w:ascii="Times New Roman" w:hAnsi="Times New Roman"/>
          <w:sz w:val="20"/>
        </w:rPr>
      </w:pPr>
      <w:r>
        <w:rPr>
          <w:rFonts w:ascii="Times New Roman" w:hAnsi="Times New Roman"/>
          <w:sz w:val="20"/>
        </w:rPr>
        <w:t xml:space="preserve">Location:    Bolshaya Morskaya Str., 29, St. Petersburg, Russian Federation, 190000 </w:t>
      </w:r>
    </w:p>
    <w:p>
      <w:pPr>
        <w:pStyle w:val="TextBody"/>
        <w:spacing w:before="0" w:after="0"/>
        <w:rPr>
          <w:rFonts w:ascii="Times New Roman" w:hAnsi="Times New Roman"/>
          <w:sz w:val="20"/>
        </w:rPr>
      </w:pPr>
      <w:r>
        <w:rPr>
          <w:rFonts w:ascii="Times New Roman" w:hAnsi="Times New Roman"/>
          <w:sz w:val="20"/>
        </w:rPr>
        <w:t xml:space="preserve">Postal address: 109147, Moscow, Vorontsovskaya Str, building 43, section 1 </w:t>
      </w:r>
    </w:p>
    <w:p>
      <w:pPr>
        <w:pStyle w:val="TextBody"/>
        <w:spacing w:before="240" w:after="0"/>
        <w:rPr>
          <w:rFonts w:ascii="Times New Roman" w:hAnsi="Times New Roman"/>
          <w:sz w:val="20"/>
        </w:rPr>
      </w:pPr>
      <w:r>
        <w:rPr>
          <w:rFonts w:ascii="Times New Roman" w:hAnsi="Times New Roman"/>
          <w:sz w:val="20"/>
        </w:rPr>
        <w:t xml:space="preserve">Telex: 412362 BFTR RU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Phone: +7 (495) 739-77-39 </w:t>
      </w:r>
    </w:p>
    <w:p>
      <w:pPr>
        <w:pStyle w:val="TextBody"/>
        <w:spacing w:before="240" w:after="0"/>
        <w:rPr>
          <w:rFonts w:ascii="Times New Roman" w:hAnsi="Times New Roman"/>
          <w:sz w:val="20"/>
        </w:rPr>
      </w:pPr>
      <w:r>
        <w:rPr>
          <w:rFonts w:ascii="Times New Roman" w:hAnsi="Times New Roman"/>
          <w:sz w:val="20"/>
        </w:rPr>
        <w:t xml:space="preserve">Fax number: +7 (495) 775-54-54 </w:t>
      </w:r>
    </w:p>
    <w:p>
      <w:pPr>
        <w:pStyle w:val="TextBody"/>
        <w:spacing w:before="240" w:after="0"/>
        <w:rPr>
          <w:rFonts w:ascii="Times New Roman" w:hAnsi="Times New Roman"/>
          <w:sz w:val="20"/>
        </w:rPr>
      </w:pPr>
      <w:r>
        <w:rPr>
          <w:rFonts w:ascii="Times New Roman" w:hAnsi="Times New Roman"/>
          <w:sz w:val="20"/>
        </w:rPr>
        <w:t xml:space="preserve">E-mail address: loanadmin@msk.vtb.ru, TM21@msk.vtb.ru </w:t>
      </w:r>
    </w:p>
    <w:p>
      <w:pPr>
        <w:pStyle w:val="TextBody"/>
        <w:spacing w:before="0" w:after="0"/>
        <w:rPr>
          <w:rFonts w:ascii="Times New Roman" w:hAnsi="Times New Roman"/>
          <w:sz w:val="20"/>
        </w:rPr>
      </w:pPr>
      <w:r>
        <w:rPr>
          <w:rFonts w:ascii="Times New Roman" w:hAnsi="Times New Roman"/>
          <w:sz w:val="20"/>
        </w:rPr>
        <w:t xml:space="preserve">For consideration: Lending Administration </w:t>
      </w:r>
    </w:p>
    <w:p>
      <w:pPr>
        <w:pStyle w:val="TextBody"/>
        <w:spacing w:before="240" w:after="0"/>
        <w:rPr>
          <w:rFonts w:ascii="Times New Roman" w:hAnsi="Times New Roman"/>
          <w:sz w:val="20"/>
        </w:rPr>
      </w:pPr>
      <w:r>
        <w:rPr>
          <w:rFonts w:ascii="Times New Roman" w:hAnsi="Times New Roman"/>
          <w:sz w:val="20"/>
        </w:rPr>
        <w:t xml:space="preserve">Each Lender shall communicate his contact details to the Facility Agent, who in his turn shall provide them to any other Party at its request. </w:t>
      </w:r>
    </w:p>
    <w:p>
      <w:pPr>
        <w:pStyle w:val="TextBody"/>
        <w:spacing w:before="240" w:after="0"/>
        <w:rPr>
          <w:rFonts w:ascii="Times New Roman" w:hAnsi="Times New Roman"/>
          <w:sz w:val="20"/>
        </w:rPr>
      </w:pPr>
      <w:r>
        <w:rPr>
          <w:rFonts w:ascii="Times New Roman" w:hAnsi="Times New Roman"/>
          <w:sz w:val="20"/>
        </w:rPr>
        <w:t xml:space="preserve">Any Party shall have the right to change its contact details by sending the corresponding notice in advance to the Facility Agent not less than in 5 (five) Business Days. The Facility Agent informs about the change of the contact details all the other Parties. </w:t>
      </w:r>
    </w:p>
    <w:p>
      <w:pPr>
        <w:pStyle w:val="TextBody"/>
        <w:spacing w:before="240" w:after="0"/>
        <w:rPr>
          <w:rFonts w:ascii="Times New Roman" w:hAnsi="Times New Roman"/>
          <w:sz w:val="20"/>
        </w:rPr>
      </w:pPr>
      <w:r>
        <w:rPr>
          <w:rFonts w:ascii="Times New Roman" w:hAnsi="Times New Roman"/>
          <w:sz w:val="20"/>
        </w:rPr>
        <w:t xml:space="preserve">If the Party designates a particular division or an official as the recipient of the message, the message will not be considered as a forwarded one if such division or the official are not specified as the recipient.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25.3</w:t>
            </w:r>
          </w:p>
        </w:tc>
        <w:tc>
          <w:tcPr>
            <w:tcW w:w="9695" w:type="dxa"/>
            <w:tcBorders/>
            <w:shd w:fill="auto" w:val="clear"/>
          </w:tcPr>
          <w:p>
            <w:pPr>
              <w:pStyle w:val="TableContents"/>
              <w:spacing w:before="0" w:after="283"/>
              <w:jc w:val="left"/>
              <w:rPr/>
            </w:pPr>
            <w:r>
              <w:rPr/>
              <w:t xml:space="preserve">Service of a notification </w:t>
            </w:r>
          </w:p>
        </w:tc>
      </w:tr>
    </w:tbl>
    <w:p>
      <w:pPr>
        <w:pStyle w:val="TextBody"/>
        <w:spacing w:before="120" w:after="0"/>
        <w:rPr>
          <w:rFonts w:ascii="Times New Roman" w:hAnsi="Times New Roman"/>
          <w:sz w:val="20"/>
        </w:rPr>
      </w:pPr>
      <w:r>
        <w:rPr>
          <w:rFonts w:ascii="Times New Roman" w:hAnsi="Times New Roman"/>
          <w:sz w:val="20"/>
        </w:rPr>
        <w:t xml:space="preserve">Any communication or a document sent by one person to another person in connection with the Financial Documents is deemed to be received: </w:t>
      </w:r>
    </w:p>
    <w:p>
      <w:pPr>
        <w:pStyle w:val="TextBody"/>
        <w:spacing w:before="240" w:after="0"/>
        <w:rPr>
          <w:rFonts w:ascii="Times New Roman" w:hAnsi="Times New Roman"/>
          <w:sz w:val="20"/>
        </w:rPr>
      </w:pPr>
      <w:r>
        <w:rPr>
          <w:rFonts w:ascii="Times New Roman" w:hAnsi="Times New Roman"/>
          <w:sz w:val="20"/>
        </w:rPr>
        <w:t xml:space="preserve">when sent by fax or by other means, which allows to reliably identify that the message is sent by the Party on the Finance Documents - on the receipt in legible condition; or </w:t>
      </w:r>
    </w:p>
    <w:p>
      <w:pPr>
        <w:pStyle w:val="TextBody"/>
        <w:spacing w:before="240" w:after="0"/>
        <w:rPr>
          <w:rFonts w:ascii="Times New Roman" w:hAnsi="Times New Roman"/>
          <w:sz w:val="20"/>
        </w:rPr>
      </w:pPr>
      <w:r>
        <w:rPr>
          <w:rFonts w:ascii="Times New Roman" w:hAnsi="Times New Roman"/>
          <w:sz w:val="20"/>
        </w:rPr>
        <w:t xml:space="preserve">when sent by a courier - upon the delivery to the appropriate address; or </w:t>
      </w:r>
    </w:p>
    <w:p>
      <w:pPr>
        <w:pStyle w:val="TextBody"/>
        <w:spacing w:before="240" w:after="0"/>
        <w:rPr>
          <w:rFonts w:ascii="Times New Roman" w:hAnsi="Times New Roman"/>
          <w:sz w:val="20"/>
        </w:rPr>
      </w:pPr>
      <w:r>
        <w:rPr>
          <w:rFonts w:ascii="Times New Roman" w:hAnsi="Times New Roman"/>
          <w:sz w:val="20"/>
        </w:rPr>
        <w:t xml:space="preserve">when sent per post - upon the delivery to the appropriate address or after 5 (five) Business Days from being handed over to the post office by postal service with a delivery confirmation, whichever occurs first. </w:t>
      </w:r>
    </w:p>
    <w:p>
      <w:pPr>
        <w:pStyle w:val="TextBody"/>
        <w:spacing w:before="240" w:after="0"/>
        <w:rPr>
          <w:rFonts w:ascii="Times New Roman" w:hAnsi="Times New Roman"/>
          <w:sz w:val="20"/>
        </w:rPr>
      </w:pPr>
      <w:r>
        <w:rPr>
          <w:rFonts w:ascii="Times New Roman" w:hAnsi="Times New Roman"/>
          <w:sz w:val="20"/>
        </w:rPr>
        <w:t xml:space="preserve">All the notifications sent by the Obligator or addressed to the Obligator are handed over via the Facility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25.4</w:t>
            </w:r>
          </w:p>
        </w:tc>
        <w:tc>
          <w:tcPr>
            <w:tcW w:w="9695" w:type="dxa"/>
            <w:tcBorders/>
            <w:shd w:fill="auto" w:val="clear"/>
          </w:tcPr>
          <w:p>
            <w:pPr>
              <w:pStyle w:val="TableContents"/>
              <w:spacing w:before="0" w:after="283"/>
              <w:jc w:val="left"/>
              <w:rPr/>
            </w:pPr>
            <w:r>
              <w:rPr/>
              <w:t xml:space="preserve">Language </w:t>
            </w:r>
          </w:p>
        </w:tc>
      </w:tr>
    </w:tbl>
    <w:p>
      <w:pPr>
        <w:pStyle w:val="TextBody"/>
        <w:spacing w:before="120" w:after="0"/>
        <w:rPr>
          <w:rFonts w:ascii="Times New Roman" w:hAnsi="Times New Roman"/>
          <w:sz w:val="20"/>
        </w:rPr>
      </w:pPr>
      <w:r>
        <w:rPr>
          <w:rFonts w:ascii="Times New Roman" w:hAnsi="Times New Roman"/>
          <w:sz w:val="20"/>
        </w:rPr>
        <w:t xml:space="preserve">Any notification or message sent by the Party in connection with any Financial Document must be in Russian. For the sake of clarity, the text in Russian may be accompanied by a translation into another language, with the text in Russian prevailing.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25.5</w:t>
            </w:r>
          </w:p>
        </w:tc>
        <w:tc>
          <w:tcPr>
            <w:tcW w:w="9695" w:type="dxa"/>
            <w:tcBorders/>
            <w:shd w:fill="auto" w:val="clear"/>
          </w:tcPr>
          <w:p>
            <w:pPr>
              <w:pStyle w:val="TableContents"/>
              <w:spacing w:before="0" w:after="283"/>
              <w:jc w:val="left"/>
              <w:rPr/>
            </w:pPr>
            <w:r>
              <w:rPr/>
              <w:t xml:space="preserve">Responding the Borrower’s requests </w:t>
            </w:r>
          </w:p>
        </w:tc>
      </w:tr>
    </w:tbl>
    <w:p>
      <w:pPr>
        <w:pStyle w:val="TextBody"/>
        <w:spacing w:before="120" w:after="0"/>
        <w:rPr>
          <w:rFonts w:ascii="Times New Roman" w:hAnsi="Times New Roman"/>
          <w:sz w:val="20"/>
        </w:rPr>
      </w:pPr>
      <w:r>
        <w:rPr>
          <w:rFonts w:ascii="Times New Roman" w:hAnsi="Times New Roman"/>
          <w:sz w:val="20"/>
        </w:rPr>
        <w:t xml:space="preserve">If the Borrower sends a request for consent in accordance with the terms of this Agreement to the Facility Agent, then such a request is considered to be rejected if the Facility Agent has not sent a positive response to this request to the Borrower within 25 (twenty five) Business Days from the receipt of such a request.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26.</w:t>
            </w:r>
          </w:p>
        </w:tc>
        <w:tc>
          <w:tcPr>
            <w:tcW w:w="9695" w:type="dxa"/>
            <w:tcBorders/>
            <w:shd w:fill="auto" w:val="clear"/>
          </w:tcPr>
          <w:p>
            <w:pPr>
              <w:pStyle w:val="TableContents"/>
              <w:spacing w:before="0" w:after="283"/>
              <w:jc w:val="left"/>
              <w:rPr/>
            </w:pPr>
            <w:r>
              <w:rPr/>
              <w:t xml:space="preserve">PARTIAL INVALIDITY </w:t>
            </w:r>
          </w:p>
        </w:tc>
      </w:tr>
    </w:tbl>
    <w:p>
      <w:pPr>
        <w:pStyle w:val="TextBody"/>
        <w:spacing w:before="120" w:after="0"/>
        <w:rPr>
          <w:rFonts w:ascii="Times New Roman" w:hAnsi="Times New Roman"/>
          <w:sz w:val="20"/>
        </w:rPr>
      </w:pPr>
      <w:r>
        <w:rPr>
          <w:rFonts w:ascii="Times New Roman" w:hAnsi="Times New Roman"/>
          <w:sz w:val="20"/>
        </w:rPr>
        <w:t xml:space="preserve">If any provision of the given Agreement is or becomes illegal, invalid or unenforceable, this does not affect the legality, validity or enforceability of any other provision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27.</w:t>
            </w:r>
          </w:p>
        </w:tc>
        <w:tc>
          <w:tcPr>
            <w:tcW w:w="9696" w:type="dxa"/>
            <w:tcBorders/>
            <w:shd w:fill="auto" w:val="clear"/>
          </w:tcPr>
          <w:p>
            <w:pPr>
              <w:pStyle w:val="TableContents"/>
              <w:spacing w:before="0" w:after="283"/>
              <w:jc w:val="left"/>
              <w:rPr/>
            </w:pPr>
            <w:r>
              <w:rPr/>
              <w:t xml:space="preserve">AMENDMENTS TO THE AGREEMENT </w:t>
            </w:r>
          </w:p>
        </w:tc>
      </w:tr>
    </w:tbl>
    <w:p>
      <w:pPr>
        <w:pStyle w:val="TextBody"/>
        <w:spacing w:before="120" w:after="0"/>
        <w:rPr>
          <w:rFonts w:ascii="Times New Roman" w:hAnsi="Times New Roman"/>
          <w:sz w:val="20"/>
        </w:rPr>
      </w:pPr>
      <w:r>
        <w:rPr>
          <w:rFonts w:ascii="Times New Roman" w:hAnsi="Times New Roman"/>
          <w:sz w:val="20"/>
        </w:rPr>
        <w:t xml:space="preserve">Any provision of this Agreement may be amended via a written agreement signed by the Borrower and the Facility Agent acting in line with the Decision of the Lenders Majority, with the exception of the cases listed in paragraphs (b) and (c) of this Article. </w:t>
      </w:r>
    </w:p>
    <w:p>
      <w:pPr>
        <w:pStyle w:val="TextBody"/>
        <w:spacing w:before="240" w:after="0"/>
        <w:rPr>
          <w:rFonts w:ascii="Times New Roman" w:hAnsi="Times New Roman"/>
          <w:sz w:val="20"/>
        </w:rPr>
      </w:pPr>
      <w:r>
        <w:rPr>
          <w:rFonts w:ascii="Times New Roman" w:hAnsi="Times New Roman"/>
          <w:sz w:val="20"/>
        </w:rPr>
        <w:t xml:space="preserve">Taking into account the provisions of the paragraph (c) of this Article, the Terms and Conditions of the Agrement referring to: </w:t>
      </w:r>
    </w:p>
    <w:p>
      <w:pPr>
        <w:pStyle w:val="TextBody"/>
        <w:spacing w:before="240" w:after="0"/>
        <w:rPr>
          <w:rFonts w:ascii="Times New Roman" w:hAnsi="Times New Roman"/>
          <w:sz w:val="20"/>
        </w:rPr>
      </w:pPr>
      <w:r>
        <w:rPr>
          <w:rFonts w:ascii="Times New Roman" w:hAnsi="Times New Roman"/>
          <w:sz w:val="20"/>
        </w:rPr>
        <w:t xml:space="preserve">the definition of “the Majority of Lenders” in the Article 1 (Definitions); </w:t>
      </w:r>
    </w:p>
    <w:p>
      <w:pPr>
        <w:pStyle w:val="TextBody"/>
        <w:spacing w:before="240" w:after="0"/>
        <w:rPr>
          <w:rFonts w:ascii="Times New Roman" w:hAnsi="Times New Roman"/>
          <w:sz w:val="20"/>
        </w:rPr>
      </w:pPr>
      <w:r>
        <w:rPr>
          <w:rFonts w:ascii="Times New Roman" w:hAnsi="Times New Roman"/>
          <w:sz w:val="20"/>
        </w:rPr>
        <w:t xml:space="preserve">deferred payment of any amount under the Financial Documents; </w:t>
      </w:r>
    </w:p>
    <w:p>
      <w:pPr>
        <w:pStyle w:val="TextBody"/>
        <w:spacing w:before="240" w:after="0"/>
        <w:rPr>
          <w:rFonts w:ascii="Times New Roman" w:hAnsi="Times New Roman"/>
          <w:sz w:val="20"/>
        </w:rPr>
      </w:pPr>
      <w:r>
        <w:rPr>
          <w:rFonts w:ascii="Times New Roman" w:hAnsi="Times New Roman"/>
          <w:sz w:val="20"/>
        </w:rPr>
        <w:t xml:space="preserve">a margin reduction or the reduction of any other amount due from any of the Obligators; </w:t>
      </w:r>
    </w:p>
    <w:p>
      <w:pPr>
        <w:pStyle w:val="TextBody"/>
        <w:spacing w:before="240" w:after="0"/>
        <w:rPr>
          <w:rFonts w:ascii="Times New Roman" w:hAnsi="Times New Roman"/>
          <w:sz w:val="20"/>
        </w:rPr>
      </w:pPr>
      <w:r>
        <w:rPr>
          <w:rFonts w:ascii="Times New Roman" w:hAnsi="Times New Roman"/>
          <w:sz w:val="20"/>
        </w:rPr>
        <w:t xml:space="preserve">increasing the size of any Available Facility or a Cumulative Available Facility or extending the Drawdown Period or changing the Final Payment Date for the Tranche A and the Tranche B or the Final Redemption Date for the Tranche B and the Tranche G; </w:t>
      </w:r>
    </w:p>
    <w:p>
      <w:pPr>
        <w:pStyle w:val="TextBody"/>
        <w:spacing w:before="240" w:after="0"/>
        <w:rPr>
          <w:rFonts w:ascii="Times New Roman" w:hAnsi="Times New Roman"/>
          <w:sz w:val="20"/>
        </w:rPr>
      </w:pPr>
      <w:r>
        <w:rPr>
          <w:rFonts w:ascii="Times New Roman" w:hAnsi="Times New Roman"/>
          <w:sz w:val="20"/>
        </w:rPr>
        <w:t xml:space="preserve">any provision of the Agreement that directly requires the consent of all the Lenders; </w:t>
      </w:r>
    </w:p>
    <w:p>
      <w:pPr>
        <w:pStyle w:val="TextBody"/>
        <w:spacing w:before="240" w:after="0"/>
        <w:rPr>
          <w:rFonts w:ascii="Times New Roman" w:hAnsi="Times New Roman"/>
          <w:sz w:val="20"/>
        </w:rPr>
      </w:pPr>
      <w:r>
        <w:rPr>
          <w:rFonts w:ascii="Times New Roman" w:hAnsi="Times New Roman"/>
          <w:sz w:val="20"/>
        </w:rPr>
        <w:t xml:space="preserve">provisions of the Article 22 (Replacement of Parties) and this Article 27 (Amendments to the Agreement); </w:t>
      </w:r>
    </w:p>
    <w:p>
      <w:pPr>
        <w:pStyle w:val="TextBody"/>
        <w:spacing w:before="240" w:after="0"/>
        <w:rPr>
          <w:rFonts w:ascii="Times New Roman" w:hAnsi="Times New Roman"/>
          <w:sz w:val="20"/>
        </w:rPr>
      </w:pPr>
      <w:r>
        <w:rPr>
          <w:rFonts w:ascii="Times New Roman" w:hAnsi="Times New Roman"/>
          <w:sz w:val="20"/>
        </w:rPr>
        <w:t xml:space="preserve">provisions of the Article 21 (Cases of Nonfulfillment); or </w:t>
      </w:r>
    </w:p>
    <w:p>
      <w:pPr>
        <w:pStyle w:val="TextBody"/>
        <w:spacing w:before="240" w:after="0"/>
        <w:rPr>
          <w:rFonts w:ascii="Times New Roman" w:hAnsi="Times New Roman"/>
          <w:sz w:val="20"/>
        </w:rPr>
      </w:pPr>
      <w:r>
        <w:rPr>
          <w:rFonts w:ascii="Times New Roman" w:hAnsi="Times New Roman"/>
          <w:sz w:val="20"/>
        </w:rPr>
        <w:t xml:space="preserve">Changes of the Agreement Currency as defined in the Article 24.6 (Payment Currency), </w:t>
      </w:r>
    </w:p>
    <w:p>
      <w:pPr>
        <w:pStyle w:val="TextBody"/>
        <w:spacing w:before="240" w:after="0"/>
        <w:rPr>
          <w:rFonts w:ascii="Times New Roman" w:hAnsi="Times New Roman"/>
          <w:sz w:val="20"/>
        </w:rPr>
      </w:pPr>
      <w:r>
        <w:rPr>
          <w:rFonts w:ascii="Times New Roman" w:hAnsi="Times New Roman"/>
          <w:sz w:val="20"/>
        </w:rPr>
        <w:t xml:space="preserve">also any provisions of the Assurance Agreements may be amended via written agreements signed by the Borrower, the Adpromissor, the Pledger, and the Facility Agent, stipulated that the Facility Agent obtains the Decision of all the Lenders. </w:t>
      </w:r>
    </w:p>
    <w:p>
      <w:pPr>
        <w:pStyle w:val="TextBody"/>
        <w:spacing w:before="240" w:after="0"/>
        <w:rPr>
          <w:rFonts w:ascii="Times New Roman" w:hAnsi="Times New Roman"/>
          <w:sz w:val="20"/>
        </w:rPr>
      </w:pPr>
      <w:r>
        <w:rPr>
          <w:rFonts w:ascii="Times New Roman" w:hAnsi="Times New Roman"/>
          <w:sz w:val="20"/>
        </w:rPr>
        <w:t xml:space="preserve">The unilateral increase of the interest rate in accordance with the Article 9.2 (Revision of the Margin Size) by the Lenders occurs on the basis of the Decision of the Lenders Majority. </w:t>
      </w:r>
    </w:p>
    <w:p>
      <w:pPr>
        <w:pStyle w:val="TextBody"/>
        <w:spacing w:before="240" w:after="0"/>
        <w:rPr>
          <w:rFonts w:ascii="Times New Roman" w:hAnsi="Times New Roman"/>
          <w:sz w:val="20"/>
        </w:rPr>
      </w:pPr>
      <w:r>
        <w:rPr>
          <w:rFonts w:ascii="Times New Roman" w:hAnsi="Times New Roman"/>
          <w:sz w:val="20"/>
        </w:rPr>
        <w:t xml:space="preserve">A significant change in circumstances, described in the Article 451 of the Civil Code, can not serve as the basis for amending or terminating the given Agreement.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28.</w:t>
            </w:r>
          </w:p>
        </w:tc>
        <w:tc>
          <w:tcPr>
            <w:tcW w:w="9695" w:type="dxa"/>
            <w:tcBorders/>
            <w:shd w:fill="auto" w:val="clear"/>
          </w:tcPr>
          <w:p>
            <w:pPr>
              <w:pStyle w:val="TableContents"/>
              <w:spacing w:before="0" w:after="283"/>
              <w:jc w:val="left"/>
              <w:rPr/>
            </w:pPr>
            <w:r>
              <w:rPr/>
              <w:t xml:space="preserve">CONFIDENTIALITY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28.1</w:t>
            </w:r>
          </w:p>
        </w:tc>
        <w:tc>
          <w:tcPr>
            <w:tcW w:w="9695" w:type="dxa"/>
            <w:tcBorders/>
            <w:shd w:fill="auto" w:val="clear"/>
          </w:tcPr>
          <w:p>
            <w:pPr>
              <w:pStyle w:val="TableContents"/>
              <w:spacing w:before="0" w:after="283"/>
              <w:jc w:val="left"/>
              <w:rPr/>
            </w:pPr>
            <w:r>
              <w:rPr/>
              <w:t xml:space="preserve">Confidential information </w:t>
            </w:r>
          </w:p>
        </w:tc>
      </w:tr>
    </w:tbl>
    <w:p>
      <w:pPr>
        <w:pStyle w:val="TextBody"/>
        <w:spacing w:before="120" w:after="0"/>
        <w:rPr>
          <w:rFonts w:ascii="Times New Roman" w:hAnsi="Times New Roman"/>
          <w:sz w:val="20"/>
        </w:rPr>
      </w:pPr>
      <w:r>
        <w:rPr>
          <w:rFonts w:ascii="Times New Roman" w:hAnsi="Times New Roman"/>
          <w:sz w:val="20"/>
        </w:rPr>
        <w:t xml:space="preserve">Each Financing Party agrees to maintain the privacy policy with respect to any Confidential Information and not to disclose it to any third parties, except as stipulated by the Article 28.2 (Disclosure of the Confidential Information).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28.2</w:t>
            </w:r>
          </w:p>
        </w:tc>
        <w:tc>
          <w:tcPr>
            <w:tcW w:w="9695" w:type="dxa"/>
            <w:tcBorders/>
            <w:shd w:fill="auto" w:val="clear"/>
          </w:tcPr>
          <w:p>
            <w:pPr>
              <w:pStyle w:val="TableContents"/>
              <w:spacing w:before="0" w:after="283"/>
              <w:jc w:val="left"/>
              <w:rPr/>
            </w:pPr>
            <w:r>
              <w:rPr/>
              <w:t xml:space="preserve">Disclosure of the Confidential Information </w:t>
            </w:r>
          </w:p>
        </w:tc>
      </w:tr>
    </w:tbl>
    <w:p>
      <w:pPr>
        <w:pStyle w:val="TextBody"/>
        <w:spacing w:before="120" w:after="0"/>
        <w:rPr>
          <w:rFonts w:ascii="Times New Roman" w:hAnsi="Times New Roman"/>
          <w:sz w:val="20"/>
        </w:rPr>
      </w:pPr>
      <w:r>
        <w:rPr>
          <w:rFonts w:ascii="Times New Roman" w:hAnsi="Times New Roman"/>
          <w:sz w:val="20"/>
        </w:rPr>
        <w:t xml:space="preserve">The Confidential Information, which constitutes the bank secrecy in accordance with the legislation, is not subject to disclosure. The Finance Party is entitled to disclose the Confidential Information that does not represent the bank secrecy to: </w:t>
      </w:r>
    </w:p>
    <w:p>
      <w:pPr>
        <w:pStyle w:val="TextBody"/>
        <w:spacing w:before="240" w:after="0"/>
        <w:rPr>
          <w:rFonts w:ascii="Times New Roman" w:hAnsi="Times New Roman"/>
          <w:sz w:val="20"/>
        </w:rPr>
      </w:pPr>
      <w:r>
        <w:rPr>
          <w:rFonts w:ascii="Times New Roman" w:hAnsi="Times New Roman"/>
          <w:sz w:val="20"/>
        </w:rPr>
        <w:t xml:space="preserve">its Affiliated Entities, professional consultants and auditors if the person to whom such a Confidential Information is provided is informed in writing of its privacy character, and the need for such an information is not available if its recipient must maintain confidentiality with respect to such information by virtue of his professional duties; </w:t>
      </w:r>
    </w:p>
    <w:p>
      <w:pPr>
        <w:pStyle w:val="TextBody"/>
        <w:spacing w:before="240" w:after="0"/>
        <w:rPr>
          <w:rFonts w:ascii="Times New Roman" w:hAnsi="Times New Roman"/>
          <w:sz w:val="20"/>
        </w:rPr>
      </w:pPr>
      <w:r>
        <w:rPr>
          <w:rFonts w:ascii="Times New Roman" w:hAnsi="Times New Roman"/>
          <w:sz w:val="20"/>
        </w:rPr>
        <w:t xml:space="preserve">to any persons: </w:t>
      </w:r>
    </w:p>
    <w:p>
      <w:pPr>
        <w:pStyle w:val="TextBody"/>
        <w:spacing w:before="240" w:after="0"/>
        <w:rPr>
          <w:rFonts w:ascii="Times New Roman" w:hAnsi="Times New Roman"/>
          <w:sz w:val="20"/>
        </w:rPr>
      </w:pPr>
      <w:r>
        <w:rPr>
          <w:rFonts w:ascii="Times New Roman" w:hAnsi="Times New Roman"/>
          <w:sz w:val="20"/>
        </w:rPr>
        <w:t xml:space="preserve">to whom the Finance Party is handing over (or intends to hand over) any of its rights and / or obligations under the Finance Documents, or who may become New Facility Agents and, in each of the cases, also to the professional advisers of the said persons, provided that such persons (with the exception of professional consultants who duties are required to maintain confidentiality with respect to such information by virtue of their professional) commit themselves to maintaining confidentiality with respect to the Confidential Information on the terms and conditions stipulated by this Agreement; </w:t>
      </w:r>
    </w:p>
    <w:p>
      <w:pPr>
        <w:pStyle w:val="TextBody"/>
        <w:spacing w:before="240" w:after="0"/>
        <w:rPr>
          <w:rFonts w:ascii="Times New Roman" w:hAnsi="Times New Roman"/>
          <w:sz w:val="20"/>
        </w:rPr>
      </w:pPr>
      <w:r>
        <w:rPr>
          <w:rFonts w:ascii="Times New Roman" w:hAnsi="Times New Roman"/>
          <w:sz w:val="20"/>
        </w:rPr>
        <w:t xml:space="preserve">with who the Finance Party concludes a Loan Participant Agreement or any other treaty, or payments that can be made with a reference on any Financial Document and / or an Obligator and their professional consultants, provided that such persons (with the exception of professional consultants who by virtue of their professional duties must maintain confidentiality with respect to such information) commit themselves to maintaining confidentiality in respect of the Confidential Information within the terms under this Agreement; </w:t>
      </w:r>
    </w:p>
    <w:p>
      <w:pPr>
        <w:pStyle w:val="TextBody"/>
        <w:spacing w:before="240" w:after="0"/>
        <w:rPr>
          <w:rFonts w:ascii="Times New Roman" w:hAnsi="Times New Roman"/>
          <w:sz w:val="20"/>
        </w:rPr>
      </w:pPr>
      <w:r>
        <w:rPr>
          <w:rFonts w:ascii="Times New Roman" w:hAnsi="Times New Roman"/>
          <w:sz w:val="20"/>
        </w:rPr>
        <w:t xml:space="preserve">the ones specified in a procecutor’s request, in the request of the court, the investigative authorities, the administrative, banking or currency supervision authority (including the Central Bank of the Russian Federation), the tax authority or any other state body acting within its competence established by the Law; </w:t>
      </w:r>
    </w:p>
    <w:p>
      <w:pPr>
        <w:pStyle w:val="TextBody"/>
        <w:spacing w:before="240" w:after="0"/>
        <w:rPr>
          <w:rFonts w:ascii="Times New Roman" w:hAnsi="Times New Roman"/>
          <w:sz w:val="20"/>
        </w:rPr>
      </w:pPr>
      <w:r>
        <w:rPr>
          <w:rFonts w:ascii="Times New Roman" w:hAnsi="Times New Roman"/>
          <w:sz w:val="20"/>
        </w:rPr>
        <w:t xml:space="preserve">those who are a Party; or </w:t>
      </w:r>
    </w:p>
    <w:p>
      <w:pPr>
        <w:pStyle w:val="TextBody"/>
        <w:spacing w:before="240" w:after="0"/>
        <w:rPr>
          <w:rFonts w:ascii="Times New Roman" w:hAnsi="Times New Roman"/>
          <w:sz w:val="20"/>
        </w:rPr>
      </w:pPr>
      <w:r>
        <w:rPr>
          <w:rFonts w:ascii="Times New Roman" w:hAnsi="Times New Roman"/>
          <w:sz w:val="20"/>
        </w:rPr>
        <w:t xml:space="preserve">on the consent of the Borrower or a relevant Obligator; </w:t>
      </w:r>
    </w:p>
    <w:p>
      <w:pPr>
        <w:pStyle w:val="TextBody"/>
        <w:spacing w:before="240" w:after="0"/>
        <w:rPr>
          <w:rFonts w:ascii="Times New Roman" w:hAnsi="Times New Roman"/>
          <w:sz w:val="20"/>
        </w:rPr>
      </w:pPr>
      <w:r>
        <w:rPr>
          <w:rFonts w:ascii="Times New Roman" w:hAnsi="Times New Roman"/>
          <w:sz w:val="20"/>
        </w:rPr>
        <w:t xml:space="preserve">any rating agency (including its professional consultants) for assigning ratings to the Financial Documents and / or Obligators; and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to any credit reference bureau in accordance with the Law on the Credit Reference.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28.3</w:t>
            </w:r>
          </w:p>
        </w:tc>
        <w:tc>
          <w:tcPr>
            <w:tcW w:w="9694" w:type="dxa"/>
            <w:tcBorders/>
            <w:shd w:fill="auto" w:val="clear"/>
          </w:tcPr>
          <w:p>
            <w:pPr>
              <w:pStyle w:val="TableContents"/>
              <w:spacing w:before="0" w:after="283"/>
              <w:jc w:val="left"/>
              <w:rPr/>
            </w:pPr>
            <w:r>
              <w:rPr/>
              <w:t xml:space="preserve">Notification of Disclosure </w:t>
            </w:r>
          </w:p>
        </w:tc>
      </w:tr>
    </w:tbl>
    <w:p>
      <w:pPr>
        <w:pStyle w:val="TextBody"/>
        <w:spacing w:before="120" w:after="0"/>
        <w:rPr>
          <w:rFonts w:ascii="Times New Roman" w:hAnsi="Times New Roman"/>
          <w:sz w:val="20"/>
        </w:rPr>
      </w:pPr>
      <w:r>
        <w:rPr>
          <w:rFonts w:ascii="Times New Roman" w:hAnsi="Times New Roman"/>
          <w:sz w:val="20"/>
        </w:rPr>
        <w:t xml:space="preserve">Each of the Finance Parties agrees to inform the Borrower of the circumstances of the Confidential Information disclosure, which has been carried out pursuant to the subparagraph 28.2 (b) (iii) of the Article 28.2 (Disclosure of the Confidential Information), except the cases, </w:t>
      </w:r>
    </w:p>
    <w:p>
      <w:pPr>
        <w:pStyle w:val="TextBody"/>
        <w:spacing w:before="240" w:after="0"/>
        <w:rPr>
          <w:rFonts w:ascii="Times New Roman" w:hAnsi="Times New Roman"/>
          <w:sz w:val="20"/>
        </w:rPr>
      </w:pPr>
      <w:r>
        <w:rPr>
          <w:rFonts w:ascii="Times New Roman" w:hAnsi="Times New Roman"/>
          <w:sz w:val="20"/>
        </w:rPr>
        <w:t xml:space="preserve">when such information is disclosed to a public authority due to the implementation of his usual inspection or regulatory functions. </w:t>
      </w:r>
    </w:p>
    <w:p>
      <w:pPr>
        <w:pStyle w:val="TextBody"/>
        <w:spacing w:before="240" w:after="0"/>
        <w:rPr>
          <w:rFonts w:ascii="Times New Roman" w:hAnsi="Times New Roman"/>
          <w:sz w:val="20"/>
        </w:rPr>
      </w:pPr>
      <w:r>
        <w:rPr>
          <w:rFonts w:ascii="Times New Roman" w:hAnsi="Times New Roman"/>
          <w:sz w:val="20"/>
        </w:rPr>
        <w:t xml:space="preserve">The Lenders hereby inform the Borrower on the fact that the information about the Borrower and about this Agreement that is specified inthe Article 4 of the Credit Reference Law will be handed over to the appropriate credit reference bureau in accordance with the Credit Reference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28.4</w:t>
            </w:r>
          </w:p>
        </w:tc>
        <w:tc>
          <w:tcPr>
            <w:tcW w:w="9695" w:type="dxa"/>
            <w:tcBorders/>
            <w:shd w:fill="auto" w:val="clear"/>
          </w:tcPr>
          <w:p>
            <w:pPr>
              <w:pStyle w:val="TableContents"/>
              <w:spacing w:before="0" w:after="283"/>
              <w:jc w:val="left"/>
              <w:rPr/>
            </w:pPr>
            <w:r>
              <w:rPr/>
              <w:t xml:space="preserve">Obligators Liability </w:t>
            </w:r>
          </w:p>
        </w:tc>
      </w:tr>
    </w:tbl>
    <w:p>
      <w:pPr>
        <w:pStyle w:val="TextBody"/>
        <w:spacing w:before="120" w:after="0"/>
        <w:rPr>
          <w:rFonts w:ascii="Times New Roman" w:hAnsi="Times New Roman"/>
          <w:sz w:val="20"/>
        </w:rPr>
      </w:pPr>
      <w:r>
        <w:rPr>
          <w:rFonts w:ascii="Times New Roman" w:hAnsi="Times New Roman"/>
          <w:sz w:val="20"/>
        </w:rPr>
        <w:t xml:space="preserve">Each Obligator undertakes to maintain the privacy of all the terms and conditions of the Financial Documents, except for the disclosure of this information: </w:t>
      </w:r>
    </w:p>
    <w:p>
      <w:pPr>
        <w:pStyle w:val="TextBody"/>
        <w:spacing w:before="240" w:after="0"/>
        <w:rPr>
          <w:rFonts w:ascii="Times New Roman" w:hAnsi="Times New Roman"/>
          <w:sz w:val="20"/>
        </w:rPr>
      </w:pPr>
      <w:r>
        <w:rPr>
          <w:rFonts w:ascii="Times New Roman" w:hAnsi="Times New Roman"/>
          <w:sz w:val="20"/>
        </w:rPr>
        <w:t xml:space="preserve">to the bank through which payments are made under the Agreement; </w:t>
      </w:r>
    </w:p>
    <w:p>
      <w:pPr>
        <w:pStyle w:val="TextBody"/>
        <w:spacing w:before="240" w:after="0"/>
        <w:rPr>
          <w:rFonts w:ascii="Times New Roman" w:hAnsi="Times New Roman"/>
          <w:sz w:val="20"/>
        </w:rPr>
      </w:pPr>
      <w:r>
        <w:rPr>
          <w:rFonts w:ascii="Times New Roman" w:hAnsi="Times New Roman"/>
          <w:sz w:val="20"/>
        </w:rPr>
        <w:t xml:space="preserve">to its shareholders / participants; </w:t>
      </w:r>
    </w:p>
    <w:p>
      <w:pPr>
        <w:pStyle w:val="TextBody"/>
        <w:spacing w:before="240" w:after="0"/>
        <w:rPr>
          <w:rFonts w:ascii="Times New Roman" w:hAnsi="Times New Roman"/>
          <w:sz w:val="20"/>
        </w:rPr>
      </w:pPr>
      <w:r>
        <w:rPr>
          <w:rFonts w:ascii="Times New Roman" w:hAnsi="Times New Roman"/>
          <w:sz w:val="20"/>
        </w:rPr>
        <w:t xml:space="preserve">to its Affiliated Entities, professional consultants and auditors if the person, to whom such Confidential Information is provided, is informed in writing of its privacy character. At the same time, there is no need for such information if its recipient, by virtue of his professional duties, must maintain confidentiality with respect to such information; </w:t>
      </w:r>
    </w:p>
    <w:p>
      <w:pPr>
        <w:pStyle w:val="TextBody"/>
        <w:spacing w:before="240" w:after="0"/>
        <w:rPr>
          <w:rFonts w:ascii="Times New Roman" w:hAnsi="Times New Roman"/>
          <w:sz w:val="20"/>
        </w:rPr>
      </w:pPr>
      <w:r>
        <w:rPr>
          <w:rFonts w:ascii="Times New Roman" w:hAnsi="Times New Roman"/>
          <w:sz w:val="20"/>
        </w:rPr>
        <w:t xml:space="preserve">at the request of the prosecutor’s office, the court, the investigative authorities, the administrative, banking or currency supervision authority, the tax authority or any other state body acting within its competence as stipulated by the Law; or </w:t>
      </w:r>
    </w:p>
    <w:p>
      <w:pPr>
        <w:pStyle w:val="TextBody"/>
        <w:spacing w:before="240" w:after="0"/>
        <w:rPr>
          <w:rFonts w:ascii="Times New Roman" w:hAnsi="Times New Roman"/>
          <w:sz w:val="20"/>
        </w:rPr>
      </w:pPr>
      <w:r>
        <w:rPr>
          <w:rFonts w:ascii="Times New Roman" w:hAnsi="Times New Roman"/>
          <w:sz w:val="20"/>
        </w:rPr>
        <w:t xml:space="preserve">with the consent of the Facility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28.5</w:t>
            </w:r>
          </w:p>
        </w:tc>
        <w:tc>
          <w:tcPr>
            <w:tcW w:w="9695" w:type="dxa"/>
            <w:tcBorders/>
            <w:shd w:fill="auto" w:val="clear"/>
          </w:tcPr>
          <w:p>
            <w:pPr>
              <w:pStyle w:val="TableContents"/>
              <w:spacing w:before="0" w:after="283"/>
              <w:jc w:val="left"/>
              <w:rPr/>
            </w:pPr>
            <w:r>
              <w:rPr/>
              <w:t xml:space="preserve">Surviving obligations </w:t>
            </w:r>
          </w:p>
        </w:tc>
      </w:tr>
    </w:tbl>
    <w:p>
      <w:pPr>
        <w:pStyle w:val="TextBody"/>
        <w:spacing w:before="120" w:after="0"/>
        <w:rPr>
          <w:rFonts w:ascii="Times New Roman" w:hAnsi="Times New Roman"/>
          <w:sz w:val="20"/>
        </w:rPr>
      </w:pPr>
      <w:r>
        <w:rPr>
          <w:rFonts w:ascii="Times New Roman" w:hAnsi="Times New Roman"/>
          <w:sz w:val="20"/>
        </w:rPr>
        <w:t xml:space="preserve">The provisions set forth in the given Article 28 (Privacy Policy) remain in force and continue to be legally binding for each of the Finance Parties within 12 (twelve) months from the earliest of the following dates: </w:t>
      </w:r>
    </w:p>
    <w:p>
      <w:pPr>
        <w:pStyle w:val="TextBody"/>
        <w:spacing w:before="240" w:after="0"/>
        <w:rPr>
          <w:rFonts w:ascii="Times New Roman" w:hAnsi="Times New Roman"/>
          <w:sz w:val="20"/>
        </w:rPr>
      </w:pPr>
      <w:r>
        <w:rPr>
          <w:rFonts w:ascii="Times New Roman" w:hAnsi="Times New Roman"/>
          <w:sz w:val="20"/>
        </w:rPr>
        <w:t xml:space="preserve">the date on which all the amounts due by the Obligators will be fully paid in accordance with this Agreement; and </w:t>
      </w:r>
    </w:p>
    <w:p>
      <w:pPr>
        <w:pStyle w:val="TextBody"/>
        <w:spacing w:before="240" w:after="0"/>
        <w:rPr>
          <w:rFonts w:ascii="Times New Roman" w:hAnsi="Times New Roman"/>
          <w:sz w:val="20"/>
        </w:rPr>
      </w:pPr>
      <w:r>
        <w:rPr>
          <w:rFonts w:ascii="Times New Roman" w:hAnsi="Times New Roman"/>
          <w:sz w:val="20"/>
        </w:rPr>
        <w:t xml:space="preserve">the date on which such a Finance Party otherwise ceases to be the Finance Party.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29.</w:t>
            </w:r>
          </w:p>
        </w:tc>
        <w:tc>
          <w:tcPr>
            <w:tcW w:w="9696" w:type="dxa"/>
            <w:tcBorders/>
            <w:shd w:fill="auto" w:val="clear"/>
          </w:tcPr>
          <w:p>
            <w:pPr>
              <w:pStyle w:val="TableContents"/>
              <w:spacing w:before="0" w:after="283"/>
              <w:jc w:val="left"/>
              <w:rPr/>
            </w:pPr>
            <w:r>
              <w:rPr/>
              <w:t xml:space="preserve">GOVERNING LAW </w:t>
            </w:r>
          </w:p>
        </w:tc>
      </w:tr>
    </w:tbl>
    <w:p>
      <w:pPr>
        <w:pStyle w:val="TextBody"/>
        <w:spacing w:before="120" w:after="0"/>
        <w:rPr>
          <w:rFonts w:ascii="Times New Roman" w:hAnsi="Times New Roman"/>
          <w:sz w:val="20"/>
        </w:rPr>
      </w:pPr>
      <w:r>
        <w:rPr>
          <w:rFonts w:ascii="Times New Roman" w:hAnsi="Times New Roman"/>
          <w:sz w:val="20"/>
        </w:rPr>
        <w:t xml:space="preserve">The present agreement as well as the rights and obligations of the Parties arising on the basis of this agreement are regulated by the legislation of the Russian Federation and are subject to interpretation according to it.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30.</w:t>
            </w:r>
          </w:p>
        </w:tc>
        <w:tc>
          <w:tcPr>
            <w:tcW w:w="9695" w:type="dxa"/>
            <w:tcBorders/>
            <w:shd w:fill="auto" w:val="clear"/>
          </w:tcPr>
          <w:p>
            <w:pPr>
              <w:pStyle w:val="TableContents"/>
              <w:spacing w:before="0" w:after="283"/>
              <w:jc w:val="left"/>
              <w:rPr/>
            </w:pPr>
            <w:r>
              <w:rPr/>
              <w:t xml:space="preserve">DISPUTE RESOLUTION </w:t>
            </w:r>
          </w:p>
        </w:tc>
      </w:tr>
    </w:tbl>
    <w:p>
      <w:pPr>
        <w:pStyle w:val="TextBody"/>
        <w:spacing w:before="120" w:after="0"/>
        <w:rPr>
          <w:rFonts w:ascii="Times New Roman" w:hAnsi="Times New Roman"/>
          <w:sz w:val="20"/>
        </w:rPr>
      </w:pPr>
      <w:r>
        <w:rPr>
          <w:rFonts w:ascii="Times New Roman" w:hAnsi="Times New Roman"/>
          <w:sz w:val="20"/>
        </w:rPr>
        <w:t xml:space="preserve">a) Any argument according to this Agreement, including the interpretation of its provisions, its existence, validity or termination, is subject to the pre-trial regulation by sending of one of the Parties to another Party the relevant claim (requirement). In case of non-receipt by one of the Parties of the answer to the sending claim and non-settlement of the argument within 10 (ten) Working Days from the date of receipt of the relevant claim (requirement) of another Party, the consideration of such an argument may be judicially submitted for permission in accordance with the subparagraph (b) mentioned below. </w:t>
      </w:r>
    </w:p>
    <w:p>
      <w:pPr>
        <w:pStyle w:val="TextBody"/>
        <w:spacing w:before="240" w:after="0"/>
        <w:rPr>
          <w:rFonts w:ascii="Times New Roman" w:hAnsi="Times New Roman"/>
          <w:sz w:val="20"/>
        </w:rPr>
      </w:pPr>
      <w:r>
        <w:rPr>
          <w:rFonts w:ascii="Times New Roman" w:hAnsi="Times New Roman"/>
          <w:sz w:val="20"/>
        </w:rPr>
        <w:t xml:space="preserve">b) According to the provisions of the subparagraph (a) mentioned above, in case of any argument arise concerning the present Agreement including the interpretation of its provisions, its existence, validity or termination, such an argument is subject to consideration by the Arbitration Court of Moscow. Each Financing Party, which intends to present a claim to the Borrower in accordance with this Article N 30, is obliged to notify about such intention the other Financing Parties (by sending the relevant information to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w:t>
            </w:r>
          </w:p>
        </w:tc>
        <w:tc>
          <w:tcPr>
            <w:tcW w:w="9695" w:type="dxa"/>
            <w:tcBorders/>
            <w:shd w:fill="auto" w:val="clear"/>
          </w:tcPr>
          <w:p>
            <w:pPr>
              <w:pStyle w:val="TableContents"/>
              <w:spacing w:before="0" w:after="283"/>
              <w:jc w:val="left"/>
              <w:rPr/>
            </w:pPr>
            <w:r>
              <w:rPr/>
              <w:t xml:space="preserve">SIGNING </w:t>
            </w:r>
          </w:p>
        </w:tc>
      </w:tr>
    </w:tbl>
    <w:p>
      <w:pPr>
        <w:pStyle w:val="TextBody"/>
        <w:spacing w:before="120" w:after="0"/>
        <w:rPr>
          <w:rFonts w:ascii="Times New Roman" w:hAnsi="Times New Roman"/>
          <w:sz w:val="20"/>
        </w:rPr>
      </w:pPr>
      <w:r>
        <w:rPr>
          <w:rFonts w:ascii="Times New Roman" w:hAnsi="Times New Roman"/>
          <w:sz w:val="20"/>
        </w:rPr>
        <w:t xml:space="preserve">The Present Agreement is signed by the Parties in 3 (three) original copies, which have equal legal force in the form of the one document. </w:t>
      </w:r>
    </w:p>
    <w:p>
      <w:pPr>
        <w:pStyle w:val="TextBody"/>
        <w:spacing w:before="240" w:after="0"/>
        <w:rPr>
          <w:rFonts w:ascii="Times New Roman" w:hAnsi="Times New Roman"/>
          <w:sz w:val="20"/>
        </w:rPr>
      </w:pPr>
      <w:r>
        <w:rPr>
          <w:rFonts w:ascii="Times New Roman" w:hAnsi="Times New Roman"/>
          <w:sz w:val="20"/>
        </w:rPr>
        <w:t xml:space="preserve">The Present Agreement is concluded on the date indicated at the beginning of this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APPENDIX 1 </w:t>
      </w:r>
    </w:p>
    <w:p>
      <w:pPr>
        <w:pStyle w:val="TextBody"/>
        <w:spacing w:before="240" w:after="0"/>
        <w:jc w:val="center"/>
        <w:rPr>
          <w:rFonts w:ascii="Times New Roman" w:hAnsi="Times New Roman"/>
          <w:sz w:val="20"/>
        </w:rPr>
      </w:pPr>
      <w:r>
        <w:rPr>
          <w:rFonts w:ascii="Times New Roman" w:hAnsi="Times New Roman"/>
          <w:sz w:val="20"/>
        </w:rPr>
        <w:t xml:space="preserve">LIST OF INITIAL CREDITORS AND CREDIT LIMITS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666"/>
        <w:gridCol w:w="177"/>
        <w:gridCol w:w="1707"/>
        <w:gridCol w:w="177"/>
        <w:gridCol w:w="1707"/>
        <w:gridCol w:w="177"/>
        <w:gridCol w:w="1707"/>
        <w:gridCol w:w="177"/>
        <w:gridCol w:w="1710"/>
      </w:tblGrid>
      <w:tr>
        <w:trPr/>
        <w:tc>
          <w:tcPr>
            <w:tcW w:w="2666"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bottom"/>
          </w:tcPr>
          <w:p>
            <w:pPr>
              <w:pStyle w:val="TableContents"/>
              <w:spacing w:before="0" w:after="283"/>
              <w:rPr>
                <w:sz w:val="4"/>
                <w:szCs w:val="4"/>
              </w:rPr>
            </w:pPr>
            <w:r>
              <w:rPr>
                <w:sz w:val="4"/>
                <w:szCs w:val="4"/>
              </w:rPr>
            </w:r>
          </w:p>
        </w:tc>
        <w:tc>
          <w:tcPr>
            <w:tcW w:w="1707"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bottom"/>
          </w:tcPr>
          <w:p>
            <w:pPr>
              <w:pStyle w:val="TableContents"/>
              <w:spacing w:before="0" w:after="283"/>
              <w:rPr>
                <w:sz w:val="4"/>
                <w:szCs w:val="4"/>
              </w:rPr>
            </w:pPr>
            <w:r>
              <w:rPr>
                <w:sz w:val="4"/>
                <w:szCs w:val="4"/>
              </w:rPr>
            </w:r>
          </w:p>
        </w:tc>
        <w:tc>
          <w:tcPr>
            <w:tcW w:w="1707"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bottom"/>
          </w:tcPr>
          <w:p>
            <w:pPr>
              <w:pStyle w:val="TableContents"/>
              <w:spacing w:before="0" w:after="283"/>
              <w:rPr>
                <w:sz w:val="4"/>
                <w:szCs w:val="4"/>
              </w:rPr>
            </w:pPr>
            <w:r>
              <w:rPr>
                <w:sz w:val="4"/>
                <w:szCs w:val="4"/>
              </w:rPr>
            </w:r>
          </w:p>
        </w:tc>
        <w:tc>
          <w:tcPr>
            <w:tcW w:w="1707"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bottom"/>
          </w:tcPr>
          <w:p>
            <w:pPr>
              <w:pStyle w:val="TableContents"/>
              <w:spacing w:before="0" w:after="283"/>
              <w:rPr>
                <w:sz w:val="4"/>
                <w:szCs w:val="4"/>
              </w:rPr>
            </w:pPr>
            <w:r>
              <w:rPr>
                <w:sz w:val="4"/>
                <w:szCs w:val="4"/>
              </w:rPr>
            </w:r>
          </w:p>
        </w:tc>
        <w:tc>
          <w:tcPr>
            <w:tcW w:w="1710" w:type="dxa"/>
            <w:tcBorders/>
            <w:shd w:fill="auto" w:val="clear"/>
            <w:vAlign w:val="center"/>
          </w:tcPr>
          <w:p>
            <w:pPr>
              <w:pStyle w:val="TableContents"/>
              <w:spacing w:before="0" w:after="283"/>
              <w:rPr>
                <w:sz w:val="4"/>
                <w:szCs w:val="4"/>
              </w:rPr>
            </w:pPr>
            <w:r>
              <w:rPr>
                <w:sz w:val="4"/>
                <w:szCs w:val="4"/>
              </w:rPr>
            </w:r>
          </w:p>
        </w:tc>
      </w:tr>
      <w:tr>
        <w:trPr/>
        <w:tc>
          <w:tcPr>
            <w:tcW w:w="2666" w:type="dxa"/>
            <w:tcBorders/>
            <w:shd w:fill="auto" w:val="clear"/>
            <w:vAlign w:val="bottom"/>
          </w:tcPr>
          <w:p>
            <w:pPr>
              <w:pStyle w:val="TableContents"/>
              <w:spacing w:before="0" w:after="0"/>
              <w:rPr>
                <w:rFonts w:ascii="Times New Roman" w:hAnsi="Times New Roman"/>
                <w:sz w:val="16"/>
              </w:rPr>
            </w:pPr>
            <w:r>
              <w:rPr>
                <w:rFonts w:ascii="Times New Roman" w:hAnsi="Times New Roman"/>
                <w:sz w:val="16"/>
              </w:rPr>
              <w:t>The initial</w:t>
            </w:r>
          </w:p>
          <w:p>
            <w:pPr>
              <w:pStyle w:val="TableContents"/>
              <w:pBdr>
                <w:bottom w:val="single" w:sz="8" w:space="1" w:color="000000"/>
              </w:pBdr>
              <w:spacing w:before="0" w:after="20"/>
              <w:rPr>
                <w:rFonts w:ascii="Times New Roman" w:hAnsi="Times New Roman"/>
                <w:sz w:val="16"/>
              </w:rPr>
            </w:pPr>
            <w:r>
              <w:rPr>
                <w:rFonts w:ascii="Times New Roman" w:hAnsi="Times New Roman"/>
                <w:sz w:val="16"/>
              </w:rPr>
              <w:t>Creditors</w:t>
            </w:r>
          </w:p>
        </w:tc>
        <w:tc>
          <w:tcPr>
            <w:tcW w:w="177" w:type="dxa"/>
            <w:tcBorders/>
            <w:shd w:fill="auto" w:val="clear"/>
            <w:vAlign w:val="bottom"/>
          </w:tcPr>
          <w:p>
            <w:pPr>
              <w:pStyle w:val="TableContents"/>
              <w:spacing w:before="0" w:after="283"/>
              <w:rPr/>
            </w:pPr>
            <w:r>
              <w:rPr/>
              <w:t>  </w:t>
            </w:r>
          </w:p>
        </w:tc>
        <w:tc>
          <w:tcPr>
            <w:tcW w:w="1707"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Tranche A</w:t>
            </w:r>
          </w:p>
        </w:tc>
        <w:tc>
          <w:tcPr>
            <w:tcW w:w="177" w:type="dxa"/>
            <w:tcBorders/>
            <w:shd w:fill="auto" w:val="clear"/>
            <w:vAlign w:val="bottom"/>
          </w:tcPr>
          <w:p>
            <w:pPr>
              <w:pStyle w:val="TableContents"/>
              <w:spacing w:before="0" w:after="283"/>
              <w:rPr/>
            </w:pPr>
            <w:r>
              <w:rPr/>
              <w:t>  </w:t>
            </w:r>
          </w:p>
        </w:tc>
        <w:tc>
          <w:tcPr>
            <w:tcW w:w="1707"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Tranche B</w:t>
            </w:r>
          </w:p>
        </w:tc>
        <w:tc>
          <w:tcPr>
            <w:tcW w:w="177" w:type="dxa"/>
            <w:tcBorders/>
            <w:shd w:fill="auto" w:val="clear"/>
            <w:vAlign w:val="bottom"/>
          </w:tcPr>
          <w:p>
            <w:pPr>
              <w:pStyle w:val="TableContents"/>
              <w:spacing w:before="0" w:after="283"/>
              <w:rPr/>
            </w:pPr>
            <w:r>
              <w:rPr/>
              <w:t>  </w:t>
            </w:r>
          </w:p>
        </w:tc>
        <w:tc>
          <w:tcPr>
            <w:tcW w:w="1707"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Tranche C</w:t>
            </w:r>
          </w:p>
        </w:tc>
        <w:tc>
          <w:tcPr>
            <w:tcW w:w="177" w:type="dxa"/>
            <w:tcBorders/>
            <w:shd w:fill="auto" w:val="clear"/>
            <w:vAlign w:val="bottom"/>
          </w:tcPr>
          <w:p>
            <w:pPr>
              <w:pStyle w:val="TableContents"/>
              <w:spacing w:before="0" w:after="283"/>
              <w:rPr/>
            </w:pPr>
            <w:r>
              <w:rPr/>
              <w:t>  </w:t>
            </w:r>
          </w:p>
        </w:tc>
        <w:tc>
          <w:tcPr>
            <w:tcW w:w="171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Tranche D</w:t>
            </w:r>
          </w:p>
        </w:tc>
      </w:tr>
      <w:tr>
        <w:trPr/>
        <w:tc>
          <w:tcPr>
            <w:tcW w:w="266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BANK VTB (PJSC)</w:t>
            </w:r>
          </w:p>
        </w:tc>
        <w:tc>
          <w:tcPr>
            <w:tcW w:w="177" w:type="dxa"/>
            <w:tcBorders/>
            <w:shd w:fill="auto" w:val="clear"/>
            <w:vAlign w:val="bottom"/>
          </w:tcPr>
          <w:p>
            <w:pPr>
              <w:pStyle w:val="TableContents"/>
              <w:spacing w:before="0" w:after="283"/>
              <w:rPr/>
            </w:pPr>
            <w:r>
              <w:rPr/>
              <w:t>  </w:t>
            </w:r>
          </w:p>
        </w:tc>
        <w:tc>
          <w:tcPr>
            <w:tcW w:w="1707" w:type="dxa"/>
            <w:tcBorders/>
            <w:shd w:fill="auto" w:val="clear"/>
            <w:vAlign w:val="bottom"/>
          </w:tcPr>
          <w:p>
            <w:pPr>
              <w:pStyle w:val="TableContents"/>
              <w:spacing w:before="0" w:after="283"/>
              <w:jc w:val="center"/>
              <w:rPr/>
            </w:pPr>
            <w:r>
              <w:rPr/>
              <w:t>4 000 000 000,00</w:t>
              <w:br/>
              <w:t>roubles</w:t>
            </w:r>
          </w:p>
        </w:tc>
        <w:tc>
          <w:tcPr>
            <w:tcW w:w="177" w:type="dxa"/>
            <w:tcBorders/>
            <w:shd w:fill="auto" w:val="clear"/>
            <w:vAlign w:val="bottom"/>
          </w:tcPr>
          <w:p>
            <w:pPr>
              <w:pStyle w:val="TableContents"/>
              <w:spacing w:before="0" w:after="283"/>
              <w:rPr/>
            </w:pPr>
            <w:r>
              <w:rPr/>
              <w:t>  </w:t>
            </w:r>
          </w:p>
        </w:tc>
        <w:tc>
          <w:tcPr>
            <w:tcW w:w="1707" w:type="dxa"/>
            <w:tcBorders/>
            <w:shd w:fill="auto" w:val="clear"/>
            <w:vAlign w:val="bottom"/>
          </w:tcPr>
          <w:p>
            <w:pPr>
              <w:pStyle w:val="TableContents"/>
              <w:spacing w:before="0" w:after="283"/>
              <w:jc w:val="center"/>
              <w:rPr/>
            </w:pPr>
            <w:r>
              <w:rPr/>
              <w:t>1 000 000 000,00</w:t>
              <w:br/>
              <w:t>roubles</w:t>
            </w:r>
          </w:p>
        </w:tc>
        <w:tc>
          <w:tcPr>
            <w:tcW w:w="177" w:type="dxa"/>
            <w:tcBorders/>
            <w:shd w:fill="auto" w:val="clear"/>
            <w:vAlign w:val="bottom"/>
          </w:tcPr>
          <w:p>
            <w:pPr>
              <w:pStyle w:val="TableContents"/>
              <w:spacing w:before="0" w:after="283"/>
              <w:rPr/>
            </w:pPr>
            <w:r>
              <w:rPr/>
              <w:t>  </w:t>
            </w:r>
          </w:p>
        </w:tc>
        <w:tc>
          <w:tcPr>
            <w:tcW w:w="1707" w:type="dxa"/>
            <w:tcBorders/>
            <w:shd w:fill="auto" w:val="clear"/>
            <w:vAlign w:val="bottom"/>
          </w:tcPr>
          <w:p>
            <w:pPr>
              <w:pStyle w:val="TableContents"/>
              <w:spacing w:before="0" w:after="283"/>
              <w:jc w:val="center"/>
              <w:rPr/>
            </w:pPr>
            <w:r>
              <w:rPr/>
              <w:t>1 000 000 000,00</w:t>
              <w:br/>
              <w:t>roubles</w:t>
            </w:r>
          </w:p>
        </w:tc>
        <w:tc>
          <w:tcPr>
            <w:tcW w:w="177" w:type="dxa"/>
            <w:tcBorders/>
            <w:shd w:fill="auto" w:val="clear"/>
            <w:vAlign w:val="bottom"/>
          </w:tcPr>
          <w:p>
            <w:pPr>
              <w:pStyle w:val="TableContents"/>
              <w:spacing w:before="0" w:after="283"/>
              <w:rPr/>
            </w:pPr>
            <w:r>
              <w:rPr/>
              <w:t>  </w:t>
            </w:r>
          </w:p>
        </w:tc>
        <w:tc>
          <w:tcPr>
            <w:tcW w:w="1710" w:type="dxa"/>
            <w:tcBorders/>
            <w:shd w:fill="auto" w:val="clear"/>
            <w:vAlign w:val="bottom"/>
          </w:tcPr>
          <w:p>
            <w:pPr>
              <w:pStyle w:val="TableContents"/>
              <w:spacing w:before="0" w:after="283"/>
              <w:jc w:val="center"/>
              <w:rPr/>
            </w:pPr>
            <w:r>
              <w:rPr/>
              <w:t>1 000 000 000,00</w:t>
              <w:br/>
              <w:t>roubles</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APPENDIX 2 </w:t>
      </w:r>
    </w:p>
    <w:p>
      <w:pPr>
        <w:pStyle w:val="TextBody"/>
        <w:spacing w:before="240" w:after="0"/>
        <w:jc w:val="center"/>
        <w:rPr>
          <w:rFonts w:ascii="Times New Roman" w:hAnsi="Times New Roman"/>
          <w:sz w:val="20"/>
        </w:rPr>
      </w:pPr>
      <w:r>
        <w:rPr>
          <w:rFonts w:ascii="Times New Roman" w:hAnsi="Times New Roman"/>
          <w:sz w:val="20"/>
        </w:rPr>
        <w:t xml:space="preserve">REQUIREMENTS TO THE BORROWER TO OBTAIN CREDIT </w:t>
      </w:r>
    </w:p>
    <w:p>
      <w:pPr>
        <w:pStyle w:val="TextBody"/>
        <w:spacing w:before="240" w:after="0"/>
        <w:jc w:val="center"/>
        <w:rPr>
          <w:rFonts w:ascii="Times New Roman" w:hAnsi="Times New Roman"/>
          <w:sz w:val="20"/>
        </w:rPr>
      </w:pPr>
      <w:r>
        <w:rPr>
          <w:rFonts w:ascii="Times New Roman" w:hAnsi="Times New Roman"/>
          <w:sz w:val="20"/>
        </w:rPr>
        <w:t xml:space="preserve">PART 1 </w:t>
      </w:r>
    </w:p>
    <w:p>
      <w:pPr>
        <w:pStyle w:val="TextBody"/>
        <w:spacing w:before="240" w:after="0"/>
        <w:jc w:val="center"/>
        <w:rPr>
          <w:rFonts w:ascii="Times New Roman" w:hAnsi="Times New Roman"/>
          <w:sz w:val="20"/>
        </w:rPr>
      </w:pPr>
      <w:r>
        <w:rPr>
          <w:rFonts w:ascii="Times New Roman" w:hAnsi="Times New Roman"/>
          <w:sz w:val="20"/>
        </w:rPr>
        <w:t xml:space="preserve">THE DOCUMENTS PROVIDED BEFORE THE SENDING OF THE APPLICATION TO THE SELECTION ACCORDING TO THE TRANCHE A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w:t>
            </w:r>
          </w:p>
        </w:tc>
        <w:tc>
          <w:tcPr>
            <w:tcW w:w="9696" w:type="dxa"/>
            <w:tcBorders/>
            <w:shd w:fill="auto" w:val="clear"/>
          </w:tcPr>
          <w:p>
            <w:pPr>
              <w:pStyle w:val="TableContents"/>
              <w:spacing w:before="0" w:after="283"/>
              <w:jc w:val="left"/>
              <w:rPr/>
            </w:pPr>
            <w:r>
              <w:rPr/>
              <w:t xml:space="preserve">The Financial Documents </w:t>
            </w:r>
          </w:p>
        </w:tc>
      </w:tr>
    </w:tbl>
    <w:p>
      <w:pPr>
        <w:pStyle w:val="TextBody"/>
        <w:spacing w:before="120" w:after="0"/>
        <w:rPr>
          <w:rFonts w:ascii="Times New Roman" w:hAnsi="Times New Roman"/>
          <w:sz w:val="20"/>
        </w:rPr>
      </w:pPr>
      <w:r>
        <w:rPr>
          <w:rFonts w:ascii="Times New Roman" w:hAnsi="Times New Roman"/>
          <w:sz w:val="20"/>
        </w:rPr>
        <w:t xml:space="preserve">Each Financial Document which is appropriately confined by its every Party.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w:t>
            </w:r>
          </w:p>
        </w:tc>
        <w:tc>
          <w:tcPr>
            <w:tcW w:w="9695" w:type="dxa"/>
            <w:tcBorders/>
            <w:shd w:fill="auto" w:val="clear"/>
          </w:tcPr>
          <w:p>
            <w:pPr>
              <w:pStyle w:val="TableContents"/>
              <w:spacing w:before="0" w:after="283"/>
              <w:jc w:val="left"/>
              <w:rPr/>
            </w:pPr>
            <w:r>
              <w:rPr/>
              <w:t xml:space="preserve">The necessary corporate documents according to every Debtor (established in accordance with the legislation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2.1</w:t>
            </w:r>
          </w:p>
        </w:tc>
        <w:tc>
          <w:tcPr>
            <w:tcW w:w="9696" w:type="dxa"/>
            <w:tcBorders/>
            <w:shd w:fill="auto" w:val="clear"/>
          </w:tcPr>
          <w:p>
            <w:pPr>
              <w:pStyle w:val="TableContents"/>
              <w:spacing w:before="0" w:after="283"/>
              <w:jc w:val="left"/>
              <w:rPr/>
            </w:pPr>
            <w:r>
              <w:rPr/>
              <w:t xml:space="preserve">A notary certified copy of the registered in due force constituent documents of each Debtor and all the changes and annexes to them, the registration certificates of each Debtor and in appropriate cases the registration certificates of the constituent documents and all the changes, and annexes to them.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w:t>
            </w:r>
          </w:p>
        </w:tc>
        <w:tc>
          <w:tcPr>
            <w:tcW w:w="9695" w:type="dxa"/>
            <w:tcBorders/>
            <w:shd w:fill="auto" w:val="clear"/>
          </w:tcPr>
          <w:p>
            <w:pPr>
              <w:pStyle w:val="TableContents"/>
              <w:spacing w:before="0" w:after="283"/>
              <w:jc w:val="left"/>
              <w:rPr/>
            </w:pPr>
            <w:r>
              <w:rPr/>
              <w:t xml:space="preserve">A settlement original from the Unified State Register of Legal Entities issued by the entitled tax authority which contains the information as of no earlier than 7 (seven) days before the date of the Present Agreement for each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2.3</w:t>
            </w:r>
          </w:p>
        </w:tc>
        <w:tc>
          <w:tcPr>
            <w:tcW w:w="9694" w:type="dxa"/>
            <w:tcBorders/>
            <w:shd w:fill="auto" w:val="clear"/>
          </w:tcPr>
          <w:p>
            <w:pPr>
              <w:pStyle w:val="TableContents"/>
              <w:spacing w:before="0" w:after="283"/>
              <w:jc w:val="left"/>
              <w:rPr/>
            </w:pPr>
            <w:r>
              <w:rPr/>
              <w:t xml:space="preserve">A notary certified copy of the certificate about setting up of each Debtor which is a Russian legal entity to tax accounting in the Russian tax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w:t>
            </w:r>
          </w:p>
        </w:tc>
        <w:tc>
          <w:tcPr>
            <w:tcW w:w="9695" w:type="dxa"/>
            <w:tcBorders/>
            <w:shd w:fill="auto" w:val="clear"/>
          </w:tcPr>
          <w:p>
            <w:pPr>
              <w:pStyle w:val="TableContents"/>
              <w:spacing w:before="0" w:after="283"/>
              <w:jc w:val="left"/>
              <w:rPr/>
            </w:pPr>
            <w:r>
              <w:rPr/>
              <w:t xml:space="preserve">A reference on the day coming up not earlier than 14 (fourteen) days before the date of the Present Agreement, issued by the Russian tax authority on which each Debtor is registered about the absence of unliquidated obligations to the state budget and other extra budgetary funds, or in the availability of such unliquidated obligations, the existence of a schedule for their repayment, agreed with the relevant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2.5</w:t>
            </w:r>
          </w:p>
        </w:tc>
        <w:tc>
          <w:tcPr>
            <w:tcW w:w="9696" w:type="dxa"/>
            <w:tcBorders/>
            <w:shd w:fill="auto" w:val="clear"/>
          </w:tcPr>
          <w:p>
            <w:pPr>
              <w:pStyle w:val="TableContents"/>
              <w:spacing w:before="0" w:after="283"/>
              <w:jc w:val="left"/>
              <w:rPr/>
            </w:pPr>
            <w:r>
              <w:rPr/>
              <w:t xml:space="preserve">A certified copy of the decision of the entitled management authority of the each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(i)</w:t>
            </w:r>
          </w:p>
        </w:tc>
        <w:tc>
          <w:tcPr>
            <w:tcW w:w="9695" w:type="dxa"/>
            <w:tcBorders/>
            <w:shd w:fill="auto" w:val="clear"/>
          </w:tcPr>
          <w:p>
            <w:pPr>
              <w:pStyle w:val="TableContents"/>
              <w:spacing w:before="0" w:after="283"/>
              <w:jc w:val="left"/>
              <w:rPr/>
            </w:pPr>
            <w:r>
              <w:rPr/>
              <w:t xml:space="preserve">about approval of the Financial Documents conditions whose Party is the corresponding Debtor and the deals they envisage, and also any deals connected to them, including (in appropriate cases) about approval of the deal as a major deal and (or) as a deal in the performance of which there is an interest (in the meaning attached to these terms by the legislation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(ii)</w:t>
            </w:r>
          </w:p>
        </w:tc>
        <w:tc>
          <w:tcPr>
            <w:tcW w:w="9697" w:type="dxa"/>
            <w:tcBorders/>
            <w:shd w:fill="auto" w:val="clear"/>
          </w:tcPr>
          <w:p>
            <w:pPr>
              <w:pStyle w:val="TableContents"/>
              <w:spacing w:before="0" w:after="283"/>
              <w:jc w:val="left"/>
              <w:rPr/>
            </w:pPr>
            <w:r>
              <w:rPr/>
              <w:t xml:space="preserve">about empowering of the relevant person or persons by the powers which are necessary for signing of the Financial Documents of which the relevant Debtor is a party, on behalf of the latter;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(iii)</w:t>
            </w:r>
          </w:p>
        </w:tc>
        <w:tc>
          <w:tcPr>
            <w:tcW w:w="9694" w:type="dxa"/>
            <w:tcBorders/>
            <w:shd w:fill="auto" w:val="clear"/>
          </w:tcPr>
          <w:p>
            <w:pPr>
              <w:pStyle w:val="TableContents"/>
              <w:spacing w:before="0" w:after="283"/>
              <w:jc w:val="left"/>
              <w:rPr/>
            </w:pPr>
            <w:r>
              <w:rPr/>
              <w:t xml:space="preserve">about empowering of the relevant person or persons by the powers which are necessary for signing of all the documents and notifications on behalf of the relevant Debtor (including in appropriate cases any Applications for Selection) which are to be signed by the relevant Debtor in accordance to or in connection with the Financial Documents to which he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2.6</w:t>
            </w:r>
          </w:p>
        </w:tc>
        <w:tc>
          <w:tcPr>
            <w:tcW w:w="9695" w:type="dxa"/>
            <w:tcBorders/>
            <w:shd w:fill="auto" w:val="clear"/>
          </w:tcPr>
          <w:p>
            <w:pPr>
              <w:pStyle w:val="TableContents"/>
              <w:spacing w:before="0" w:after="283"/>
              <w:jc w:val="left"/>
              <w:rPr/>
            </w:pPr>
            <w:r>
              <w:rPr/>
              <w:t xml:space="preserve">The certified copies of the documents about an appointment of the unified executive body or other entitled entities with the right to sign provided by the constituent documents of each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2.7</w:t>
            </w:r>
          </w:p>
        </w:tc>
        <w:tc>
          <w:tcPr>
            <w:tcW w:w="9695" w:type="dxa"/>
            <w:tcBorders/>
            <w:shd w:fill="auto" w:val="clear"/>
          </w:tcPr>
          <w:p>
            <w:pPr>
              <w:pStyle w:val="TableContents"/>
              <w:spacing w:before="0" w:after="283"/>
              <w:jc w:val="left"/>
              <w:rPr/>
            </w:pPr>
            <w:r>
              <w:rPr/>
              <w:t xml:space="preserve">The notary certified copies of all the powers of attorney on granting to the authorized persons of each Debtor the powers necessary for the signing of the Financial Documents to which the relevant Debtor is the Party or, in appropriate cases, for signing or sending any documents or notifications concerning any Financial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2.8</w:t>
            </w:r>
          </w:p>
        </w:tc>
        <w:tc>
          <w:tcPr>
            <w:tcW w:w="9695" w:type="dxa"/>
            <w:tcBorders/>
            <w:shd w:fill="auto" w:val="clear"/>
          </w:tcPr>
          <w:p>
            <w:pPr>
              <w:pStyle w:val="TableContents"/>
              <w:spacing w:before="0" w:after="283"/>
              <w:jc w:val="left"/>
              <w:rPr/>
            </w:pPr>
            <w:r>
              <w:rPr/>
              <w:t xml:space="preserve">The certified copies of the cards with samples of each person’s signatures entitled to sign on behalf of each Financial Documents Debtor, to which he is a Party, or for signing or sending any documents or notifications concerning any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2.9</w:t>
            </w:r>
          </w:p>
        </w:tc>
        <w:tc>
          <w:tcPr>
            <w:tcW w:w="9695" w:type="dxa"/>
            <w:tcBorders/>
            <w:shd w:fill="auto" w:val="clear"/>
          </w:tcPr>
          <w:p>
            <w:pPr>
              <w:pStyle w:val="TableContents"/>
              <w:spacing w:before="0" w:after="283"/>
              <w:jc w:val="left"/>
              <w:rPr/>
            </w:pPr>
            <w:r>
              <w:rPr/>
              <w:t xml:space="preserve">The notary certified copies of all the licenses, approvals, agreements, accounting and registration documents, issued by the creditor bodies, state or other bodies necessary for each Debtor in connection with the conclusion, execution, legal force provision, compulsory execution of Financial Documents to which the relevant Debtor is a Party, as well as the deals envisaged by them.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2.10</w:t>
            </w:r>
          </w:p>
        </w:tc>
        <w:tc>
          <w:tcPr>
            <w:tcW w:w="9695" w:type="dxa"/>
            <w:tcBorders/>
            <w:shd w:fill="auto" w:val="clear"/>
          </w:tcPr>
          <w:p>
            <w:pPr>
              <w:pStyle w:val="TableContents"/>
              <w:spacing w:before="0" w:after="283"/>
              <w:jc w:val="left"/>
              <w:rPr/>
            </w:pPr>
            <w:r>
              <w:rPr/>
              <w:t xml:space="preserve">The document signed by an authorized representative of each Debtor confirming among other things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w:t>
            </w:r>
          </w:p>
        </w:tc>
        <w:tc>
          <w:tcPr>
            <w:tcW w:w="9185" w:type="dxa"/>
            <w:tcBorders/>
            <w:shd w:fill="auto" w:val="clear"/>
          </w:tcPr>
          <w:p>
            <w:pPr>
              <w:pStyle w:val="TableContents"/>
              <w:spacing w:before="0" w:after="283"/>
              <w:jc w:val="left"/>
              <w:rPr/>
            </w:pPr>
            <w:r>
              <w:rPr/>
              <w:t xml:space="preserve">each document (original or copy), provided by every Debtor or on its behalf in accordance with the present Appendix 2 is genuine, contains full and up-to-date information has full legal force, has not been changed, canceled, withdrawn or terminated and that, as of the date no earlier than the date of the Present Agreement, no new documents have been issued in connection with the questions raised in the relevant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all corporate approvals required in accordance with applicable law with respect to the Finance Documents and deals envisaged by them, including approval of such deals as major deals or deals in the performance of which there is interest received by the relevant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(iii)</w:t>
            </w:r>
          </w:p>
        </w:tc>
        <w:tc>
          <w:tcPr>
            <w:tcW w:w="9186" w:type="dxa"/>
            <w:tcBorders/>
            <w:shd w:fill="auto" w:val="clear"/>
          </w:tcPr>
          <w:p>
            <w:pPr>
              <w:pStyle w:val="TableContents"/>
              <w:spacing w:before="0" w:after="283"/>
              <w:jc w:val="left"/>
              <w:rPr/>
            </w:pPr>
            <w:r>
              <w:rPr/>
              <w:t xml:space="preserve">total cost of the deals envisaged by the Financial Documents is more than 50 (fifty) percent of the book value assets of the respective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(iv)</w:t>
            </w:r>
          </w:p>
        </w:tc>
        <w:tc>
          <w:tcPr>
            <w:tcW w:w="9185" w:type="dxa"/>
            <w:tcBorders/>
            <w:shd w:fill="auto" w:val="clear"/>
          </w:tcPr>
          <w:p>
            <w:pPr>
              <w:pStyle w:val="TableContents"/>
              <w:spacing w:before="0" w:after="283"/>
              <w:jc w:val="left"/>
              <w:rPr/>
            </w:pPr>
            <w:r>
              <w:rPr/>
              <w:t xml:space="preserve">The Law on Regulated Purchases does not apply to the conclusion of Financial Documents by the relevant Debtor. (In this case, such confirmation should not apply to the application of the Law on Regulated Purchases to a Financing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3.</w:t>
            </w:r>
          </w:p>
        </w:tc>
        <w:tc>
          <w:tcPr>
            <w:tcW w:w="9697" w:type="dxa"/>
            <w:tcBorders/>
            <w:shd w:fill="auto" w:val="clear"/>
          </w:tcPr>
          <w:p>
            <w:pPr>
              <w:pStyle w:val="TableContents"/>
              <w:spacing w:before="0" w:after="283"/>
              <w:jc w:val="left"/>
              <w:rPr/>
            </w:pPr>
            <w:r>
              <w:rPr/>
              <w:t xml:space="preserve">The necessary corporate documents concerning the Highworld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3.1</w:t>
            </w:r>
          </w:p>
        </w:tc>
        <w:tc>
          <w:tcPr>
            <w:tcW w:w="9696" w:type="dxa"/>
            <w:tcBorders/>
            <w:shd w:fill="auto" w:val="clear"/>
          </w:tcPr>
          <w:p>
            <w:pPr>
              <w:pStyle w:val="TableContents"/>
              <w:spacing w:before="0" w:after="283"/>
              <w:jc w:val="left"/>
              <w:rPr/>
            </w:pPr>
            <w:r>
              <w:rPr/>
              <w:t xml:space="preserve">The notary certified copies of the constituent documents with the apostille (certificate of registration, foundation agreement, charter and the others), certified by the registered company agent (hereinafter referred to as the Registered Agent), confirming their fidelity to the original, completeness and relevance.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3.2</w:t>
            </w:r>
          </w:p>
        </w:tc>
        <w:tc>
          <w:tcPr>
            <w:tcW w:w="9694" w:type="dxa"/>
            <w:tcBorders/>
            <w:shd w:fill="auto" w:val="clear"/>
          </w:tcPr>
          <w:p>
            <w:pPr>
              <w:pStyle w:val="TableContents"/>
              <w:spacing w:before="0" w:after="283"/>
              <w:jc w:val="left"/>
              <w:rPr/>
            </w:pPr>
            <w:r>
              <w:rPr/>
              <w:t xml:space="preserve">An original of the certificate of compliance with the established mandatory requirements (certificate of good standing), dated not earlier than seven days before the date of conclusion of the Present Agreement, issued by the Registrar of the British Virgin Islands, confirming the performance of Highworld of the established mandatory requirements in the British Virgin Islands.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3.3</w:t>
            </w:r>
          </w:p>
        </w:tc>
        <w:tc>
          <w:tcPr>
            <w:tcW w:w="9696" w:type="dxa"/>
            <w:tcBorders/>
            <w:shd w:fill="auto" w:val="clear"/>
          </w:tcPr>
          <w:p>
            <w:pPr>
              <w:pStyle w:val="TableContents"/>
              <w:spacing w:before="0" w:after="283"/>
              <w:jc w:val="left"/>
              <w:rPr/>
            </w:pPr>
            <w:r>
              <w:rPr/>
              <w:t>An original certificate of authority (</w:t>
            </w:r>
            <w:r>
              <w:rPr>
                <w:i/>
              </w:rPr>
              <w:t>certificate of incumbency</w:t>
            </w:r>
            <w:r>
              <w:rPr/>
              <w:t xml:space="preserve">), issued by the Registered Agent, dated not earlier than seven days before the date of conclusion of the Present Agreement confirming, in particular, along with other common information: (i) the names of persons of all participants of the company - owners of placed shares entered in the register; (ii) the names (names) of all persons on the directors’ register who are members of the company’s board of directors; (iii) the fact of payment of all fees, annual fees and penalties payable by Highworld to the Registrar of the British Virgin Islands.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3.4</w:t>
            </w:r>
          </w:p>
        </w:tc>
        <w:tc>
          <w:tcPr>
            <w:tcW w:w="9694" w:type="dxa"/>
            <w:tcBorders/>
            <w:shd w:fill="auto" w:val="clear"/>
          </w:tcPr>
          <w:p>
            <w:pPr>
              <w:pStyle w:val="TableContents"/>
              <w:spacing w:before="0" w:after="283"/>
              <w:jc w:val="left"/>
              <w:rPr/>
            </w:pPr>
            <w:r>
              <w:rPr/>
              <w:t xml:space="preserve">A copy of the register of participants certified by the Registered Agent, confirming its fidelity to the original, completeness and relevance, according to which the Highworld shares are not subject to Encumbrance, except for the Encumbrance permitted in accordance with the terms of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3.5</w:t>
            </w:r>
          </w:p>
        </w:tc>
        <w:tc>
          <w:tcPr>
            <w:tcW w:w="9694" w:type="dxa"/>
            <w:tcBorders/>
            <w:shd w:fill="auto" w:val="clear"/>
          </w:tcPr>
          <w:p>
            <w:pPr>
              <w:pStyle w:val="TableContents"/>
              <w:spacing w:before="0" w:after="283"/>
              <w:jc w:val="left"/>
              <w:rPr/>
            </w:pPr>
            <w:r>
              <w:rPr/>
              <w:t xml:space="preserve">A copy of the register of directors, certified by the Registered Agent, confirming its fidelity to the original, completeness and relevance.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3.6</w:t>
            </w:r>
          </w:p>
        </w:tc>
        <w:tc>
          <w:tcPr>
            <w:tcW w:w="9694" w:type="dxa"/>
            <w:tcBorders/>
            <w:shd w:fill="auto" w:val="clear"/>
          </w:tcPr>
          <w:p>
            <w:pPr>
              <w:pStyle w:val="TableContents"/>
              <w:spacing w:before="0" w:after="283"/>
              <w:jc w:val="left"/>
              <w:rPr/>
            </w:pPr>
            <w:r>
              <w:rPr/>
              <w:t xml:space="preserve">A copy of the register of pledges, if it is maintained, certified by the Registered Agent confirming its fidelity to the original, completeness and relevance, according to which the assets and other property of Highworld are not subject to Encumbrance, except for the Encumbrance permitted in accordance with the terms of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3.7</w:t>
            </w:r>
          </w:p>
        </w:tc>
        <w:tc>
          <w:tcPr>
            <w:tcW w:w="9695" w:type="dxa"/>
            <w:tcBorders/>
            <w:shd w:fill="auto" w:val="clear"/>
          </w:tcPr>
          <w:p>
            <w:pPr>
              <w:pStyle w:val="TableContents"/>
              <w:spacing w:before="0" w:after="283"/>
              <w:jc w:val="left"/>
              <w:rPr/>
            </w:pPr>
            <w:r>
              <w:rPr/>
              <w:t xml:space="preserve">A certified copy of the decision of the Board of Directors and shareholders or any other authorized body, as provided for in the constituent documents of Highworld: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8"/>
        <w:gridCol w:w="9189"/>
      </w:tblGrid>
      <w:tr>
        <w:trPr/>
        <w:tc>
          <w:tcPr>
            <w:tcW w:w="507"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w:t>
            </w:r>
          </w:p>
        </w:tc>
        <w:tc>
          <w:tcPr>
            <w:tcW w:w="9189" w:type="dxa"/>
            <w:tcBorders/>
            <w:shd w:fill="auto" w:val="clear"/>
          </w:tcPr>
          <w:p>
            <w:pPr>
              <w:pStyle w:val="TableContents"/>
              <w:spacing w:before="0" w:after="283"/>
              <w:jc w:val="left"/>
              <w:rPr/>
            </w:pPr>
            <w:r>
              <w:rPr/>
              <w:t xml:space="preserve">on approval of the terms of the Zemenik Trading Pledge Agreement and the deal it provides, and that the Highworld company has to sign the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on empowering the relevant person or persons with the powers necessary to sign the Zemenik Trading Pledge Agreement, on behalf of Highworld;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(iii)</w:t>
            </w:r>
          </w:p>
        </w:tc>
        <w:tc>
          <w:tcPr>
            <w:tcW w:w="9187" w:type="dxa"/>
            <w:tcBorders/>
            <w:shd w:fill="auto" w:val="clear"/>
          </w:tcPr>
          <w:p>
            <w:pPr>
              <w:pStyle w:val="TableContents"/>
              <w:spacing w:before="0" w:after="283"/>
              <w:jc w:val="left"/>
              <w:rPr/>
            </w:pPr>
            <w:r>
              <w:rPr/>
              <w:t xml:space="preserve">on empowering the relevant person or persons with the powers necessary to sign the all documents and notices, on behalf of Highworld, which have to be signed by Highworld in accordance with or in connection with the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3.8</w:t>
            </w:r>
          </w:p>
        </w:tc>
        <w:tc>
          <w:tcPr>
            <w:tcW w:w="9695" w:type="dxa"/>
            <w:tcBorders/>
            <w:shd w:fill="auto" w:val="clear"/>
          </w:tcPr>
          <w:p>
            <w:pPr>
              <w:pStyle w:val="TableContents"/>
              <w:spacing w:before="0" w:after="283"/>
              <w:jc w:val="left"/>
              <w:rPr/>
            </w:pPr>
            <w:r>
              <w:rPr/>
              <w:t xml:space="preserve">A notary certified and apostilled the power of attorney or granting Highworld authorized persons the authority necessary to sign the Zemenik Trading Pledge Agreement or, as appropriate, to sign or send any documents or notices in connection with the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3.9</w:t>
            </w:r>
          </w:p>
        </w:tc>
        <w:tc>
          <w:tcPr>
            <w:tcW w:w="9694" w:type="dxa"/>
            <w:tcBorders/>
            <w:shd w:fill="auto" w:val="clear"/>
          </w:tcPr>
          <w:p>
            <w:pPr>
              <w:pStyle w:val="TableContents"/>
              <w:spacing w:before="0" w:after="283"/>
              <w:jc w:val="left"/>
              <w:rPr/>
            </w:pPr>
            <w:r>
              <w:rPr/>
              <w:t xml:space="preserve">An original of the signature sample of each person to whom authority is granted according to the decision mentioned in subparagraph (ii) of paragraph 3.7 of this Appendix 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3.10</w:t>
            </w:r>
          </w:p>
        </w:tc>
        <w:tc>
          <w:tcPr>
            <w:tcW w:w="9695" w:type="dxa"/>
            <w:tcBorders/>
            <w:shd w:fill="auto" w:val="clear"/>
          </w:tcPr>
          <w:p>
            <w:pPr>
              <w:pStyle w:val="TableContents"/>
              <w:spacing w:before="0" w:after="283"/>
              <w:jc w:val="left"/>
              <w:rPr/>
            </w:pPr>
            <w:r>
              <w:rPr/>
              <w:t xml:space="preserve">The original document signed by the authorized representative of Highworld, confirming that each document (whether it is an original or a copy), provided by Highworld or on behalf of Highworld in accordance with this Appendix 2 is genuine, contains complete and relevant information, has full legal effect, has not been changed, canceled, withdrawn or terminated, and that, as of the date not earlier than the date of the Present Agreement, in connection with the questions, no new documents were issued in the relevant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4.</w:t>
            </w:r>
          </w:p>
        </w:tc>
        <w:tc>
          <w:tcPr>
            <w:tcW w:w="9696" w:type="dxa"/>
            <w:tcBorders/>
            <w:shd w:fill="auto" w:val="clear"/>
          </w:tcPr>
          <w:p>
            <w:pPr>
              <w:pStyle w:val="TableContents"/>
              <w:spacing w:before="0" w:after="283"/>
              <w:jc w:val="left"/>
              <w:rPr/>
            </w:pPr>
            <w:r>
              <w:rPr/>
              <w:t xml:space="preserve">Necessary corporate documents for each Debtor (established in accordance with the legislation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4.1</w:t>
            </w:r>
          </w:p>
        </w:tc>
        <w:tc>
          <w:tcPr>
            <w:tcW w:w="9695" w:type="dxa"/>
            <w:tcBorders/>
            <w:shd w:fill="auto" w:val="clear"/>
          </w:tcPr>
          <w:p>
            <w:pPr>
              <w:pStyle w:val="TableContents"/>
              <w:spacing w:before="0" w:after="283"/>
              <w:jc w:val="left"/>
              <w:rPr/>
            </w:pPr>
            <w:r>
              <w:rPr/>
              <w:t xml:space="preserve">An apostilled copy of the certificate of incorporation issued by the Company Registration Service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4.2</w:t>
            </w:r>
          </w:p>
        </w:tc>
        <w:tc>
          <w:tcPr>
            <w:tcW w:w="9695" w:type="dxa"/>
            <w:tcBorders/>
            <w:shd w:fill="auto" w:val="clear"/>
          </w:tcPr>
          <w:p>
            <w:pPr>
              <w:pStyle w:val="TableContents"/>
              <w:spacing w:before="0" w:after="283"/>
              <w:jc w:val="left"/>
              <w:rPr/>
            </w:pPr>
            <w:r>
              <w:rPr/>
              <w:t xml:space="preserve">An apostilled copy of the constituent agreement and the charter (including all the changes and Appendixs to them) in Greek (with the registration service stamp stamped on them) and in English.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4.3</w:t>
            </w:r>
          </w:p>
        </w:tc>
        <w:tc>
          <w:tcPr>
            <w:tcW w:w="9695" w:type="dxa"/>
            <w:tcBorders/>
            <w:shd w:fill="auto" w:val="clear"/>
          </w:tcPr>
          <w:p>
            <w:pPr>
              <w:pStyle w:val="TableContents"/>
              <w:spacing w:before="0" w:after="283"/>
              <w:jc w:val="left"/>
              <w:rPr/>
            </w:pPr>
            <w:r>
              <w:rPr/>
              <w:t xml:space="preserve">An apostilled original of the certificate of the address of the registered office issued by the Company Registration Service of Cyprus and dated not earlier than 10 (ten) days before the date of the present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4.4</w:t>
            </w:r>
          </w:p>
        </w:tc>
        <w:tc>
          <w:tcPr>
            <w:tcW w:w="9695" w:type="dxa"/>
            <w:tcBorders/>
            <w:shd w:fill="auto" w:val="clear"/>
          </w:tcPr>
          <w:p>
            <w:pPr>
              <w:pStyle w:val="TableContents"/>
              <w:spacing w:before="0" w:after="283"/>
              <w:jc w:val="left"/>
              <w:rPr/>
            </w:pPr>
            <w:r>
              <w:rPr/>
              <w:t xml:space="preserve">An apostilled original of a certificate of directors and a secretary issued by the Company Registration Service of Cyprus and dated not earlier than 10 (ten) days before the date of the present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4.5</w:t>
            </w:r>
          </w:p>
        </w:tc>
        <w:tc>
          <w:tcPr>
            <w:tcW w:w="9695" w:type="dxa"/>
            <w:tcBorders/>
            <w:shd w:fill="auto" w:val="clear"/>
          </w:tcPr>
          <w:p>
            <w:pPr>
              <w:pStyle w:val="TableContents"/>
              <w:spacing w:before="0" w:after="283"/>
              <w:jc w:val="left"/>
              <w:rPr/>
            </w:pPr>
            <w:r>
              <w:rPr/>
              <w:t xml:space="preserve">An apostilled original of the certificate of shareholders issued by the Company Registration Service of Cyprus and dated not earlier than 10 (ten) days before the date of the present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4.6</w:t>
            </w:r>
          </w:p>
        </w:tc>
        <w:tc>
          <w:tcPr>
            <w:tcW w:w="9696" w:type="dxa"/>
            <w:tcBorders/>
            <w:shd w:fill="auto" w:val="clear"/>
          </w:tcPr>
          <w:p>
            <w:pPr>
              <w:pStyle w:val="TableContents"/>
              <w:spacing w:before="0" w:after="283"/>
              <w:jc w:val="left"/>
              <w:rPr/>
            </w:pPr>
            <w:r>
              <w:rPr/>
              <w:t xml:space="preserve">A certified copy of the register of directors and secretaries dated not earlier than 1 (one) day before the date of the present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4.7</w:t>
            </w:r>
          </w:p>
        </w:tc>
        <w:tc>
          <w:tcPr>
            <w:tcW w:w="9695" w:type="dxa"/>
            <w:tcBorders/>
            <w:shd w:fill="auto" w:val="clear"/>
          </w:tcPr>
          <w:p>
            <w:pPr>
              <w:pStyle w:val="TableContents"/>
              <w:spacing w:before="0" w:after="283"/>
              <w:jc w:val="left"/>
              <w:rPr/>
            </w:pPr>
            <w:r>
              <w:rPr/>
              <w:t xml:space="preserve">A certified copy of the register of participants, dated not earlier than 1 (one) day before the date of the present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4.8</w:t>
            </w:r>
          </w:p>
        </w:tc>
        <w:tc>
          <w:tcPr>
            <w:tcW w:w="9696" w:type="dxa"/>
            <w:tcBorders/>
            <w:shd w:fill="auto" w:val="clear"/>
          </w:tcPr>
          <w:p>
            <w:pPr>
              <w:pStyle w:val="TableContents"/>
              <w:spacing w:before="0" w:after="283"/>
              <w:jc w:val="left"/>
              <w:rPr/>
            </w:pPr>
            <w:r>
              <w:rPr/>
              <w:t xml:space="preserve">A certified copy of the register of mortgage and other pledges, dated not earlier than 1 (one) day before the date of the present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4.9</w:t>
            </w:r>
          </w:p>
        </w:tc>
        <w:tc>
          <w:tcPr>
            <w:tcW w:w="9695" w:type="dxa"/>
            <w:tcBorders/>
            <w:shd w:fill="auto" w:val="clear"/>
          </w:tcPr>
          <w:p>
            <w:pPr>
              <w:pStyle w:val="TableContents"/>
              <w:spacing w:before="0" w:after="283"/>
              <w:jc w:val="left"/>
              <w:rPr/>
            </w:pPr>
            <w:r>
              <w:rPr/>
              <w:t xml:space="preserve">An original of the certificate of authority (incumbency certificate), which in form and in essence is acceptable to the Credit Agent, together with all documents provided in accordance with such a certificate of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4.10</w:t>
            </w:r>
          </w:p>
        </w:tc>
        <w:tc>
          <w:tcPr>
            <w:tcW w:w="9695" w:type="dxa"/>
            <w:tcBorders/>
            <w:shd w:fill="auto" w:val="clear"/>
          </w:tcPr>
          <w:p>
            <w:pPr>
              <w:pStyle w:val="TableContents"/>
              <w:spacing w:before="0" w:after="283"/>
              <w:jc w:val="left"/>
              <w:rPr/>
            </w:pPr>
            <w:r>
              <w:rPr/>
              <w:t xml:space="preserve">A certified copy of the decision of the Board of Directors and shareholders or any other authorized body, as provided for in the constituent documents of each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7"/>
        <w:gridCol w:w="9190"/>
      </w:tblGrid>
      <w:tr>
        <w:trPr/>
        <w:tc>
          <w:tcPr>
            <w:tcW w:w="507" w:type="dxa"/>
            <w:tcBorders/>
            <w:shd w:fill="auto" w:val="clear"/>
            <w:vAlign w:val="center"/>
          </w:tcPr>
          <w:p>
            <w:pPr>
              <w:pStyle w:val="TableContents"/>
              <w:spacing w:before="0" w:after="283"/>
              <w:rPr/>
            </w:pPr>
            <w:r>
              <w:rPr/>
              <w:t> </w:t>
            </w:r>
          </w:p>
        </w:tc>
        <w:tc>
          <w:tcPr>
            <w:tcW w:w="507" w:type="dxa"/>
            <w:tcBorders/>
            <w:shd w:fill="auto" w:val="clear"/>
          </w:tcPr>
          <w:p>
            <w:pPr>
              <w:pStyle w:val="TableContents"/>
              <w:spacing w:before="0" w:after="283"/>
              <w:jc w:val="left"/>
              <w:rPr/>
            </w:pPr>
            <w:r>
              <w:rPr/>
              <w:t>(i)</w:t>
            </w:r>
          </w:p>
        </w:tc>
        <w:tc>
          <w:tcPr>
            <w:tcW w:w="9190" w:type="dxa"/>
            <w:tcBorders/>
            <w:shd w:fill="auto" w:val="clear"/>
          </w:tcPr>
          <w:p>
            <w:pPr>
              <w:pStyle w:val="TableContents"/>
              <w:spacing w:before="0" w:after="283"/>
              <w:jc w:val="left"/>
              <w:rPr/>
            </w:pPr>
            <w:r>
              <w:rPr/>
              <w:t xml:space="preserve">on approval of the terms of the Financial Documents of which the relevant Debtor is a Party and the deals they stipulate, and that the relevant Debtor has to sign the Financial Documents to which the relevant Debtor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on empowering the relevant person or persons with the authority necessary to sign the Financial Documents to which the relevant Debtor is a Party, on behalf of the relevant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(iii)</w:t>
            </w:r>
          </w:p>
        </w:tc>
        <w:tc>
          <w:tcPr>
            <w:tcW w:w="9187" w:type="dxa"/>
            <w:tcBorders/>
            <w:shd w:fill="auto" w:val="clear"/>
          </w:tcPr>
          <w:p>
            <w:pPr>
              <w:pStyle w:val="TableContents"/>
              <w:spacing w:before="0" w:after="283"/>
              <w:jc w:val="left"/>
              <w:rPr/>
            </w:pPr>
            <w:r>
              <w:rPr/>
              <w:t xml:space="preserve">on empowering the relevant person or persons with the authority necessary to sign on behalf of the relevant Debtor all documents and notices which are to be signed by the relevant Debtor in accordance with or in connection with the Finance Documents to which the relevant Debtor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4.11</w:t>
            </w:r>
          </w:p>
        </w:tc>
        <w:tc>
          <w:tcPr>
            <w:tcW w:w="9694" w:type="dxa"/>
            <w:tcBorders/>
            <w:shd w:fill="auto" w:val="clear"/>
          </w:tcPr>
          <w:p>
            <w:pPr>
              <w:pStyle w:val="TableContents"/>
              <w:spacing w:before="0" w:after="283"/>
              <w:jc w:val="left"/>
              <w:rPr/>
            </w:pPr>
            <w:r>
              <w:rPr/>
              <w:t xml:space="preserve">A certified copy of the power of attorney with an apostille on providing to the authorized persons of the relevant Debtors the powers necessary for the signing of the Finance Documents to which the relevant Debtor is a Party or in appropriate cases for signing or sending any documents or notifications in connection with the Finance Documents to which the relevant Debtor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4.12</w:t>
            </w:r>
          </w:p>
        </w:tc>
        <w:tc>
          <w:tcPr>
            <w:tcW w:w="9695" w:type="dxa"/>
            <w:tcBorders/>
            <w:shd w:fill="auto" w:val="clear"/>
          </w:tcPr>
          <w:p>
            <w:pPr>
              <w:pStyle w:val="TableContents"/>
              <w:spacing w:before="0" w:after="283"/>
              <w:jc w:val="left"/>
              <w:rPr/>
            </w:pPr>
            <w:r>
              <w:rPr/>
              <w:t xml:space="preserve">The original of the signature sample of each person to whom the powers are granted based on the decision mentioned in the subparagraph (ii) of the paragraph 4.10 of this Appendix 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4.13</w:t>
            </w:r>
          </w:p>
        </w:tc>
        <w:tc>
          <w:tcPr>
            <w:tcW w:w="9695" w:type="dxa"/>
            <w:tcBorders/>
            <w:shd w:fill="auto" w:val="clear"/>
          </w:tcPr>
          <w:p>
            <w:pPr>
              <w:pStyle w:val="TableContents"/>
              <w:spacing w:before="0" w:after="283"/>
              <w:jc w:val="left"/>
              <w:rPr/>
            </w:pPr>
            <w:r>
              <w:rPr/>
              <w:t xml:space="preserve">An original document signed by an authorized representative the corresponding Debtor which submits that every document (whether it is original or copy) provided by the relevant Debtor or on behalf of the relevant Debtor under this Appendix 2 is genuine, contains complete and relevant information, has a legal force, has not been changed, canceled, withdrawn or terminated, and that, as of the date not earlier than the date of the present Agreement, no new documents were issued in connection with the questions raised in the relevant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5.</w:t>
            </w:r>
          </w:p>
        </w:tc>
        <w:tc>
          <w:tcPr>
            <w:tcW w:w="9696" w:type="dxa"/>
            <w:tcBorders/>
            <w:shd w:fill="auto" w:val="clear"/>
          </w:tcPr>
          <w:p>
            <w:pPr>
              <w:pStyle w:val="TableContents"/>
              <w:spacing w:before="0" w:after="283"/>
              <w:jc w:val="left"/>
              <w:rPr/>
            </w:pPr>
            <w:r>
              <w:rPr/>
              <w:t xml:space="preserve">Necessary Corporate Documents for ELQ Investors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5.1</w:t>
            </w:r>
          </w:p>
        </w:tc>
        <w:tc>
          <w:tcPr>
            <w:tcW w:w="9695" w:type="dxa"/>
            <w:tcBorders/>
            <w:shd w:fill="auto" w:val="clear"/>
          </w:tcPr>
          <w:p>
            <w:pPr>
              <w:pStyle w:val="TableContents"/>
              <w:spacing w:before="0" w:after="283"/>
              <w:jc w:val="left"/>
              <w:rPr/>
            </w:pPr>
            <w:r>
              <w:rPr/>
              <w:t xml:space="preserve">A copy of constituent documents for ELQ Investors.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5.2</w:t>
            </w:r>
          </w:p>
        </w:tc>
        <w:tc>
          <w:tcPr>
            <w:tcW w:w="9695" w:type="dxa"/>
            <w:tcBorders/>
            <w:shd w:fill="auto" w:val="clear"/>
          </w:tcPr>
          <w:p>
            <w:pPr>
              <w:pStyle w:val="TableContents"/>
              <w:spacing w:before="0" w:after="283"/>
              <w:jc w:val="left"/>
              <w:rPr/>
            </w:pPr>
            <w:r>
              <w:rPr/>
              <w:t xml:space="preserve">A copy of the decision of the ELQ Investors Board of Directors on all the following questions: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(i)</w:t>
            </w:r>
          </w:p>
        </w:tc>
        <w:tc>
          <w:tcPr>
            <w:tcW w:w="9695" w:type="dxa"/>
            <w:tcBorders/>
            <w:shd w:fill="auto" w:val="clear"/>
          </w:tcPr>
          <w:p>
            <w:pPr>
              <w:pStyle w:val="TableContents"/>
              <w:spacing w:before="0" w:after="283"/>
              <w:jc w:val="left"/>
              <w:rPr/>
            </w:pPr>
            <w:r>
              <w:rPr/>
              <w:t xml:space="preserve">on approval of the terms of the Zeminik Trading Pledge Agreement and the deal envisaged by it, and that ELQ Investors company has to sign the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(ii)</w:t>
            </w:r>
          </w:p>
        </w:tc>
        <w:tc>
          <w:tcPr>
            <w:tcW w:w="9697" w:type="dxa"/>
            <w:tcBorders/>
            <w:shd w:fill="auto" w:val="clear"/>
          </w:tcPr>
          <w:p>
            <w:pPr>
              <w:pStyle w:val="TableContents"/>
              <w:spacing w:before="0" w:after="283"/>
              <w:jc w:val="left"/>
              <w:rPr/>
            </w:pPr>
            <w:r>
              <w:rPr/>
              <w:t xml:space="preserve">on empowering the relevant person or persons with the authority necessary to sign the Zemenik Trading Pledge Agreement, on behalf of ELQ Investors;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(iii)</w:t>
            </w:r>
          </w:p>
        </w:tc>
        <w:tc>
          <w:tcPr>
            <w:tcW w:w="9695" w:type="dxa"/>
            <w:tcBorders/>
            <w:shd w:fill="auto" w:val="clear"/>
          </w:tcPr>
          <w:p>
            <w:pPr>
              <w:pStyle w:val="TableContents"/>
              <w:spacing w:before="0" w:after="283"/>
              <w:jc w:val="left"/>
              <w:rPr/>
            </w:pPr>
            <w:r>
              <w:rPr/>
              <w:t xml:space="preserve">on empowering the relevant person or persons with the authority necessary for signing on behalf of ELQ Investors all documents and notices which are to be signed by ELQ Investors in accordance with or in connection with the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5.3</w:t>
            </w:r>
          </w:p>
        </w:tc>
        <w:tc>
          <w:tcPr>
            <w:tcW w:w="9695" w:type="dxa"/>
            <w:tcBorders/>
            <w:shd w:fill="auto" w:val="clear"/>
          </w:tcPr>
          <w:p>
            <w:pPr>
              <w:pStyle w:val="TableContents"/>
              <w:spacing w:before="0" w:after="283"/>
              <w:jc w:val="left"/>
              <w:rPr/>
            </w:pPr>
            <w:r>
              <w:rPr/>
              <w:t xml:space="preserve">A copy of the decision signed by all the owners of the ELQ Investors placed shares about approval of the terms of the Zeminik Trading Pledge Agreement and the deal provided by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5.4</w:t>
            </w:r>
          </w:p>
        </w:tc>
        <w:tc>
          <w:tcPr>
            <w:tcW w:w="9695" w:type="dxa"/>
            <w:tcBorders/>
            <w:shd w:fill="auto" w:val="clear"/>
          </w:tcPr>
          <w:p>
            <w:pPr>
              <w:pStyle w:val="TableContents"/>
              <w:spacing w:before="0" w:after="283"/>
              <w:jc w:val="left"/>
              <w:rPr/>
            </w:pPr>
            <w:r>
              <w:rPr/>
              <w:t xml:space="preserve">The certificate of ELQ Investors, signed by the director of ELQ Investors, which: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w:t>
            </w:r>
          </w:p>
        </w:tc>
        <w:tc>
          <w:tcPr>
            <w:tcW w:w="9188" w:type="dxa"/>
            <w:tcBorders/>
            <w:shd w:fill="auto" w:val="clear"/>
          </w:tcPr>
          <w:p>
            <w:pPr>
              <w:pStyle w:val="TableContents"/>
              <w:spacing w:before="0" w:after="283"/>
              <w:jc w:val="left"/>
              <w:rPr/>
            </w:pPr>
            <w:r>
              <w:rPr/>
              <w:t xml:space="preserve">confirms that the provision of ensuring the fulfillment of obligations within the Total Credit Limit does not entail exceeding the limits and restrictions, including the security provided, which are binding to ELQ Investors;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w:t>
            </w:r>
          </w:p>
        </w:tc>
        <w:tc>
          <w:tcPr>
            <w:tcW w:w="9185" w:type="dxa"/>
            <w:tcBorders/>
            <w:shd w:fill="auto" w:val="clear"/>
          </w:tcPr>
          <w:p>
            <w:pPr>
              <w:pStyle w:val="TableContents"/>
              <w:spacing w:before="0" w:after="283"/>
              <w:jc w:val="left"/>
              <w:rPr/>
            </w:pPr>
            <w:r>
              <w:rPr/>
              <w:t xml:space="preserve">certifies as of the date not earlier than the date of the present Agreement the trueness, completeness and relevancy in full submitted by a copy of the documents under this paragraph 5 of this Appendix 2 relating to the mentioned company;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(iii)</w:t>
            </w:r>
          </w:p>
        </w:tc>
        <w:tc>
          <w:tcPr>
            <w:tcW w:w="9186" w:type="dxa"/>
            <w:tcBorders/>
            <w:shd w:fill="auto" w:val="clear"/>
          </w:tcPr>
          <w:p>
            <w:pPr>
              <w:pStyle w:val="TableContents"/>
              <w:spacing w:before="0" w:after="283"/>
              <w:jc w:val="left"/>
              <w:rPr/>
            </w:pPr>
            <w:r>
              <w:rPr/>
              <w:t xml:space="preserve">contains samples of signatures of all persons authorized with in accordance with the decision specified above in the paragraph 5.2 of the Appendix 2, and certifies their authenticity.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5.5</w:t>
            </w:r>
          </w:p>
        </w:tc>
        <w:tc>
          <w:tcPr>
            <w:tcW w:w="9694" w:type="dxa"/>
            <w:tcBorders/>
            <w:shd w:fill="auto" w:val="clear"/>
          </w:tcPr>
          <w:p>
            <w:pPr>
              <w:pStyle w:val="TableContents"/>
              <w:spacing w:before="0" w:after="283"/>
              <w:jc w:val="left"/>
              <w:rPr/>
            </w:pPr>
            <w:r>
              <w:rPr/>
              <w:t xml:space="preserve">If ELQ Investors acts through a representative, a notary certified and apostilled power of attorney on granting the authorized persons of ELQ Investors the authority necessary for signing Financial Documents to which ELQ Investors is a Party or in appropriate cases for signing or sending any documents or notifications in connection with the Finance Documents to which ELQ Investors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6.</w:t>
            </w:r>
          </w:p>
        </w:tc>
        <w:tc>
          <w:tcPr>
            <w:tcW w:w="9697" w:type="dxa"/>
            <w:tcBorders/>
            <w:shd w:fill="auto" w:val="clear"/>
          </w:tcPr>
          <w:p>
            <w:pPr>
              <w:pStyle w:val="TableContents"/>
              <w:spacing w:before="0" w:after="283"/>
              <w:jc w:val="left"/>
              <w:rPr/>
            </w:pPr>
            <w:r>
              <w:rPr/>
              <w:t xml:space="preserve">Documents relating to the final execution of Collateral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6.1</w:t>
            </w:r>
          </w:p>
        </w:tc>
        <w:tc>
          <w:tcPr>
            <w:tcW w:w="9694" w:type="dxa"/>
            <w:tcBorders/>
            <w:shd w:fill="auto" w:val="clear"/>
          </w:tcPr>
          <w:p>
            <w:pPr>
              <w:pStyle w:val="TableContents"/>
              <w:spacing w:before="0" w:after="283"/>
              <w:jc w:val="left"/>
              <w:rPr/>
            </w:pPr>
            <w:r>
              <w:rPr/>
              <w:t xml:space="preserve">Requirements for the final execution of the collateral in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w:t>
            </w:r>
          </w:p>
        </w:tc>
        <w:tc>
          <w:tcPr>
            <w:tcW w:w="9185" w:type="dxa"/>
            <w:tcBorders/>
            <w:shd w:fill="auto" w:val="clear"/>
          </w:tcPr>
          <w:p>
            <w:pPr>
              <w:pStyle w:val="TableContents"/>
              <w:spacing w:before="0" w:after="283"/>
              <w:jc w:val="left"/>
              <w:rPr/>
            </w:pPr>
            <w:r>
              <w:rPr/>
              <w:t xml:space="preserve">A certified copy of the decision of the sole Borrower and Headhunter about approval of the pledge provided for in the Borrower’s Pledge Agreement and The Hedhunter Pledge Agreement, respectively;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A certified copy of the pledge notice provided in accordance with the Borrower’s Pledge Agreement and the Headhunter Pledge Agreement respectively, and confirmation that the Borrower and Headhunter had not previously received any other notice of pledge of a share in the authorized capital of the Borrower and Headhunter, respectively;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(iii)</w:t>
            </w:r>
          </w:p>
        </w:tc>
        <w:tc>
          <w:tcPr>
            <w:tcW w:w="9185" w:type="dxa"/>
            <w:tcBorders/>
            <w:shd w:fill="auto" w:val="clear"/>
          </w:tcPr>
          <w:p>
            <w:pPr>
              <w:pStyle w:val="TableContents"/>
              <w:spacing w:before="0" w:after="283"/>
              <w:jc w:val="left"/>
              <w:rPr/>
            </w:pPr>
            <w:r>
              <w:rPr/>
              <w:t xml:space="preserve">The documentary evidence of a proper registration of a pledge of interest participation which is the subject of the Borrower’s Pledge Agreement and the Headhunter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6.2</w:t>
            </w:r>
          </w:p>
        </w:tc>
        <w:tc>
          <w:tcPr>
            <w:tcW w:w="9694" w:type="dxa"/>
            <w:tcBorders/>
            <w:shd w:fill="auto" w:val="clear"/>
          </w:tcPr>
          <w:p>
            <w:pPr>
              <w:pStyle w:val="TableContents"/>
              <w:spacing w:before="0" w:after="283"/>
              <w:jc w:val="left"/>
              <w:rPr/>
            </w:pPr>
            <w:r>
              <w:rPr/>
              <w:t xml:space="preserve">Requirements relating the final formalization of collateral in the British Virgin Islands: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8"/>
        <w:gridCol w:w="9189"/>
      </w:tblGrid>
      <w:tr>
        <w:trPr/>
        <w:tc>
          <w:tcPr>
            <w:tcW w:w="507"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w:t>
            </w:r>
          </w:p>
        </w:tc>
        <w:tc>
          <w:tcPr>
            <w:tcW w:w="9189" w:type="dxa"/>
            <w:tcBorders/>
            <w:shd w:fill="auto" w:val="clear"/>
          </w:tcPr>
          <w:p>
            <w:pPr>
              <w:pStyle w:val="TableContents"/>
              <w:spacing w:before="0" w:after="283"/>
              <w:jc w:val="left"/>
              <w:rPr/>
            </w:pPr>
            <w:r>
              <w:rPr/>
              <w:t xml:space="preserve">Highworld not later than 3 (three) working days after signing the Zemenik Trading Pledge Agreement shall: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(A)</w:t>
            </w:r>
          </w:p>
        </w:tc>
        <w:tc>
          <w:tcPr>
            <w:tcW w:w="8574" w:type="dxa"/>
            <w:tcBorders/>
            <w:shd w:fill="auto" w:val="clear"/>
          </w:tcPr>
          <w:p>
            <w:pPr>
              <w:pStyle w:val="TableContents"/>
              <w:spacing w:before="0" w:after="283"/>
              <w:jc w:val="left"/>
              <w:rPr/>
            </w:pPr>
            <w:r>
              <w:rPr/>
              <w:t xml:space="preserve">create and start maintaining the Register of Pledges, unless it was previously done in accordance with the Article 162 of the Companies of the British Virgin Islands Law;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(B)</w:t>
            </w:r>
          </w:p>
        </w:tc>
        <w:tc>
          <w:tcPr>
            <w:tcW w:w="8573" w:type="dxa"/>
            <w:tcBorders/>
            <w:shd w:fill="auto" w:val="clear"/>
          </w:tcPr>
          <w:p>
            <w:pPr>
              <w:pStyle w:val="TableContents"/>
              <w:spacing w:before="0" w:after="283"/>
              <w:jc w:val="left"/>
              <w:rPr/>
            </w:pPr>
            <w:r>
              <w:rPr/>
              <w:t xml:space="preserve">enter into the Pledge Registry information on the pledge, in accordance with the requirements of the Companies of the British Virgin Islands Law, arising in accordance with the Zemenik Trading Pledge Agreement, and after entering the information, immediately provide the Credit Agent with a certified, true copy of the Register of Pledges with the information entered in it;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(C)</w:t>
            </w:r>
          </w:p>
        </w:tc>
        <w:tc>
          <w:tcPr>
            <w:tcW w:w="8574" w:type="dxa"/>
            <w:tcBorders/>
            <w:shd w:fill="auto" w:val="clear"/>
          </w:tcPr>
          <w:p>
            <w:pPr>
              <w:pStyle w:val="TableContents"/>
              <w:spacing w:before="0" w:after="283"/>
              <w:jc w:val="left"/>
              <w:rPr/>
            </w:pPr>
            <w:r>
              <w:rPr/>
              <w:t xml:space="preserve">register the Zemenik Trading Pledge Agreement with the Registrar of Information on Corporate Affairs in accordance with the Article 163 of the British Virgin Islands Companies Act, for what to provide the Registrar of Information on Corporate Affairs the required documents in an agreed form, and to the Credit Agent - written confirmation of the documents provision.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Highworld immediately upon receipt shall provide the Credit Agent with a certificate of pledge registration issued by the Registrar of Information on Corporate Affairs, which confirms the fulfillment of the requirements of the part VIII of the British Virgin Islands Companies Act concerning the registration, as well as a copy of the application with the mark of the registration authority containing information about the pledge.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6.3</w:t>
            </w:r>
          </w:p>
        </w:tc>
        <w:tc>
          <w:tcPr>
            <w:tcW w:w="9694" w:type="dxa"/>
            <w:tcBorders/>
            <w:shd w:fill="auto" w:val="clear"/>
          </w:tcPr>
          <w:p>
            <w:pPr>
              <w:pStyle w:val="TableContents"/>
              <w:spacing w:before="0" w:after="283"/>
              <w:jc w:val="left"/>
              <w:rPr/>
            </w:pPr>
            <w:r>
              <w:rPr/>
              <w:t xml:space="preserve">Requirements relating to the final formalization of the collateral in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w:t>
            </w:r>
          </w:p>
        </w:tc>
        <w:tc>
          <w:tcPr>
            <w:tcW w:w="9186" w:type="dxa"/>
            <w:tcBorders/>
            <w:shd w:fill="auto" w:val="clear"/>
          </w:tcPr>
          <w:p>
            <w:pPr>
              <w:pStyle w:val="TableContents"/>
              <w:spacing w:before="0" w:after="283"/>
              <w:jc w:val="left"/>
              <w:rPr/>
            </w:pPr>
            <w:r>
              <w:rPr/>
              <w:t xml:space="preserve">Confirmation by a form that satisfies the Credit Agent, concerning the registration and the final formalization of the Encumbrances, established in accordance with the Borrower’s Pledge Agreement and Headhunter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(A)</w:t>
            </w:r>
          </w:p>
        </w:tc>
        <w:tc>
          <w:tcPr>
            <w:tcW w:w="8574" w:type="dxa"/>
            <w:tcBorders/>
            <w:shd w:fill="auto" w:val="clear"/>
          </w:tcPr>
          <w:p>
            <w:pPr>
              <w:pStyle w:val="TableContents"/>
              <w:spacing w:before="0" w:after="283"/>
              <w:jc w:val="left"/>
              <w:rPr/>
            </w:pPr>
            <w:r>
              <w:rPr/>
              <w:t xml:space="preserve">a certified copy of the Register of mortgages and other pledges of the NeadHunter FSU, confirming the recording of the Hedhunter Pledge Agreement in accordance with the clause 99 (1) of the Companies Act, Chapter 113;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(B)</w:t>
            </w:r>
          </w:p>
        </w:tc>
        <w:tc>
          <w:tcPr>
            <w:tcW w:w="8573" w:type="dxa"/>
            <w:tcBorders/>
            <w:shd w:fill="auto" w:val="clear"/>
          </w:tcPr>
          <w:p>
            <w:pPr>
              <w:pStyle w:val="TableContents"/>
              <w:spacing w:before="0" w:after="283"/>
              <w:jc w:val="left"/>
              <w:rPr/>
            </w:pPr>
            <w:r>
              <w:rPr/>
              <w:t xml:space="preserve">a certified copy of the Register of mortgage and other pledges Zemenik Trading, confirming the recording of the Borrower’s Pledge Agreement in accordance with the clause 99 (1) of the Companies Act, Chapter 113.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Relating to the Headhunter FSU Pledge Agreement and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(A)</w:t>
            </w:r>
          </w:p>
        </w:tc>
        <w:tc>
          <w:tcPr>
            <w:tcW w:w="8574" w:type="dxa"/>
            <w:tcBorders/>
            <w:shd w:fill="auto" w:val="clear"/>
          </w:tcPr>
          <w:p>
            <w:pPr>
              <w:pStyle w:val="TableContents"/>
              <w:spacing w:before="0" w:after="283"/>
              <w:jc w:val="left"/>
              <w:rPr/>
            </w:pPr>
            <w:r>
              <w:rPr/>
              <w:t xml:space="preserve">a blank signed transfer document with no date, complied in form, stipulated by the Headhunter FSU Pledge Agreement and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(B)</w:t>
            </w:r>
          </w:p>
        </w:tc>
        <w:tc>
          <w:tcPr>
            <w:tcW w:w="8574" w:type="dxa"/>
            <w:tcBorders/>
            <w:shd w:fill="auto" w:val="clear"/>
          </w:tcPr>
          <w:p>
            <w:pPr>
              <w:pStyle w:val="TableContents"/>
              <w:spacing w:before="0" w:after="283"/>
              <w:jc w:val="left"/>
              <w:rPr/>
            </w:pPr>
            <w:r>
              <w:rPr/>
              <w:t xml:space="preserve">all share certificates for initial shares (according to their determination in the Headhunter FSU Pledge Agreement and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(C)</w:t>
            </w:r>
          </w:p>
        </w:tc>
        <w:tc>
          <w:tcPr>
            <w:tcW w:w="8574" w:type="dxa"/>
            <w:tcBorders/>
            <w:shd w:fill="auto" w:val="clear"/>
          </w:tcPr>
          <w:p>
            <w:pPr>
              <w:pStyle w:val="TableContents"/>
              <w:spacing w:before="0" w:after="283"/>
              <w:jc w:val="left"/>
              <w:rPr/>
            </w:pPr>
            <w:r>
              <w:rPr/>
              <w:t xml:space="preserve">a signed, irrevocable power of attorney in the name of the pledgee in the form, stipulated by the Headhunter FSU Pledge Agreement and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(D)</w:t>
            </w:r>
          </w:p>
        </w:tc>
        <w:tc>
          <w:tcPr>
            <w:tcW w:w="8574" w:type="dxa"/>
            <w:tcBorders/>
            <w:shd w:fill="auto" w:val="clear"/>
          </w:tcPr>
          <w:p>
            <w:pPr>
              <w:pStyle w:val="TableContents"/>
              <w:spacing w:before="0" w:after="283"/>
              <w:jc w:val="left"/>
              <w:rPr/>
            </w:pPr>
            <w:r>
              <w:rPr/>
              <w:t xml:space="preserve">the signed applications of all the directors and officials of HeadHunter FSU and Zemenik Trading about early termination of powers (dismissal) of one’s own will with no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(E)</w:t>
            </w:r>
          </w:p>
        </w:tc>
        <w:tc>
          <w:tcPr>
            <w:tcW w:w="8574" w:type="dxa"/>
            <w:tcBorders/>
            <w:shd w:fill="auto" w:val="clear"/>
          </w:tcPr>
          <w:p>
            <w:pPr>
              <w:pStyle w:val="TableContents"/>
              <w:spacing w:before="0" w:after="283"/>
              <w:jc w:val="left"/>
              <w:rPr/>
            </w:pPr>
            <w:r>
              <w:rPr/>
              <w:t xml:space="preserve">the letters of commitment and authority, made up primarily in the form mentioned in the Headhunter FSU Pledge Agreement and Zemenik Trading Pledge Agreement, signed by all the directors and officials of HeadHunter FSU and Zemenik Trading;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(F)</w:t>
            </w:r>
          </w:p>
        </w:tc>
        <w:tc>
          <w:tcPr>
            <w:tcW w:w="8573" w:type="dxa"/>
            <w:tcBorders/>
            <w:shd w:fill="auto" w:val="clear"/>
          </w:tcPr>
          <w:p>
            <w:pPr>
              <w:pStyle w:val="TableContents"/>
              <w:spacing w:before="0" w:after="283"/>
              <w:jc w:val="left"/>
              <w:rPr/>
            </w:pPr>
            <w:r>
              <w:rPr/>
              <w:t xml:space="preserve">a certified copy of the decision taken in written form by the Board of Directors of the Borrower about approval of the pledge and transfer of the shares, complied mainly by the form mentioned in the Headhunter FSU Pledge Agreement and Zemenik Trading Pledge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(G)</w:t>
            </w:r>
          </w:p>
        </w:tc>
        <w:tc>
          <w:tcPr>
            <w:tcW w:w="8574" w:type="dxa"/>
            <w:tcBorders/>
            <w:shd w:fill="auto" w:val="clear"/>
          </w:tcPr>
          <w:p>
            <w:pPr>
              <w:pStyle w:val="TableContents"/>
              <w:spacing w:before="0" w:after="283"/>
              <w:jc w:val="left"/>
              <w:rPr/>
            </w:pPr>
            <w:r>
              <w:rPr/>
              <w:t xml:space="preserve">a notification about the pledge, complied mainly by the form mentioned in the Headhunter FSU Pledge Agreement and Zemenik Trading Pledge Agreement with a certified copy of the Headhunter FSU Pledge Agreement and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(H)</w:t>
            </w:r>
          </w:p>
        </w:tc>
        <w:tc>
          <w:tcPr>
            <w:tcW w:w="8574" w:type="dxa"/>
            <w:tcBorders/>
            <w:shd w:fill="auto" w:val="clear"/>
          </w:tcPr>
          <w:p>
            <w:pPr>
              <w:pStyle w:val="TableContents"/>
              <w:spacing w:before="0" w:after="283"/>
              <w:jc w:val="left"/>
              <w:rPr/>
            </w:pPr>
            <w:r>
              <w:rPr/>
              <w:t xml:space="preserve">a certificate, complied mainly by the form mentioned in the Headhunter FSU Pledge Agreement and Zemenik Trading Pledge Agreement, confirming a record of the pledge and a certified copy of the register of participants;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2"/>
        <w:gridCol w:w="8572"/>
      </w:tblGrid>
      <w:tr>
        <w:trPr/>
        <w:tc>
          <w:tcPr>
            <w:tcW w:w="1020"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2" w:type="dxa"/>
            <w:tcBorders/>
            <w:shd w:fill="auto" w:val="clear"/>
          </w:tcPr>
          <w:p>
            <w:pPr>
              <w:pStyle w:val="TableContents"/>
              <w:spacing w:before="0" w:after="283"/>
              <w:jc w:val="left"/>
              <w:rPr/>
            </w:pPr>
            <w:r>
              <w:rPr/>
              <w:t xml:space="preserve">a signed refusal from the preemptive right with the imposition of the date of the of ELQ Investors and Highworld, complied mainly by the form mentioned in the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(J)</w:t>
            </w:r>
          </w:p>
        </w:tc>
        <w:tc>
          <w:tcPr>
            <w:tcW w:w="8573" w:type="dxa"/>
            <w:tcBorders/>
            <w:shd w:fill="auto" w:val="clear"/>
          </w:tcPr>
          <w:p>
            <w:pPr>
              <w:pStyle w:val="TableContents"/>
              <w:spacing w:before="0" w:after="283"/>
              <w:jc w:val="left"/>
              <w:rPr/>
            </w:pPr>
            <w:r>
              <w:rPr/>
              <w:t xml:space="preserve">a certified copy of the decisions of the shareholders of HeadHunter FSU and Zemenik Trading, taken in written form by quiz with a certified copy of the decision translated in Greek with the Secretary signature, about changes in the company’s charter, including the cancellation of any restrictions on the transfer (alienation) of the relevant shares in favor of the Creditors;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(K)</w:t>
            </w:r>
          </w:p>
        </w:tc>
        <w:tc>
          <w:tcPr>
            <w:tcW w:w="8573" w:type="dxa"/>
            <w:tcBorders/>
            <w:shd w:fill="auto" w:val="clear"/>
          </w:tcPr>
          <w:p>
            <w:pPr>
              <w:pStyle w:val="TableContents"/>
              <w:spacing w:before="0" w:after="283"/>
              <w:jc w:val="left"/>
              <w:rPr/>
            </w:pPr>
            <w:r>
              <w:rPr/>
              <w:t xml:space="preserve">the signed confirmation of the secretary with no date issued by the HeadHunter FSU and Zemenik Trading concerning the submission by the Cyprus Registrar of Companies of information about changes in the consist of the officials and shareholders in case of foreclosure on the subject of pledge under the HeadHunter FSU Pledge Agreement and Zemenik Trading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7.</w:t>
            </w:r>
          </w:p>
        </w:tc>
        <w:tc>
          <w:tcPr>
            <w:tcW w:w="9697" w:type="dxa"/>
            <w:tcBorders/>
            <w:shd w:fill="auto" w:val="clear"/>
          </w:tcPr>
          <w:p>
            <w:pPr>
              <w:pStyle w:val="TableContents"/>
              <w:spacing w:before="0" w:after="283"/>
              <w:jc w:val="left"/>
              <w:rPr/>
            </w:pPr>
            <w:r>
              <w:rPr/>
              <w:t xml:space="preserve">Other documents and evidences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a certified copy of the Initial Financial Statements of each relevant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the evidence that all commissions and expenses due and payable by the Debtors under any Financial Documents were or will be paid by the first Date of the Sample;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the confirmation of the funds availability of the Debtors totally in the sum not less than 300 000 000 roubles for the implementation of the Allowed Payment, as mentioned in the paragraph (c) of the definition of Allowed Payments;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 xml:space="preserve">the provision of the Sales and Purchase Agreement 1 and confirmation of the payment of Zemenik Trading to the Seller 55 (fifty five) percent of the purchase price for 100 (one hundred) percent of shares in the authorized capital of HeadHunter FSU under the Sales and Purchase Agreement 1, and also all the necessary confirmations (including confirmations of the state authorities) which are necessary for the conclusion of the Sales and Purchase Agreement 1; the receipt by the Credit Agent of legal opinions and memorandums of the foreign legal advisers, confirming the validity of the Sales and Purchase Agreement 1, and the legal capacity, and powers of the Parties who signed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7" w:type="dxa"/>
            <w:tcBorders/>
            <w:shd w:fill="auto" w:val="clear"/>
          </w:tcPr>
          <w:p>
            <w:pPr>
              <w:pStyle w:val="TableContents"/>
              <w:spacing w:before="0" w:after="283"/>
              <w:jc w:val="left"/>
              <w:rPr/>
            </w:pPr>
            <w:r>
              <w:rPr/>
              <w:t xml:space="preserve">the documents provision which confirms the implementation of the contribution to the property of the Borrower by Zemenik Trading in the form of 50.1 (fifty one-tenth) percent of shares in the authorized capital of HeadHunter FSU in form and content satisfying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9187" w:type="dxa"/>
            <w:tcBorders/>
            <w:shd w:fill="auto" w:val="clear"/>
          </w:tcPr>
          <w:p>
            <w:pPr>
              <w:pStyle w:val="TableContents"/>
              <w:spacing w:before="0" w:after="283"/>
              <w:jc w:val="left"/>
              <w:rPr/>
            </w:pPr>
            <w:r>
              <w:rPr/>
              <w:t xml:space="preserve">the provision of the Sales and Purchase Agreement 2 and also all the necessary confirmations (including confirmations of the state authorities) which are necessary for the the Sales and Purchase Agreement 2 conclusion, the receipt by the Credit Agent of legal opinions and memorandums of foreign legal advisers, confirming the validity of the Sales and Purchase Agreement 2 and legal capacity, and powers of the Parties who signed it.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(g)</w:t>
            </w:r>
          </w:p>
        </w:tc>
        <w:tc>
          <w:tcPr>
            <w:tcW w:w="9186" w:type="dxa"/>
            <w:tcBorders/>
            <w:shd w:fill="auto" w:val="clear"/>
          </w:tcPr>
          <w:p>
            <w:pPr>
              <w:pStyle w:val="TableContents"/>
              <w:spacing w:before="0" w:after="283"/>
              <w:jc w:val="left"/>
              <w:rPr/>
            </w:pPr>
            <w:r>
              <w:rPr/>
              <w:t xml:space="preserve">the original payment order of the Borrower to the Credit Agent for the transfer of amounts, received under Tranche A, for partial payment under the Sales and Purchase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(h)</w:t>
            </w:r>
          </w:p>
        </w:tc>
        <w:tc>
          <w:tcPr>
            <w:tcW w:w="9186" w:type="dxa"/>
            <w:tcBorders/>
            <w:shd w:fill="auto" w:val="clear"/>
          </w:tcPr>
          <w:p>
            <w:pPr>
              <w:pStyle w:val="TableContents"/>
              <w:spacing w:before="0" w:after="283"/>
              <w:jc w:val="left"/>
              <w:rPr/>
            </w:pPr>
            <w:r>
              <w:rPr/>
              <w:t xml:space="preserve">the confirmation of payment by Zemenik Trading (including on its behalf and on behalf of Highworld and (or) ELQ Investors) to the Seller of 45 (forty five) percent of the purchase price per 100 (one hundred) of shares in the authorized capital of HeadHunter FSU under the Sales Purchase Agreement 1, if such a payment was made prior to the Date of the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7"/>
        <w:gridCol w:w="9190"/>
      </w:tblGrid>
      <w:tr>
        <w:trPr/>
        <w:tc>
          <w:tcPr>
            <w:tcW w:w="507" w:type="dxa"/>
            <w:tcBorders/>
            <w:shd w:fill="auto" w:val="clear"/>
            <w:vAlign w:val="center"/>
          </w:tcPr>
          <w:p>
            <w:pPr>
              <w:pStyle w:val="TableContents"/>
              <w:spacing w:before="0" w:after="283"/>
              <w:rPr/>
            </w:pPr>
            <w:r>
              <w:rPr/>
              <w:t> </w:t>
            </w:r>
          </w:p>
        </w:tc>
        <w:tc>
          <w:tcPr>
            <w:tcW w:w="507" w:type="dxa"/>
            <w:tcBorders/>
            <w:shd w:fill="auto" w:val="clear"/>
          </w:tcPr>
          <w:p>
            <w:pPr>
              <w:pStyle w:val="TableContents"/>
              <w:spacing w:before="0" w:after="283"/>
              <w:jc w:val="left"/>
              <w:rPr/>
            </w:pPr>
            <w:r>
              <w:rPr/>
              <w:t>(i)</w:t>
            </w:r>
          </w:p>
        </w:tc>
        <w:tc>
          <w:tcPr>
            <w:tcW w:w="9190" w:type="dxa"/>
            <w:tcBorders/>
            <w:shd w:fill="auto" w:val="clear"/>
          </w:tcPr>
          <w:p>
            <w:pPr>
              <w:pStyle w:val="TableContents"/>
              <w:spacing w:before="0" w:after="283"/>
              <w:jc w:val="left"/>
              <w:rPr/>
            </w:pPr>
            <w:r>
              <w:rPr/>
              <w:t xml:space="preserve">the confirmation, made on the basis of management accounts, that as of January 2016, the Revenue from Russian clients decreased by no more than 2.5 (two and a half) percent compared to January 2015.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(j)</w:t>
            </w:r>
          </w:p>
        </w:tc>
        <w:tc>
          <w:tcPr>
            <w:tcW w:w="9188" w:type="dxa"/>
            <w:tcBorders/>
            <w:shd w:fill="auto" w:val="clear"/>
          </w:tcPr>
          <w:p>
            <w:pPr>
              <w:pStyle w:val="TableContents"/>
              <w:spacing w:before="0" w:after="283"/>
              <w:jc w:val="left"/>
              <w:rPr/>
            </w:pPr>
            <w:r>
              <w:rPr/>
              <w:t xml:space="preserve">the confirmation, that the number of active accounts of Headhunter clients (ordering the services of Headhunter in the corresponding period) which carried out the first activation of a paid service on the Sites of Obligor until 2011 (inclusive) for January 2016 decreased by no more than 2.5 (two and a half) percent compared to the same period of January 2015.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(k)</w:t>
            </w:r>
          </w:p>
        </w:tc>
        <w:tc>
          <w:tcPr>
            <w:tcW w:w="9187" w:type="dxa"/>
            <w:tcBorders/>
            <w:shd w:fill="auto" w:val="clear"/>
          </w:tcPr>
          <w:p>
            <w:pPr>
              <w:pStyle w:val="TableContents"/>
              <w:spacing w:before="0" w:after="283"/>
              <w:jc w:val="left"/>
              <w:rPr/>
            </w:pPr>
            <w:r>
              <w:rPr/>
              <w:t xml:space="preserve">the evidence, required by the Credit Agent for conducting procedures for clients identification.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(l)</w:t>
            </w:r>
          </w:p>
        </w:tc>
        <w:tc>
          <w:tcPr>
            <w:tcW w:w="9187" w:type="dxa"/>
            <w:tcBorders/>
            <w:shd w:fill="auto" w:val="clear"/>
          </w:tcPr>
          <w:p>
            <w:pPr>
              <w:pStyle w:val="TableContents"/>
              <w:spacing w:before="0" w:after="283"/>
              <w:jc w:val="left"/>
              <w:rPr/>
            </w:pPr>
            <w:r>
              <w:rPr/>
              <w:t xml:space="preserve">the list of affiliates of each Debtor except ELQ Investors and Highworld.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(m)</w:t>
            </w:r>
          </w:p>
        </w:tc>
        <w:tc>
          <w:tcPr>
            <w:tcW w:w="9186" w:type="dxa"/>
            <w:tcBorders/>
            <w:shd w:fill="auto" w:val="clear"/>
          </w:tcPr>
          <w:p>
            <w:pPr>
              <w:pStyle w:val="TableContents"/>
              <w:spacing w:before="0" w:after="283"/>
              <w:jc w:val="left"/>
              <w:rPr/>
            </w:pPr>
            <w:r>
              <w:rPr/>
              <w:t xml:space="preserve">a copy of the document confirming the opening of the account from the Credit Agent by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(n)</w:t>
            </w:r>
          </w:p>
        </w:tc>
        <w:tc>
          <w:tcPr>
            <w:tcW w:w="9186" w:type="dxa"/>
            <w:tcBorders/>
            <w:shd w:fill="auto" w:val="clear"/>
          </w:tcPr>
          <w:p>
            <w:pPr>
              <w:pStyle w:val="TableContents"/>
              <w:spacing w:before="0" w:after="283"/>
              <w:jc w:val="left"/>
              <w:rPr/>
            </w:pPr>
            <w:r>
              <w:rPr/>
              <w:t xml:space="preserve">the confirmation in form and content acceptable to the Credit Agent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the amount of loan / loans granted to Zemenik Trading or the Borrower under loan agreements which are the Authorized Financial Liability (excluding the Highworld Dollar Loan), does not exceed the aggregate amount of Tranche B, the commission for the issue of a credit, stipulated by the Article 11.2 (Commission for the issue of a credit) and remuneration to the legal, tax and other consultants in connection with the Agreement, and was used solely for payment of the purchase price to the Seller for shares in the authorized capital of HeadHunter FSU under the relevant Sales and Purchase Agreement, as well as the payment of the commission for the issue of the Credit provided by the Article 11.2 (Commission for the credit issue) and remuneration to the legal, tax and other consultants in connection with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neither Headhunter nor HeadHunter FSU has outstanding debts on loans provided by third parties (except the loans to other Group members and loans listed in the Clause 11 (</w:t>
            </w:r>
            <w:r>
              <w:rPr>
                <w:i/>
              </w:rPr>
              <w:t>the List of Existing Loans</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3" w:type="dxa"/>
            <w:tcBorders/>
            <w:shd w:fill="auto" w:val="clear"/>
          </w:tcPr>
          <w:p>
            <w:pPr>
              <w:pStyle w:val="TableContents"/>
              <w:spacing w:before="0" w:after="283"/>
              <w:jc w:val="left"/>
              <w:rPr/>
            </w:pPr>
            <w:r>
              <w:rPr/>
              <w:t xml:space="preserve">the amount of a loan / loans provided to Headhunter in favor of HeadHunter FSU under the loan agreements that are Authorized Loans does not exceed 3,000,000,000 roubles.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(o)</w:t>
            </w:r>
          </w:p>
        </w:tc>
        <w:tc>
          <w:tcPr>
            <w:tcW w:w="9186" w:type="dxa"/>
            <w:tcBorders/>
            <w:shd w:fill="auto" w:val="clear"/>
          </w:tcPr>
          <w:p>
            <w:pPr>
              <w:pStyle w:val="TableContents"/>
              <w:spacing w:before="0" w:after="283"/>
              <w:jc w:val="left"/>
              <w:rPr/>
            </w:pPr>
            <w:r>
              <w:rPr/>
              <w:t xml:space="preserve">any other permissions or other documents, conclusions or assurances, about the need or feasibility of which in connection with the conclusion and execution of any Financial Documents and the transactions they provide, or to ensure the validity of any Financial Documents and the possibility of their enforcement, the Credit Agent has informed each of the Debtors.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(p)</w:t>
            </w:r>
          </w:p>
        </w:tc>
        <w:tc>
          <w:tcPr>
            <w:tcW w:w="9188" w:type="dxa"/>
            <w:tcBorders/>
            <w:shd w:fill="auto" w:val="clear"/>
          </w:tcPr>
          <w:p>
            <w:pPr>
              <w:pStyle w:val="TableContents"/>
              <w:spacing w:before="0" w:after="283"/>
              <w:jc w:val="left"/>
              <w:rPr/>
            </w:pPr>
            <w:r>
              <w:rPr/>
              <w:t xml:space="preserve">the original consent of the Borrower for the receipt by the Financing Parties of the main part of the Borrower’s credit history in accordance with the Law on Credit Histories, dated not earlier than two months prior to the first Selection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(q)</w:t>
            </w:r>
          </w:p>
        </w:tc>
        <w:tc>
          <w:tcPr>
            <w:tcW w:w="9188" w:type="dxa"/>
            <w:tcBorders/>
            <w:shd w:fill="auto" w:val="clear"/>
          </w:tcPr>
          <w:p>
            <w:pPr>
              <w:pStyle w:val="TableContents"/>
              <w:spacing w:before="0" w:after="283"/>
              <w:jc w:val="left"/>
              <w:rPr/>
            </w:pPr>
            <w:r>
              <w:rPr/>
              <w:t xml:space="preserve">the confirmation of payment remuneration of legal advisers (Orrick (CIS) LLC, Alexandros Economou </w:t>
            </w:r>
            <w:r>
              <w:rPr/>
              <w:drawing>
                <wp:inline distT="0" distB="0" distL="0" distR="0">
                  <wp:extent cx="85725" cy="762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link="rId8"/>
                          <a:stretch>
                            <a:fillRect/>
                          </a:stretch>
                        </pic:blipFill>
                        <pic:spPr bwMode="auto">
                          <a:xfrm>
                            <a:off x="0" y="0"/>
                            <a:ext cx="85725" cy="76200"/>
                          </a:xfrm>
                          <a:prstGeom prst="rect">
                            <a:avLst/>
                          </a:prstGeom>
                          <a:noFill/>
                          <a:ln w="9525">
                            <a:noFill/>
                            <a:miter lim="800000"/>
                            <a:headEnd/>
                            <a:tailEnd/>
                          </a:ln>
                        </pic:spPr>
                      </pic:pic>
                    </a:graphicData>
                  </a:graphic>
                </wp:inline>
              </w:drawing>
            </w:r>
            <w:r>
              <w:rPr/>
              <w:t xml:space="preserve"> ¸ Walkers).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8.</w:t>
            </w:r>
          </w:p>
        </w:tc>
        <w:tc>
          <w:tcPr>
            <w:tcW w:w="9695" w:type="dxa"/>
            <w:tcBorders/>
            <w:shd w:fill="auto" w:val="clear"/>
          </w:tcPr>
          <w:p>
            <w:pPr>
              <w:pStyle w:val="TableContents"/>
              <w:spacing w:before="0" w:after="283"/>
              <w:jc w:val="left"/>
              <w:rPr/>
            </w:pPr>
            <w:r>
              <w:rPr/>
              <w:t xml:space="preserve">Legal conclusions </w:t>
            </w:r>
          </w:p>
        </w:tc>
      </w:tr>
    </w:tbl>
    <w:p>
      <w:pPr>
        <w:pStyle w:val="TextBody"/>
        <w:spacing w:before="120" w:after="0"/>
        <w:rPr>
          <w:rFonts w:ascii="Times New Roman" w:hAnsi="Times New Roman"/>
          <w:sz w:val="20"/>
        </w:rPr>
      </w:pPr>
      <w:r>
        <w:rPr>
          <w:rFonts w:ascii="Times New Roman" w:hAnsi="Times New Roman"/>
          <w:sz w:val="20"/>
        </w:rPr>
        <w:t xml:space="preserve">The following legal conclusions are: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 xml:space="preserve">the legal conclusion prepared by Orrick (CIS) LLC, the legal adviser of the Credit Agent on the Russian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the legal conclusion prepared by Orrick, Herrington &amp; Sutcliffe (Europe) LLP, the legal adviser of the Credit Agent on the English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the legal conclusion prepared by Alexandros Economou, the legal adviser of the Credit Agent on the Cyprus legislation;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6" w:type="dxa"/>
            <w:tcBorders/>
            <w:shd w:fill="auto" w:val="clear"/>
          </w:tcPr>
          <w:p>
            <w:pPr>
              <w:pStyle w:val="TableContents"/>
              <w:spacing w:before="0" w:after="283"/>
              <w:jc w:val="left"/>
              <w:rPr/>
            </w:pPr>
            <w:r>
              <w:rPr/>
              <w:t xml:space="preserve">the legal conclusion prepared by Walkers, the legal adviser of the Credit Agent on the British Virgin Islands legislation. </w:t>
            </w:r>
          </w:p>
        </w:tc>
      </w:tr>
    </w:tbl>
    <w:p>
      <w:pPr>
        <w:pStyle w:val="TextBody"/>
        <w:spacing w:before="240" w:after="0"/>
        <w:rPr>
          <w:rFonts w:ascii="Times New Roman" w:hAnsi="Times New Roman"/>
          <w:sz w:val="20"/>
        </w:rPr>
      </w:pPr>
      <w:r>
        <w:rPr>
          <w:rFonts w:ascii="Times New Roman" w:hAnsi="Times New Roman"/>
          <w:sz w:val="20"/>
        </w:rPr>
        <w:t xml:space="preserve">each of them is prepared by the form acceptable to the Credit Agent, until the signing of this Agreement and is addressed to the Financing Parties that are such on the date of the relevant conclusion. </w:t>
      </w:r>
      <w:r>
        <w:br w:type="page"/>
      </w:r>
    </w:p>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PART 2 </w:t>
      </w:r>
    </w:p>
    <w:p>
      <w:pPr>
        <w:pStyle w:val="TextBody"/>
        <w:spacing w:before="240" w:after="0"/>
        <w:jc w:val="center"/>
        <w:rPr>
          <w:rFonts w:ascii="Times New Roman" w:hAnsi="Times New Roman"/>
          <w:sz w:val="20"/>
        </w:rPr>
      </w:pPr>
      <w:r>
        <w:rPr>
          <w:rFonts w:ascii="Times New Roman" w:hAnsi="Times New Roman"/>
          <w:sz w:val="20"/>
        </w:rPr>
        <w:t xml:space="preserve">DOCUMENTS PROVIDED AFTER SENDING THE APPLICATION FOR SELECTION ACCORDING TO THE TRANCHE A – THE NEXT CONDITIONS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1.</w:t>
            </w:r>
          </w:p>
        </w:tc>
        <w:tc>
          <w:tcPr>
            <w:tcW w:w="8574" w:type="dxa"/>
            <w:tcBorders/>
            <w:shd w:fill="auto" w:val="clear"/>
          </w:tcPr>
          <w:p>
            <w:pPr>
              <w:pStyle w:val="TableContents"/>
              <w:spacing w:before="0" w:after="283"/>
              <w:jc w:val="left"/>
              <w:rPr/>
            </w:pPr>
            <w:r>
              <w:rPr/>
              <w:t xml:space="preserve">At term not later than 15 (fifteen) Working Days from the date of signing the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3"/>
        <w:gridCol w:w="508"/>
        <w:gridCol w:w="8063"/>
      </w:tblGrid>
      <w:tr>
        <w:trPr/>
        <w:tc>
          <w:tcPr>
            <w:tcW w:w="1633"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8063" w:type="dxa"/>
            <w:tcBorders/>
            <w:shd w:fill="auto" w:val="clear"/>
          </w:tcPr>
          <w:p>
            <w:pPr>
              <w:pStyle w:val="TableContents"/>
              <w:spacing w:before="0" w:after="283"/>
              <w:jc w:val="left"/>
              <w:rPr/>
            </w:pPr>
            <w:r>
              <w:rPr/>
              <w:t xml:space="preserve">the originals of certificates of Pledges Registration from the Service of Registration of Companies in Cyprus, which submit, that the Borrower’s Pledge Agreement and Headhunter Pledge Agreement were registered in due time for registration with the Companies Registration of Cyprus in accordance with paragraph 90 of the Companies Act, Chapter 113;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8"/>
        <w:gridCol w:w="8064"/>
      </w:tblGrid>
      <w:tr>
        <w:trPr/>
        <w:tc>
          <w:tcPr>
            <w:tcW w:w="1632"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8064" w:type="dxa"/>
            <w:tcBorders/>
            <w:shd w:fill="auto" w:val="clear"/>
          </w:tcPr>
          <w:p>
            <w:pPr>
              <w:pStyle w:val="TableContents"/>
              <w:spacing w:before="0" w:after="283"/>
              <w:jc w:val="left"/>
              <w:rPr/>
            </w:pPr>
            <w:r>
              <w:rPr/>
              <w:t xml:space="preserve">originals of settlements from the Unified State Register of Legal Entities, confirming the creation of a pledge of 100 (one hundred) percent of the share in the authorized capital of the Borrower and Headhunter;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2.</w:t>
            </w:r>
          </w:p>
        </w:tc>
        <w:tc>
          <w:tcPr>
            <w:tcW w:w="8573" w:type="dxa"/>
            <w:tcBorders/>
            <w:shd w:fill="auto" w:val="clear"/>
          </w:tcPr>
          <w:p>
            <w:pPr>
              <w:pStyle w:val="TableContents"/>
              <w:spacing w:before="0" w:after="283"/>
              <w:jc w:val="left"/>
              <w:rPr/>
            </w:pPr>
            <w:r>
              <w:rPr/>
              <w:t xml:space="preserve">At term not later than 5 (five) Working Days from the date of Selection according to the Tranche A – payment confirmation in the full amount of the purchase price under the Sales and Purchase Agreement 1 and on partial payment of the purchase price under the Sales and Purchase Agreement 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3.</w:t>
            </w:r>
          </w:p>
        </w:tc>
        <w:tc>
          <w:tcPr>
            <w:tcW w:w="8573" w:type="dxa"/>
            <w:tcBorders/>
            <w:shd w:fill="auto" w:val="clear"/>
          </w:tcPr>
          <w:p>
            <w:pPr>
              <w:pStyle w:val="TableContents"/>
              <w:spacing w:before="0" w:after="283"/>
              <w:jc w:val="left"/>
              <w:rPr/>
            </w:pPr>
            <w:r>
              <w:rPr/>
              <w:t xml:space="preserve">At term not later than 14 (fourteen) Working Days from the date of making a record in the Unified State Register of Legal Entities of the Russian Federation about the termination of the Borrower’s activities in connection with its accession to Headhunter: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8064" w:type="dxa"/>
            <w:tcBorders/>
            <w:shd w:fill="auto" w:val="clear"/>
          </w:tcPr>
          <w:p>
            <w:pPr>
              <w:pStyle w:val="TableContents"/>
              <w:spacing w:before="0" w:after="283"/>
              <w:jc w:val="left"/>
              <w:rPr/>
            </w:pPr>
            <w:r>
              <w:rPr/>
              <w:t xml:space="preserve">each Document relating to the Reorganization, as duly concluded or signed by each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the original extract from the Unified State Register of Legal Entities, issued by the entitled authority that contains the information as of no earlier than the first Working Day following the completion of the reorganization of the Borrower by accession to Headhunter;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8063" w:type="dxa"/>
            <w:tcBorders/>
            <w:shd w:fill="auto" w:val="clear"/>
          </w:tcPr>
          <w:p>
            <w:pPr>
              <w:pStyle w:val="TableContents"/>
              <w:spacing w:before="0" w:after="283"/>
              <w:jc w:val="left"/>
              <w:rPr/>
            </w:pPr>
            <w:r>
              <w:rPr/>
              <w:t xml:space="preserve">changes in the Headhunter charter, filled after the completion of the reorganization of the Borrower by accession to Headhunter;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8062" w:type="dxa"/>
            <w:tcBorders/>
            <w:shd w:fill="auto" w:val="clear"/>
          </w:tcPr>
          <w:p>
            <w:pPr>
              <w:pStyle w:val="TableContents"/>
              <w:spacing w:before="0" w:after="283"/>
              <w:jc w:val="left"/>
              <w:rPr/>
            </w:pPr>
            <w:r>
              <w:rPr/>
              <w:t xml:space="preserve">a record of changes in the Headhunter charter specified in the paragraph (c) mentioned above;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8063" w:type="dxa"/>
            <w:tcBorders/>
            <w:shd w:fill="auto" w:val="clear"/>
          </w:tcPr>
          <w:p>
            <w:pPr>
              <w:pStyle w:val="TableContents"/>
              <w:spacing w:before="0" w:after="283"/>
              <w:jc w:val="left"/>
              <w:rPr/>
            </w:pPr>
            <w:r>
              <w:rPr/>
              <w:t xml:space="preserve">other documents or information relating to the reorganization of the Borrower by accession to Headhunter required by the Credit Agent.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PART 3 </w:t>
      </w:r>
    </w:p>
    <w:p>
      <w:pPr>
        <w:pStyle w:val="TextBody"/>
        <w:spacing w:before="240" w:after="0"/>
        <w:jc w:val="center"/>
        <w:rPr>
          <w:rFonts w:ascii="Times New Roman" w:hAnsi="Times New Roman"/>
          <w:sz w:val="20"/>
        </w:rPr>
      </w:pPr>
      <w:r>
        <w:rPr>
          <w:rFonts w:ascii="Times New Roman" w:hAnsi="Times New Roman"/>
          <w:sz w:val="20"/>
        </w:rPr>
        <w:t xml:space="preserve">DOCUMENTS PROVIDED BEFORE SENDING THE APPLICATION FOR SELECTION ACCORDING TO THE TRANCHE B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1.</w:t>
            </w:r>
          </w:p>
        </w:tc>
        <w:tc>
          <w:tcPr>
            <w:tcW w:w="8575" w:type="dxa"/>
            <w:tcBorders/>
            <w:shd w:fill="auto" w:val="clear"/>
          </w:tcPr>
          <w:p>
            <w:pPr>
              <w:pStyle w:val="TableContents"/>
              <w:spacing w:before="0" w:after="283"/>
              <w:jc w:val="left"/>
              <w:rPr/>
            </w:pPr>
            <w:r>
              <w:rPr/>
              <w:t xml:space="preserve">The Tranche A Selection Confirmation in full.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2.</w:t>
            </w:r>
          </w:p>
        </w:tc>
        <w:tc>
          <w:tcPr>
            <w:tcW w:w="8575" w:type="dxa"/>
            <w:tcBorders/>
            <w:shd w:fill="auto" w:val="clear"/>
          </w:tcPr>
          <w:p>
            <w:pPr>
              <w:pStyle w:val="TableContents"/>
              <w:spacing w:before="0" w:after="283"/>
              <w:jc w:val="left"/>
              <w:rPr/>
            </w:pPr>
            <w:r>
              <w:rPr/>
              <w:t xml:space="preserve">Confirmation in form and content acceptable to the Credit Agent of the implementation by the Borrower of partial payment under the Sales and Purchase Agreement 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09"/>
        <w:gridCol w:w="8576"/>
      </w:tblGrid>
      <w:tr>
        <w:trPr/>
        <w:tc>
          <w:tcPr>
            <w:tcW w:w="1019"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3.</w:t>
            </w:r>
          </w:p>
        </w:tc>
        <w:tc>
          <w:tcPr>
            <w:tcW w:w="8576" w:type="dxa"/>
            <w:tcBorders/>
            <w:shd w:fill="auto" w:val="clear"/>
          </w:tcPr>
          <w:p>
            <w:pPr>
              <w:pStyle w:val="TableContents"/>
              <w:spacing w:before="0" w:after="283"/>
              <w:jc w:val="left"/>
              <w:rPr/>
            </w:pPr>
            <w:r>
              <w:rPr/>
              <w:t xml:space="preserve">The evidence that all the commissions and charges due and payable by the Debtors under any Financial Documents were and will be paid to the Date of the Tranche B Selection.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4.</w:t>
            </w:r>
          </w:p>
        </w:tc>
        <w:tc>
          <w:tcPr>
            <w:tcW w:w="8575" w:type="dxa"/>
            <w:tcBorders/>
            <w:shd w:fill="auto" w:val="clear"/>
          </w:tcPr>
          <w:p>
            <w:pPr>
              <w:pStyle w:val="TableContents"/>
              <w:spacing w:before="0" w:after="283"/>
              <w:jc w:val="left"/>
              <w:rPr/>
            </w:pPr>
            <w:r>
              <w:rPr/>
              <w:t xml:space="preserve">Confirmation of positive net assets of the Borrower and Headhunter.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5.</w:t>
            </w:r>
          </w:p>
        </w:tc>
        <w:tc>
          <w:tcPr>
            <w:tcW w:w="8575" w:type="dxa"/>
            <w:tcBorders/>
            <w:shd w:fill="auto" w:val="clear"/>
          </w:tcPr>
          <w:p>
            <w:pPr>
              <w:pStyle w:val="TableContents"/>
              <w:spacing w:before="0" w:after="283"/>
              <w:jc w:val="left"/>
              <w:rPr/>
            </w:pPr>
            <w:r>
              <w:rPr/>
              <w:t xml:space="preserve">Confirmation of compliance with the following financial indicators (which satisfy the Credit Agent) during the period, starting from June 30, 2016 and ending on the Date of the Tranche B Selection: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(a)</w:t>
            </w:r>
          </w:p>
        </w:tc>
        <w:tc>
          <w:tcPr>
            <w:tcW w:w="8575" w:type="dxa"/>
            <w:tcBorders/>
            <w:shd w:fill="auto" w:val="clear"/>
          </w:tcPr>
          <w:p>
            <w:pPr>
              <w:pStyle w:val="TableContents"/>
              <w:spacing w:before="0" w:after="283"/>
              <w:jc w:val="left"/>
              <w:rPr/>
            </w:pPr>
            <w:r>
              <w:rPr/>
              <w:t xml:space="preserve">the decrease in the total number of Clients (as the term is defined in the Article 17.) of the Borrower and Headhunter (without double accounting) not more than 10 (ten) percent on the basis of data of the month management accounts of the Group (only those Customers who have activated the first activation of the paid service on the Sites of Obligors until 2011 (inclusive) are accounted for);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1"/>
        <w:gridCol w:w="8575"/>
      </w:tblGrid>
      <w:tr>
        <w:trPr/>
        <w:tc>
          <w:tcPr>
            <w:tcW w:w="1018"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(b)</w:t>
            </w:r>
          </w:p>
        </w:tc>
        <w:tc>
          <w:tcPr>
            <w:tcW w:w="8575" w:type="dxa"/>
            <w:tcBorders/>
            <w:shd w:fill="auto" w:val="clear"/>
          </w:tcPr>
          <w:p>
            <w:pPr>
              <w:pStyle w:val="TableContents"/>
              <w:spacing w:before="0" w:after="283"/>
              <w:jc w:val="left"/>
              <w:rPr/>
            </w:pPr>
            <w:r>
              <w:rPr/>
              <w:t xml:space="preserve">the decrease in the total Revenues amount of the Borrower and Headhunter (without double accounting) no more than 5 (five) percent on the basis of the Borrower’s and Hedhunter’s reporting data prepared on the basis of the RAP;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(c)</w:t>
            </w:r>
          </w:p>
        </w:tc>
        <w:tc>
          <w:tcPr>
            <w:tcW w:w="8575" w:type="dxa"/>
            <w:tcBorders/>
            <w:shd w:fill="auto" w:val="clear"/>
          </w:tcPr>
          <w:p>
            <w:pPr>
              <w:pStyle w:val="TableContents"/>
              <w:spacing w:before="0" w:after="283"/>
              <w:jc w:val="left"/>
              <w:rPr/>
            </w:pPr>
            <w:r>
              <w:rPr/>
              <w:t>the decrease in money receipts from Russian Clients by no more than 5 (five) percent based on the Group’s management reporting data, provided in accordance with the paragraph (c) of the Article 17.1 (</w:t>
            </w:r>
            <w:r>
              <w:rPr>
                <w:i/>
              </w:rPr>
              <w:t>Financial reporting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indicators shown above in paragraphs (a) to (c) are compared for the period from the beginning of the calendar year, in which such indicators are tested, to the same period of 2015.)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(d)</w:t>
            </w:r>
          </w:p>
        </w:tc>
        <w:tc>
          <w:tcPr>
            <w:tcW w:w="8573" w:type="dxa"/>
            <w:tcBorders/>
            <w:shd w:fill="auto" w:val="clear"/>
          </w:tcPr>
          <w:p>
            <w:pPr>
              <w:pStyle w:val="TableContents"/>
              <w:spacing w:before="0" w:after="283"/>
              <w:jc w:val="left"/>
              <w:rPr/>
            </w:pPr>
            <w:r>
              <w:rPr/>
              <w:t>the Debt Load Indicator (this term is defined in the Article 18.2 (</w:t>
            </w:r>
            <w:r>
              <w:rPr>
                <w:i/>
              </w:rPr>
              <w:t>the Debt Load Indicator</w:t>
            </w:r>
            <w:r>
              <w:rPr/>
              <w:t>) is less than 4,0: 1 in accordance with the audited financial statements of the Group for the financial year, provided in accordance with the paragraph (a) of the Article 17.1 (</w:t>
            </w:r>
            <w:r>
              <w:rPr>
                <w:i/>
              </w:rPr>
              <w:t>Financial reporting</w:t>
            </w:r>
            <w:r>
              <w:rPr/>
              <w:t>), of the checked Group reporting for the financial half of the year, provided in accordance with the paragraph (b) of the Article 17.1 (</w:t>
            </w:r>
            <w:r>
              <w:rPr>
                <w:i/>
              </w:rPr>
              <w:t>Financial reporting</w:t>
            </w:r>
            <w:r>
              <w:rPr/>
              <w:t xml:space="preserve">), and the monthly management Group reporting.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PART 4 </w:t>
      </w:r>
    </w:p>
    <w:p>
      <w:pPr>
        <w:pStyle w:val="TextBody"/>
        <w:spacing w:before="240" w:after="0"/>
        <w:jc w:val="center"/>
        <w:rPr>
          <w:rFonts w:ascii="Times New Roman" w:hAnsi="Times New Roman"/>
          <w:sz w:val="20"/>
        </w:rPr>
      </w:pPr>
      <w:r>
        <w:rPr>
          <w:rFonts w:ascii="Times New Roman" w:hAnsi="Times New Roman"/>
          <w:sz w:val="20"/>
        </w:rPr>
        <w:t xml:space="preserve">DOCUMENTS PROVIDED BEFORE SENDING THE APPLICATION FOR SELECTION ACCORDING TO THE TRANCHE C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1.</w:t>
            </w:r>
          </w:p>
        </w:tc>
        <w:tc>
          <w:tcPr>
            <w:tcW w:w="8573" w:type="dxa"/>
            <w:tcBorders/>
            <w:shd w:fill="auto" w:val="clear"/>
          </w:tcPr>
          <w:p>
            <w:pPr>
              <w:pStyle w:val="TableContents"/>
              <w:spacing w:before="0" w:after="283"/>
              <w:jc w:val="left"/>
              <w:rPr/>
            </w:pPr>
            <w:r>
              <w:rPr/>
              <w:t>The certificate certified by the Borrower, confirming the observance of the Debt Load Indicator on the last Estimated Date at the level of no more than 3.75: 1 taking into account the amount of Tranche B (when testing for the end of the fiscal year or half of the year - based on the most relevant reporting of the Group under IFRS provided in accordance with the paragraphs (a) and (b) of the Article 17.1 (</w:t>
            </w:r>
            <w:r>
              <w:rPr>
                <w:i/>
              </w:rPr>
              <w:t>Financial reporting</w:t>
            </w:r>
            <w:r>
              <w:rPr/>
              <w:t>); when testing for the end of the first or third financial quarter - based on the Group’s most relevant management reporting, provided in accordance with the paragraph (c) of the Article 17.1 (</w:t>
            </w:r>
            <w:r>
              <w:rPr>
                <w:i/>
              </w:rPr>
              <w:t>Financial Reporting</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2.</w:t>
            </w:r>
          </w:p>
        </w:tc>
        <w:tc>
          <w:tcPr>
            <w:tcW w:w="8573" w:type="dxa"/>
            <w:tcBorders/>
            <w:shd w:fill="auto" w:val="clear"/>
          </w:tcPr>
          <w:p>
            <w:pPr>
              <w:pStyle w:val="TableContents"/>
              <w:spacing w:before="0" w:after="283"/>
              <w:jc w:val="left"/>
              <w:rPr/>
            </w:pPr>
            <w:r>
              <w:rPr/>
              <w:t>The evidence that the fee for the Credit issue related to the Tranche C and payable by the Borrower in accordance with the clause (c) of the Article 11.2 (</w:t>
            </w:r>
            <w:r>
              <w:rPr>
                <w:i/>
              </w:rPr>
              <w:t>the Fee for the Credit issue</w:t>
            </w:r>
            <w:r>
              <w:rPr/>
              <w:t xml:space="preserve">) has been paid. </w:t>
            </w:r>
          </w:p>
        </w:tc>
      </w:tr>
    </w:tbl>
    <w:p>
      <w:pPr>
        <w:pStyle w:val="TextBody"/>
        <w:spacing w:before="480" w:after="0"/>
        <w:jc w:val="center"/>
        <w:rPr>
          <w:rFonts w:ascii="Times New Roman" w:hAnsi="Times New Roman"/>
          <w:sz w:val="20"/>
        </w:rPr>
      </w:pPr>
      <w:r>
        <w:rPr>
          <w:rFonts w:ascii="Times New Roman" w:hAnsi="Times New Roman"/>
          <w:sz w:val="20"/>
        </w:rPr>
        <w:t xml:space="preserve">PART 5 </w:t>
      </w:r>
    </w:p>
    <w:p>
      <w:pPr>
        <w:pStyle w:val="TextBody"/>
        <w:spacing w:before="240" w:after="0"/>
        <w:jc w:val="center"/>
        <w:rPr>
          <w:rFonts w:ascii="Times New Roman" w:hAnsi="Times New Roman"/>
          <w:sz w:val="20"/>
        </w:rPr>
      </w:pPr>
      <w:r>
        <w:rPr>
          <w:rFonts w:ascii="Times New Roman" w:hAnsi="Times New Roman"/>
          <w:sz w:val="20"/>
        </w:rPr>
        <w:t xml:space="preserve">DOCUMENTS PROVIDED BEFORE SENDING THE APPLICATION FOR SELECTION ACCORDING TO THE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2"/>
        <w:gridCol w:w="8575"/>
      </w:tblGrid>
      <w:tr>
        <w:trPr/>
        <w:tc>
          <w:tcPr>
            <w:tcW w:w="1017"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1.</w:t>
            </w:r>
          </w:p>
        </w:tc>
        <w:tc>
          <w:tcPr>
            <w:tcW w:w="8575" w:type="dxa"/>
            <w:tcBorders/>
            <w:shd w:fill="auto" w:val="clear"/>
          </w:tcPr>
          <w:p>
            <w:pPr>
              <w:pStyle w:val="TableContents"/>
              <w:spacing w:before="0" w:after="283"/>
              <w:jc w:val="left"/>
              <w:rPr/>
            </w:pPr>
            <w:r>
              <w:rPr/>
              <w:t xml:space="preserve">The certificate certified by the Borrower, confirming the observance of the following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0"/>
        <w:gridCol w:w="510"/>
        <w:gridCol w:w="8064"/>
      </w:tblGrid>
      <w:tr>
        <w:trPr/>
        <w:tc>
          <w:tcPr>
            <w:tcW w:w="163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4" w:type="dxa"/>
            <w:tcBorders/>
            <w:shd w:fill="auto" w:val="clear"/>
          </w:tcPr>
          <w:p>
            <w:pPr>
              <w:pStyle w:val="TableContents"/>
              <w:spacing w:before="0" w:after="283"/>
              <w:jc w:val="left"/>
              <w:rPr/>
            </w:pPr>
            <w:r>
              <w:rPr/>
              <w:t xml:space="preserve">the non-decrease of the activation amount by the Headhunter clients, which carried out the first activation of paid services until 2012 (inclusive) for the first half of 2017 compared to the first half of 2016;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8"/>
        <w:gridCol w:w="8064"/>
      </w:tblGrid>
      <w:tr>
        <w:trPr/>
        <w:tc>
          <w:tcPr>
            <w:tcW w:w="1632"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8064" w:type="dxa"/>
            <w:tcBorders/>
            <w:shd w:fill="auto" w:val="clear"/>
          </w:tcPr>
          <w:p>
            <w:pPr>
              <w:pStyle w:val="TableContents"/>
              <w:spacing w:before="0" w:after="283"/>
              <w:jc w:val="left"/>
              <w:rPr/>
            </w:pPr>
            <w:r>
              <w:rPr/>
              <w:t xml:space="preserve">the growth of the activation amount by the Headhunter clients not less than 10 (ten) percent for the first half of 2017 compared to the first half of 2016;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8062" w:type="dxa"/>
            <w:tcBorders/>
            <w:shd w:fill="auto" w:val="clear"/>
          </w:tcPr>
          <w:p>
            <w:pPr>
              <w:pStyle w:val="TableContents"/>
              <w:spacing w:before="0" w:after="283"/>
              <w:jc w:val="left"/>
              <w:rPr/>
            </w:pPr>
            <w:r>
              <w:rPr/>
              <w:t xml:space="preserve">the revenues growth of Headhunter for more than 15 (fifteen) percent for the first half of 2017 in relation to the first half of 2016 (based on the reporting of Headhunter, prepared in accordance with RAP);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8"/>
        <w:gridCol w:w="8064"/>
      </w:tblGrid>
      <w:tr>
        <w:trPr/>
        <w:tc>
          <w:tcPr>
            <w:tcW w:w="1632"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8064" w:type="dxa"/>
            <w:tcBorders/>
            <w:shd w:fill="auto" w:val="clear"/>
          </w:tcPr>
          <w:p>
            <w:pPr>
              <w:pStyle w:val="TableContents"/>
              <w:spacing w:before="0" w:after="283"/>
              <w:jc w:val="left"/>
              <w:rPr/>
            </w:pPr>
            <w:r>
              <w:rPr/>
              <w:t>the observation of the Debt Load Indicator at a level of no more than 4.00: 1 taking into consideration the use of Tranche D based on the most relevant reporting of the Group under IFRS, provided in accordance with the paragraphs (a) and (b) of the Article 17.1 (</w:t>
            </w:r>
            <w:r>
              <w:rPr>
                <w:i/>
              </w:rPr>
              <w:t>the Financial reporting</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2.</w:t>
            </w:r>
          </w:p>
        </w:tc>
        <w:tc>
          <w:tcPr>
            <w:tcW w:w="8573" w:type="dxa"/>
            <w:tcBorders/>
            <w:shd w:fill="auto" w:val="clear"/>
          </w:tcPr>
          <w:p>
            <w:pPr>
              <w:pStyle w:val="TableContents"/>
              <w:spacing w:before="0" w:after="283"/>
              <w:jc w:val="left"/>
              <w:rPr/>
            </w:pPr>
            <w:r>
              <w:rPr/>
              <w:t>The evidence that the fee for the Credit issue related to the Tranche D and payable by the Borrower in accordance with the paragraph (d) of the Article 11.2 (</w:t>
            </w:r>
            <w:r>
              <w:rPr>
                <w:i/>
              </w:rPr>
              <w:t>the Fee for the Credit issue</w:t>
            </w:r>
            <w:r>
              <w:rPr/>
              <w:t xml:space="preserve">) has been paid.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APPENDIX 3 </w:t>
      </w:r>
    </w:p>
    <w:p>
      <w:pPr>
        <w:pStyle w:val="TextBody"/>
        <w:spacing w:before="240" w:after="0"/>
        <w:jc w:val="center"/>
        <w:rPr>
          <w:rFonts w:ascii="Times New Roman" w:hAnsi="Times New Roman"/>
          <w:sz w:val="20"/>
        </w:rPr>
      </w:pPr>
      <w:r>
        <w:rPr>
          <w:rFonts w:ascii="Times New Roman" w:hAnsi="Times New Roman"/>
          <w:sz w:val="20"/>
        </w:rPr>
        <w:t xml:space="preserve">FORM OF DRAWDOWN REQUEST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656"/>
        <w:gridCol w:w="122"/>
        <w:gridCol w:w="8427"/>
      </w:tblGrid>
      <w:tr>
        <w:trPr/>
        <w:tc>
          <w:tcPr>
            <w:tcW w:w="1656" w:type="dxa"/>
            <w:tcBorders/>
            <w:shd w:fill="auto" w:val="clear"/>
            <w:vAlign w:val="cente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sz w:val="4"/>
                <w:szCs w:val="4"/>
              </w:rPr>
            </w:pPr>
            <w:r>
              <w:rPr>
                <w:sz w:val="4"/>
                <w:szCs w:val="4"/>
              </w:rPr>
            </w:r>
          </w:p>
        </w:tc>
        <w:tc>
          <w:tcPr>
            <w:tcW w:w="8427" w:type="dxa"/>
            <w:tcBorders/>
            <w:shd w:fill="auto" w:val="clear"/>
            <w:vAlign w:val="center"/>
          </w:tcPr>
          <w:p>
            <w:pPr>
              <w:pStyle w:val="TableContents"/>
              <w:spacing w:before="0" w:after="283"/>
              <w:rPr>
                <w:sz w:val="4"/>
                <w:szCs w:val="4"/>
              </w:rPr>
            </w:pPr>
            <w:r>
              <w:rPr>
                <w:sz w:val="4"/>
                <w:szCs w:val="4"/>
              </w:rPr>
            </w:r>
          </w:p>
        </w:tc>
      </w:tr>
      <w:tr>
        <w:trPr/>
        <w:tc>
          <w:tcPr>
            <w:tcW w:w="1656" w:type="dxa"/>
            <w:tcBorders/>
            <w:shd w:fill="auto" w:val="clear"/>
          </w:tcPr>
          <w:p>
            <w:pPr>
              <w:pStyle w:val="TableContents"/>
              <w:spacing w:before="0" w:after="283"/>
              <w:rPr/>
            </w:pPr>
            <w:r>
              <w:rPr/>
              <w:t>The Sender:</w:t>
            </w:r>
          </w:p>
        </w:tc>
        <w:tc>
          <w:tcPr>
            <w:tcW w:w="122" w:type="dxa"/>
            <w:tcBorders/>
            <w:shd w:fill="auto" w:val="clear"/>
            <w:vAlign w:val="bottom"/>
          </w:tcPr>
          <w:p>
            <w:pPr>
              <w:pStyle w:val="TableContents"/>
              <w:spacing w:before="0" w:after="283"/>
              <w:rPr/>
            </w:pPr>
            <w:r>
              <w:rPr/>
              <w:t>  </w:t>
            </w:r>
          </w:p>
        </w:tc>
        <w:tc>
          <w:tcPr>
            <w:tcW w:w="8427" w:type="dxa"/>
            <w:tcBorders/>
            <w:shd w:fill="auto" w:val="clear"/>
          </w:tcPr>
          <w:p>
            <w:pPr>
              <w:pStyle w:val="TableContents"/>
              <w:spacing w:before="0" w:after="283"/>
              <w:rPr/>
            </w:pPr>
            <w:r>
              <w:rPr/>
              <w:t>(</w:t>
            </w:r>
            <w:r>
              <w:rPr>
                <w:i/>
              </w:rPr>
              <w:t>the Borrower’s name</w:t>
            </w:r>
            <w:r>
              <w:rPr/>
              <w:t>)</w:t>
            </w:r>
          </w:p>
        </w:tc>
      </w:tr>
      <w:tr>
        <w:trPr>
          <w:trHeight w:val="240" w:hRule="atLeast"/>
        </w:trPr>
        <w:tc>
          <w:tcPr>
            <w:tcW w:w="1656" w:type="dxa"/>
            <w:tcBorders/>
            <w:shd w:fill="auto" w:val="clear"/>
            <w:vAlign w:val="center"/>
          </w:tcPr>
          <w:p>
            <w:pPr>
              <w:pStyle w:val="TableContents"/>
              <w:spacing w:before="0" w:after="283"/>
              <w:rPr>
                <w:sz w:val="4"/>
                <w:szCs w:val="4"/>
              </w:rPr>
            </w:pPr>
            <w:r>
              <w:rPr>
                <w:sz w:val="4"/>
                <w:szCs w:val="4"/>
              </w:rPr>
            </w:r>
          </w:p>
        </w:tc>
        <w:tc>
          <w:tcPr>
            <w:tcW w:w="8549" w:type="dxa"/>
            <w:gridSpan w:val="2"/>
            <w:tcBorders/>
            <w:shd w:fill="auto" w:val="clear"/>
            <w:vAlign w:val="center"/>
          </w:tcPr>
          <w:p>
            <w:pPr>
              <w:pStyle w:val="TableContents"/>
              <w:spacing w:before="0" w:after="283"/>
              <w:rPr>
                <w:sz w:val="4"/>
                <w:szCs w:val="4"/>
              </w:rPr>
            </w:pPr>
            <w:r>
              <w:rPr>
                <w:sz w:val="4"/>
                <w:szCs w:val="4"/>
              </w:rPr>
            </w:r>
          </w:p>
        </w:tc>
      </w:tr>
      <w:tr>
        <w:trPr/>
        <w:tc>
          <w:tcPr>
            <w:tcW w:w="1656" w:type="dxa"/>
            <w:tcBorders/>
            <w:shd w:fill="auto" w:val="clear"/>
          </w:tcPr>
          <w:p>
            <w:pPr>
              <w:pStyle w:val="TableContents"/>
              <w:spacing w:before="0" w:after="283"/>
              <w:rPr/>
            </w:pPr>
            <w:r>
              <w:rPr/>
              <w:t>The Receiver:</w:t>
            </w:r>
          </w:p>
        </w:tc>
        <w:tc>
          <w:tcPr>
            <w:tcW w:w="122" w:type="dxa"/>
            <w:tcBorders/>
            <w:shd w:fill="auto" w:val="clear"/>
            <w:vAlign w:val="bottom"/>
          </w:tcPr>
          <w:p>
            <w:pPr>
              <w:pStyle w:val="TableContents"/>
              <w:spacing w:before="0" w:after="283"/>
              <w:rPr/>
            </w:pPr>
            <w:r>
              <w:rPr/>
              <w:t>  </w:t>
            </w:r>
          </w:p>
        </w:tc>
        <w:tc>
          <w:tcPr>
            <w:tcW w:w="8427" w:type="dxa"/>
            <w:tcBorders/>
            <w:shd w:fill="auto" w:val="clear"/>
          </w:tcPr>
          <w:p>
            <w:pPr>
              <w:pStyle w:val="TableContents"/>
              <w:spacing w:before="0" w:after="283"/>
              <w:rPr/>
            </w:pPr>
            <w:r>
              <w:rPr/>
              <w:t>(</w:t>
            </w:r>
            <w:r>
              <w:rPr>
                <w:i/>
              </w:rPr>
              <w:t>the Credit Agent’s name</w:t>
            </w:r>
            <w:r>
              <w:rPr/>
              <w:t>)</w:t>
            </w:r>
          </w:p>
        </w:tc>
      </w:tr>
      <w:tr>
        <w:trPr>
          <w:trHeight w:val="240" w:hRule="atLeast"/>
        </w:trPr>
        <w:tc>
          <w:tcPr>
            <w:tcW w:w="1656" w:type="dxa"/>
            <w:tcBorders/>
            <w:shd w:fill="auto" w:val="clear"/>
            <w:vAlign w:val="center"/>
          </w:tcPr>
          <w:p>
            <w:pPr>
              <w:pStyle w:val="TableContents"/>
              <w:spacing w:before="0" w:after="283"/>
              <w:rPr>
                <w:sz w:val="4"/>
                <w:szCs w:val="4"/>
              </w:rPr>
            </w:pPr>
            <w:r>
              <w:rPr>
                <w:sz w:val="4"/>
                <w:szCs w:val="4"/>
              </w:rPr>
            </w:r>
          </w:p>
        </w:tc>
        <w:tc>
          <w:tcPr>
            <w:tcW w:w="8549" w:type="dxa"/>
            <w:gridSpan w:val="2"/>
            <w:tcBorders/>
            <w:shd w:fill="auto" w:val="clear"/>
            <w:vAlign w:val="center"/>
          </w:tcPr>
          <w:p>
            <w:pPr>
              <w:pStyle w:val="TableContents"/>
              <w:spacing w:before="0" w:after="283"/>
              <w:rPr>
                <w:sz w:val="4"/>
                <w:szCs w:val="4"/>
              </w:rPr>
            </w:pPr>
            <w:r>
              <w:rPr>
                <w:sz w:val="4"/>
                <w:szCs w:val="4"/>
              </w:rPr>
            </w:r>
          </w:p>
        </w:tc>
      </w:tr>
      <w:tr>
        <w:trPr/>
        <w:tc>
          <w:tcPr>
            <w:tcW w:w="1656" w:type="dxa"/>
            <w:tcBorders/>
            <w:shd w:fill="auto" w:val="clear"/>
          </w:tcPr>
          <w:p>
            <w:pPr>
              <w:pStyle w:val="TableContents"/>
              <w:spacing w:before="0" w:after="283"/>
              <w:rPr/>
            </w:pPr>
            <w:r>
              <w:rPr/>
              <w:t>The Date:</w:t>
            </w:r>
          </w:p>
        </w:tc>
        <w:tc>
          <w:tcPr>
            <w:tcW w:w="122" w:type="dxa"/>
            <w:tcBorders/>
            <w:shd w:fill="auto" w:val="clear"/>
            <w:vAlign w:val="bottom"/>
          </w:tcPr>
          <w:p>
            <w:pPr>
              <w:pStyle w:val="TableContents"/>
              <w:spacing w:before="0" w:after="283"/>
              <w:rPr/>
            </w:pPr>
            <w:r>
              <w:rPr/>
              <w:t>  </w:t>
            </w:r>
          </w:p>
        </w:tc>
        <w:tc>
          <w:tcPr>
            <w:tcW w:w="8427"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240" w:after="0"/>
        <w:rPr>
          <w:rFonts w:ascii="Times New Roman" w:hAnsi="Times New Roman"/>
          <w:sz w:val="20"/>
        </w:rPr>
      </w:pPr>
      <w:r>
        <w:rPr>
          <w:rFonts w:ascii="Times New Roman" w:hAnsi="Times New Roman"/>
          <w:sz w:val="20"/>
        </w:rPr>
        <w:t xml:space="preserve">The agreement on granting of a syndicated credit in the amount of 7,000,000,000 roubles dated (.) (including changes and annexes) (hereinafter referred to as the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w:t>
            </w:r>
          </w:p>
        </w:tc>
        <w:tc>
          <w:tcPr>
            <w:tcW w:w="9696" w:type="dxa"/>
            <w:tcBorders/>
            <w:shd w:fill="auto" w:val="clear"/>
          </w:tcPr>
          <w:p>
            <w:pPr>
              <w:pStyle w:val="TableContents"/>
              <w:spacing w:before="0" w:after="283"/>
              <w:jc w:val="left"/>
              <w:rPr/>
            </w:pPr>
            <w:r>
              <w:rPr/>
              <w:t xml:space="preserve">We refer to the Agreement. The terms defined in the Agreement have the same meaning in this Selection Application if they are not given any other meaning in this Selection Application.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w:t>
            </w:r>
          </w:p>
        </w:tc>
        <w:tc>
          <w:tcPr>
            <w:tcW w:w="9696" w:type="dxa"/>
            <w:tcBorders/>
            <w:shd w:fill="auto" w:val="clear"/>
          </w:tcPr>
          <w:p>
            <w:pPr>
              <w:pStyle w:val="TableContents"/>
              <w:spacing w:before="0" w:after="283"/>
              <w:jc w:val="left"/>
              <w:rPr/>
            </w:pPr>
            <w:r>
              <w:rPr/>
              <w:t xml:space="preserve">We ask to provide with the Credit according to the (Tranche A)/(Tranche B)/(Tranche C)/(Tranche D) on the next conditions: </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244"/>
        <w:gridCol w:w="204"/>
        <w:gridCol w:w="7756"/>
      </w:tblGrid>
      <w:tr>
        <w:trPr/>
        <w:tc>
          <w:tcPr>
            <w:tcW w:w="224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7756" w:type="dxa"/>
            <w:tcBorders/>
            <w:shd w:fill="auto" w:val="clear"/>
            <w:vAlign w:val="center"/>
          </w:tcPr>
          <w:p>
            <w:pPr>
              <w:pStyle w:val="TableContents"/>
              <w:spacing w:before="0" w:after="283"/>
              <w:rPr>
                <w:sz w:val="4"/>
                <w:szCs w:val="4"/>
              </w:rPr>
            </w:pPr>
            <w:r>
              <w:rPr>
                <w:sz w:val="4"/>
                <w:szCs w:val="4"/>
              </w:rPr>
            </w:r>
          </w:p>
        </w:tc>
      </w:tr>
      <w:tr>
        <w:trPr/>
        <w:tc>
          <w:tcPr>
            <w:tcW w:w="2244" w:type="dxa"/>
            <w:tcBorders/>
            <w:shd w:fill="auto" w:val="clear"/>
          </w:tcPr>
          <w:p>
            <w:pPr>
              <w:pStyle w:val="TableContents"/>
              <w:spacing w:before="0" w:after="283"/>
              <w:rPr/>
            </w:pPr>
            <w:r>
              <w:rPr/>
              <w:t>The selection date:</w:t>
            </w:r>
          </w:p>
        </w:tc>
        <w:tc>
          <w:tcPr>
            <w:tcW w:w="204" w:type="dxa"/>
            <w:tcBorders/>
            <w:shd w:fill="auto" w:val="clear"/>
            <w:vAlign w:val="bottom"/>
          </w:tcPr>
          <w:p>
            <w:pPr>
              <w:pStyle w:val="TableContents"/>
              <w:spacing w:before="0" w:after="283"/>
              <w:rPr/>
            </w:pPr>
            <w:r>
              <w:rPr/>
              <w:t>  </w:t>
            </w:r>
          </w:p>
        </w:tc>
        <w:tc>
          <w:tcPr>
            <w:tcW w:w="7756" w:type="dxa"/>
            <w:tcBorders/>
            <w:shd w:fill="auto" w:val="clear"/>
          </w:tcPr>
          <w:p>
            <w:pPr>
              <w:pStyle w:val="TableContents"/>
              <w:spacing w:before="0" w:after="283"/>
              <w:rPr/>
            </w:pPr>
            <w:r>
              <w:rPr/>
              <w:t>(.)</w:t>
            </w:r>
          </w:p>
        </w:tc>
      </w:tr>
      <w:tr>
        <w:trPr>
          <w:trHeight w:val="240" w:hRule="atLeast"/>
        </w:trPr>
        <w:tc>
          <w:tcPr>
            <w:tcW w:w="2244" w:type="dxa"/>
            <w:tcBorders/>
            <w:shd w:fill="auto" w:val="clear"/>
            <w:vAlign w:val="center"/>
          </w:tcPr>
          <w:p>
            <w:pPr>
              <w:pStyle w:val="TableContents"/>
              <w:spacing w:before="0" w:after="283"/>
              <w:rPr>
                <w:sz w:val="4"/>
                <w:szCs w:val="4"/>
              </w:rPr>
            </w:pPr>
            <w:r>
              <w:rPr>
                <w:sz w:val="4"/>
                <w:szCs w:val="4"/>
              </w:rPr>
            </w:r>
          </w:p>
        </w:tc>
        <w:tc>
          <w:tcPr>
            <w:tcW w:w="7960" w:type="dxa"/>
            <w:gridSpan w:val="2"/>
            <w:tcBorders/>
            <w:shd w:fill="auto" w:val="clear"/>
            <w:vAlign w:val="center"/>
          </w:tcPr>
          <w:p>
            <w:pPr>
              <w:pStyle w:val="TableContents"/>
              <w:spacing w:before="0" w:after="283"/>
              <w:rPr>
                <w:sz w:val="4"/>
                <w:szCs w:val="4"/>
              </w:rPr>
            </w:pPr>
            <w:r>
              <w:rPr>
                <w:sz w:val="4"/>
                <w:szCs w:val="4"/>
              </w:rPr>
            </w:r>
          </w:p>
        </w:tc>
      </w:tr>
      <w:tr>
        <w:trPr/>
        <w:tc>
          <w:tcPr>
            <w:tcW w:w="2244" w:type="dxa"/>
            <w:tcBorders/>
            <w:shd w:fill="auto" w:val="clear"/>
          </w:tcPr>
          <w:p>
            <w:pPr>
              <w:pStyle w:val="TableContents"/>
              <w:spacing w:before="0" w:after="283"/>
              <w:rPr/>
            </w:pPr>
            <w:r>
              <w:rPr/>
              <w:t>The credit currency:</w:t>
            </w:r>
          </w:p>
        </w:tc>
        <w:tc>
          <w:tcPr>
            <w:tcW w:w="204" w:type="dxa"/>
            <w:tcBorders/>
            <w:shd w:fill="auto" w:val="clear"/>
            <w:vAlign w:val="bottom"/>
          </w:tcPr>
          <w:p>
            <w:pPr>
              <w:pStyle w:val="TableContents"/>
              <w:spacing w:before="0" w:after="283"/>
              <w:rPr/>
            </w:pPr>
            <w:r>
              <w:rPr/>
              <w:t>  </w:t>
            </w:r>
          </w:p>
        </w:tc>
        <w:tc>
          <w:tcPr>
            <w:tcW w:w="7756" w:type="dxa"/>
            <w:tcBorders/>
            <w:shd w:fill="auto" w:val="clear"/>
          </w:tcPr>
          <w:p>
            <w:pPr>
              <w:pStyle w:val="TableContents"/>
              <w:spacing w:before="0" w:after="283"/>
              <w:rPr/>
            </w:pPr>
            <w:r>
              <w:rPr/>
              <w:t>Roubles.</w:t>
            </w:r>
          </w:p>
        </w:tc>
      </w:tr>
      <w:tr>
        <w:trPr>
          <w:trHeight w:val="240" w:hRule="atLeast"/>
        </w:trPr>
        <w:tc>
          <w:tcPr>
            <w:tcW w:w="2244" w:type="dxa"/>
            <w:tcBorders/>
            <w:shd w:fill="auto" w:val="clear"/>
            <w:vAlign w:val="center"/>
          </w:tcPr>
          <w:p>
            <w:pPr>
              <w:pStyle w:val="TableContents"/>
              <w:spacing w:before="0" w:after="283"/>
              <w:rPr>
                <w:sz w:val="4"/>
                <w:szCs w:val="4"/>
              </w:rPr>
            </w:pPr>
            <w:r>
              <w:rPr>
                <w:sz w:val="4"/>
                <w:szCs w:val="4"/>
              </w:rPr>
            </w:r>
          </w:p>
        </w:tc>
        <w:tc>
          <w:tcPr>
            <w:tcW w:w="7960" w:type="dxa"/>
            <w:gridSpan w:val="2"/>
            <w:tcBorders/>
            <w:shd w:fill="auto" w:val="clear"/>
            <w:vAlign w:val="center"/>
          </w:tcPr>
          <w:p>
            <w:pPr>
              <w:pStyle w:val="TableContents"/>
              <w:spacing w:before="0" w:after="283"/>
              <w:rPr>
                <w:sz w:val="4"/>
                <w:szCs w:val="4"/>
              </w:rPr>
            </w:pPr>
            <w:r>
              <w:rPr>
                <w:sz w:val="4"/>
                <w:szCs w:val="4"/>
              </w:rPr>
            </w:r>
          </w:p>
        </w:tc>
      </w:tr>
      <w:tr>
        <w:trPr/>
        <w:tc>
          <w:tcPr>
            <w:tcW w:w="2244" w:type="dxa"/>
            <w:tcBorders/>
            <w:shd w:fill="auto" w:val="clear"/>
          </w:tcPr>
          <w:p>
            <w:pPr>
              <w:pStyle w:val="TableContents"/>
              <w:spacing w:before="0" w:after="283"/>
              <w:rPr/>
            </w:pPr>
            <w:r>
              <w:rPr/>
              <w:t>The amount:</w:t>
            </w:r>
          </w:p>
        </w:tc>
        <w:tc>
          <w:tcPr>
            <w:tcW w:w="204" w:type="dxa"/>
            <w:tcBorders/>
            <w:shd w:fill="auto" w:val="clear"/>
            <w:vAlign w:val="bottom"/>
          </w:tcPr>
          <w:p>
            <w:pPr>
              <w:pStyle w:val="TableContents"/>
              <w:spacing w:before="0" w:after="283"/>
              <w:rPr/>
            </w:pPr>
            <w:r>
              <w:rPr/>
              <w:t>  </w:t>
            </w:r>
          </w:p>
        </w:tc>
        <w:tc>
          <w:tcPr>
            <w:tcW w:w="7756" w:type="dxa"/>
            <w:tcBorders/>
            <w:shd w:fill="auto" w:val="clear"/>
          </w:tcPr>
          <w:p>
            <w:pPr>
              <w:pStyle w:val="TableContents"/>
              <w:spacing w:before="0" w:after="283"/>
              <w:rPr/>
            </w:pPr>
            <w:r>
              <w:rPr/>
              <w:t>(.).</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3.</w:t>
            </w:r>
          </w:p>
        </w:tc>
        <w:tc>
          <w:tcPr>
            <w:tcW w:w="9697" w:type="dxa"/>
            <w:tcBorders/>
            <w:shd w:fill="auto" w:val="clear"/>
          </w:tcPr>
          <w:p>
            <w:pPr>
              <w:pStyle w:val="TableContents"/>
              <w:spacing w:before="0" w:after="283"/>
              <w:jc w:val="left"/>
              <w:rPr/>
            </w:pPr>
            <w:r>
              <w:rPr/>
              <w:t>We confirm that on the date of the present application [each Initial Requirement for [Tranche B] / [Tranche C] / [Tranche D] specified in the Article 4.1 has been made (</w:t>
            </w:r>
            <w:r>
              <w:rPr>
                <w:i/>
              </w:rPr>
              <w:t>Initial Requirements</w:t>
            </w:r>
            <w:r>
              <w:rPr/>
              <w:t>) of the Agreement and]1 all assurances of the circumstances listed in the Article 16 (</w:t>
            </w:r>
            <w:r>
              <w:rPr>
                <w:i/>
              </w:rPr>
              <w:t>Assurances of Circumstances</w:t>
            </w:r>
            <w:r>
              <w:rPr/>
              <w:t xml:space="preserve">) of the Agreement are true.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4.</w:t>
            </w:r>
          </w:p>
        </w:tc>
        <w:tc>
          <w:tcPr>
            <w:tcW w:w="9697" w:type="dxa"/>
            <w:tcBorders/>
            <w:shd w:fill="auto" w:val="clear"/>
          </w:tcPr>
          <w:p>
            <w:pPr>
              <w:pStyle w:val="TableContents"/>
              <w:spacing w:before="0" w:after="283"/>
              <w:jc w:val="left"/>
              <w:rPr/>
            </w:pPr>
            <w:r>
              <w:rPr/>
              <w:t xml:space="preserve">The present Credit funds shall be transferred to the (Account).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5.</w:t>
            </w:r>
          </w:p>
        </w:tc>
        <w:tc>
          <w:tcPr>
            <w:tcW w:w="9696" w:type="dxa"/>
            <w:tcBorders/>
            <w:shd w:fill="auto" w:val="clear"/>
          </w:tcPr>
          <w:p>
            <w:pPr>
              <w:pStyle w:val="TableContents"/>
              <w:spacing w:before="0" w:after="283"/>
              <w:jc w:val="left"/>
              <w:rPr/>
            </w:pPr>
            <w:r>
              <w:rPr/>
              <w:t xml:space="preserve">The Present Selection Application is irrevocable. </w:t>
            </w:r>
          </w:p>
        </w:tc>
      </w:tr>
    </w:tbl>
    <w:p>
      <w:pPr>
        <w:pStyle w:val="TextBody"/>
        <w:spacing w:before="240" w:after="0"/>
        <w:rPr>
          <w:rFonts w:ascii="Times New Roman" w:hAnsi="Times New Roman"/>
          <w:sz w:val="20"/>
        </w:rPr>
      </w:pPr>
      <w:r>
        <w:rPr>
          <w:rFonts w:ascii="Times New Roman" w:hAnsi="Times New Roman"/>
          <w:sz w:val="20"/>
        </w:rPr>
        <w:t xml:space="preserve">Best regards, </w:t>
      </w:r>
    </w:p>
    <w:p>
      <w:pPr>
        <w:pStyle w:val="TextBody"/>
        <w:spacing w:before="0" w:after="0"/>
        <w:rPr/>
      </w:pPr>
      <w:r>
        <w:rPr/>
        <w:t> </w:t>
      </w:r>
    </w:p>
    <w:p>
      <w:pPr>
        <w:pStyle w:val="TextBody"/>
        <w:spacing w:before="120" w:after="0"/>
        <w:rPr/>
      </w:pPr>
      <w:r>
        <w:rPr>
          <w:u w:val="single"/>
        </w:rPr>
        <w:t>                                             </w:t>
      </w:r>
      <w:r>
        <w:rPr/>
        <w:t xml:space="preserve"> </w:t>
      </w:r>
    </w:p>
    <w:p>
      <w:pPr>
        <w:pStyle w:val="TextBody"/>
        <w:spacing w:before="480" w:after="0"/>
        <w:rPr>
          <w:rFonts w:ascii="Times New Roman" w:hAnsi="Times New Roman"/>
          <w:sz w:val="20"/>
        </w:rPr>
      </w:pPr>
      <w:r>
        <w:rPr>
          <w:rFonts w:ascii="Times New Roman" w:hAnsi="Times New Roman"/>
          <w:sz w:val="20"/>
        </w:rPr>
        <w:t xml:space="preserve">Authorised Representative </w:t>
      </w:r>
    </w:p>
    <w:p>
      <w:pPr>
        <w:pStyle w:val="TextBody"/>
        <w:spacing w:before="240" w:after="0"/>
        <w:rPr>
          <w:rFonts w:ascii="Times New Roman" w:hAnsi="Times New Roman"/>
          <w:sz w:val="20"/>
        </w:rPr>
      </w:pPr>
      <w:r>
        <w:rPr>
          <w:rFonts w:ascii="Times New Roman" w:hAnsi="Times New Roman"/>
          <w:sz w:val="20"/>
        </w:rPr>
        <w:t>(</w:t>
      </w:r>
      <w:r>
        <w:rPr>
          <w:rFonts w:ascii="Times New Roman" w:hAnsi="Times New Roman"/>
          <w:i/>
          <w:sz w:val="20"/>
        </w:rPr>
        <w:t>the Borrower’s name</w:t>
      </w:r>
      <w:r>
        <w:rPr>
          <w:rFonts w:ascii="Times New Roman" w:hAnsi="Times New Roman"/>
          <w:sz w:val="20"/>
        </w:rPr>
        <w:t xml:space="preserve">) </w:t>
      </w:r>
    </w:p>
    <w:p>
      <w:pPr>
        <w:pStyle w:val="TextBody"/>
        <w:pBdr>
          <w:bottom w:val="single" w:sz="2" w:space="1" w:color="000000"/>
        </w:pBdr>
        <w:spacing w:lineRule="atLeast" w:line="160" w:before="0" w:after="40"/>
        <w:rPr/>
      </w:pPr>
      <w:r>
        <w:rPr/>
        <w:t> </w:t>
      </w:r>
    </w:p>
    <w:tbl>
      <w:tblPr>
        <w:tblW w:w="5000" w:type="pct"/>
        <w:jc w:val="left"/>
        <w:tblInd w:w="0" w:type="dxa"/>
        <w:tblBorders/>
        <w:tblCellMar>
          <w:top w:w="0" w:type="dxa"/>
          <w:left w:w="0" w:type="dxa"/>
          <w:bottom w:w="0" w:type="dxa"/>
          <w:right w:w="0" w:type="dxa"/>
        </w:tblCellMar>
      </w:tblPr>
      <w:tblGrid>
        <w:gridCol w:w="406"/>
        <w:gridCol w:w="9798"/>
      </w:tblGrid>
      <w:tr>
        <w:trPr/>
        <w:tc>
          <w:tcPr>
            <w:tcW w:w="406" w:type="dxa"/>
            <w:tcBorders/>
            <w:shd w:fill="auto" w:val="clear"/>
          </w:tcPr>
          <w:p>
            <w:pPr>
              <w:pStyle w:val="TableContents"/>
              <w:spacing w:before="0" w:after="283"/>
              <w:jc w:val="left"/>
              <w:rPr/>
            </w:pPr>
            <w:r>
              <w:rPr/>
              <w:t>1 </w:t>
            </w:r>
          </w:p>
        </w:tc>
        <w:tc>
          <w:tcPr>
            <w:tcW w:w="9798" w:type="dxa"/>
            <w:tcBorders/>
            <w:shd w:fill="auto" w:val="clear"/>
          </w:tcPr>
          <w:p>
            <w:pPr>
              <w:pStyle w:val="TableContents"/>
              <w:spacing w:before="0" w:after="283"/>
              <w:jc w:val="left"/>
              <w:rPr/>
            </w:pPr>
            <w:r>
              <w:rPr/>
              <w:t xml:space="preserve">Include the text in brackets only in the Selection Application according to the Tranche B, Tranche C, Tranche D.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APPENDIX 4 </w:t>
      </w:r>
    </w:p>
    <w:p>
      <w:pPr>
        <w:pStyle w:val="TextBody"/>
        <w:spacing w:before="240" w:after="0"/>
        <w:jc w:val="center"/>
        <w:rPr>
          <w:rFonts w:ascii="Times New Roman" w:hAnsi="Times New Roman"/>
          <w:sz w:val="20"/>
        </w:rPr>
      </w:pPr>
      <w:r>
        <w:rPr>
          <w:rFonts w:ascii="Times New Roman" w:hAnsi="Times New Roman"/>
          <w:sz w:val="20"/>
        </w:rPr>
        <w:t xml:space="preserve">FORM OF ASSIGNMENT AGREEMENT </w:t>
      </w:r>
    </w:p>
    <w:p>
      <w:pPr>
        <w:pStyle w:val="TextBody"/>
        <w:spacing w:before="240" w:after="0"/>
        <w:jc w:val="center"/>
        <w:rPr>
          <w:rFonts w:ascii="Times New Roman" w:hAnsi="Times New Roman"/>
          <w:sz w:val="20"/>
        </w:rPr>
      </w:pPr>
      <w:r>
        <w:rPr>
          <w:rFonts w:ascii="Times New Roman" w:hAnsi="Times New Roman"/>
          <w:sz w:val="20"/>
        </w:rPr>
        <w:t xml:space="preserve">THE AGREEMENT </w:t>
      </w:r>
    </w:p>
    <w:p>
      <w:pPr>
        <w:pStyle w:val="TextBody"/>
        <w:spacing w:before="240" w:after="0"/>
        <w:jc w:val="center"/>
        <w:rPr>
          <w:rFonts w:ascii="Times New Roman" w:hAnsi="Times New Roman"/>
          <w:sz w:val="20"/>
        </w:rPr>
      </w:pPr>
      <w:r>
        <w:rPr>
          <w:rFonts w:ascii="Times New Roman" w:hAnsi="Times New Roman"/>
          <w:sz w:val="20"/>
        </w:rPr>
        <w:t xml:space="preserve">OF THE RIGHTS (REQUIREMENTS) ASSIGNMENT (AND THE DEBT TRANSFER) </w:t>
      </w:r>
    </w:p>
    <w:p>
      <w:pPr>
        <w:pStyle w:val="TextBody"/>
        <w:spacing w:before="240" w:after="0"/>
        <w:jc w:val="center"/>
        <w:rPr/>
      </w:pPr>
      <w:r>
        <w:rPr/>
        <w:t>                                                         </w:t>
      </w:r>
      <w:r>
        <w:rPr>
          <w:rFonts w:ascii="Times New Roman" w:hAnsi="Times New Roman"/>
          <w:sz w:val="20"/>
        </w:rPr>
        <w:t xml:space="preserve">(.) date </w:t>
      </w:r>
    </w:p>
    <w:p>
      <w:pPr>
        <w:pStyle w:val="TextBody"/>
        <w:spacing w:before="240" w:after="0"/>
        <w:jc w:val="center"/>
        <w:rPr>
          <w:rFonts w:ascii="Times New Roman" w:hAnsi="Times New Roman"/>
          <w:sz w:val="20"/>
        </w:rPr>
      </w:pPr>
      <w:r>
        <w:rPr>
          <w:rFonts w:ascii="Times New Roman" w:hAnsi="Times New Roman"/>
          <w:sz w:val="20"/>
        </w:rPr>
        <w:t xml:space="preserve">BETWEEN </w:t>
      </w:r>
    </w:p>
    <w:p>
      <w:pPr>
        <w:pStyle w:val="TextBody"/>
        <w:spacing w:before="240" w:after="0"/>
        <w:jc w:val="center"/>
        <w:rPr>
          <w:rFonts w:ascii="Times New Roman" w:hAnsi="Times New Roman"/>
          <w:i/>
          <w:sz w:val="20"/>
        </w:rPr>
      </w:pPr>
      <w:r>
        <w:rPr>
          <w:rFonts w:ascii="Times New Roman" w:hAnsi="Times New Roman"/>
          <w:i/>
          <w:sz w:val="20"/>
        </w:rPr>
        <w:t xml:space="preserve">(THE EXISTING CREDITOR) </w:t>
      </w:r>
    </w:p>
    <w:p>
      <w:pPr>
        <w:pStyle w:val="TextBody"/>
        <w:spacing w:before="240" w:after="0"/>
        <w:jc w:val="center"/>
        <w:rPr>
          <w:rFonts w:ascii="Times New Roman" w:hAnsi="Times New Roman"/>
          <w:i/>
          <w:sz w:val="20"/>
        </w:rPr>
      </w:pPr>
      <w:r>
        <w:rPr>
          <w:rFonts w:ascii="Times New Roman" w:hAnsi="Times New Roman"/>
          <w:i/>
          <w:sz w:val="20"/>
        </w:rPr>
        <w:t xml:space="preserve">(THE NEW CREDITOR)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i/>
          <w:sz w:val="20"/>
        </w:rPr>
      </w:pPr>
      <w:r>
        <w:rPr>
          <w:rFonts w:ascii="Times New Roman" w:hAnsi="Times New Roman"/>
          <w:i/>
          <w:sz w:val="20"/>
        </w:rPr>
        <w:t xml:space="preserve">(THE CREDIT AGENT)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THE PRESENT AGREEMENT OF THE RIGHTS (REQUIREMENTS) ASSIGNMENT (AND THE DEBT TRANSFER) (hereinafter referred to as the Creditor’s Assignment Agreement) is concluded (.) date </w:t>
      </w:r>
    </w:p>
    <w:p>
      <w:pPr>
        <w:pStyle w:val="TextBody"/>
        <w:spacing w:before="240" w:after="0"/>
        <w:rPr>
          <w:rFonts w:ascii="Times New Roman" w:hAnsi="Times New Roman"/>
          <w:sz w:val="20"/>
        </w:rPr>
      </w:pPr>
      <w:r>
        <w:rPr>
          <w:rFonts w:ascii="Times New Roman" w:hAnsi="Times New Roman"/>
          <w:sz w:val="20"/>
        </w:rPr>
        <w:t xml:space="preserve">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w:t>
            </w:r>
          </w:p>
        </w:tc>
        <w:tc>
          <w:tcPr>
            <w:tcW w:w="9695" w:type="dxa"/>
            <w:tcBorders/>
            <w:shd w:fill="auto" w:val="clear"/>
          </w:tcPr>
          <w:p>
            <w:pPr>
              <w:pStyle w:val="TableContents"/>
              <w:spacing w:before="0" w:after="283"/>
              <w:jc w:val="left"/>
              <w:rPr/>
            </w:pPr>
            <w:r>
              <w:rPr/>
              <w:t>(.) (open/public)/(closed) joint stock company)/(limited liability company) established in accordance with the legislation of the Russian Federation, registered in the Unified State Register of Legal Entities of the Russian Federation under the number (OGRN): (.), the place of location: (</w:t>
            </w:r>
            <w:r>
              <w:rPr>
                <w:i/>
              </w:rPr>
              <w:t>address</w:t>
            </w:r>
            <w:r>
              <w:rPr/>
              <w:t>), in the person of (</w:t>
            </w:r>
            <w:r>
              <w:rPr>
                <w:i/>
              </w:rPr>
              <w:t>indicate full name</w:t>
            </w:r>
            <w:r>
              <w:rPr/>
              <w:t xml:space="preserve">), acting on the basis of the (power of attorney), (the charter) OR (the company/legal entity/limited liability company/(open/public)/(closed) joint stock company), established/organized and existed) in accordance with the rules of law (jurisdiction), (with a place of location/registration/ main office of which is located according to the address (address), in the person of (indicate full name), acting on the basis of (the power of attorney)/(the charter) as assignor (hereinafter referred to as – the Existing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w:t>
            </w:r>
          </w:p>
        </w:tc>
        <w:tc>
          <w:tcPr>
            <w:tcW w:w="9695" w:type="dxa"/>
            <w:tcBorders/>
            <w:shd w:fill="auto" w:val="clear"/>
          </w:tcPr>
          <w:p>
            <w:pPr>
              <w:pStyle w:val="TableContents"/>
              <w:spacing w:before="0" w:after="283"/>
              <w:jc w:val="left"/>
              <w:rPr/>
            </w:pPr>
            <w:r>
              <w:rPr/>
              <w:t>(.) (open/public)/(closed) joint stock company)/(limited liability company) established in accordance with the legislation of the Russian Federation, registered in the Unified State Register of Legal Entities of the Russian Federation under the number (OGRN): (.), the place of location: (</w:t>
            </w:r>
            <w:r>
              <w:rPr>
                <w:i/>
              </w:rPr>
              <w:t>address</w:t>
            </w:r>
            <w:r>
              <w:rPr/>
              <w:t>), in the person of (</w:t>
            </w:r>
            <w:r>
              <w:rPr>
                <w:i/>
              </w:rPr>
              <w:t>indicate full name</w:t>
            </w:r>
            <w:r>
              <w:rPr/>
              <w:t xml:space="preserve">), acting on the basis of the (power of attorney), (the charter) OR (the company/legal entity/limited liability company/(open/public)/(closed) joint stock company), established/organized and existed) in accordance with the rules of law (jurisdiction), (with a place of location/registration/ main office of which is located according to the address (address), in the person of (indicate full name), acting on the basis of (the power of attorney)/(the charter) as assignor (hereinafter referred to as – the New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w:t>
            </w:r>
          </w:p>
        </w:tc>
        <w:tc>
          <w:tcPr>
            <w:tcW w:w="9695" w:type="dxa"/>
            <w:tcBorders/>
            <w:shd w:fill="auto" w:val="clear"/>
          </w:tcPr>
          <w:p>
            <w:pPr>
              <w:pStyle w:val="TableContents"/>
              <w:spacing w:before="0" w:after="283"/>
              <w:jc w:val="left"/>
              <w:rPr/>
            </w:pPr>
            <w:r>
              <w:rPr/>
              <w:t>(.) (</w:t>
            </w:r>
            <w:r>
              <w:rPr>
                <w:i/>
              </w:rPr>
              <w:t>indicate the full name of the bank – the Credit Agent</w:t>
            </w:r>
            <w:r>
              <w:rPr/>
              <w:t xml:space="preserve">) as the credit agent (hereinafter referred to as - the Credit Agent). </w:t>
            </w:r>
          </w:p>
        </w:tc>
      </w:tr>
    </w:tbl>
    <w:p>
      <w:pPr>
        <w:pStyle w:val="TextBody"/>
        <w:spacing w:before="360" w:after="0"/>
        <w:rPr>
          <w:rFonts w:ascii="Times New Roman" w:hAnsi="Times New Roman"/>
          <w:sz w:val="20"/>
        </w:rPr>
      </w:pPr>
      <w:r>
        <w:rPr>
          <w:rFonts w:ascii="Times New Roman" w:hAnsi="Times New Roman"/>
          <w:sz w:val="20"/>
        </w:rPr>
        <w:t xml:space="preserve">THE PARTIES AGREED about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b/>
              </w:rPr>
            </w:pPr>
            <w:r>
              <w:rPr>
                <w:b/>
              </w:rPr>
              <w:t>1.</w:t>
            </w:r>
          </w:p>
        </w:tc>
        <w:tc>
          <w:tcPr>
            <w:tcW w:w="9696" w:type="dxa"/>
            <w:tcBorders/>
            <w:shd w:fill="auto" w:val="clear"/>
          </w:tcPr>
          <w:p>
            <w:pPr>
              <w:pStyle w:val="TableContents"/>
              <w:spacing w:before="0" w:after="283"/>
              <w:jc w:val="left"/>
              <w:rPr/>
            </w:pPr>
            <w:r>
              <w:rPr/>
              <w:t xml:space="preserve">INTERPRETATION </w:t>
            </w:r>
          </w:p>
        </w:tc>
      </w:tr>
    </w:tbl>
    <w:p>
      <w:pPr>
        <w:pStyle w:val="TextBody"/>
        <w:spacing w:before="120" w:after="0"/>
        <w:rPr>
          <w:rFonts w:ascii="Times New Roman" w:hAnsi="Times New Roman"/>
          <w:sz w:val="20"/>
        </w:rPr>
      </w:pPr>
      <w:r>
        <w:rPr>
          <w:rFonts w:ascii="Times New Roman" w:hAnsi="Times New Roman"/>
          <w:sz w:val="20"/>
        </w:rPr>
        <w:t xml:space="preserve">The terms defined in the Credit Agreement have the same meaning in this Creditor’s Assignment Agreement unless they are otherwise given in this Creditor’s Assignment Agreement. </w:t>
      </w:r>
    </w:p>
    <w:p>
      <w:pPr>
        <w:pStyle w:val="TextBody"/>
        <w:spacing w:before="240" w:after="0"/>
        <w:rPr>
          <w:rFonts w:ascii="Times New Roman" w:hAnsi="Times New Roman"/>
          <w:sz w:val="20"/>
        </w:rPr>
      </w:pPr>
      <w:r>
        <w:rPr>
          <w:rFonts w:ascii="Times New Roman" w:hAnsi="Times New Roman"/>
          <w:sz w:val="20"/>
        </w:rPr>
        <w:t xml:space="preserve">In the present Credit’s Assignment Agreement the terms are: </w:t>
      </w:r>
    </w:p>
    <w:p>
      <w:pPr>
        <w:pStyle w:val="TextBody"/>
        <w:spacing w:before="240" w:after="0"/>
        <w:rPr>
          <w:rFonts w:ascii="Times New Roman" w:hAnsi="Times New Roman"/>
          <w:sz w:val="20"/>
        </w:rPr>
      </w:pPr>
      <w:r>
        <w:rPr>
          <w:rFonts w:ascii="Times New Roman" w:hAnsi="Times New Roman"/>
          <w:sz w:val="20"/>
        </w:rPr>
        <w:t xml:space="preserve">The Bank Account is the bank account of the Existing Creditor specified in the clause 4 (b) of this Creditor’s Rights Assignment Agreement. </w:t>
      </w:r>
    </w:p>
    <w:p>
      <w:pPr>
        <w:pStyle w:val="TextBody"/>
        <w:spacing w:before="240" w:after="0"/>
        <w:rPr>
          <w:rFonts w:ascii="Times New Roman" w:hAnsi="Times New Roman"/>
          <w:sz w:val="20"/>
        </w:rPr>
      </w:pPr>
      <w:r>
        <w:rPr>
          <w:rFonts w:ascii="Times New Roman" w:hAnsi="Times New Roman"/>
          <w:sz w:val="20"/>
        </w:rPr>
        <w:t>The Transaction Date is (the date of this Creditor’s Assignment Agreement) / (</w:t>
      </w:r>
      <w:r>
        <w:rPr>
          <w:rFonts w:ascii="Times New Roman" w:hAnsi="Times New Roman"/>
          <w:i/>
          <w:sz w:val="20"/>
        </w:rPr>
        <w:t>indicate the agreed-upon calendar date in which the assignment of rights (claims) and transfer of the debt will occur</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(Debt is the obligation of the Existing Creditor to provide the Borrower with a Credit within its Unused Credit Limit that is equal to the Creditor’s Rights Assignment on the date of this Agreement (● [Rubles] [US Dollar] [Euro].) </w:t>
      </w:r>
    </w:p>
    <w:p>
      <w:pPr>
        <w:pStyle w:val="TextBody"/>
        <w:spacing w:before="240" w:after="0"/>
        <w:rPr>
          <w:rFonts w:ascii="Times New Roman" w:hAnsi="Times New Roman"/>
          <w:sz w:val="20"/>
        </w:rPr>
      </w:pPr>
      <w:r>
        <w:rPr>
          <w:rFonts w:ascii="Times New Roman" w:hAnsi="Times New Roman"/>
          <w:sz w:val="20"/>
        </w:rPr>
        <w:t>The Borrower is (open / public) / (closed) joint stock company) / (limited liability company) established in accordance with the legislation of the Russian Federation registered in the Unified State Register of Legal Entities of the Russian Federation under the number (OGRN): (.), with the place of location according to the address: (</w:t>
      </w:r>
      <w:r>
        <w:rPr>
          <w:rFonts w:ascii="Times New Roman" w:hAnsi="Times New Roman"/>
          <w:i/>
          <w:sz w:val="20"/>
        </w:rPr>
        <w:t>address</w:t>
      </w:r>
      <w:r>
        <w:rPr>
          <w:rFonts w:ascii="Times New Roman" w:hAnsi="Times New Roman"/>
          <w:sz w:val="20"/>
        </w:rPr>
        <w:t>) (, in the person of (</w:t>
      </w:r>
      <w:r>
        <w:rPr>
          <w:rFonts w:ascii="Times New Roman" w:hAnsi="Times New Roman"/>
          <w:i/>
          <w:sz w:val="20"/>
        </w:rPr>
        <w:t>indicate the full name</w:t>
      </w:r>
      <w:r>
        <w:rPr>
          <w:rFonts w:ascii="Times New Roman" w:hAnsi="Times New Roman"/>
          <w:sz w:val="20"/>
        </w:rPr>
        <w:t xml:space="preserve">), acting on the basis of (the power of attorney) (the Charter)).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A credit agreement is the agreement on the provision of a syndicated credit in the amount of 7,000,000,000 rubles dt May 16, 2016, concluded, among other things, between the Existing Creditor and the Borrower (including the changes and additions). </w:t>
      </w:r>
    </w:p>
    <w:p>
      <w:pPr>
        <w:pStyle w:val="TextBody"/>
        <w:spacing w:before="240" w:after="0"/>
        <w:rPr>
          <w:rFonts w:ascii="Times New Roman" w:hAnsi="Times New Roman"/>
          <w:sz w:val="20"/>
        </w:rPr>
      </w:pPr>
      <w:r>
        <w:rPr>
          <w:rFonts w:ascii="Times New Roman" w:hAnsi="Times New Roman"/>
          <w:sz w:val="20"/>
        </w:rPr>
        <w:t>(Rights of Claim are the rights to demand the return of the Outstanding Credit in the amount (</w:t>
      </w:r>
      <w:r>
        <w:rPr>
          <w:rFonts w:ascii="Times New Roman" w:hAnsi="Times New Roman"/>
          <w:i/>
          <w:sz w:val="20"/>
        </w:rPr>
        <w:t>specify the amount of the credit provided to the Borrower by the Existing Creditor on the date of this assignment agreement</w:t>
      </w:r>
      <w:r>
        <w:rPr>
          <w:rFonts w:ascii="Times New Roman" w:hAnsi="Times New Roman"/>
          <w:sz w:val="20"/>
        </w:rPr>
        <w:t xml:space="preserve">), interests, and other payments, due to the Existing Creditor from the Borrower under the terms of the Credit Agreement, and also the rights of claims for each of the Collateral Agreements and each Independent Guarantee). </w:t>
      </w:r>
    </w:p>
    <w:p>
      <w:pPr>
        <w:pStyle w:val="TextBody"/>
        <w:spacing w:before="240" w:after="0"/>
        <w:rPr>
          <w:rFonts w:ascii="Times New Roman" w:hAnsi="Times New Roman"/>
          <w:sz w:val="20"/>
        </w:rPr>
      </w:pPr>
      <w:r>
        <w:rPr>
          <w:rFonts w:ascii="Times New Roman" w:hAnsi="Times New Roman"/>
          <w:sz w:val="20"/>
        </w:rPr>
        <w:t xml:space="preserve">The Parties are the Existing Creditor, the New Creditor, and the Credit Agent, and the Party is each of them. </w:t>
      </w:r>
    </w:p>
    <w:p>
      <w:pPr>
        <w:pStyle w:val="TextBody"/>
        <w:spacing w:before="240" w:after="0"/>
        <w:rPr>
          <w:rFonts w:ascii="Times New Roman" w:hAnsi="Times New Roman"/>
          <w:sz w:val="20"/>
        </w:rPr>
      </w:pPr>
      <w:r>
        <w:rPr>
          <w:rFonts w:ascii="Times New Roman" w:hAnsi="Times New Roman"/>
          <w:sz w:val="20"/>
        </w:rPr>
        <w:t>The Notification is the drawn up in accordance with Annex 1 to the Assignment Agreement of the Creditor’s Rights form notice of assignment of the Rights (</w:t>
      </w:r>
      <w:r>
        <w:rPr>
          <w:rFonts w:ascii="Times New Roman" w:hAnsi="Times New Roman"/>
          <w:i/>
          <w:sz w:val="20"/>
        </w:rPr>
        <w:t>Requirements</w:t>
      </w:r>
      <w:r>
        <w:rPr>
          <w:rFonts w:ascii="Times New Roman" w:hAnsi="Times New Roman"/>
          <w:sz w:val="20"/>
        </w:rPr>
        <w:t xml:space="preserve">) (and transfer of the Debt) of the Existing Creditor under the Credit Agreement on the terms of this Creditor’s Assignment Agreement to the Borrower by the Existing Creditor. </w:t>
      </w:r>
    </w:p>
    <w:p>
      <w:pPr>
        <w:pStyle w:val="TextBody"/>
        <w:spacing w:before="240" w:after="0"/>
        <w:rPr>
          <w:rFonts w:ascii="Times New Roman" w:hAnsi="Times New Roman"/>
          <w:sz w:val="20"/>
        </w:rPr>
      </w:pPr>
      <w:r>
        <w:rPr>
          <w:rFonts w:ascii="Times New Roman" w:hAnsi="Times New Roman"/>
          <w:sz w:val="20"/>
        </w:rPr>
        <w:t xml:space="preserve">The Rights Price (Requirements) is the amount in the sum of (●) ((●)) [Rubles] [Dollars USA] [Euro].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b/>
              </w:rPr>
            </w:pPr>
            <w:r>
              <w:rPr>
                <w:b/>
              </w:rPr>
              <w:t>2.</w:t>
            </w:r>
          </w:p>
        </w:tc>
        <w:tc>
          <w:tcPr>
            <w:tcW w:w="9698" w:type="dxa"/>
            <w:tcBorders/>
            <w:shd w:fill="auto" w:val="clear"/>
          </w:tcPr>
          <w:p>
            <w:pPr>
              <w:pStyle w:val="TableContents"/>
              <w:spacing w:before="0" w:after="283"/>
              <w:jc w:val="left"/>
              <w:rPr/>
            </w:pPr>
            <w:r>
              <w:rPr/>
              <w:t xml:space="preserve">THE SUBJECT OF THE CREDITOR’S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w:t>
            </w:r>
          </w:p>
        </w:tc>
        <w:tc>
          <w:tcPr>
            <w:tcW w:w="9695" w:type="dxa"/>
            <w:tcBorders/>
            <w:shd w:fill="auto" w:val="clear"/>
          </w:tcPr>
          <w:p>
            <w:pPr>
              <w:pStyle w:val="TableContents"/>
              <w:spacing w:before="0" w:after="283"/>
              <w:jc w:val="left"/>
              <w:rPr/>
            </w:pPr>
            <w:r>
              <w:rPr/>
              <w:t xml:space="preserve">(On the Deal Date, the Existing Creditor concedes, and the New Creditor accepts, the Claim Rights in order and under the conditions specified in the Article 22 (Replacement of the Parties) of the Credit Agreement and in the present Creditor’s Rights Assignment Agreement.) / (On the Deal Date, the Existing Creditor transfers and the New Creditor accepts the Debt in order and under the conditions specified in the Article 22 (Replacement of the Parties) of the Credit Agreement and in this Creditor’s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w:t>
            </w:r>
          </w:p>
        </w:tc>
        <w:tc>
          <w:tcPr>
            <w:tcW w:w="9695" w:type="dxa"/>
            <w:tcBorders/>
            <w:shd w:fill="auto" w:val="clear"/>
          </w:tcPr>
          <w:p>
            <w:pPr>
              <w:pStyle w:val="TableContents"/>
              <w:spacing w:before="0" w:after="283"/>
              <w:jc w:val="left"/>
              <w:rPr/>
            </w:pPr>
            <w:r>
              <w:rPr/>
              <w:t xml:space="preserve">The Claims Rights under the Credit Agreement are transferred to the New Creditor free from any Encumbrances.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3.</w:t>
            </w:r>
          </w:p>
        </w:tc>
        <w:tc>
          <w:tcPr>
            <w:tcW w:w="9697" w:type="dxa"/>
            <w:tcBorders/>
            <w:shd w:fill="auto" w:val="clear"/>
          </w:tcPr>
          <w:p>
            <w:pPr>
              <w:pStyle w:val="TableContents"/>
              <w:spacing w:before="0" w:after="283"/>
              <w:jc w:val="left"/>
              <w:rPr/>
            </w:pPr>
            <w:r>
              <w:rPr/>
              <w:t xml:space="preserve">THE ORDER OF THE OBLIGATIONS PERFORMANCE BY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w:t>
            </w:r>
          </w:p>
        </w:tc>
        <w:tc>
          <w:tcPr>
            <w:tcW w:w="9695" w:type="dxa"/>
            <w:tcBorders/>
            <w:shd w:fill="auto" w:val="clear"/>
          </w:tcPr>
          <w:p>
            <w:pPr>
              <w:pStyle w:val="TableContents"/>
              <w:spacing w:before="0" w:after="283"/>
              <w:jc w:val="left"/>
              <w:rPr/>
            </w:pPr>
            <w:r>
              <w:rPr/>
              <w:t xml:space="preserve">(On the Deal Date, the New Creditor pays to the Existing Creditor the Rights (Claims) Price to the Bank Account).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3.2</w:t>
            </w:r>
          </w:p>
        </w:tc>
        <w:tc>
          <w:tcPr>
            <w:tcW w:w="9695" w:type="dxa"/>
            <w:tcBorders/>
            <w:shd w:fill="auto" w:val="clear"/>
          </w:tcPr>
          <w:p>
            <w:pPr>
              <w:pStyle w:val="TableContents"/>
              <w:spacing w:before="0" w:after="283"/>
              <w:jc w:val="left"/>
              <w:rPr/>
            </w:pPr>
            <w:r>
              <w:rPr/>
              <w:t xml:space="preserve">On the Deal Date, the Existing Creditor terminates to be the Creditor by The Credit Agreement (in the part relating to the Claims Rights), and the New Creditor becomes the Creditor under the Credit Agreement [in the part, relating to the Claims Rights) and is subject to all provisions of the Credit Agreement and other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3.3</w:t>
            </w:r>
          </w:p>
        </w:tc>
        <w:tc>
          <w:tcPr>
            <w:tcW w:w="9696" w:type="dxa"/>
            <w:tcBorders/>
            <w:shd w:fill="auto" w:val="clear"/>
          </w:tcPr>
          <w:p>
            <w:pPr>
              <w:pStyle w:val="TableContents"/>
              <w:spacing w:before="0" w:after="283"/>
              <w:jc w:val="left"/>
              <w:rPr/>
            </w:pPr>
            <w:r>
              <w:rPr/>
              <w:t xml:space="preserve">The Existing Creditor confirms that that he does not have any information about the Borrower’s having of any objections to such an Existing Creditor that the Borrower may raise against the New Creditor in accordance with the Article 386 of the Civil Code.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3.4</w:t>
            </w:r>
          </w:p>
        </w:tc>
        <w:tc>
          <w:tcPr>
            <w:tcW w:w="9695" w:type="dxa"/>
            <w:tcBorders/>
            <w:shd w:fill="auto" w:val="clear"/>
          </w:tcPr>
          <w:p>
            <w:pPr>
              <w:pStyle w:val="TableContents"/>
              <w:spacing w:before="0" w:after="283"/>
              <w:jc w:val="left"/>
              <w:rPr/>
            </w:pPr>
            <w:r>
              <w:rPr/>
              <w:t xml:space="preserve">The New Creditor confirms that he is informed about all conditions of the Credit Agreement and other Financial Documents, that he conducted (and will continue to conduct) his own independent study and assessment of the financial condition of each Debtor and did not rely on any information, provided to him by the Existing Creditor, when deciding on the signing of this Creditor’s Rights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3.5</w:t>
            </w:r>
          </w:p>
        </w:tc>
        <w:tc>
          <w:tcPr>
            <w:tcW w:w="9695" w:type="dxa"/>
            <w:tcBorders/>
            <w:shd w:fill="auto" w:val="clear"/>
          </w:tcPr>
          <w:p>
            <w:pPr>
              <w:pStyle w:val="TableContents"/>
              <w:spacing w:before="0" w:after="283"/>
              <w:jc w:val="left"/>
              <w:rPr/>
            </w:pPr>
            <w:r>
              <w:rPr/>
              <w:t xml:space="preserve">The new Creditor confirms the appointment of a Credit Agent as the credit agent in accordance with the Article 23.2 (Appointment of a Credit Agent) of the Credit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3.6</w:t>
            </w:r>
          </w:p>
        </w:tc>
        <w:tc>
          <w:tcPr>
            <w:tcW w:w="9694" w:type="dxa"/>
            <w:tcBorders/>
            <w:shd w:fill="auto" w:val="clear"/>
          </w:tcPr>
          <w:p>
            <w:pPr>
              <w:pStyle w:val="TableContents"/>
              <w:spacing w:before="0" w:after="283"/>
              <w:jc w:val="left"/>
              <w:rPr/>
            </w:pPr>
            <w:r>
              <w:rPr/>
              <w:t xml:space="preserve">On the Deal Date, the Existing Creditor is obliged: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(a)</w:t>
            </w:r>
          </w:p>
        </w:tc>
        <w:tc>
          <w:tcPr>
            <w:tcW w:w="8574" w:type="dxa"/>
            <w:tcBorders/>
            <w:shd w:fill="auto" w:val="clear"/>
          </w:tcPr>
          <w:p>
            <w:pPr>
              <w:pStyle w:val="TableContents"/>
              <w:spacing w:before="0" w:after="283"/>
              <w:jc w:val="left"/>
              <w:rPr/>
            </w:pPr>
            <w:r>
              <w:rPr/>
              <w:t xml:space="preserve">to give the New Creditor the documents which certify all the rights of claim of the Existing Creditor as the Creditor under the Credit Agreement, including the original of the Credit Agreement and other Financial Documents, the Party of which is the Existing Creditor, all the amendments and additions to them, copies of the Selection Applications, as well as all the documents confirming the number of the Rights (Requirements) (and Debt) on the Deal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(b)</w:t>
            </w:r>
          </w:p>
        </w:tc>
        <w:tc>
          <w:tcPr>
            <w:tcW w:w="8573" w:type="dxa"/>
            <w:tcBorders/>
            <w:shd w:fill="auto" w:val="clear"/>
          </w:tcPr>
          <w:p>
            <w:pPr>
              <w:pStyle w:val="TableContents"/>
              <w:spacing w:before="0" w:after="283"/>
              <w:jc w:val="left"/>
              <w:rPr/>
            </w:pPr>
            <w:r>
              <w:rPr/>
              <w:t xml:space="preserve">to give the New Creditor information necessary for the implementation of the Rights (Requirements), including information on the violation of the Credit Agreement by the Borrower;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0"/>
        <w:gridCol w:w="8574"/>
      </w:tblGrid>
      <w:tr>
        <w:trPr/>
        <w:tc>
          <w:tcPr>
            <w:tcW w:w="1020"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(c)</w:t>
            </w:r>
          </w:p>
        </w:tc>
        <w:tc>
          <w:tcPr>
            <w:tcW w:w="8574" w:type="dxa"/>
            <w:tcBorders/>
            <w:shd w:fill="auto" w:val="clear"/>
          </w:tcPr>
          <w:p>
            <w:pPr>
              <w:pStyle w:val="TableContents"/>
              <w:spacing w:before="0" w:after="283"/>
              <w:jc w:val="left"/>
              <w:rPr/>
            </w:pPr>
            <w:r>
              <w:rPr/>
              <w:t xml:space="preserve">to send notification to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3.7</w:t>
            </w:r>
          </w:p>
        </w:tc>
        <w:tc>
          <w:tcPr>
            <w:tcW w:w="9695" w:type="dxa"/>
            <w:tcBorders/>
            <w:shd w:fill="auto" w:val="clear"/>
          </w:tcPr>
          <w:p>
            <w:pPr>
              <w:pStyle w:val="TableContents"/>
              <w:spacing w:before="0" w:after="283"/>
              <w:jc w:val="left"/>
              <w:rPr/>
            </w:pPr>
            <w:r>
              <w:rPr/>
              <w:t xml:space="preserve">The New Creditor’s obligations for payment of the Rights Price (Requirements) are considered to be executed at the time of receipt of the Rights Price (Claims) amount on the Bank Account of the Existing Creditor.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3.8</w:t>
            </w:r>
          </w:p>
        </w:tc>
        <w:tc>
          <w:tcPr>
            <w:tcW w:w="9695" w:type="dxa"/>
            <w:tcBorders/>
            <w:shd w:fill="auto" w:val="clear"/>
          </w:tcPr>
          <w:p>
            <w:pPr>
              <w:pStyle w:val="TableContents"/>
              <w:spacing w:before="0" w:after="283"/>
              <w:jc w:val="left"/>
              <w:rPr/>
            </w:pPr>
            <w:r>
              <w:rPr/>
              <w:t xml:space="preserve">The Parties are obliged to perform all other actions necessary to fulfill their obligations under the present Article 3 (Procedure for Fulfilling Obligations of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4.</w:t>
            </w:r>
          </w:p>
        </w:tc>
        <w:tc>
          <w:tcPr>
            <w:tcW w:w="9697" w:type="dxa"/>
            <w:tcBorders/>
            <w:shd w:fill="auto" w:val="clear"/>
          </w:tcPr>
          <w:p>
            <w:pPr>
              <w:pStyle w:val="TableContents"/>
              <w:spacing w:before="0" w:after="283"/>
              <w:jc w:val="left"/>
              <w:rPr/>
            </w:pPr>
            <w:r>
              <w:rPr/>
              <w:t xml:space="preserve">PAYMENTS </w:t>
            </w:r>
          </w:p>
        </w:tc>
      </w:tr>
    </w:tbl>
    <w:p>
      <w:pPr>
        <w:pStyle w:val="TextBody"/>
        <w:spacing w:before="120" w:after="0"/>
        <w:rPr>
          <w:rFonts w:ascii="Times New Roman" w:hAnsi="Times New Roman"/>
          <w:sz w:val="20"/>
        </w:rPr>
      </w:pPr>
      <w:r>
        <w:rPr>
          <w:rFonts w:ascii="Times New Roman" w:hAnsi="Times New Roman"/>
          <w:sz w:val="20"/>
        </w:rPr>
        <w:t xml:space="preserve">All the payments under the present Creditor’s Rights Assignment Agreement are to be executed by the bank transfer on the following requisites: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(a)</w:t>
            </w:r>
          </w:p>
        </w:tc>
        <w:tc>
          <w:tcPr>
            <w:tcW w:w="9696" w:type="dxa"/>
            <w:tcBorders/>
            <w:shd w:fill="auto" w:val="clear"/>
          </w:tcPr>
          <w:p>
            <w:pPr>
              <w:pStyle w:val="TableContents"/>
              <w:spacing w:before="0" w:after="283"/>
              <w:jc w:val="left"/>
              <w:rPr/>
            </w:pPr>
            <w:r>
              <w:rPr/>
              <w:t xml:space="preserve">The New Creditor (if applicable): </w:t>
            </w:r>
          </w:p>
        </w:tc>
      </w:tr>
    </w:tbl>
    <w:p>
      <w:pPr>
        <w:pStyle w:val="TextBody"/>
        <w:spacing w:before="120" w:after="0"/>
        <w:rPr>
          <w:rFonts w:ascii="Times New Roman" w:hAnsi="Times New Roman"/>
          <w:sz w:val="20"/>
        </w:rPr>
      </w:pPr>
      <w:r>
        <w:rPr>
          <w:rFonts w:ascii="Times New Roman" w:hAnsi="Times New Roman"/>
          <w:sz w:val="20"/>
        </w:rPr>
        <w:t xml:space="preserve">The beneficiary: (●) </w:t>
      </w:r>
    </w:p>
    <w:p>
      <w:pPr>
        <w:pStyle w:val="TextBody"/>
        <w:spacing w:before="120" w:after="0"/>
        <w:rPr>
          <w:rFonts w:ascii="Times New Roman" w:hAnsi="Times New Roman"/>
          <w:sz w:val="20"/>
        </w:rPr>
      </w:pPr>
      <w:r>
        <w:rPr>
          <w:rFonts w:ascii="Times New Roman" w:hAnsi="Times New Roman"/>
          <w:sz w:val="20"/>
        </w:rPr>
        <w:t xml:space="preserve">The location: (●) </w:t>
      </w:r>
    </w:p>
    <w:p>
      <w:pPr>
        <w:pStyle w:val="TextBody"/>
        <w:spacing w:before="120" w:after="0"/>
        <w:rPr>
          <w:rFonts w:ascii="Times New Roman" w:hAnsi="Times New Roman"/>
          <w:sz w:val="20"/>
        </w:rPr>
      </w:pPr>
      <w:r>
        <w:rPr>
          <w:rFonts w:ascii="Times New Roman" w:hAnsi="Times New Roman"/>
          <w:sz w:val="20"/>
        </w:rPr>
        <w:t xml:space="preserve">The Bank: (●) </w:t>
      </w:r>
    </w:p>
    <w:p>
      <w:pPr>
        <w:pStyle w:val="TextBody"/>
        <w:spacing w:before="120" w:after="0"/>
        <w:rPr>
          <w:rFonts w:ascii="Times New Roman" w:hAnsi="Times New Roman"/>
          <w:sz w:val="20"/>
        </w:rPr>
      </w:pPr>
      <w:r>
        <w:rPr>
          <w:rFonts w:ascii="Times New Roman" w:hAnsi="Times New Roman"/>
          <w:sz w:val="20"/>
        </w:rPr>
        <w:t xml:space="preserve">SWIFT: (●) </w:t>
      </w:r>
    </w:p>
    <w:p>
      <w:pPr>
        <w:pStyle w:val="TextBody"/>
        <w:spacing w:before="120" w:after="0"/>
        <w:rPr>
          <w:rFonts w:ascii="Times New Roman" w:hAnsi="Times New Roman"/>
          <w:sz w:val="20"/>
        </w:rPr>
      </w:pPr>
      <w:r>
        <w:rPr>
          <w:rFonts w:ascii="Times New Roman" w:hAnsi="Times New Roman"/>
          <w:sz w:val="20"/>
        </w:rPr>
        <w:t xml:space="preserve">IBAN: (●) </w:t>
      </w:r>
    </w:p>
    <w:p>
      <w:pPr>
        <w:pStyle w:val="TextBody"/>
        <w:spacing w:before="120" w:after="0"/>
        <w:rPr>
          <w:rFonts w:ascii="Times New Roman" w:hAnsi="Times New Roman"/>
          <w:sz w:val="20"/>
        </w:rPr>
      </w:pPr>
      <w:r>
        <w:rPr>
          <w:rFonts w:ascii="Times New Roman" w:hAnsi="Times New Roman"/>
          <w:sz w:val="20"/>
        </w:rPr>
        <w:t xml:space="preserve">The Bank account: (●) </w:t>
      </w:r>
    </w:p>
    <w:p>
      <w:pPr>
        <w:pStyle w:val="TextBody"/>
        <w:spacing w:before="120" w:after="0"/>
        <w:rPr>
          <w:rFonts w:ascii="Times New Roman" w:hAnsi="Times New Roman"/>
          <w:sz w:val="20"/>
        </w:rPr>
      </w:pPr>
      <w:r>
        <w:rPr>
          <w:rFonts w:ascii="Times New Roman" w:hAnsi="Times New Roman"/>
          <w:sz w:val="20"/>
        </w:rPr>
        <w:t xml:space="preserve">or another account indicated by the New Creditor in a written form.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(b)</w:t>
            </w:r>
          </w:p>
        </w:tc>
        <w:tc>
          <w:tcPr>
            <w:tcW w:w="9695" w:type="dxa"/>
            <w:tcBorders/>
            <w:shd w:fill="auto" w:val="clear"/>
          </w:tcPr>
          <w:p>
            <w:pPr>
              <w:pStyle w:val="TableContents"/>
              <w:spacing w:before="0" w:after="283"/>
              <w:jc w:val="left"/>
              <w:rPr/>
            </w:pPr>
            <w:r>
              <w:rPr/>
              <w:t xml:space="preserve">The Existing Creditor: </w:t>
            </w:r>
          </w:p>
        </w:tc>
      </w:tr>
    </w:tbl>
    <w:p>
      <w:pPr>
        <w:pStyle w:val="TextBody"/>
        <w:spacing w:before="120" w:after="0"/>
        <w:rPr>
          <w:rFonts w:ascii="Times New Roman" w:hAnsi="Times New Roman"/>
          <w:sz w:val="20"/>
        </w:rPr>
      </w:pPr>
      <w:r>
        <w:rPr>
          <w:rFonts w:ascii="Times New Roman" w:hAnsi="Times New Roman"/>
          <w:sz w:val="20"/>
        </w:rPr>
        <w:t xml:space="preserve">The beneficiary: (●) </w:t>
      </w:r>
    </w:p>
    <w:p>
      <w:pPr>
        <w:pStyle w:val="TextBody"/>
        <w:spacing w:before="120" w:after="0"/>
        <w:rPr>
          <w:rFonts w:ascii="Times New Roman" w:hAnsi="Times New Roman"/>
          <w:sz w:val="20"/>
        </w:rPr>
      </w:pPr>
      <w:r>
        <w:rPr>
          <w:rFonts w:ascii="Times New Roman" w:hAnsi="Times New Roman"/>
          <w:sz w:val="20"/>
        </w:rPr>
        <w:t xml:space="preserve">The location: (●) </w:t>
      </w:r>
    </w:p>
    <w:p>
      <w:pPr>
        <w:pStyle w:val="TextBody"/>
        <w:spacing w:before="120" w:after="0"/>
        <w:rPr>
          <w:rFonts w:ascii="Times New Roman" w:hAnsi="Times New Roman"/>
          <w:sz w:val="20"/>
        </w:rPr>
      </w:pPr>
      <w:r>
        <w:rPr>
          <w:rFonts w:ascii="Times New Roman" w:hAnsi="Times New Roman"/>
          <w:sz w:val="20"/>
        </w:rPr>
        <w:t xml:space="preserve">The Bank: (●) </w:t>
      </w:r>
    </w:p>
    <w:p>
      <w:pPr>
        <w:pStyle w:val="TextBody"/>
        <w:spacing w:before="120" w:after="0"/>
        <w:rPr>
          <w:rFonts w:ascii="Times New Roman" w:hAnsi="Times New Roman"/>
          <w:sz w:val="20"/>
        </w:rPr>
      </w:pPr>
      <w:r>
        <w:rPr>
          <w:rFonts w:ascii="Times New Roman" w:hAnsi="Times New Roman"/>
          <w:sz w:val="20"/>
        </w:rPr>
        <w:t xml:space="preserve">SWIFT: (●) </w:t>
      </w:r>
    </w:p>
    <w:p>
      <w:pPr>
        <w:pStyle w:val="TextBody"/>
        <w:spacing w:before="120" w:after="0"/>
        <w:rPr>
          <w:rFonts w:ascii="Times New Roman" w:hAnsi="Times New Roman"/>
          <w:sz w:val="20"/>
        </w:rPr>
      </w:pPr>
      <w:r>
        <w:rPr>
          <w:rFonts w:ascii="Times New Roman" w:hAnsi="Times New Roman"/>
          <w:sz w:val="20"/>
        </w:rPr>
        <w:t xml:space="preserve">The correspondent account: (●) </w:t>
      </w:r>
    </w:p>
    <w:p>
      <w:pPr>
        <w:pStyle w:val="TextBody"/>
        <w:spacing w:before="120" w:after="0"/>
        <w:rPr>
          <w:rFonts w:ascii="Times New Roman" w:hAnsi="Times New Roman"/>
          <w:sz w:val="20"/>
        </w:rPr>
      </w:pPr>
      <w:r>
        <w:rPr>
          <w:rFonts w:ascii="Times New Roman" w:hAnsi="Times New Roman"/>
          <w:sz w:val="20"/>
        </w:rPr>
        <w:t xml:space="preserve">The current account: (●) </w:t>
      </w:r>
    </w:p>
    <w:p>
      <w:pPr>
        <w:pStyle w:val="TextBody"/>
        <w:spacing w:before="120" w:after="0"/>
        <w:rPr>
          <w:rFonts w:ascii="Times New Roman" w:hAnsi="Times New Roman"/>
          <w:sz w:val="20"/>
        </w:rPr>
      </w:pPr>
      <w:r>
        <w:rPr>
          <w:rFonts w:ascii="Times New Roman" w:hAnsi="Times New Roman"/>
          <w:sz w:val="20"/>
        </w:rPr>
        <w:t xml:space="preserve">BIC: (●) </w:t>
      </w:r>
    </w:p>
    <w:p>
      <w:pPr>
        <w:pStyle w:val="TextBody"/>
        <w:spacing w:before="120" w:after="0"/>
        <w:rPr>
          <w:rFonts w:ascii="Times New Roman" w:hAnsi="Times New Roman"/>
          <w:sz w:val="20"/>
        </w:rPr>
      </w:pPr>
      <w:r>
        <w:rPr>
          <w:rFonts w:ascii="Times New Roman" w:hAnsi="Times New Roman"/>
          <w:sz w:val="20"/>
        </w:rPr>
        <w:t xml:space="preserve">or another account indicated by the Existing Creditor in a written form.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5.</w:t>
            </w:r>
          </w:p>
        </w:tc>
        <w:tc>
          <w:tcPr>
            <w:tcW w:w="9697" w:type="dxa"/>
            <w:tcBorders/>
            <w:shd w:fill="auto" w:val="clear"/>
          </w:tcPr>
          <w:p>
            <w:pPr>
              <w:pStyle w:val="TableContents"/>
              <w:spacing w:before="0" w:after="283"/>
              <w:jc w:val="left"/>
              <w:rPr/>
            </w:pPr>
            <w:r>
              <w:rPr/>
              <w:t xml:space="preserve">NOTIFICATIONS </w:t>
            </w:r>
          </w:p>
        </w:tc>
      </w:tr>
    </w:tbl>
    <w:p>
      <w:pPr>
        <w:pStyle w:val="TextBody"/>
        <w:spacing w:before="120" w:after="0"/>
        <w:rPr>
          <w:rFonts w:ascii="Times New Roman" w:hAnsi="Times New Roman"/>
          <w:sz w:val="20"/>
        </w:rPr>
      </w:pPr>
      <w:r>
        <w:rPr>
          <w:rFonts w:ascii="Times New Roman" w:hAnsi="Times New Roman"/>
          <w:sz w:val="20"/>
        </w:rPr>
        <w:t xml:space="preserve">Any notifications or other official documents, sent in accordance with the present Creditor’s Rights Assignment Agreement, shall be made in a written form and may be delivered personally, sent by fax or registered mail with a delivery receipt to the following addresses: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(a)</w:t>
            </w:r>
          </w:p>
        </w:tc>
        <w:tc>
          <w:tcPr>
            <w:tcW w:w="9695" w:type="dxa"/>
            <w:tcBorders/>
            <w:shd w:fill="auto" w:val="clear"/>
          </w:tcPr>
          <w:p>
            <w:pPr>
              <w:pStyle w:val="TableContents"/>
              <w:spacing w:before="0" w:after="283"/>
              <w:jc w:val="left"/>
              <w:rPr/>
            </w:pPr>
            <w:r>
              <w:rPr/>
              <w:t xml:space="preserve">The New Creditor: </w:t>
            </w:r>
          </w:p>
        </w:tc>
      </w:tr>
    </w:tbl>
    <w:p>
      <w:pPr>
        <w:pStyle w:val="TextBody"/>
        <w:spacing w:before="120" w:after="0"/>
        <w:rPr>
          <w:rFonts w:ascii="Times New Roman" w:hAnsi="Times New Roman"/>
          <w:sz w:val="20"/>
        </w:rPr>
      </w:pP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Attention: (●) </w:t>
      </w:r>
    </w:p>
    <w:p>
      <w:pPr>
        <w:pStyle w:val="TextBody"/>
        <w:spacing w:before="120" w:after="0"/>
        <w:rPr>
          <w:rFonts w:ascii="Times New Roman" w:hAnsi="Times New Roman"/>
          <w:sz w:val="20"/>
        </w:rPr>
      </w:pPr>
      <w:r>
        <w:rPr>
          <w:rFonts w:ascii="Times New Roman" w:hAnsi="Times New Roman"/>
          <w:sz w:val="20"/>
        </w:rPr>
        <w:t xml:space="preserve">e-mail: (●) </w:t>
      </w:r>
    </w:p>
    <w:p>
      <w:pPr>
        <w:pStyle w:val="TextBody"/>
        <w:spacing w:before="120" w:after="0"/>
        <w:rPr>
          <w:rFonts w:ascii="Times New Roman" w:hAnsi="Times New Roman"/>
          <w:sz w:val="20"/>
        </w:rPr>
      </w:pPr>
      <w:r>
        <w:rPr>
          <w:rFonts w:ascii="Times New Roman" w:hAnsi="Times New Roman"/>
          <w:sz w:val="20"/>
        </w:rPr>
        <w:t xml:space="preserve">Telephone: (●) </w:t>
      </w:r>
    </w:p>
    <w:p>
      <w:pPr>
        <w:pStyle w:val="TextBody"/>
        <w:spacing w:before="120" w:after="0"/>
        <w:rPr>
          <w:rFonts w:ascii="Times New Roman" w:hAnsi="Times New Roman"/>
          <w:sz w:val="20"/>
        </w:rPr>
      </w:pPr>
      <w:r>
        <w:rPr>
          <w:rFonts w:ascii="Times New Roman" w:hAnsi="Times New Roman"/>
          <w:sz w:val="20"/>
        </w:rPr>
        <w:t xml:space="preserve">Fax: (●)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(b)</w:t>
            </w:r>
          </w:p>
        </w:tc>
        <w:tc>
          <w:tcPr>
            <w:tcW w:w="9695" w:type="dxa"/>
            <w:tcBorders/>
            <w:shd w:fill="auto" w:val="clear"/>
          </w:tcPr>
          <w:p>
            <w:pPr>
              <w:pStyle w:val="TableContents"/>
              <w:spacing w:before="0" w:after="283"/>
              <w:jc w:val="left"/>
              <w:rPr/>
            </w:pPr>
            <w:r>
              <w:rPr/>
              <w:t xml:space="preserve">The Existing Creditor: </w:t>
            </w:r>
          </w:p>
        </w:tc>
      </w:tr>
    </w:tbl>
    <w:p>
      <w:pPr>
        <w:pStyle w:val="TextBody"/>
        <w:spacing w:before="120" w:after="0"/>
        <w:rPr>
          <w:rFonts w:ascii="Times New Roman" w:hAnsi="Times New Roman"/>
          <w:sz w:val="20"/>
        </w:rPr>
      </w:pP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Attention: (●) </w:t>
      </w:r>
    </w:p>
    <w:p>
      <w:pPr>
        <w:pStyle w:val="TextBody"/>
        <w:spacing w:before="120" w:after="0"/>
        <w:rPr>
          <w:rFonts w:ascii="Times New Roman" w:hAnsi="Times New Roman"/>
          <w:sz w:val="20"/>
        </w:rPr>
      </w:pPr>
      <w:r>
        <w:rPr>
          <w:rFonts w:ascii="Times New Roman" w:hAnsi="Times New Roman"/>
          <w:sz w:val="20"/>
        </w:rPr>
        <w:t xml:space="preserve">e-mail: (●) </w:t>
      </w:r>
    </w:p>
    <w:p>
      <w:pPr>
        <w:pStyle w:val="TextBody"/>
        <w:spacing w:before="120" w:after="0"/>
        <w:rPr>
          <w:rFonts w:ascii="Times New Roman" w:hAnsi="Times New Roman"/>
          <w:sz w:val="20"/>
        </w:rPr>
      </w:pPr>
      <w:r>
        <w:rPr>
          <w:rFonts w:ascii="Times New Roman" w:hAnsi="Times New Roman"/>
          <w:sz w:val="20"/>
        </w:rPr>
        <w:t xml:space="preserve">Telephone: (●) </w:t>
      </w:r>
    </w:p>
    <w:p>
      <w:pPr>
        <w:pStyle w:val="TextBody"/>
        <w:spacing w:before="120" w:after="0"/>
        <w:rPr>
          <w:rFonts w:ascii="Times New Roman" w:hAnsi="Times New Roman"/>
          <w:sz w:val="20"/>
        </w:rPr>
      </w:pPr>
      <w:r>
        <w:rPr>
          <w:rFonts w:ascii="Times New Roman" w:hAnsi="Times New Roman"/>
          <w:sz w:val="20"/>
        </w:rPr>
        <w:t xml:space="preserve">Fax: (●)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(C)</w:t>
            </w:r>
          </w:p>
        </w:tc>
        <w:tc>
          <w:tcPr>
            <w:tcW w:w="9695" w:type="dxa"/>
            <w:tcBorders/>
            <w:shd w:fill="auto" w:val="clear"/>
          </w:tcPr>
          <w:p>
            <w:pPr>
              <w:pStyle w:val="TableContents"/>
              <w:spacing w:before="0" w:after="283"/>
              <w:jc w:val="left"/>
              <w:rPr/>
            </w:pPr>
            <w:r>
              <w:rPr/>
              <w:t xml:space="preserve">The Credit Agent: </w:t>
            </w:r>
          </w:p>
        </w:tc>
      </w:tr>
    </w:tbl>
    <w:p>
      <w:pPr>
        <w:pStyle w:val="TextBody"/>
        <w:spacing w:before="120" w:after="0"/>
        <w:rPr>
          <w:rFonts w:ascii="Times New Roman" w:hAnsi="Times New Roman"/>
          <w:sz w:val="20"/>
        </w:rPr>
      </w:pPr>
      <w:r>
        <w:rPr>
          <w:rFonts w:ascii="Times New Roman" w:hAnsi="Times New Roman"/>
          <w:sz w:val="20"/>
        </w:rPr>
        <w:t xml:space="preserve">Attention: (●) </w:t>
      </w:r>
    </w:p>
    <w:p>
      <w:pPr>
        <w:pStyle w:val="TextBody"/>
        <w:spacing w:before="120" w:after="0"/>
        <w:rPr>
          <w:rFonts w:ascii="Times New Roman" w:hAnsi="Times New Roman"/>
          <w:sz w:val="20"/>
        </w:rPr>
      </w:pPr>
      <w:r>
        <w:rPr>
          <w:rFonts w:ascii="Times New Roman" w:hAnsi="Times New Roman"/>
          <w:sz w:val="20"/>
        </w:rPr>
        <w:t xml:space="preserve">e-mail: (●) </w:t>
      </w:r>
    </w:p>
    <w:p>
      <w:pPr>
        <w:pStyle w:val="TextBody"/>
        <w:spacing w:before="120" w:after="0"/>
        <w:rPr>
          <w:rFonts w:ascii="Times New Roman" w:hAnsi="Times New Roman"/>
          <w:sz w:val="20"/>
        </w:rPr>
      </w:pPr>
      <w:r>
        <w:rPr>
          <w:rFonts w:ascii="Times New Roman" w:hAnsi="Times New Roman"/>
          <w:sz w:val="20"/>
        </w:rPr>
        <w:t xml:space="preserve">Telephone: (●) </w:t>
      </w:r>
    </w:p>
    <w:p>
      <w:pPr>
        <w:pStyle w:val="TextBody"/>
        <w:spacing w:before="120" w:after="0"/>
        <w:rPr>
          <w:rFonts w:ascii="Times New Roman" w:hAnsi="Times New Roman"/>
          <w:sz w:val="20"/>
        </w:rPr>
      </w:pPr>
      <w:r>
        <w:rPr>
          <w:rFonts w:ascii="Times New Roman" w:hAnsi="Times New Roman"/>
          <w:sz w:val="20"/>
        </w:rPr>
        <w:t xml:space="preserve">Fax: (●)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6.</w:t>
            </w:r>
          </w:p>
        </w:tc>
        <w:tc>
          <w:tcPr>
            <w:tcW w:w="9695" w:type="dxa"/>
            <w:tcBorders/>
            <w:shd w:fill="auto" w:val="clear"/>
          </w:tcPr>
          <w:p>
            <w:pPr>
              <w:pStyle w:val="TableContents"/>
              <w:spacing w:before="0" w:after="283"/>
              <w:jc w:val="left"/>
              <w:rPr/>
            </w:pPr>
            <w:r>
              <w:rPr/>
              <w:t xml:space="preserve">THE APPLICABLE RIGHT </w:t>
            </w:r>
          </w:p>
        </w:tc>
      </w:tr>
    </w:tbl>
    <w:p>
      <w:pPr>
        <w:pStyle w:val="TextBody"/>
        <w:spacing w:before="120" w:after="0"/>
        <w:rPr>
          <w:rFonts w:ascii="Times New Roman" w:hAnsi="Times New Roman"/>
          <w:sz w:val="20"/>
        </w:rPr>
      </w:pPr>
      <w:r>
        <w:rPr>
          <w:rFonts w:ascii="Times New Roman" w:hAnsi="Times New Roman"/>
          <w:sz w:val="20"/>
        </w:rPr>
        <w:t xml:space="preserve">The present Creditor’s Rights Assignment Agreement is regulated by the Russian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b/>
              </w:rPr>
            </w:pPr>
            <w:r>
              <w:rPr>
                <w:b/>
              </w:rPr>
              <w:t>7.</w:t>
            </w:r>
          </w:p>
        </w:tc>
        <w:tc>
          <w:tcPr>
            <w:tcW w:w="9696" w:type="dxa"/>
            <w:tcBorders/>
            <w:shd w:fill="auto" w:val="clear"/>
          </w:tcPr>
          <w:p>
            <w:pPr>
              <w:pStyle w:val="TableContents"/>
              <w:spacing w:before="0" w:after="283"/>
              <w:jc w:val="left"/>
              <w:rPr/>
            </w:pPr>
            <w:r>
              <w:rPr/>
              <w:t xml:space="preserve">The DISPUTE RESOLUTION </w:t>
            </w:r>
          </w:p>
        </w:tc>
      </w:tr>
    </w:tbl>
    <w:p>
      <w:pPr>
        <w:pStyle w:val="TextBody"/>
        <w:spacing w:before="120" w:after="0"/>
        <w:rPr>
          <w:rFonts w:ascii="Times New Roman" w:hAnsi="Times New Roman"/>
          <w:sz w:val="20"/>
        </w:rPr>
      </w:pPr>
      <w:r>
        <w:rPr>
          <w:rFonts w:ascii="Times New Roman" w:hAnsi="Times New Roman"/>
          <w:sz w:val="20"/>
        </w:rPr>
        <w:t xml:space="preserve">Should any dispute arise in connection with the present Creditor’s Rights Assignment Agreement including the interpretation of its provisions, its existence, validity or termination, such a dispute shall be subject to review in The Arbitration Court of Moscow.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b/>
              </w:rPr>
            </w:pPr>
            <w:r>
              <w:rPr>
                <w:b/>
              </w:rPr>
              <w:t>8.</w:t>
            </w:r>
          </w:p>
        </w:tc>
        <w:tc>
          <w:tcPr>
            <w:tcW w:w="9698" w:type="dxa"/>
            <w:tcBorders/>
            <w:shd w:fill="auto" w:val="clear"/>
          </w:tcPr>
          <w:p>
            <w:pPr>
              <w:pStyle w:val="TableContents"/>
              <w:spacing w:before="0" w:after="283"/>
              <w:jc w:val="left"/>
              <w:rPr/>
            </w:pPr>
            <w:r>
              <w:rPr/>
              <w:t xml:space="preserve">THE AGREEMENT CONCLUSION </w:t>
            </w:r>
          </w:p>
        </w:tc>
      </w:tr>
    </w:tbl>
    <w:p>
      <w:pPr>
        <w:pStyle w:val="TextBody"/>
        <w:spacing w:before="120" w:after="0"/>
        <w:rPr>
          <w:rFonts w:ascii="Times New Roman" w:hAnsi="Times New Roman"/>
          <w:sz w:val="20"/>
        </w:rPr>
      </w:pPr>
      <w:r>
        <w:rPr>
          <w:rFonts w:ascii="Times New Roman" w:hAnsi="Times New Roman"/>
          <w:sz w:val="20"/>
        </w:rPr>
        <w:t xml:space="preserve">The present Creditor’s Rights Assignment Agreement is signed in 3 (three) copies, one copy for each Party of the Creditor’s Rights Assignment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 1 TO THE CONTRACT OF ASSIGNMENT OF THE CREDITOR’S RIGHTS </w:t>
      </w:r>
    </w:p>
    <w:p>
      <w:pPr>
        <w:pStyle w:val="TextBody"/>
        <w:spacing w:before="240" w:after="0"/>
        <w:jc w:val="center"/>
        <w:rPr>
          <w:rFonts w:ascii="Times New Roman" w:hAnsi="Times New Roman"/>
          <w:sz w:val="20"/>
        </w:rPr>
      </w:pPr>
      <w:r>
        <w:rPr>
          <w:rFonts w:ascii="Times New Roman" w:hAnsi="Times New Roman"/>
          <w:sz w:val="20"/>
        </w:rPr>
        <w:t xml:space="preserve">FORM OF NOTIFICATION OF THE BORROWER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969"/>
        <w:gridCol w:w="222"/>
        <w:gridCol w:w="880"/>
        <w:gridCol w:w="222"/>
        <w:gridCol w:w="3912"/>
      </w:tblGrid>
      <w:tr>
        <w:trPr/>
        <w:tc>
          <w:tcPr>
            <w:tcW w:w="4969" w:type="dxa"/>
            <w:tcBorders/>
            <w:shd w:fill="auto" w:val="clear"/>
            <w:vAlign w:val="center"/>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sz w:val="4"/>
                <w:szCs w:val="4"/>
              </w:rPr>
            </w:pPr>
            <w:r>
              <w:rPr>
                <w:sz w:val="4"/>
                <w:szCs w:val="4"/>
              </w:rPr>
            </w:r>
          </w:p>
        </w:tc>
        <w:tc>
          <w:tcPr>
            <w:tcW w:w="880" w:type="dxa"/>
            <w:tcBorders/>
            <w:shd w:fill="auto" w:val="clear"/>
            <w:vAlign w:val="center"/>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sz w:val="4"/>
                <w:szCs w:val="4"/>
              </w:rPr>
            </w:pPr>
            <w:r>
              <w:rPr>
                <w:sz w:val="4"/>
                <w:szCs w:val="4"/>
              </w:rPr>
            </w:r>
          </w:p>
        </w:tc>
        <w:tc>
          <w:tcPr>
            <w:tcW w:w="3912" w:type="dxa"/>
            <w:tcBorders/>
            <w:shd w:fill="auto" w:val="clear"/>
            <w:vAlign w:val="center"/>
          </w:tcPr>
          <w:p>
            <w:pPr>
              <w:pStyle w:val="TableContents"/>
              <w:spacing w:before="0" w:after="283"/>
              <w:rPr>
                <w:sz w:val="4"/>
                <w:szCs w:val="4"/>
              </w:rPr>
            </w:pPr>
            <w:r>
              <w:rPr>
                <w:sz w:val="4"/>
                <w:szCs w:val="4"/>
              </w:rPr>
            </w:r>
          </w:p>
        </w:tc>
      </w:tr>
      <w:tr>
        <w:trPr/>
        <w:tc>
          <w:tcPr>
            <w:tcW w:w="4969" w:type="dxa"/>
            <w:tcBorders/>
            <w:shd w:fill="auto" w:val="clear"/>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pPr>
            <w:r>
              <w:rPr/>
              <w:t>  </w:t>
            </w:r>
          </w:p>
        </w:tc>
        <w:tc>
          <w:tcPr>
            <w:tcW w:w="880" w:type="dxa"/>
            <w:tcBorders/>
            <w:shd w:fill="auto" w:val="clear"/>
            <w:vAlign w:val="bottom"/>
          </w:tcPr>
          <w:p>
            <w:pPr>
              <w:pStyle w:val="TableContents"/>
              <w:spacing w:before="0" w:after="283"/>
              <w:rPr/>
            </w:pPr>
            <w:r>
              <w:rPr/>
              <w:t>From:</w:t>
            </w:r>
          </w:p>
        </w:tc>
        <w:tc>
          <w:tcPr>
            <w:tcW w:w="222" w:type="dxa"/>
            <w:tcBorders/>
            <w:shd w:fill="auto" w:val="clear"/>
            <w:vAlign w:val="bottom"/>
          </w:tcPr>
          <w:p>
            <w:pPr>
              <w:pStyle w:val="TableContents"/>
              <w:spacing w:before="0" w:after="283"/>
              <w:rPr/>
            </w:pPr>
            <w:r>
              <w:rPr/>
              <w:t>  </w:t>
            </w:r>
          </w:p>
        </w:tc>
        <w:tc>
          <w:tcPr>
            <w:tcW w:w="3912" w:type="dxa"/>
            <w:tcBorders/>
            <w:shd w:fill="auto" w:val="clear"/>
            <w:vAlign w:val="bottom"/>
          </w:tcPr>
          <w:p>
            <w:pPr>
              <w:pStyle w:val="TableContents"/>
              <w:spacing w:before="0" w:after="283"/>
              <w:rPr/>
            </w:pPr>
            <w:r>
              <w:rPr/>
              <w:t>(the Current creditor)</w:t>
            </w:r>
          </w:p>
        </w:tc>
      </w:tr>
      <w:tr>
        <w:trPr/>
        <w:tc>
          <w:tcPr>
            <w:tcW w:w="4969" w:type="dxa"/>
            <w:tcBorders/>
            <w:shd w:fill="auto" w:val="clear"/>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pPr>
            <w:r>
              <w:rPr/>
              <w:t>  </w:t>
            </w:r>
          </w:p>
        </w:tc>
        <w:tc>
          <w:tcPr>
            <w:tcW w:w="880" w:type="dxa"/>
            <w:tcBorders/>
            <w:shd w:fill="auto" w:val="clear"/>
            <w:vAlign w:val="bottom"/>
          </w:tcPr>
          <w:p>
            <w:pPr>
              <w:pStyle w:val="TableContents"/>
              <w:spacing w:before="0" w:after="283"/>
              <w:rPr/>
            </w:pPr>
            <w:r>
              <w:rPr/>
              <w:t>Recipient:</w:t>
            </w:r>
          </w:p>
        </w:tc>
        <w:tc>
          <w:tcPr>
            <w:tcW w:w="222" w:type="dxa"/>
            <w:tcBorders/>
            <w:shd w:fill="auto" w:val="clear"/>
            <w:vAlign w:val="bottom"/>
          </w:tcPr>
          <w:p>
            <w:pPr>
              <w:pStyle w:val="TableContents"/>
              <w:spacing w:before="0" w:after="283"/>
              <w:rPr/>
            </w:pPr>
            <w:r>
              <w:rPr/>
              <w:t>  </w:t>
            </w:r>
          </w:p>
        </w:tc>
        <w:tc>
          <w:tcPr>
            <w:tcW w:w="3912" w:type="dxa"/>
            <w:tcBorders/>
            <w:shd w:fill="auto" w:val="clear"/>
            <w:vAlign w:val="bottom"/>
          </w:tcPr>
          <w:p>
            <w:pPr>
              <w:pStyle w:val="TableContents"/>
              <w:spacing w:before="0" w:after="283"/>
              <w:rPr/>
            </w:pPr>
            <w:r>
              <w:rPr/>
              <w:t>(the Borrower)</w:t>
            </w:r>
          </w:p>
        </w:tc>
      </w:tr>
      <w:tr>
        <w:trPr/>
        <w:tc>
          <w:tcPr>
            <w:tcW w:w="4969" w:type="dxa"/>
            <w:tcBorders/>
            <w:shd w:fill="auto" w:val="clear"/>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pPr>
            <w:r>
              <w:rPr/>
              <w:t>  </w:t>
            </w:r>
          </w:p>
        </w:tc>
        <w:tc>
          <w:tcPr>
            <w:tcW w:w="880" w:type="dxa"/>
            <w:tcBorders/>
            <w:shd w:fill="auto" w:val="clear"/>
            <w:vAlign w:val="bottom"/>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pPr>
            <w:r>
              <w:rPr/>
              <w:t>  </w:t>
            </w:r>
          </w:p>
        </w:tc>
        <w:tc>
          <w:tcPr>
            <w:tcW w:w="3912" w:type="dxa"/>
            <w:tcBorders/>
            <w:shd w:fill="auto" w:val="clear"/>
            <w:vAlign w:val="bottom"/>
          </w:tcPr>
          <w:p>
            <w:pPr>
              <w:pStyle w:val="TableContents"/>
              <w:spacing w:before="0" w:after="283"/>
              <w:rPr/>
            </w:pPr>
            <w:r>
              <w:rPr/>
              <w:t>(address of the Borrower)</w:t>
            </w:r>
          </w:p>
        </w:tc>
      </w:tr>
      <w:tr>
        <w:trPr>
          <w:trHeight w:val="240" w:hRule="atLeast"/>
        </w:trPr>
        <w:tc>
          <w:tcPr>
            <w:tcW w:w="4969" w:type="dxa"/>
            <w:tcBorders/>
            <w:shd w:fill="auto" w:val="clear"/>
            <w:vAlign w:val="center"/>
          </w:tcPr>
          <w:p>
            <w:pPr>
              <w:pStyle w:val="TableContents"/>
              <w:spacing w:before="0" w:after="283"/>
              <w:rPr>
                <w:sz w:val="4"/>
                <w:szCs w:val="4"/>
              </w:rPr>
            </w:pPr>
            <w:r>
              <w:rPr>
                <w:sz w:val="4"/>
                <w:szCs w:val="4"/>
              </w:rPr>
            </w:r>
          </w:p>
        </w:tc>
        <w:tc>
          <w:tcPr>
            <w:tcW w:w="1102" w:type="dxa"/>
            <w:gridSpan w:val="2"/>
            <w:tcBorders/>
            <w:shd w:fill="auto" w:val="clear"/>
            <w:vAlign w:val="center"/>
          </w:tcPr>
          <w:p>
            <w:pPr>
              <w:pStyle w:val="TableContents"/>
              <w:spacing w:before="0" w:after="283"/>
              <w:rPr>
                <w:sz w:val="4"/>
                <w:szCs w:val="4"/>
              </w:rPr>
            </w:pPr>
            <w:r>
              <w:rPr>
                <w:sz w:val="4"/>
                <w:szCs w:val="4"/>
              </w:rPr>
            </w:r>
          </w:p>
        </w:tc>
        <w:tc>
          <w:tcPr>
            <w:tcW w:w="4134" w:type="dxa"/>
            <w:gridSpan w:val="2"/>
            <w:tcBorders/>
            <w:shd w:fill="auto" w:val="clear"/>
            <w:vAlign w:val="center"/>
          </w:tcPr>
          <w:p>
            <w:pPr>
              <w:pStyle w:val="TableContents"/>
              <w:spacing w:before="0" w:after="283"/>
              <w:rPr>
                <w:sz w:val="4"/>
                <w:szCs w:val="4"/>
              </w:rPr>
            </w:pPr>
            <w:r>
              <w:rPr>
                <w:sz w:val="4"/>
                <w:szCs w:val="4"/>
              </w:rPr>
            </w:r>
          </w:p>
        </w:tc>
      </w:tr>
      <w:tr>
        <w:trPr/>
        <w:tc>
          <w:tcPr>
            <w:tcW w:w="4969" w:type="dxa"/>
            <w:tcBorders/>
            <w:shd w:fill="auto" w:val="clear"/>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pPr>
            <w:r>
              <w:rPr/>
              <w:t>  </w:t>
            </w:r>
          </w:p>
        </w:tc>
        <w:tc>
          <w:tcPr>
            <w:tcW w:w="880" w:type="dxa"/>
            <w:tcBorders/>
            <w:shd w:fill="auto" w:val="clear"/>
            <w:vAlign w:val="bottom"/>
          </w:tcPr>
          <w:p>
            <w:pPr>
              <w:pStyle w:val="TableContents"/>
              <w:spacing w:before="0" w:after="283"/>
              <w:rPr/>
            </w:pPr>
            <w:r>
              <w:rPr/>
              <w:t>Copy:</w:t>
            </w:r>
          </w:p>
        </w:tc>
        <w:tc>
          <w:tcPr>
            <w:tcW w:w="222" w:type="dxa"/>
            <w:tcBorders/>
            <w:shd w:fill="auto" w:val="clear"/>
            <w:vAlign w:val="bottom"/>
          </w:tcPr>
          <w:p>
            <w:pPr>
              <w:pStyle w:val="TableContents"/>
              <w:spacing w:before="0" w:after="283"/>
              <w:rPr/>
            </w:pPr>
            <w:r>
              <w:rPr/>
              <w:t>  </w:t>
            </w:r>
          </w:p>
        </w:tc>
        <w:tc>
          <w:tcPr>
            <w:tcW w:w="3912" w:type="dxa"/>
            <w:tcBorders/>
            <w:shd w:fill="auto" w:val="clear"/>
            <w:vAlign w:val="bottom"/>
          </w:tcPr>
          <w:p>
            <w:pPr>
              <w:pStyle w:val="TableContents"/>
              <w:spacing w:before="0" w:after="283"/>
              <w:rPr/>
            </w:pPr>
            <w:r>
              <w:rPr/>
              <w:t>(the New creditor)</w:t>
            </w:r>
          </w:p>
        </w:tc>
      </w:tr>
      <w:tr>
        <w:trPr/>
        <w:tc>
          <w:tcPr>
            <w:tcW w:w="4969" w:type="dxa"/>
            <w:tcBorders/>
            <w:shd w:fill="auto" w:val="clear"/>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pPr>
            <w:r>
              <w:rPr/>
              <w:t>  </w:t>
            </w:r>
          </w:p>
        </w:tc>
        <w:tc>
          <w:tcPr>
            <w:tcW w:w="880" w:type="dxa"/>
            <w:tcBorders/>
            <w:shd w:fill="auto" w:val="clear"/>
            <w:vAlign w:val="bottom"/>
          </w:tcPr>
          <w:p>
            <w:pPr>
              <w:pStyle w:val="TableContents"/>
              <w:spacing w:before="0" w:after="283"/>
              <w:rPr>
                <w:sz w:val="4"/>
                <w:szCs w:val="4"/>
              </w:rPr>
            </w:pPr>
            <w:r>
              <w:rPr>
                <w:sz w:val="4"/>
                <w:szCs w:val="4"/>
              </w:rPr>
            </w:r>
          </w:p>
        </w:tc>
        <w:tc>
          <w:tcPr>
            <w:tcW w:w="222" w:type="dxa"/>
            <w:tcBorders/>
            <w:shd w:fill="auto" w:val="clear"/>
            <w:vAlign w:val="bottom"/>
          </w:tcPr>
          <w:p>
            <w:pPr>
              <w:pStyle w:val="TableContents"/>
              <w:spacing w:before="0" w:after="283"/>
              <w:rPr/>
            </w:pPr>
            <w:r>
              <w:rPr/>
              <w:t>  </w:t>
            </w:r>
          </w:p>
        </w:tc>
        <w:tc>
          <w:tcPr>
            <w:tcW w:w="3912" w:type="dxa"/>
            <w:tcBorders/>
            <w:shd w:fill="auto" w:val="clear"/>
            <w:vAlign w:val="bottom"/>
          </w:tcPr>
          <w:p>
            <w:pPr>
              <w:pStyle w:val="TableContents"/>
              <w:spacing w:before="0" w:after="283"/>
              <w:rPr/>
            </w:pPr>
            <w:r>
              <w:rPr/>
              <w:t>(address of a new creditor)</w:t>
            </w:r>
          </w:p>
        </w:tc>
      </w:tr>
    </w:tbl>
    <w:p>
      <w:pPr>
        <w:pStyle w:val="TextBody"/>
        <w:spacing w:before="240" w:after="0"/>
        <w:jc w:val="center"/>
        <w:rPr>
          <w:rFonts w:ascii="Times New Roman" w:hAnsi="Times New Roman"/>
          <w:sz w:val="20"/>
        </w:rPr>
      </w:pPr>
      <w:r>
        <w:rPr>
          <w:rFonts w:ascii="Times New Roman" w:hAnsi="Times New Roman"/>
          <w:sz w:val="20"/>
        </w:rPr>
        <w:t xml:space="preserve">NOTIFICATION OF THE CONDUCTED ASSIGNMENT OF CLAIMS [AND TRANSFER OF DEBT] </w:t>
      </w:r>
    </w:p>
    <w:p>
      <w:pPr>
        <w:pStyle w:val="TextBody"/>
        <w:spacing w:before="240" w:after="0"/>
        <w:rPr>
          <w:rFonts w:ascii="Times New Roman" w:hAnsi="Times New Roman"/>
          <w:sz w:val="20"/>
        </w:rPr>
      </w:pPr>
      <w:r>
        <w:rPr>
          <w:rFonts w:ascii="Times New Roman" w:hAnsi="Times New Roman"/>
          <w:sz w:val="20"/>
        </w:rPr>
        <w:t xml:space="preserve">Hereby, [●], registration number [●], location: [●] (the Current Creditor) notifies [●], OGRN [●], location: Russian Federation, [●] (the Borrower) on the transfer of all rights (claims) [and transfer of debt] under a syndicated loan agreement between the Borrower and the Current Creditor from [●] (Loan Agreement), from the Current Creditor to [●], location: [●] (the New creditor) on the terms specified in the contract of assignment of rights (claims) [and transfer of debt] between the Current Creditor and the New creditor, contained in Annex 1. </w:t>
      </w:r>
    </w:p>
    <w:p>
      <w:pPr>
        <w:pStyle w:val="TextBody"/>
        <w:spacing w:before="240" w:after="0"/>
        <w:rPr>
          <w:rFonts w:ascii="Times New Roman" w:hAnsi="Times New Roman"/>
          <w:sz w:val="20"/>
        </w:rPr>
      </w:pPr>
      <w:r>
        <w:rPr>
          <w:rFonts w:ascii="Times New Roman" w:hAnsi="Times New Roman"/>
          <w:sz w:val="20"/>
        </w:rPr>
        <w:t xml:space="preserve">[After receiving this notification, the Borrower shall continue to fulfill his payment obligations to the New Creditor under the Loan Agreement to the Credit Agent in accordance with the provisions of the Loan Agreement.] </w:t>
      </w:r>
    </w:p>
    <w:p>
      <w:pPr>
        <w:pStyle w:val="TextBody"/>
        <w:spacing w:before="240" w:after="0"/>
        <w:rPr>
          <w:rFonts w:ascii="Times New Roman" w:hAnsi="Times New Roman"/>
          <w:sz w:val="20"/>
        </w:rPr>
      </w:pPr>
      <w:r>
        <w:rPr>
          <w:rFonts w:ascii="Times New Roman" w:hAnsi="Times New Roman"/>
          <w:sz w:val="20"/>
        </w:rPr>
        <w:t xml:space="preserve">Annex 1: A copy of the contract of assignment of rights (claims) [and transfer of debt] between the Current Creditor and the New Creditor. </w:t>
      </w:r>
    </w:p>
    <w:p>
      <w:pPr>
        <w:pStyle w:val="TextBody"/>
        <w:spacing w:before="240" w:after="0"/>
        <w:jc w:val="right"/>
        <w:rPr>
          <w:rFonts w:ascii="Times New Roman" w:hAnsi="Times New Roman"/>
          <w:sz w:val="20"/>
        </w:rPr>
      </w:pPr>
      <w:r>
        <w:rPr>
          <w:rFonts w:ascii="Times New Roman" w:hAnsi="Times New Roman"/>
          <w:sz w:val="20"/>
        </w:rPr>
        <w:t xml:space="preserve">/place of seal/ </w:t>
      </w:r>
      <w:r>
        <w:br w:type="page"/>
      </w:r>
    </w:p>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SIGNATURES OF PARTIES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01"/>
        <w:gridCol w:w="121"/>
        <w:gridCol w:w="402"/>
        <w:gridCol w:w="217"/>
        <w:gridCol w:w="8764"/>
      </w:tblGrid>
      <w:tr>
        <w:trPr/>
        <w:tc>
          <w:tcPr>
            <w:tcW w:w="701" w:type="dxa"/>
            <w:tcBorders/>
            <w:shd w:fill="auto" w:val="clear"/>
            <w:vAlign w:val="cente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sz w:val="4"/>
                <w:szCs w:val="4"/>
              </w:rPr>
            </w:pPr>
            <w:r>
              <w:rPr>
                <w:sz w:val="4"/>
                <w:szCs w:val="4"/>
              </w:rPr>
            </w:r>
          </w:p>
        </w:tc>
        <w:tc>
          <w:tcPr>
            <w:tcW w:w="402"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sz w:val="4"/>
                <w:szCs w:val="4"/>
              </w:rPr>
            </w:pPr>
            <w:r>
              <w:rPr>
                <w:sz w:val="4"/>
                <w:szCs w:val="4"/>
              </w:rPr>
            </w:r>
          </w:p>
        </w:tc>
        <w:tc>
          <w:tcPr>
            <w:tcW w:w="8764" w:type="dxa"/>
            <w:tcBorders/>
            <w:shd w:fill="auto" w:val="clear"/>
            <w:vAlign w:val="center"/>
          </w:tcPr>
          <w:p>
            <w:pPr>
              <w:pStyle w:val="TableContents"/>
              <w:spacing w:before="0" w:after="283"/>
              <w:rPr>
                <w:sz w:val="4"/>
                <w:szCs w:val="4"/>
              </w:rPr>
            </w:pPr>
            <w:r>
              <w:rPr>
                <w:sz w:val="4"/>
                <w:szCs w:val="4"/>
              </w:rPr>
            </w:r>
          </w:p>
        </w:tc>
      </w:tr>
      <w:tr>
        <w:trPr/>
        <w:tc>
          <w:tcPr>
            <w:tcW w:w="10205" w:type="dxa"/>
            <w:gridSpan w:val="5"/>
            <w:tcBorders/>
            <w:shd w:fill="auto" w:val="clear"/>
          </w:tcPr>
          <w:p>
            <w:pPr>
              <w:pStyle w:val="TableContents"/>
              <w:spacing w:before="0" w:after="283"/>
              <w:rPr/>
            </w:pPr>
            <w:r>
              <w:rPr/>
              <w:t>(THE CURRENT CREDITOR)</w:t>
            </w:r>
          </w:p>
        </w:tc>
      </w:tr>
      <w:tr>
        <w:trPr>
          <w:trHeight w:val="120" w:hRule="atLeast"/>
        </w:trPr>
        <w:tc>
          <w:tcPr>
            <w:tcW w:w="701" w:type="dxa"/>
            <w:tcBorders/>
            <w:shd w:fill="auto" w:val="clear"/>
            <w:vAlign w:val="center"/>
          </w:tcPr>
          <w:p>
            <w:pPr>
              <w:pStyle w:val="TableContents"/>
              <w:spacing w:before="0" w:after="283"/>
              <w:rPr>
                <w:sz w:val="4"/>
                <w:szCs w:val="4"/>
              </w:rPr>
            </w:pPr>
            <w:r>
              <w:rPr>
                <w:sz w:val="4"/>
                <w:szCs w:val="4"/>
              </w:rPr>
            </w:r>
          </w:p>
        </w:tc>
        <w:tc>
          <w:tcPr>
            <w:tcW w:w="523" w:type="dxa"/>
            <w:gridSpan w:val="2"/>
            <w:tcBorders/>
            <w:shd w:fill="auto" w:val="clear"/>
            <w:vAlign w:val="center"/>
          </w:tcPr>
          <w:p>
            <w:pPr>
              <w:pStyle w:val="TableContents"/>
              <w:spacing w:before="0" w:after="283"/>
              <w:rPr>
                <w:sz w:val="4"/>
                <w:szCs w:val="4"/>
              </w:rPr>
            </w:pPr>
            <w:r>
              <w:rPr>
                <w:sz w:val="4"/>
                <w:szCs w:val="4"/>
              </w:rPr>
            </w:r>
          </w:p>
        </w:tc>
        <w:tc>
          <w:tcPr>
            <w:tcW w:w="8981" w:type="dxa"/>
            <w:gridSpan w:val="2"/>
            <w:tcBorders/>
            <w:shd w:fill="auto" w:val="clear"/>
            <w:vAlign w:val="center"/>
          </w:tcPr>
          <w:p>
            <w:pPr>
              <w:pStyle w:val="TableContents"/>
              <w:spacing w:before="0" w:after="283"/>
              <w:rPr>
                <w:sz w:val="4"/>
                <w:szCs w:val="4"/>
              </w:rPr>
            </w:pPr>
            <w:r>
              <w:rPr>
                <w:sz w:val="4"/>
                <w:szCs w:val="4"/>
              </w:rPr>
            </w:r>
          </w:p>
        </w:tc>
      </w:tr>
      <w:tr>
        <w:trPr/>
        <w:tc>
          <w:tcPr>
            <w:tcW w:w="701" w:type="dxa"/>
            <w:tcBorders/>
            <w:shd w:fill="auto" w:val="clear"/>
          </w:tcPr>
          <w:p>
            <w:pPr>
              <w:pStyle w:val="TableContents"/>
              <w:spacing w:before="0" w:after="283"/>
              <w:rPr/>
            </w:pPr>
            <w:r>
              <w:rPr/>
              <w:t>[●]</w:t>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pPr>
            <w:r>
              <w:rPr/>
              <w:t>)</w:t>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pPr>
            <w:r>
              <w:rPr/>
              <w:t>                    </w:t>
            </w:r>
            <w:r>
              <w:rPr>
                <w:u w:val="single"/>
              </w:rPr>
              <w:t>                                                              </w:t>
            </w:r>
            <w:r>
              <w:rPr/>
              <w:t>            </w:t>
            </w:r>
          </w:p>
        </w:tc>
      </w:tr>
      <w:tr>
        <w:trPr/>
        <w:tc>
          <w:tcPr>
            <w:tcW w:w="701" w:type="dxa"/>
            <w:tcBorders/>
            <w:shd w:fill="auto" w:val="clear"/>
          </w:tcPr>
          <w:p>
            <w:pPr>
              <w:pStyle w:val="TableContents"/>
              <w:spacing w:before="0" w:after="283"/>
              <w:rPr/>
            </w:pPr>
            <w:r>
              <w:rPr/>
              <w:t>[●]</w:t>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pPr>
            <w:r>
              <w:rPr/>
              <w:t>)</w:t>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sz w:val="4"/>
                <w:szCs w:val="4"/>
              </w:rPr>
            </w:pPr>
            <w:r>
              <w:rPr>
                <w:sz w:val="4"/>
                <w:szCs w:val="4"/>
              </w:rPr>
            </w:r>
          </w:p>
        </w:tc>
      </w:tr>
      <w:tr>
        <w:trPr>
          <w:trHeight w:val="120" w:hRule="atLeast"/>
        </w:trPr>
        <w:tc>
          <w:tcPr>
            <w:tcW w:w="701" w:type="dxa"/>
            <w:tcBorders/>
            <w:shd w:fill="auto" w:val="clear"/>
            <w:vAlign w:val="center"/>
          </w:tcPr>
          <w:p>
            <w:pPr>
              <w:pStyle w:val="TableContents"/>
              <w:spacing w:before="0" w:after="283"/>
              <w:rPr>
                <w:sz w:val="4"/>
                <w:szCs w:val="4"/>
              </w:rPr>
            </w:pPr>
            <w:r>
              <w:rPr>
                <w:sz w:val="4"/>
                <w:szCs w:val="4"/>
              </w:rPr>
            </w:r>
          </w:p>
        </w:tc>
        <w:tc>
          <w:tcPr>
            <w:tcW w:w="523" w:type="dxa"/>
            <w:gridSpan w:val="2"/>
            <w:tcBorders/>
            <w:shd w:fill="auto" w:val="clear"/>
            <w:vAlign w:val="center"/>
          </w:tcPr>
          <w:p>
            <w:pPr>
              <w:pStyle w:val="TableContents"/>
              <w:spacing w:before="0" w:after="283"/>
              <w:rPr>
                <w:sz w:val="4"/>
                <w:szCs w:val="4"/>
              </w:rPr>
            </w:pPr>
            <w:r>
              <w:rPr>
                <w:sz w:val="4"/>
                <w:szCs w:val="4"/>
              </w:rPr>
            </w:r>
          </w:p>
        </w:tc>
        <w:tc>
          <w:tcPr>
            <w:tcW w:w="8981" w:type="dxa"/>
            <w:gridSpan w:val="2"/>
            <w:tcBorders/>
            <w:shd w:fill="auto" w:val="clear"/>
            <w:vAlign w:val="center"/>
          </w:tcPr>
          <w:p>
            <w:pPr>
              <w:pStyle w:val="TableContents"/>
              <w:spacing w:before="0" w:after="283"/>
              <w:rPr>
                <w:sz w:val="4"/>
                <w:szCs w:val="4"/>
              </w:rPr>
            </w:pPr>
            <w:r>
              <w:rPr>
                <w:sz w:val="4"/>
                <w:szCs w:val="4"/>
              </w:rPr>
            </w:r>
          </w:p>
        </w:tc>
      </w:tr>
      <w:tr>
        <w:trPr/>
        <w:tc>
          <w:tcPr>
            <w:tcW w:w="701" w:type="dxa"/>
            <w:tcBorders/>
            <w:shd w:fill="auto" w:val="clea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pPr>
            <w:r>
              <w:rPr/>
              <w:t>                                         </w:t>
            </w:r>
            <w:r>
              <w:rPr/>
              <w:t>PLACE OF SEAL</w:t>
            </w:r>
          </w:p>
        </w:tc>
      </w:tr>
      <w:tr>
        <w:trPr>
          <w:trHeight w:val="120" w:hRule="atLeast"/>
        </w:trPr>
        <w:tc>
          <w:tcPr>
            <w:tcW w:w="10205" w:type="dxa"/>
            <w:gridSpan w:val="5"/>
            <w:tcBorders/>
            <w:shd w:fill="auto" w:val="clear"/>
            <w:vAlign w:val="center"/>
          </w:tcPr>
          <w:p>
            <w:pPr>
              <w:pStyle w:val="TableContents"/>
              <w:spacing w:before="0" w:after="283"/>
              <w:rPr>
                <w:sz w:val="4"/>
                <w:szCs w:val="4"/>
              </w:rPr>
            </w:pPr>
            <w:r>
              <w:rPr>
                <w:sz w:val="4"/>
                <w:szCs w:val="4"/>
              </w:rPr>
            </w:r>
          </w:p>
        </w:tc>
      </w:tr>
      <w:tr>
        <w:trPr/>
        <w:tc>
          <w:tcPr>
            <w:tcW w:w="10205" w:type="dxa"/>
            <w:gridSpan w:val="5"/>
            <w:tcBorders/>
            <w:shd w:fill="auto" w:val="clear"/>
          </w:tcPr>
          <w:p>
            <w:pPr>
              <w:pStyle w:val="TableContents"/>
              <w:spacing w:before="0" w:after="283"/>
              <w:rPr/>
            </w:pPr>
            <w:r>
              <w:rPr/>
              <w:t>(THE NEW CREDITOR)</w:t>
            </w:r>
          </w:p>
        </w:tc>
      </w:tr>
      <w:tr>
        <w:trPr>
          <w:trHeight w:val="120" w:hRule="atLeast"/>
        </w:trPr>
        <w:tc>
          <w:tcPr>
            <w:tcW w:w="701" w:type="dxa"/>
            <w:tcBorders/>
            <w:shd w:fill="auto" w:val="clear"/>
            <w:vAlign w:val="center"/>
          </w:tcPr>
          <w:p>
            <w:pPr>
              <w:pStyle w:val="TableContents"/>
              <w:spacing w:before="0" w:after="283"/>
              <w:rPr>
                <w:sz w:val="4"/>
                <w:szCs w:val="4"/>
              </w:rPr>
            </w:pPr>
            <w:r>
              <w:rPr>
                <w:sz w:val="4"/>
                <w:szCs w:val="4"/>
              </w:rPr>
            </w:r>
          </w:p>
        </w:tc>
        <w:tc>
          <w:tcPr>
            <w:tcW w:w="523" w:type="dxa"/>
            <w:gridSpan w:val="2"/>
            <w:tcBorders/>
            <w:shd w:fill="auto" w:val="clear"/>
            <w:vAlign w:val="center"/>
          </w:tcPr>
          <w:p>
            <w:pPr>
              <w:pStyle w:val="TableContents"/>
              <w:spacing w:before="0" w:after="283"/>
              <w:rPr>
                <w:sz w:val="4"/>
                <w:szCs w:val="4"/>
              </w:rPr>
            </w:pPr>
            <w:r>
              <w:rPr>
                <w:sz w:val="4"/>
                <w:szCs w:val="4"/>
              </w:rPr>
            </w:r>
          </w:p>
        </w:tc>
        <w:tc>
          <w:tcPr>
            <w:tcW w:w="8981" w:type="dxa"/>
            <w:gridSpan w:val="2"/>
            <w:tcBorders/>
            <w:shd w:fill="auto" w:val="clear"/>
            <w:vAlign w:val="center"/>
          </w:tcPr>
          <w:p>
            <w:pPr>
              <w:pStyle w:val="TableContents"/>
              <w:spacing w:before="0" w:after="283"/>
              <w:rPr>
                <w:sz w:val="4"/>
                <w:szCs w:val="4"/>
              </w:rPr>
            </w:pPr>
            <w:r>
              <w:rPr>
                <w:sz w:val="4"/>
                <w:szCs w:val="4"/>
              </w:rPr>
            </w:r>
          </w:p>
        </w:tc>
      </w:tr>
      <w:tr>
        <w:trPr/>
        <w:tc>
          <w:tcPr>
            <w:tcW w:w="701" w:type="dxa"/>
            <w:tcBorders/>
            <w:shd w:fill="auto" w:val="clear"/>
          </w:tcPr>
          <w:p>
            <w:pPr>
              <w:pStyle w:val="TableContents"/>
              <w:spacing w:before="0" w:after="283"/>
              <w:rPr/>
            </w:pPr>
            <w:r>
              <w:rPr/>
              <w:t>[●]</w:t>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pPr>
            <w:r>
              <w:rPr/>
              <w:t>)</w:t>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pPr>
            <w:r>
              <w:rPr/>
              <w:t>                    </w:t>
            </w:r>
            <w:r>
              <w:rPr>
                <w:u w:val="single"/>
              </w:rPr>
              <w:t>                                                              </w:t>
            </w:r>
            <w:r>
              <w:rPr/>
              <w:t>            </w:t>
            </w:r>
          </w:p>
        </w:tc>
      </w:tr>
      <w:tr>
        <w:trPr/>
        <w:tc>
          <w:tcPr>
            <w:tcW w:w="701" w:type="dxa"/>
            <w:tcBorders/>
            <w:shd w:fill="auto" w:val="clear"/>
          </w:tcPr>
          <w:p>
            <w:pPr>
              <w:pStyle w:val="TableContents"/>
              <w:spacing w:before="0" w:after="283"/>
              <w:rPr/>
            </w:pPr>
            <w:r>
              <w:rPr/>
              <w:t>[●]</w:t>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pPr>
            <w:r>
              <w:rPr/>
              <w:t>)</w:t>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sz w:val="4"/>
                <w:szCs w:val="4"/>
              </w:rPr>
            </w:pPr>
            <w:r>
              <w:rPr>
                <w:sz w:val="4"/>
                <w:szCs w:val="4"/>
              </w:rPr>
            </w:r>
          </w:p>
        </w:tc>
      </w:tr>
      <w:tr>
        <w:trPr>
          <w:trHeight w:val="120" w:hRule="atLeast"/>
        </w:trPr>
        <w:tc>
          <w:tcPr>
            <w:tcW w:w="701" w:type="dxa"/>
            <w:tcBorders/>
            <w:shd w:fill="auto" w:val="clear"/>
            <w:vAlign w:val="center"/>
          </w:tcPr>
          <w:p>
            <w:pPr>
              <w:pStyle w:val="TableContents"/>
              <w:spacing w:before="0" w:after="283"/>
              <w:rPr>
                <w:sz w:val="4"/>
                <w:szCs w:val="4"/>
              </w:rPr>
            </w:pPr>
            <w:r>
              <w:rPr>
                <w:sz w:val="4"/>
                <w:szCs w:val="4"/>
              </w:rPr>
            </w:r>
          </w:p>
        </w:tc>
        <w:tc>
          <w:tcPr>
            <w:tcW w:w="523" w:type="dxa"/>
            <w:gridSpan w:val="2"/>
            <w:tcBorders/>
            <w:shd w:fill="auto" w:val="clear"/>
            <w:vAlign w:val="center"/>
          </w:tcPr>
          <w:p>
            <w:pPr>
              <w:pStyle w:val="TableContents"/>
              <w:spacing w:before="0" w:after="283"/>
              <w:rPr>
                <w:sz w:val="4"/>
                <w:szCs w:val="4"/>
              </w:rPr>
            </w:pPr>
            <w:r>
              <w:rPr>
                <w:sz w:val="4"/>
                <w:szCs w:val="4"/>
              </w:rPr>
            </w:r>
          </w:p>
        </w:tc>
        <w:tc>
          <w:tcPr>
            <w:tcW w:w="8981" w:type="dxa"/>
            <w:gridSpan w:val="2"/>
            <w:tcBorders/>
            <w:shd w:fill="auto" w:val="clear"/>
            <w:vAlign w:val="center"/>
          </w:tcPr>
          <w:p>
            <w:pPr>
              <w:pStyle w:val="TableContents"/>
              <w:spacing w:before="0" w:after="283"/>
              <w:rPr>
                <w:sz w:val="4"/>
                <w:szCs w:val="4"/>
              </w:rPr>
            </w:pPr>
            <w:r>
              <w:rPr>
                <w:sz w:val="4"/>
                <w:szCs w:val="4"/>
              </w:rPr>
            </w:r>
          </w:p>
        </w:tc>
      </w:tr>
      <w:tr>
        <w:trPr/>
        <w:tc>
          <w:tcPr>
            <w:tcW w:w="701" w:type="dxa"/>
            <w:tcBorders/>
            <w:shd w:fill="auto" w:val="clea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pPr>
            <w:r>
              <w:rPr/>
              <w:t>                                         </w:t>
            </w:r>
            <w:r>
              <w:rPr/>
              <w:t>PLACE OF SEAL</w:t>
            </w:r>
          </w:p>
        </w:tc>
      </w:tr>
      <w:tr>
        <w:trPr>
          <w:trHeight w:val="120" w:hRule="atLeast"/>
        </w:trPr>
        <w:tc>
          <w:tcPr>
            <w:tcW w:w="10205" w:type="dxa"/>
            <w:gridSpan w:val="5"/>
            <w:tcBorders/>
            <w:shd w:fill="auto" w:val="clear"/>
            <w:vAlign w:val="center"/>
          </w:tcPr>
          <w:p>
            <w:pPr>
              <w:pStyle w:val="TableContents"/>
              <w:spacing w:before="0" w:after="283"/>
              <w:rPr>
                <w:sz w:val="4"/>
                <w:szCs w:val="4"/>
              </w:rPr>
            </w:pPr>
            <w:r>
              <w:rPr>
                <w:sz w:val="4"/>
                <w:szCs w:val="4"/>
              </w:rPr>
            </w:r>
          </w:p>
        </w:tc>
      </w:tr>
      <w:tr>
        <w:trPr/>
        <w:tc>
          <w:tcPr>
            <w:tcW w:w="10205" w:type="dxa"/>
            <w:gridSpan w:val="5"/>
            <w:tcBorders/>
            <w:shd w:fill="auto" w:val="clear"/>
          </w:tcPr>
          <w:p>
            <w:pPr>
              <w:pStyle w:val="TableContents"/>
              <w:spacing w:before="0" w:after="283"/>
              <w:rPr/>
            </w:pPr>
            <w:r>
              <w:rPr/>
              <w:t>(THE CREDIT AGENT)</w:t>
            </w:r>
          </w:p>
        </w:tc>
      </w:tr>
      <w:tr>
        <w:trPr>
          <w:trHeight w:val="120" w:hRule="atLeast"/>
        </w:trPr>
        <w:tc>
          <w:tcPr>
            <w:tcW w:w="701" w:type="dxa"/>
            <w:tcBorders/>
            <w:shd w:fill="auto" w:val="clear"/>
            <w:vAlign w:val="center"/>
          </w:tcPr>
          <w:p>
            <w:pPr>
              <w:pStyle w:val="TableContents"/>
              <w:spacing w:before="0" w:after="283"/>
              <w:rPr>
                <w:sz w:val="4"/>
                <w:szCs w:val="4"/>
              </w:rPr>
            </w:pPr>
            <w:r>
              <w:rPr>
                <w:sz w:val="4"/>
                <w:szCs w:val="4"/>
              </w:rPr>
            </w:r>
          </w:p>
        </w:tc>
        <w:tc>
          <w:tcPr>
            <w:tcW w:w="523" w:type="dxa"/>
            <w:gridSpan w:val="2"/>
            <w:tcBorders/>
            <w:shd w:fill="auto" w:val="clear"/>
            <w:vAlign w:val="center"/>
          </w:tcPr>
          <w:p>
            <w:pPr>
              <w:pStyle w:val="TableContents"/>
              <w:spacing w:before="0" w:after="283"/>
              <w:rPr>
                <w:sz w:val="4"/>
                <w:szCs w:val="4"/>
              </w:rPr>
            </w:pPr>
            <w:r>
              <w:rPr>
                <w:sz w:val="4"/>
                <w:szCs w:val="4"/>
              </w:rPr>
            </w:r>
          </w:p>
        </w:tc>
        <w:tc>
          <w:tcPr>
            <w:tcW w:w="8981" w:type="dxa"/>
            <w:gridSpan w:val="2"/>
            <w:tcBorders/>
            <w:shd w:fill="auto" w:val="clear"/>
            <w:vAlign w:val="center"/>
          </w:tcPr>
          <w:p>
            <w:pPr>
              <w:pStyle w:val="TableContents"/>
              <w:spacing w:before="0" w:after="283"/>
              <w:rPr>
                <w:sz w:val="4"/>
                <w:szCs w:val="4"/>
              </w:rPr>
            </w:pPr>
            <w:r>
              <w:rPr>
                <w:sz w:val="4"/>
                <w:szCs w:val="4"/>
              </w:rPr>
            </w:r>
          </w:p>
        </w:tc>
      </w:tr>
      <w:tr>
        <w:trPr/>
        <w:tc>
          <w:tcPr>
            <w:tcW w:w="701" w:type="dxa"/>
            <w:tcBorders/>
            <w:shd w:fill="auto" w:val="clear"/>
          </w:tcPr>
          <w:p>
            <w:pPr>
              <w:pStyle w:val="TableContents"/>
              <w:spacing w:before="0" w:after="283"/>
              <w:rPr/>
            </w:pPr>
            <w:r>
              <w:rPr/>
              <w:t>[●]</w:t>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pPr>
            <w:r>
              <w:rPr/>
              <w:t>)</w:t>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pPr>
            <w:r>
              <w:rPr/>
              <w:t>                    </w:t>
            </w:r>
            <w:r>
              <w:rPr>
                <w:u w:val="single"/>
              </w:rPr>
              <w:t>                                                              </w:t>
            </w:r>
            <w:r>
              <w:rPr/>
              <w:t>            </w:t>
            </w:r>
          </w:p>
        </w:tc>
      </w:tr>
      <w:tr>
        <w:trPr/>
        <w:tc>
          <w:tcPr>
            <w:tcW w:w="701" w:type="dxa"/>
            <w:tcBorders/>
            <w:shd w:fill="auto" w:val="clear"/>
          </w:tcPr>
          <w:p>
            <w:pPr>
              <w:pStyle w:val="TableContents"/>
              <w:spacing w:before="0" w:after="283"/>
              <w:rPr/>
            </w:pPr>
            <w:r>
              <w:rPr/>
              <w:t>[●]</w:t>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pPr>
            <w:r>
              <w:rPr/>
              <w:t>)</w:t>
            </w:r>
          </w:p>
        </w:tc>
        <w:tc>
          <w:tcPr>
            <w:tcW w:w="217" w:type="dxa"/>
            <w:tcBorders/>
            <w:shd w:fill="auto" w:val="clear"/>
            <w:vAlign w:val="bottom"/>
          </w:tcPr>
          <w:p>
            <w:pPr>
              <w:pStyle w:val="TableContents"/>
              <w:spacing w:before="0" w:after="283"/>
              <w:rPr/>
            </w:pPr>
            <w:r>
              <w:rPr/>
              <w:t>  </w:t>
            </w:r>
          </w:p>
        </w:tc>
        <w:tc>
          <w:tcPr>
            <w:tcW w:w="8764" w:type="dxa"/>
            <w:tcBorders/>
            <w:shd w:fill="auto" w:val="clear"/>
          </w:tcPr>
          <w:p>
            <w:pPr>
              <w:pStyle w:val="TableContents"/>
              <w:spacing w:before="0" w:after="283"/>
              <w:rPr>
                <w:sz w:val="4"/>
                <w:szCs w:val="4"/>
              </w:rPr>
            </w:pPr>
            <w:r>
              <w:rPr>
                <w:sz w:val="4"/>
                <w:szCs w:val="4"/>
              </w:rPr>
            </w:r>
          </w:p>
        </w:tc>
      </w:tr>
      <w:tr>
        <w:trPr/>
        <w:tc>
          <w:tcPr>
            <w:tcW w:w="701" w:type="dxa"/>
            <w:tcBorders/>
            <w:shd w:fill="auto" w:val="clear"/>
            <w:vAlign w:val="bottom"/>
          </w:tcPr>
          <w:p>
            <w:pPr>
              <w:pStyle w:val="TableContents"/>
              <w:spacing w:before="0" w:after="283"/>
              <w:rPr/>
            </w:pPr>
            <w:r>
              <w:rPr/>
              <w:t> </w:t>
            </w:r>
          </w:p>
        </w:tc>
        <w:tc>
          <w:tcPr>
            <w:tcW w:w="121" w:type="dxa"/>
            <w:tcBorders/>
            <w:shd w:fill="auto" w:val="clear"/>
            <w:vAlign w:val="bottom"/>
          </w:tcPr>
          <w:p>
            <w:pPr>
              <w:pStyle w:val="TableContents"/>
              <w:spacing w:before="0" w:after="283"/>
              <w:rPr/>
            </w:pPr>
            <w:r>
              <w:rPr/>
              <w:t>  </w:t>
            </w:r>
          </w:p>
        </w:tc>
        <w:tc>
          <w:tcPr>
            <w:tcW w:w="402" w:type="dxa"/>
            <w:tcBorders/>
            <w:shd w:fill="auto" w:val="clear"/>
            <w:vAlign w:val="bottom"/>
          </w:tcPr>
          <w:p>
            <w:pPr>
              <w:pStyle w:val="TableContents"/>
              <w:spacing w:before="0" w:after="283"/>
              <w:rPr/>
            </w:pPr>
            <w:r>
              <w:rPr/>
              <w:t> </w:t>
            </w:r>
          </w:p>
        </w:tc>
        <w:tc>
          <w:tcPr>
            <w:tcW w:w="217" w:type="dxa"/>
            <w:tcBorders/>
            <w:shd w:fill="auto" w:val="clear"/>
            <w:vAlign w:val="bottom"/>
          </w:tcPr>
          <w:p>
            <w:pPr>
              <w:pStyle w:val="TableContents"/>
              <w:spacing w:before="0" w:after="283"/>
              <w:rPr/>
            </w:pPr>
            <w:r>
              <w:rPr/>
              <w:t>  </w:t>
            </w:r>
          </w:p>
        </w:tc>
        <w:tc>
          <w:tcPr>
            <w:tcW w:w="8764" w:type="dxa"/>
            <w:tcBorders/>
            <w:shd w:fill="auto" w:val="clear"/>
            <w:vAlign w:val="bottom"/>
          </w:tcPr>
          <w:p>
            <w:pPr>
              <w:pStyle w:val="TableContents"/>
              <w:spacing w:before="0" w:after="283"/>
              <w:rPr/>
            </w:pPr>
            <w:r>
              <w:rPr/>
              <w:t>                                         </w:t>
            </w:r>
            <w:r>
              <w:rPr/>
              <w:t>PLACE OF SEAL</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 5 </w:t>
      </w:r>
    </w:p>
    <w:p>
      <w:pPr>
        <w:pStyle w:val="TextBody"/>
        <w:spacing w:before="240" w:after="0"/>
        <w:jc w:val="center"/>
        <w:rPr>
          <w:rFonts w:ascii="Times New Roman" w:hAnsi="Times New Roman"/>
          <w:sz w:val="20"/>
        </w:rPr>
      </w:pPr>
      <w:r>
        <w:rPr>
          <w:rFonts w:ascii="Times New Roman" w:hAnsi="Times New Roman"/>
          <w:sz w:val="20"/>
        </w:rPr>
        <w:t xml:space="preserve">FORM OF CONFIRMATION OF FINANCIAL INDICATORS </w:t>
      </w:r>
    </w:p>
    <w:p>
      <w:pPr>
        <w:pStyle w:val="TextBody"/>
        <w:spacing w:before="240" w:after="0"/>
        <w:jc w:val="center"/>
        <w:rPr>
          <w:rFonts w:ascii="Times New Roman" w:hAnsi="Times New Roman"/>
          <w:sz w:val="20"/>
        </w:rPr>
      </w:pPr>
      <w:r>
        <w:rPr>
          <w:rFonts w:ascii="Times New Roman" w:hAnsi="Times New Roman"/>
          <w:sz w:val="20"/>
        </w:rPr>
        <w:t xml:space="preserve">PART 1 </w:t>
      </w:r>
    </w:p>
    <w:p>
      <w:pPr>
        <w:pStyle w:val="TextBody"/>
        <w:spacing w:before="240" w:after="0"/>
        <w:jc w:val="center"/>
        <w:rPr>
          <w:rFonts w:ascii="Times New Roman" w:hAnsi="Times New Roman"/>
          <w:sz w:val="20"/>
        </w:rPr>
      </w:pPr>
      <w:r>
        <w:rPr>
          <w:rFonts w:ascii="Times New Roman" w:hAnsi="Times New Roman"/>
          <w:sz w:val="20"/>
        </w:rPr>
        <w:t xml:space="preserve">FORM FOR CONFIRMATION OF COMPLIANCE WITH FINANCIAL INDICATORS </w:t>
      </w:r>
    </w:p>
    <w:p>
      <w:pPr>
        <w:pStyle w:val="TextBody"/>
        <w:spacing w:before="0" w:after="0"/>
        <w:jc w:val="center"/>
        <w:rPr>
          <w:rFonts w:ascii="Times New Roman" w:hAnsi="Times New Roman"/>
          <w:sz w:val="20"/>
        </w:rPr>
      </w:pPr>
      <w:r>
        <w:rPr>
          <w:rFonts w:ascii="Times New Roman" w:hAnsi="Times New Roman"/>
          <w:sz w:val="20"/>
        </w:rPr>
        <w:t xml:space="preserve">ON THE BASIS OF IFRS </w:t>
      </w:r>
    </w:p>
    <w:p>
      <w:pPr>
        <w:pStyle w:val="TextBody"/>
        <w:spacing w:before="240" w:after="0"/>
        <w:jc w:val="center"/>
        <w:rPr>
          <w:rFonts w:ascii="Times New Roman" w:hAnsi="Times New Roman"/>
          <w:sz w:val="20"/>
        </w:rPr>
      </w:pPr>
      <w:r>
        <w:rPr>
          <w:rFonts w:ascii="Times New Roman" w:hAnsi="Times New Roman"/>
          <w:sz w:val="20"/>
        </w:rPr>
        <w:t xml:space="preserve">under the Agreement on the provision of a syndicated loan for the amount of [●] dated [●] </w:t>
      </w:r>
    </w:p>
    <w:p>
      <w:pPr>
        <w:pStyle w:val="TextBody"/>
        <w:spacing w:before="240" w:after="0"/>
        <w:rPr>
          <w:rFonts w:ascii="Times New Roman" w:hAnsi="Times New Roman"/>
          <w:sz w:val="20"/>
        </w:rPr>
      </w:pPr>
      <w:r>
        <w:rPr>
          <w:rFonts w:ascii="Times New Roman" w:hAnsi="Times New Roman"/>
          <w:sz w:val="20"/>
        </w:rPr>
        <w:t xml:space="preserve">Sender: (name of the Borrower) (details of the Borrower) </w:t>
      </w:r>
    </w:p>
    <w:p>
      <w:pPr>
        <w:pStyle w:val="TextBody"/>
        <w:spacing w:before="240" w:after="0"/>
        <w:rPr>
          <w:rFonts w:ascii="Times New Roman" w:hAnsi="Times New Roman"/>
          <w:sz w:val="20"/>
        </w:rPr>
      </w:pPr>
      <w:r>
        <w:rPr>
          <w:rFonts w:ascii="Times New Roman" w:hAnsi="Times New Roman"/>
          <w:sz w:val="20"/>
        </w:rPr>
        <w:t xml:space="preserve">Recipient: (name of the Credit agent) details of the Credit agent) </w:t>
      </w:r>
    </w:p>
    <w:p>
      <w:pPr>
        <w:pStyle w:val="TextBody"/>
        <w:spacing w:before="240" w:after="0"/>
        <w:rPr>
          <w:rFonts w:ascii="Times New Roman" w:hAnsi="Times New Roman"/>
          <w:sz w:val="20"/>
        </w:rPr>
      </w:pPr>
      <w:r>
        <w:rPr>
          <w:rFonts w:ascii="Times New Roman" w:hAnsi="Times New Roman"/>
          <w:sz w:val="20"/>
        </w:rPr>
        <w:t xml:space="preserve">Auditor: (name of the Auditor) (details of the Auditor) </w:t>
      </w:r>
    </w:p>
    <w:p>
      <w:pPr>
        <w:pStyle w:val="TextBody"/>
        <w:spacing w:before="240" w:after="0"/>
        <w:rPr>
          <w:rFonts w:ascii="Times New Roman" w:hAnsi="Times New Roman"/>
          <w:sz w:val="20"/>
        </w:rPr>
      </w:pPr>
      <w:r>
        <w:rPr>
          <w:rFonts w:ascii="Times New Roman" w:hAnsi="Times New Roman"/>
          <w:sz w:val="20"/>
        </w:rPr>
        <w:t xml:space="preserve">Date: [●]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1.</w:t>
            </w:r>
          </w:p>
        </w:tc>
        <w:tc>
          <w:tcPr>
            <w:tcW w:w="9187" w:type="dxa"/>
            <w:tcBorders/>
            <w:shd w:fill="auto" w:val="clear"/>
          </w:tcPr>
          <w:p>
            <w:pPr>
              <w:pStyle w:val="TableContents"/>
              <w:spacing w:before="0" w:after="283"/>
              <w:jc w:val="left"/>
              <w:rPr/>
            </w:pPr>
            <w:r>
              <w:rPr/>
              <w:t xml:space="preserve">On the basis of the Agreement on the provision of a syndicated loan in the amount of [●] dated [●] (hereinafter referred to as the Agreement), the Borrower shall inform the Credit Agent of compliance with financial constraints as of [the Settlement Date] in accordance with the conditions specified in Article 18 (Obligations under compliance with financial indicators) of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2.</w:t>
            </w:r>
          </w:p>
        </w:tc>
        <w:tc>
          <w:tcPr>
            <w:tcW w:w="9187" w:type="dxa"/>
            <w:tcBorders/>
            <w:shd w:fill="auto" w:val="clear"/>
          </w:tcPr>
          <w:p>
            <w:pPr>
              <w:pStyle w:val="TableContents"/>
              <w:spacing w:before="0" w:after="283"/>
              <w:jc w:val="left"/>
              <w:rPr/>
            </w:pPr>
            <w:r>
              <w:rPr/>
              <w:t xml:space="preserve">The terms defined in the Agreement have the same meaning in the present confirmation of compliance with financial indicators, unless they are given a different meaning.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3.</w:t>
            </w:r>
          </w:p>
        </w:tc>
        <w:tc>
          <w:tcPr>
            <w:tcW w:w="9185" w:type="dxa"/>
            <w:tcBorders/>
            <w:shd w:fill="auto" w:val="clear"/>
          </w:tcPr>
          <w:p>
            <w:pPr>
              <w:pStyle w:val="TableContents"/>
              <w:spacing w:before="0" w:after="283"/>
              <w:jc w:val="left"/>
              <w:rPr/>
            </w:pPr>
            <w:r>
              <w:rPr/>
              <w:t xml:space="preserve">We confirm that the list of financial indicators in Annex 1 of this financial confirmation of compliance with financial indicators corresponds to the list of financial indicators specified in Article 18 (Obligations for compliance with financial indicators) of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4.</w:t>
            </w:r>
          </w:p>
        </w:tc>
        <w:tc>
          <w:tcPr>
            <w:tcW w:w="9187" w:type="dxa"/>
            <w:tcBorders/>
            <w:shd w:fill="auto" w:val="clear"/>
          </w:tcPr>
          <w:p>
            <w:pPr>
              <w:pStyle w:val="TableContents"/>
              <w:spacing w:before="0" w:after="283"/>
              <w:jc w:val="left"/>
              <w:rPr/>
            </w:pPr>
            <w:r>
              <w:rPr/>
              <w:t xml:space="preserve">We confirm that the financial indicators given in Annex 1 to this confirmation of compliance with financial indicators were calculated by us on the basis of the financial accounting prepared in accordance with IFRS as of the Settlement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5.</w:t>
            </w:r>
          </w:p>
        </w:tc>
        <w:tc>
          <w:tcPr>
            <w:tcW w:w="9187" w:type="dxa"/>
            <w:tcBorders/>
            <w:shd w:fill="auto" w:val="clear"/>
          </w:tcPr>
          <w:p>
            <w:pPr>
              <w:pStyle w:val="TableContents"/>
              <w:spacing w:before="0" w:after="283"/>
              <w:jc w:val="left"/>
              <w:rPr/>
            </w:pPr>
            <w:r>
              <w:rPr/>
              <w:t xml:space="preserve">We confirm that as of the date of this confirmation of compliance with financial indicators, each condition for compliance with financial indicators specified in Articles 18.2 (Indicator of the Debt Load) and 18.3 (Indicator of the Interest Coverage) of the Agreement was performed.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7"/>
        <w:gridCol w:w="9190"/>
      </w:tblGrid>
      <w:tr>
        <w:trPr/>
        <w:tc>
          <w:tcPr>
            <w:tcW w:w="507" w:type="dxa"/>
            <w:tcBorders/>
            <w:shd w:fill="auto" w:val="clear"/>
            <w:vAlign w:val="center"/>
          </w:tcPr>
          <w:p>
            <w:pPr>
              <w:pStyle w:val="TableContents"/>
              <w:spacing w:before="0" w:after="283"/>
              <w:rPr/>
            </w:pPr>
            <w:r>
              <w:rPr/>
              <w:t> </w:t>
            </w:r>
          </w:p>
        </w:tc>
        <w:tc>
          <w:tcPr>
            <w:tcW w:w="507" w:type="dxa"/>
            <w:tcBorders/>
            <w:shd w:fill="auto" w:val="clear"/>
          </w:tcPr>
          <w:p>
            <w:pPr>
              <w:pStyle w:val="TableContents"/>
              <w:spacing w:before="0" w:after="283"/>
              <w:jc w:val="left"/>
              <w:rPr/>
            </w:pPr>
            <w:r>
              <w:rPr/>
              <w:t>6.</w:t>
            </w:r>
          </w:p>
        </w:tc>
        <w:tc>
          <w:tcPr>
            <w:tcW w:w="9190" w:type="dxa"/>
            <w:tcBorders/>
            <w:shd w:fill="auto" w:val="clear"/>
          </w:tcPr>
          <w:p>
            <w:pPr>
              <w:pStyle w:val="TableContents"/>
              <w:spacing w:before="0" w:after="283"/>
              <w:jc w:val="left"/>
              <w:rPr/>
            </w:pPr>
            <w:r>
              <w:rPr/>
              <w:t xml:space="preserve">[We confirm that, as of the date of this compliance confirmation, the following conditions for compliance with the financial indicators specified in Articles 18.2 (Indicator of the Debt Load) and 18.3 (Indicator of the Interest Coverage) of the Agreement were not performed: [list financial indicators on which violations were committed]. ]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7.</w:t>
            </w:r>
          </w:p>
        </w:tc>
        <w:tc>
          <w:tcPr>
            <w:tcW w:w="9187" w:type="dxa"/>
            <w:tcBorders/>
            <w:shd w:fill="auto" w:val="clear"/>
          </w:tcPr>
          <w:p>
            <w:pPr>
              <w:pStyle w:val="TableContents"/>
              <w:spacing w:before="0" w:after="283"/>
              <w:jc w:val="left"/>
              <w:rPr/>
            </w:pPr>
            <w:r>
              <w:rPr/>
              <w:t xml:space="preserve">[We confirm that, as of the date of [●], there is no any Event of default / [the following Events of default occurred, and we take the following measures to eliminate them: [●]].]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8.</w:t>
            </w:r>
          </w:p>
        </w:tc>
        <w:tc>
          <w:tcPr>
            <w:tcW w:w="9187" w:type="dxa"/>
            <w:tcBorders/>
            <w:shd w:fill="auto" w:val="clear"/>
          </w:tcPr>
          <w:p>
            <w:pPr>
              <w:pStyle w:val="TableContents"/>
              <w:spacing w:before="0" w:after="283"/>
              <w:jc w:val="left"/>
              <w:rPr/>
            </w:pPr>
            <w:r>
              <w:rPr/>
              <w:t xml:space="preserve">The report of “Financial indicators of the Borrower as of the Settlement Date” is given in Annex 1 to this confirmation of compliance with financial indicators.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9.</w:t>
            </w:r>
          </w:p>
        </w:tc>
        <w:tc>
          <w:tcPr>
            <w:tcW w:w="9187" w:type="dxa"/>
            <w:tcBorders/>
            <w:shd w:fill="auto" w:val="clear"/>
          </w:tcPr>
          <w:p>
            <w:pPr>
              <w:pStyle w:val="TableContents"/>
              <w:spacing w:before="0" w:after="283"/>
              <w:jc w:val="left"/>
              <w:rPr/>
            </w:pPr>
            <w:r>
              <w:rPr/>
              <w:t xml:space="preserve">The description of the parameters used in the report of “Financial indicators of the Borrower as of the Settlement Date” is given in Annex 2 to this confirmation of compliance with financial indicators. </w:t>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sz w:val="20"/>
        </w:rPr>
      </w:pPr>
      <w:r>
        <w:rPr>
          <w:rFonts w:ascii="Times New Roman" w:hAnsi="Times New Roman"/>
          <w:sz w:val="20"/>
        </w:rPr>
        <w:t xml:space="preserve">Annex 1 </w:t>
      </w:r>
    </w:p>
    <w:p>
      <w:pPr>
        <w:pStyle w:val="TextBody"/>
        <w:spacing w:before="240" w:after="0"/>
        <w:jc w:val="center"/>
        <w:rPr>
          <w:rFonts w:ascii="Times New Roman" w:hAnsi="Times New Roman"/>
          <w:sz w:val="22"/>
        </w:rPr>
      </w:pPr>
      <w:r>
        <w:rPr>
          <w:rFonts w:ascii="Times New Roman" w:hAnsi="Times New Roman"/>
          <w:sz w:val="22"/>
        </w:rPr>
        <w:t xml:space="preserve">FINANCIAL INDICATORS OF THE BORROWER AS OF THE SETTLEMENT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88"/>
        <w:gridCol w:w="274"/>
        <w:gridCol w:w="3258"/>
        <w:gridCol w:w="274"/>
        <w:gridCol w:w="1141"/>
        <w:gridCol w:w="216"/>
        <w:gridCol w:w="998"/>
        <w:gridCol w:w="216"/>
        <w:gridCol w:w="830"/>
        <w:gridCol w:w="216"/>
        <w:gridCol w:w="998"/>
        <w:gridCol w:w="216"/>
        <w:gridCol w:w="780"/>
      </w:tblGrid>
      <w:tr>
        <w:trPr/>
        <w:tc>
          <w:tcPr>
            <w:tcW w:w="788" w:type="dxa"/>
            <w:tcBorders/>
            <w:shd w:fill="auto" w:val="clear"/>
            <w:vAlign w:val="center"/>
          </w:tcPr>
          <w:p>
            <w:pPr>
              <w:pStyle w:val="TableContents"/>
              <w:spacing w:before="0" w:after="283"/>
              <w:rPr>
                <w:sz w:val="4"/>
                <w:szCs w:val="4"/>
              </w:rPr>
            </w:pPr>
            <w:r>
              <w:rPr>
                <w:sz w:val="4"/>
                <w:szCs w:val="4"/>
              </w:rPr>
            </w:r>
          </w:p>
        </w:tc>
        <w:tc>
          <w:tcPr>
            <w:tcW w:w="274" w:type="dxa"/>
            <w:tcBorders/>
            <w:shd w:fill="auto" w:val="clear"/>
            <w:vAlign w:val="bottom"/>
          </w:tcPr>
          <w:p>
            <w:pPr>
              <w:pStyle w:val="TableContents"/>
              <w:spacing w:before="0" w:after="283"/>
              <w:rPr>
                <w:sz w:val="4"/>
                <w:szCs w:val="4"/>
              </w:rPr>
            </w:pPr>
            <w:r>
              <w:rPr>
                <w:sz w:val="4"/>
                <w:szCs w:val="4"/>
              </w:rPr>
            </w:r>
          </w:p>
        </w:tc>
        <w:tc>
          <w:tcPr>
            <w:tcW w:w="3258" w:type="dxa"/>
            <w:tcBorders/>
            <w:shd w:fill="auto" w:val="clear"/>
            <w:vAlign w:val="center"/>
          </w:tcPr>
          <w:p>
            <w:pPr>
              <w:pStyle w:val="TableContents"/>
              <w:spacing w:before="0" w:after="283"/>
              <w:rPr>
                <w:sz w:val="4"/>
                <w:szCs w:val="4"/>
              </w:rPr>
            </w:pPr>
            <w:r>
              <w:rPr>
                <w:sz w:val="4"/>
                <w:szCs w:val="4"/>
              </w:rPr>
            </w:r>
          </w:p>
        </w:tc>
        <w:tc>
          <w:tcPr>
            <w:tcW w:w="274" w:type="dxa"/>
            <w:tcBorders/>
            <w:shd w:fill="auto" w:val="clear"/>
            <w:vAlign w:val="bottom"/>
          </w:tcPr>
          <w:p>
            <w:pPr>
              <w:pStyle w:val="TableContents"/>
              <w:spacing w:before="0" w:after="283"/>
              <w:rPr>
                <w:sz w:val="4"/>
                <w:szCs w:val="4"/>
              </w:rPr>
            </w:pPr>
            <w:r>
              <w:rPr>
                <w:sz w:val="4"/>
                <w:szCs w:val="4"/>
              </w:rPr>
            </w:r>
          </w:p>
        </w:tc>
        <w:tc>
          <w:tcPr>
            <w:tcW w:w="1141"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bottom"/>
          </w:tcPr>
          <w:p>
            <w:pPr>
              <w:pStyle w:val="TableContents"/>
              <w:spacing w:before="0" w:after="283"/>
              <w:rPr>
                <w:sz w:val="4"/>
                <w:szCs w:val="4"/>
              </w:rPr>
            </w:pPr>
            <w:r>
              <w:rPr>
                <w:sz w:val="4"/>
                <w:szCs w:val="4"/>
              </w:rPr>
            </w:r>
          </w:p>
        </w:tc>
        <w:tc>
          <w:tcPr>
            <w:tcW w:w="998"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bottom"/>
          </w:tcPr>
          <w:p>
            <w:pPr>
              <w:pStyle w:val="TableContents"/>
              <w:spacing w:before="0" w:after="283"/>
              <w:rPr>
                <w:sz w:val="4"/>
                <w:szCs w:val="4"/>
              </w:rPr>
            </w:pPr>
            <w:r>
              <w:rPr>
                <w:sz w:val="4"/>
                <w:szCs w:val="4"/>
              </w:rPr>
            </w:r>
          </w:p>
        </w:tc>
        <w:tc>
          <w:tcPr>
            <w:tcW w:w="830"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bottom"/>
          </w:tcPr>
          <w:p>
            <w:pPr>
              <w:pStyle w:val="TableContents"/>
              <w:spacing w:before="0" w:after="283"/>
              <w:rPr>
                <w:sz w:val="4"/>
                <w:szCs w:val="4"/>
              </w:rPr>
            </w:pPr>
            <w:r>
              <w:rPr>
                <w:sz w:val="4"/>
                <w:szCs w:val="4"/>
              </w:rPr>
            </w:r>
          </w:p>
        </w:tc>
        <w:tc>
          <w:tcPr>
            <w:tcW w:w="998"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bottom"/>
          </w:tcPr>
          <w:p>
            <w:pPr>
              <w:pStyle w:val="TableContents"/>
              <w:spacing w:before="0" w:after="283"/>
              <w:rPr>
                <w:sz w:val="4"/>
                <w:szCs w:val="4"/>
              </w:rPr>
            </w:pPr>
            <w:r>
              <w:rPr>
                <w:sz w:val="4"/>
                <w:szCs w:val="4"/>
              </w:rPr>
            </w:r>
          </w:p>
        </w:tc>
        <w:tc>
          <w:tcPr>
            <w:tcW w:w="780" w:type="dxa"/>
            <w:tcBorders/>
            <w:shd w:fill="auto" w:val="clear"/>
            <w:vAlign w:val="center"/>
          </w:tcPr>
          <w:p>
            <w:pPr>
              <w:pStyle w:val="TableContents"/>
              <w:spacing w:before="0" w:after="283"/>
              <w:rPr>
                <w:sz w:val="4"/>
                <w:szCs w:val="4"/>
              </w:rPr>
            </w:pPr>
            <w:r>
              <w:rPr>
                <w:sz w:val="4"/>
                <w:szCs w:val="4"/>
              </w:rPr>
            </w:r>
          </w:p>
        </w:tc>
      </w:tr>
      <w:tr>
        <w:trPr/>
        <w:tc>
          <w:tcPr>
            <w:tcW w:w="788" w:type="dxa"/>
            <w:tcBorders/>
            <w:shd w:fill="auto" w:val="clear"/>
            <w:vAlign w:val="bottom"/>
          </w:tcPr>
          <w:p>
            <w:pPr>
              <w:pStyle w:val="TableContents"/>
              <w:pBdr>
                <w:bottom w:val="single" w:sz="8" w:space="1" w:color="000000"/>
              </w:pBdr>
              <w:spacing w:before="0" w:after="0"/>
              <w:rPr>
                <w:rFonts w:ascii="Times New Roman" w:hAnsi="Times New Roman"/>
                <w:sz w:val="16"/>
              </w:rPr>
            </w:pPr>
            <w:r>
              <w:rPr>
                <w:rFonts w:ascii="Times New Roman" w:hAnsi="Times New Roman"/>
                <w:sz w:val="16"/>
              </w:rPr>
              <w:t>No. in</w:t>
              <w:br/>
              <w:t>sequence</w:t>
            </w:r>
          </w:p>
        </w:tc>
        <w:tc>
          <w:tcPr>
            <w:tcW w:w="274" w:type="dxa"/>
            <w:tcBorders/>
            <w:shd w:fill="auto" w:val="clear"/>
            <w:vAlign w:val="bottom"/>
          </w:tcPr>
          <w:p>
            <w:pPr>
              <w:pStyle w:val="TableContents"/>
              <w:spacing w:before="0" w:after="283"/>
              <w:rPr/>
            </w:pPr>
            <w:r>
              <w:rPr/>
              <w:t>  </w:t>
            </w:r>
          </w:p>
        </w:tc>
        <w:tc>
          <w:tcPr>
            <w:tcW w:w="3258" w:type="dxa"/>
            <w:tcBorders>
              <w:bottom w:val="single" w:sz="8" w:space="0" w:color="000000"/>
              <w:insideH w:val="single" w:sz="8" w:space="0" w:color="000000"/>
            </w:tcBorders>
            <w:shd w:fill="auto" w:val="clear"/>
            <w:tcMar>
              <w:bottom w:w="28" w:type="dxa"/>
            </w:tcMar>
            <w:vAlign w:val="bottom"/>
          </w:tcPr>
          <w:p>
            <w:pPr>
              <w:pStyle w:val="TableContents"/>
              <w:spacing w:before="0" w:after="0"/>
              <w:jc w:val="center"/>
              <w:rPr>
                <w:rFonts w:ascii="Times New Roman" w:hAnsi="Times New Roman"/>
                <w:sz w:val="16"/>
              </w:rPr>
            </w:pPr>
            <w:r>
              <w:rPr>
                <w:rFonts w:ascii="Times New Roman" w:hAnsi="Times New Roman"/>
                <w:sz w:val="16"/>
              </w:rPr>
              <w:t>Name of financial</w:t>
            </w:r>
          </w:p>
          <w:p>
            <w:pPr>
              <w:pStyle w:val="TableContents"/>
              <w:spacing w:before="0" w:after="20"/>
              <w:jc w:val="center"/>
              <w:rPr>
                <w:rFonts w:ascii="Times New Roman" w:hAnsi="Times New Roman"/>
                <w:sz w:val="16"/>
              </w:rPr>
            </w:pPr>
            <w:r>
              <w:rPr>
                <w:rFonts w:ascii="Times New Roman" w:hAnsi="Times New Roman"/>
                <w:sz w:val="16"/>
              </w:rPr>
              <w:t>indicator</w:t>
            </w:r>
          </w:p>
        </w:tc>
        <w:tc>
          <w:tcPr>
            <w:tcW w:w="274" w:type="dxa"/>
            <w:tcBorders/>
            <w:shd w:fill="auto" w:val="clear"/>
            <w:vAlign w:val="bottom"/>
          </w:tcPr>
          <w:p>
            <w:pPr>
              <w:pStyle w:val="TableContents"/>
              <w:spacing w:before="0" w:after="283"/>
              <w:rPr/>
            </w:pPr>
            <w:r>
              <w:rPr/>
              <w:t>  </w:t>
            </w:r>
          </w:p>
        </w:tc>
        <w:tc>
          <w:tcPr>
            <w:tcW w:w="1141"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Data source</w:t>
            </w:r>
          </w:p>
        </w:tc>
        <w:tc>
          <w:tcPr>
            <w:tcW w:w="216" w:type="dxa"/>
            <w:tcBorders/>
            <w:shd w:fill="auto" w:val="clear"/>
            <w:vAlign w:val="bottom"/>
          </w:tcPr>
          <w:p>
            <w:pPr>
              <w:pStyle w:val="TableContents"/>
              <w:spacing w:before="0" w:after="283"/>
              <w:rPr/>
            </w:pPr>
            <w:r>
              <w:rPr/>
              <w:t> </w:t>
            </w:r>
          </w:p>
        </w:tc>
        <w:tc>
          <w:tcPr>
            <w:tcW w:w="998"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Procedure</w:t>
              <w:br/>
              <w:t>of</w:t>
              <w:br/>
              <w:t>settlement</w:t>
            </w:r>
          </w:p>
        </w:tc>
        <w:tc>
          <w:tcPr>
            <w:tcW w:w="216" w:type="dxa"/>
            <w:tcBorders/>
            <w:shd w:fill="auto" w:val="clear"/>
            <w:vAlign w:val="bottom"/>
          </w:tcPr>
          <w:p>
            <w:pPr>
              <w:pStyle w:val="TableContents"/>
              <w:spacing w:before="0" w:after="283"/>
              <w:rPr/>
            </w:pPr>
            <w:r>
              <w:rPr/>
              <w:t> </w:t>
            </w:r>
          </w:p>
        </w:tc>
        <w:tc>
          <w:tcPr>
            <w:tcW w:w="83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Indicator</w:t>
              <w:br/>
              <w:t>value</w:t>
            </w:r>
          </w:p>
        </w:tc>
        <w:tc>
          <w:tcPr>
            <w:tcW w:w="216" w:type="dxa"/>
            <w:tcBorders/>
            <w:shd w:fill="auto" w:val="clear"/>
            <w:vAlign w:val="bottom"/>
          </w:tcPr>
          <w:p>
            <w:pPr>
              <w:pStyle w:val="TableContents"/>
              <w:spacing w:before="0" w:after="283"/>
              <w:rPr/>
            </w:pPr>
            <w:r>
              <w:rPr/>
              <w:t> </w:t>
            </w:r>
          </w:p>
        </w:tc>
        <w:tc>
          <w:tcPr>
            <w:tcW w:w="998"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Settlement</w:t>
              <w:br/>
              <w:t>date</w:t>
            </w:r>
          </w:p>
        </w:tc>
        <w:tc>
          <w:tcPr>
            <w:tcW w:w="216" w:type="dxa"/>
            <w:tcBorders/>
            <w:shd w:fill="auto" w:val="clear"/>
            <w:vAlign w:val="bottom"/>
          </w:tcPr>
          <w:p>
            <w:pPr>
              <w:pStyle w:val="TableContents"/>
              <w:spacing w:before="0" w:after="283"/>
              <w:rPr/>
            </w:pPr>
            <w:r>
              <w:rPr/>
              <w:t> </w:t>
            </w:r>
          </w:p>
        </w:tc>
        <w:tc>
          <w:tcPr>
            <w:tcW w:w="78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Event of</w:t>
              <w:br/>
              <w:t>default</w:t>
            </w:r>
          </w:p>
        </w:tc>
      </w:tr>
      <w:tr>
        <w:trPr/>
        <w:tc>
          <w:tcPr>
            <w:tcW w:w="788" w:type="dxa"/>
            <w:tcBorders/>
            <w:shd w:fill="auto" w:val="clear"/>
            <w:vAlign w:val="bottom"/>
          </w:tcPr>
          <w:p>
            <w:pPr>
              <w:pStyle w:val="TableContents"/>
              <w:spacing w:before="0" w:after="283"/>
              <w:rPr/>
            </w:pPr>
            <w:r>
              <w:rPr/>
              <w:t>1</w:t>
            </w:r>
          </w:p>
        </w:tc>
        <w:tc>
          <w:tcPr>
            <w:tcW w:w="274" w:type="dxa"/>
            <w:tcBorders/>
            <w:shd w:fill="auto" w:val="clear"/>
            <w:vAlign w:val="bottom"/>
          </w:tcPr>
          <w:p>
            <w:pPr>
              <w:pStyle w:val="TableContents"/>
              <w:spacing w:before="0" w:after="283"/>
              <w:rPr/>
            </w:pPr>
            <w:r>
              <w:rPr/>
              <w:t>  </w:t>
            </w:r>
          </w:p>
        </w:tc>
        <w:tc>
          <w:tcPr>
            <w:tcW w:w="3258" w:type="dxa"/>
            <w:tcBorders/>
            <w:shd w:fill="auto" w:val="clear"/>
            <w:vAlign w:val="bottom"/>
          </w:tcPr>
          <w:p>
            <w:pPr>
              <w:pStyle w:val="TableContents"/>
              <w:spacing w:before="0" w:after="283"/>
              <w:rPr/>
            </w:pPr>
            <w:r>
              <w:rPr/>
              <w:t>Indicator of the Debt Load</w:t>
            </w:r>
          </w:p>
        </w:tc>
        <w:tc>
          <w:tcPr>
            <w:tcW w:w="274" w:type="dxa"/>
            <w:tcBorders/>
            <w:shd w:fill="auto" w:val="clear"/>
            <w:vAlign w:val="bottom"/>
          </w:tcPr>
          <w:p>
            <w:pPr>
              <w:pStyle w:val="TableContents"/>
              <w:spacing w:before="0" w:after="283"/>
              <w:rPr/>
            </w:pPr>
            <w:r>
              <w:rPr/>
              <w:t>  </w:t>
            </w:r>
          </w:p>
        </w:tc>
        <w:tc>
          <w:tcPr>
            <w:tcW w:w="1141"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998"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830"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998"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780" w:type="dxa"/>
            <w:tcBorders/>
            <w:shd w:fill="auto" w:val="clear"/>
            <w:vAlign w:val="bottom"/>
          </w:tcPr>
          <w:p>
            <w:pPr>
              <w:pStyle w:val="TableContents"/>
              <w:spacing w:before="0" w:after="283"/>
              <w:rPr/>
            </w:pPr>
            <w:r>
              <w:rPr/>
              <w:t>[●]</w:t>
            </w:r>
          </w:p>
        </w:tc>
      </w:tr>
      <w:tr>
        <w:trPr>
          <w:trHeight w:val="120" w:hRule="atLeast"/>
        </w:trPr>
        <w:tc>
          <w:tcPr>
            <w:tcW w:w="788" w:type="dxa"/>
            <w:tcBorders/>
            <w:shd w:fill="auto" w:val="clear"/>
            <w:vAlign w:val="center"/>
          </w:tcPr>
          <w:p>
            <w:pPr>
              <w:pStyle w:val="TableContents"/>
              <w:spacing w:before="0" w:after="283"/>
              <w:rPr>
                <w:sz w:val="4"/>
                <w:szCs w:val="4"/>
              </w:rPr>
            </w:pPr>
            <w:r>
              <w:rPr>
                <w:sz w:val="4"/>
                <w:szCs w:val="4"/>
              </w:rPr>
            </w:r>
          </w:p>
        </w:tc>
        <w:tc>
          <w:tcPr>
            <w:tcW w:w="3532" w:type="dxa"/>
            <w:gridSpan w:val="2"/>
            <w:tcBorders/>
            <w:shd w:fill="auto" w:val="clear"/>
            <w:vAlign w:val="center"/>
          </w:tcPr>
          <w:p>
            <w:pPr>
              <w:pStyle w:val="TableContents"/>
              <w:spacing w:before="0" w:after="283"/>
              <w:rPr>
                <w:sz w:val="4"/>
                <w:szCs w:val="4"/>
              </w:rPr>
            </w:pPr>
            <w:r>
              <w:rPr>
                <w:sz w:val="4"/>
                <w:szCs w:val="4"/>
              </w:rPr>
            </w:r>
          </w:p>
        </w:tc>
        <w:tc>
          <w:tcPr>
            <w:tcW w:w="1415" w:type="dxa"/>
            <w:gridSpan w:val="2"/>
            <w:tcBorders/>
            <w:shd w:fill="auto" w:val="clear"/>
            <w:vAlign w:val="center"/>
          </w:tcPr>
          <w:p>
            <w:pPr>
              <w:pStyle w:val="TableContents"/>
              <w:spacing w:before="0" w:after="283"/>
              <w:rPr>
                <w:sz w:val="4"/>
                <w:szCs w:val="4"/>
              </w:rPr>
            </w:pPr>
            <w:r>
              <w:rPr>
                <w:sz w:val="4"/>
                <w:szCs w:val="4"/>
              </w:rPr>
            </w:r>
          </w:p>
        </w:tc>
        <w:tc>
          <w:tcPr>
            <w:tcW w:w="1214" w:type="dxa"/>
            <w:gridSpan w:val="2"/>
            <w:tcBorders/>
            <w:shd w:fill="auto" w:val="clear"/>
            <w:vAlign w:val="center"/>
          </w:tcPr>
          <w:p>
            <w:pPr>
              <w:pStyle w:val="TableContents"/>
              <w:spacing w:before="0" w:after="283"/>
              <w:rPr>
                <w:sz w:val="4"/>
                <w:szCs w:val="4"/>
              </w:rPr>
            </w:pPr>
            <w:r>
              <w:rPr>
                <w:sz w:val="4"/>
                <w:szCs w:val="4"/>
              </w:rPr>
            </w:r>
          </w:p>
        </w:tc>
        <w:tc>
          <w:tcPr>
            <w:tcW w:w="1046" w:type="dxa"/>
            <w:gridSpan w:val="2"/>
            <w:tcBorders/>
            <w:shd w:fill="auto" w:val="clear"/>
            <w:vAlign w:val="center"/>
          </w:tcPr>
          <w:p>
            <w:pPr>
              <w:pStyle w:val="TableContents"/>
              <w:spacing w:before="0" w:after="283"/>
              <w:rPr>
                <w:sz w:val="4"/>
                <w:szCs w:val="4"/>
              </w:rPr>
            </w:pPr>
            <w:r>
              <w:rPr>
                <w:sz w:val="4"/>
                <w:szCs w:val="4"/>
              </w:rPr>
            </w:r>
          </w:p>
        </w:tc>
        <w:tc>
          <w:tcPr>
            <w:tcW w:w="1214" w:type="dxa"/>
            <w:gridSpan w:val="2"/>
            <w:tcBorders/>
            <w:shd w:fill="auto" w:val="clear"/>
            <w:vAlign w:val="center"/>
          </w:tcPr>
          <w:p>
            <w:pPr>
              <w:pStyle w:val="TableContents"/>
              <w:spacing w:before="0" w:after="283"/>
              <w:rPr>
                <w:sz w:val="4"/>
                <w:szCs w:val="4"/>
              </w:rPr>
            </w:pPr>
            <w:r>
              <w:rPr>
                <w:sz w:val="4"/>
                <w:szCs w:val="4"/>
              </w:rPr>
            </w:r>
          </w:p>
        </w:tc>
        <w:tc>
          <w:tcPr>
            <w:tcW w:w="996" w:type="dxa"/>
            <w:gridSpan w:val="2"/>
            <w:tcBorders/>
            <w:shd w:fill="auto" w:val="clear"/>
            <w:vAlign w:val="center"/>
          </w:tcPr>
          <w:p>
            <w:pPr>
              <w:pStyle w:val="TableContents"/>
              <w:spacing w:before="0" w:after="283"/>
              <w:rPr>
                <w:sz w:val="4"/>
                <w:szCs w:val="4"/>
              </w:rPr>
            </w:pPr>
            <w:r>
              <w:rPr>
                <w:sz w:val="4"/>
                <w:szCs w:val="4"/>
              </w:rPr>
            </w:r>
          </w:p>
        </w:tc>
      </w:tr>
      <w:tr>
        <w:trPr/>
        <w:tc>
          <w:tcPr>
            <w:tcW w:w="788" w:type="dxa"/>
            <w:tcBorders/>
            <w:shd w:fill="auto" w:val="clear"/>
            <w:vAlign w:val="bottom"/>
          </w:tcPr>
          <w:p>
            <w:pPr>
              <w:pStyle w:val="TableContents"/>
              <w:spacing w:before="0" w:after="283"/>
              <w:rPr/>
            </w:pPr>
            <w:r>
              <w:rPr/>
              <w:t>2</w:t>
            </w:r>
          </w:p>
        </w:tc>
        <w:tc>
          <w:tcPr>
            <w:tcW w:w="274" w:type="dxa"/>
            <w:tcBorders/>
            <w:shd w:fill="auto" w:val="clear"/>
            <w:vAlign w:val="bottom"/>
          </w:tcPr>
          <w:p>
            <w:pPr>
              <w:pStyle w:val="TableContents"/>
              <w:spacing w:before="0" w:after="283"/>
              <w:rPr/>
            </w:pPr>
            <w:r>
              <w:rPr/>
              <w:t>  </w:t>
            </w:r>
          </w:p>
        </w:tc>
        <w:tc>
          <w:tcPr>
            <w:tcW w:w="3258" w:type="dxa"/>
            <w:tcBorders/>
            <w:shd w:fill="auto" w:val="clear"/>
            <w:vAlign w:val="bottom"/>
          </w:tcPr>
          <w:p>
            <w:pPr>
              <w:pStyle w:val="TableContents"/>
              <w:spacing w:before="0" w:after="283"/>
              <w:rPr/>
            </w:pPr>
            <w:r>
              <w:rPr/>
              <w:t>Indicator of the Interest Coverage</w:t>
            </w:r>
          </w:p>
        </w:tc>
        <w:tc>
          <w:tcPr>
            <w:tcW w:w="274" w:type="dxa"/>
            <w:tcBorders/>
            <w:shd w:fill="auto" w:val="clear"/>
            <w:vAlign w:val="bottom"/>
          </w:tcPr>
          <w:p>
            <w:pPr>
              <w:pStyle w:val="TableContents"/>
              <w:spacing w:before="0" w:after="283"/>
              <w:rPr/>
            </w:pPr>
            <w:r>
              <w:rPr/>
              <w:t>  </w:t>
            </w:r>
          </w:p>
        </w:tc>
        <w:tc>
          <w:tcPr>
            <w:tcW w:w="1141"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998"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830"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998" w:type="dxa"/>
            <w:tcBorders/>
            <w:shd w:fill="auto" w:val="clear"/>
            <w:vAlign w:val="bottom"/>
          </w:tcPr>
          <w:p>
            <w:pPr>
              <w:pStyle w:val="TableContents"/>
              <w:spacing w:before="0" w:after="283"/>
              <w:rPr/>
            </w:pPr>
            <w:r>
              <w:rPr/>
              <w:t>[●]</w:t>
            </w:r>
          </w:p>
        </w:tc>
        <w:tc>
          <w:tcPr>
            <w:tcW w:w="216" w:type="dxa"/>
            <w:tcBorders/>
            <w:shd w:fill="auto" w:val="clear"/>
            <w:vAlign w:val="bottom"/>
          </w:tcPr>
          <w:p>
            <w:pPr>
              <w:pStyle w:val="TableContents"/>
              <w:spacing w:before="0" w:after="283"/>
              <w:rPr/>
            </w:pPr>
            <w:r>
              <w:rPr/>
              <w:t> </w:t>
            </w:r>
          </w:p>
        </w:tc>
        <w:tc>
          <w:tcPr>
            <w:tcW w:w="780" w:type="dxa"/>
            <w:tcBorders/>
            <w:shd w:fill="auto" w:val="clear"/>
            <w:vAlign w:val="bottom"/>
          </w:tcPr>
          <w:p>
            <w:pPr>
              <w:pStyle w:val="TableContents"/>
              <w:spacing w:before="0" w:after="283"/>
              <w:rPr/>
            </w:pPr>
            <w:r>
              <w:rPr/>
              <w:t>[●]</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PART 2 </w:t>
      </w:r>
    </w:p>
    <w:p>
      <w:pPr>
        <w:pStyle w:val="TextBody"/>
        <w:spacing w:before="240" w:after="0"/>
        <w:jc w:val="center"/>
        <w:rPr>
          <w:rFonts w:ascii="Times New Roman" w:hAnsi="Times New Roman"/>
          <w:sz w:val="22"/>
        </w:rPr>
      </w:pPr>
      <w:r>
        <w:rPr>
          <w:rFonts w:ascii="Times New Roman" w:hAnsi="Times New Roman"/>
          <w:sz w:val="22"/>
        </w:rPr>
        <w:t xml:space="preserve">FORM FOR CONFIRMATION OF COMPLIANCE WITH FINANCIAL INDICATORS ON THE BASIS OF MANAGEMENT AND RUSSIAN ACCOUNTING STANDARDS REPORTS </w:t>
      </w:r>
    </w:p>
    <w:p>
      <w:pPr>
        <w:pStyle w:val="TextBody"/>
        <w:spacing w:before="240" w:after="0"/>
        <w:jc w:val="center"/>
        <w:rPr>
          <w:rFonts w:ascii="Times New Roman" w:hAnsi="Times New Roman"/>
          <w:sz w:val="20"/>
        </w:rPr>
      </w:pPr>
      <w:r>
        <w:rPr>
          <w:rFonts w:ascii="Times New Roman" w:hAnsi="Times New Roman"/>
          <w:sz w:val="20"/>
        </w:rPr>
        <w:t xml:space="preserve">under the Agreement on the provision of a syndicated loan for the amount of [●] dated [●] </w:t>
      </w:r>
    </w:p>
    <w:p>
      <w:pPr>
        <w:pStyle w:val="TextBody"/>
        <w:spacing w:before="240" w:after="0"/>
        <w:rPr>
          <w:rFonts w:ascii="Times New Roman" w:hAnsi="Times New Roman"/>
          <w:sz w:val="20"/>
        </w:rPr>
      </w:pPr>
      <w:r>
        <w:rPr>
          <w:rFonts w:ascii="Times New Roman" w:hAnsi="Times New Roman"/>
          <w:sz w:val="20"/>
        </w:rPr>
        <w:t xml:space="preserve">Sender: (name of the Borrower) (details of the Borrower) </w:t>
      </w:r>
    </w:p>
    <w:p>
      <w:pPr>
        <w:pStyle w:val="TextBody"/>
        <w:spacing w:before="240" w:after="0"/>
        <w:rPr>
          <w:rFonts w:ascii="Times New Roman" w:hAnsi="Times New Roman"/>
          <w:sz w:val="20"/>
        </w:rPr>
      </w:pPr>
      <w:r>
        <w:rPr>
          <w:rFonts w:ascii="Times New Roman" w:hAnsi="Times New Roman"/>
          <w:sz w:val="20"/>
        </w:rPr>
        <w:t xml:space="preserve">Recipient: (name of the Credit agent) details of the Credit agent) </w:t>
      </w:r>
    </w:p>
    <w:p>
      <w:pPr>
        <w:pStyle w:val="TextBody"/>
        <w:spacing w:before="240" w:after="0"/>
        <w:rPr>
          <w:rFonts w:ascii="Times New Roman" w:hAnsi="Times New Roman"/>
          <w:sz w:val="20"/>
        </w:rPr>
      </w:pPr>
      <w:r>
        <w:rPr>
          <w:rFonts w:ascii="Times New Roman" w:hAnsi="Times New Roman"/>
          <w:sz w:val="20"/>
        </w:rPr>
        <w:t xml:space="preserve">Date: [●]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1.</w:t>
            </w:r>
          </w:p>
        </w:tc>
        <w:tc>
          <w:tcPr>
            <w:tcW w:w="9187" w:type="dxa"/>
            <w:tcBorders/>
            <w:shd w:fill="auto" w:val="clear"/>
          </w:tcPr>
          <w:p>
            <w:pPr>
              <w:pStyle w:val="TableContents"/>
              <w:spacing w:before="0" w:after="283"/>
              <w:jc w:val="left"/>
              <w:rPr/>
            </w:pPr>
            <w:r>
              <w:rPr/>
              <w:t xml:space="preserve">On the basis of the Agreement on the provision of a syndicated loan in the amount of [●] dated [●] (hereinafter referred to as the Agreement), the Borrower shall inform the Credit Agent of compliance with financial constraints as of [the Settlement Date] in accordance with the conditions specified in Article 18 (Obligations under compliance with financial indicators) of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2.</w:t>
            </w:r>
          </w:p>
        </w:tc>
        <w:tc>
          <w:tcPr>
            <w:tcW w:w="9187" w:type="dxa"/>
            <w:tcBorders/>
            <w:shd w:fill="auto" w:val="clear"/>
          </w:tcPr>
          <w:p>
            <w:pPr>
              <w:pStyle w:val="TableContents"/>
              <w:spacing w:before="0" w:after="283"/>
              <w:jc w:val="left"/>
              <w:rPr/>
            </w:pPr>
            <w:r>
              <w:rPr/>
              <w:t xml:space="preserve">The terms defined in the Agreement have the same meaning in the present confirmation of compliance with financial indicators, unless they are given a different meaning.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3.</w:t>
            </w:r>
          </w:p>
        </w:tc>
        <w:tc>
          <w:tcPr>
            <w:tcW w:w="9185" w:type="dxa"/>
            <w:tcBorders/>
            <w:shd w:fill="auto" w:val="clear"/>
          </w:tcPr>
          <w:p>
            <w:pPr>
              <w:pStyle w:val="TableContents"/>
              <w:spacing w:before="0" w:after="283"/>
              <w:jc w:val="left"/>
              <w:rPr/>
            </w:pPr>
            <w:r>
              <w:rPr/>
              <w:t xml:space="preserve">We confirm that the list of financial indicators in Annex 1 of this financial confirmation of compliance with financial indicators corresponds to the list of financial indicators specified in Articles 18.4 (Revenue amount under the Russian accounting standards) and 18.6 (Amount of Cash Receipts) of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4.</w:t>
            </w:r>
          </w:p>
        </w:tc>
        <w:tc>
          <w:tcPr>
            <w:tcW w:w="9185" w:type="dxa"/>
            <w:tcBorders/>
            <w:shd w:fill="auto" w:val="clear"/>
          </w:tcPr>
          <w:p>
            <w:pPr>
              <w:pStyle w:val="TableContents"/>
              <w:spacing w:before="0" w:after="283"/>
              <w:jc w:val="left"/>
              <w:rPr/>
            </w:pPr>
            <w:r>
              <w:rPr/>
              <w:t xml:space="preserve">We confirm that the financial indicators given in Annex 1 to this confirmation of compliance with financial indicators were calculated by us on the basis of the financial accounting prepared in accordance with Russian accounting standards and management accounting as of the Settlement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5.</w:t>
            </w:r>
          </w:p>
        </w:tc>
        <w:tc>
          <w:tcPr>
            <w:tcW w:w="9187" w:type="dxa"/>
            <w:tcBorders/>
            <w:shd w:fill="auto" w:val="clear"/>
          </w:tcPr>
          <w:p>
            <w:pPr>
              <w:pStyle w:val="TableContents"/>
              <w:spacing w:before="0" w:after="283"/>
              <w:jc w:val="left"/>
              <w:rPr/>
            </w:pPr>
            <w:r>
              <w:rPr/>
              <w:t xml:space="preserve">We confirm that as of the date of this confirmation of compliance with financial indicators, each condition for compliance with financial indicators specified in Articles 18.4 (Revenue amount under the Russian accounting standards) and 18.6 (Amount of Cash Receipts) of the Agreement was performed.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7"/>
        <w:gridCol w:w="9190"/>
      </w:tblGrid>
      <w:tr>
        <w:trPr/>
        <w:tc>
          <w:tcPr>
            <w:tcW w:w="507" w:type="dxa"/>
            <w:tcBorders/>
            <w:shd w:fill="auto" w:val="clear"/>
            <w:vAlign w:val="center"/>
          </w:tcPr>
          <w:p>
            <w:pPr>
              <w:pStyle w:val="TableContents"/>
              <w:spacing w:before="0" w:after="283"/>
              <w:rPr/>
            </w:pPr>
            <w:r>
              <w:rPr/>
              <w:t> </w:t>
            </w:r>
          </w:p>
        </w:tc>
        <w:tc>
          <w:tcPr>
            <w:tcW w:w="507" w:type="dxa"/>
            <w:tcBorders/>
            <w:shd w:fill="auto" w:val="clear"/>
          </w:tcPr>
          <w:p>
            <w:pPr>
              <w:pStyle w:val="TableContents"/>
              <w:spacing w:before="0" w:after="283"/>
              <w:jc w:val="left"/>
              <w:rPr/>
            </w:pPr>
            <w:r>
              <w:rPr/>
              <w:t>6.</w:t>
            </w:r>
          </w:p>
        </w:tc>
        <w:tc>
          <w:tcPr>
            <w:tcW w:w="9190" w:type="dxa"/>
            <w:tcBorders/>
            <w:shd w:fill="auto" w:val="clear"/>
          </w:tcPr>
          <w:p>
            <w:pPr>
              <w:pStyle w:val="TableContents"/>
              <w:spacing w:before="0" w:after="283"/>
              <w:jc w:val="left"/>
              <w:rPr/>
            </w:pPr>
            <w:r>
              <w:rPr/>
              <w:t xml:space="preserve">[We confirm that, as of the date of this compliance confirmation, the following conditions for compliance with the financial indicators specified in Articles 18.4 (Revenue amount under the Russian accounting standards) and 18.6 (Amount of Cash Receipts) of the Agreement were not performed: [list financial indicators on which violations were committed]. ]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7.</w:t>
            </w:r>
          </w:p>
        </w:tc>
        <w:tc>
          <w:tcPr>
            <w:tcW w:w="9187" w:type="dxa"/>
            <w:tcBorders/>
            <w:shd w:fill="auto" w:val="clear"/>
          </w:tcPr>
          <w:p>
            <w:pPr>
              <w:pStyle w:val="TableContents"/>
              <w:spacing w:before="0" w:after="283"/>
              <w:jc w:val="left"/>
              <w:rPr/>
            </w:pPr>
            <w:r>
              <w:rPr/>
              <w:t xml:space="preserve">[We confirm that, as of the date of [●], there is no any Event of default / [the following Events of default occurred, and we take the following measures to eliminate them: [●]].]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8.</w:t>
            </w:r>
          </w:p>
        </w:tc>
        <w:tc>
          <w:tcPr>
            <w:tcW w:w="9187" w:type="dxa"/>
            <w:tcBorders/>
            <w:shd w:fill="auto" w:val="clear"/>
          </w:tcPr>
          <w:p>
            <w:pPr>
              <w:pStyle w:val="TableContents"/>
              <w:spacing w:before="0" w:after="283"/>
              <w:jc w:val="left"/>
              <w:rPr/>
            </w:pPr>
            <w:r>
              <w:rPr/>
              <w:t xml:space="preserve">The report of “Financial indicators of the Borrower as of the Settlement Date” is given in Annex 1 to this confirmation of compliance with financial indicators.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9.</w:t>
            </w:r>
          </w:p>
        </w:tc>
        <w:tc>
          <w:tcPr>
            <w:tcW w:w="9187" w:type="dxa"/>
            <w:tcBorders/>
            <w:shd w:fill="auto" w:val="clear"/>
          </w:tcPr>
          <w:p>
            <w:pPr>
              <w:pStyle w:val="TableContents"/>
              <w:spacing w:before="0" w:after="283"/>
              <w:jc w:val="left"/>
              <w:rPr/>
            </w:pPr>
            <w:r>
              <w:rPr/>
              <w:t xml:space="preserve">The description of the parameters used in the report of “Financial indicators of the Borrower as of the Settlement Date” is given in Annex 2 to this confirmation of compliance with financial indicators. </w:t>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sz w:val="20"/>
        </w:rPr>
      </w:pPr>
      <w:r>
        <w:rPr>
          <w:rFonts w:ascii="Times New Roman" w:hAnsi="Times New Roman"/>
          <w:sz w:val="20"/>
        </w:rPr>
        <w:t xml:space="preserve">Annex 1 </w:t>
      </w:r>
    </w:p>
    <w:p>
      <w:pPr>
        <w:pStyle w:val="TextBody"/>
        <w:spacing w:before="240" w:after="0"/>
        <w:jc w:val="center"/>
        <w:rPr>
          <w:rFonts w:ascii="Times New Roman" w:hAnsi="Times New Roman"/>
          <w:sz w:val="22"/>
        </w:rPr>
      </w:pPr>
      <w:r>
        <w:rPr>
          <w:rFonts w:ascii="Times New Roman" w:hAnsi="Times New Roman"/>
          <w:sz w:val="22"/>
        </w:rPr>
        <w:t xml:space="preserve">FINANCIAL INDICATORS OF THE BORROWER AS OF THE SETTLEMENT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99"/>
        <w:gridCol w:w="246"/>
        <w:gridCol w:w="3890"/>
        <w:gridCol w:w="246"/>
        <w:gridCol w:w="620"/>
        <w:gridCol w:w="191"/>
        <w:gridCol w:w="985"/>
        <w:gridCol w:w="191"/>
        <w:gridCol w:w="860"/>
        <w:gridCol w:w="191"/>
        <w:gridCol w:w="985"/>
        <w:gridCol w:w="190"/>
        <w:gridCol w:w="811"/>
      </w:tblGrid>
      <w:tr>
        <w:trPr/>
        <w:tc>
          <w:tcPr>
            <w:tcW w:w="799" w:type="dxa"/>
            <w:tcBorders/>
            <w:shd w:fill="auto" w:val="clear"/>
            <w:vAlign w:val="center"/>
          </w:tcPr>
          <w:p>
            <w:pPr>
              <w:pStyle w:val="TableContents"/>
              <w:spacing w:before="0" w:after="283"/>
              <w:rPr>
                <w:sz w:val="4"/>
                <w:szCs w:val="4"/>
              </w:rPr>
            </w:pPr>
            <w:r>
              <w:rPr>
                <w:sz w:val="4"/>
                <w:szCs w:val="4"/>
              </w:rPr>
            </w:r>
          </w:p>
        </w:tc>
        <w:tc>
          <w:tcPr>
            <w:tcW w:w="246" w:type="dxa"/>
            <w:tcBorders/>
            <w:shd w:fill="auto" w:val="clear"/>
            <w:vAlign w:val="bottom"/>
          </w:tcPr>
          <w:p>
            <w:pPr>
              <w:pStyle w:val="TableContents"/>
              <w:spacing w:before="0" w:after="283"/>
              <w:rPr>
                <w:sz w:val="4"/>
                <w:szCs w:val="4"/>
              </w:rPr>
            </w:pPr>
            <w:r>
              <w:rPr>
                <w:sz w:val="4"/>
                <w:szCs w:val="4"/>
              </w:rPr>
            </w:r>
          </w:p>
        </w:tc>
        <w:tc>
          <w:tcPr>
            <w:tcW w:w="3890" w:type="dxa"/>
            <w:tcBorders/>
            <w:shd w:fill="auto" w:val="clear"/>
            <w:vAlign w:val="center"/>
          </w:tcPr>
          <w:p>
            <w:pPr>
              <w:pStyle w:val="TableContents"/>
              <w:spacing w:before="0" w:after="283"/>
              <w:rPr>
                <w:sz w:val="4"/>
                <w:szCs w:val="4"/>
              </w:rPr>
            </w:pPr>
            <w:r>
              <w:rPr>
                <w:sz w:val="4"/>
                <w:szCs w:val="4"/>
              </w:rPr>
            </w:r>
          </w:p>
        </w:tc>
        <w:tc>
          <w:tcPr>
            <w:tcW w:w="246" w:type="dxa"/>
            <w:tcBorders/>
            <w:shd w:fill="auto" w:val="clear"/>
            <w:vAlign w:val="bottom"/>
          </w:tcPr>
          <w:p>
            <w:pPr>
              <w:pStyle w:val="TableContents"/>
              <w:spacing w:before="0" w:after="283"/>
              <w:rPr>
                <w:sz w:val="4"/>
                <w:szCs w:val="4"/>
              </w:rPr>
            </w:pPr>
            <w:r>
              <w:rPr>
                <w:sz w:val="4"/>
                <w:szCs w:val="4"/>
              </w:rPr>
            </w:r>
          </w:p>
        </w:tc>
        <w:tc>
          <w:tcPr>
            <w:tcW w:w="620" w:type="dxa"/>
            <w:tcBorders/>
            <w:shd w:fill="auto" w:val="clear"/>
            <w:vAlign w:val="center"/>
          </w:tcPr>
          <w:p>
            <w:pPr>
              <w:pStyle w:val="TableContents"/>
              <w:spacing w:before="0" w:after="283"/>
              <w:rPr>
                <w:sz w:val="4"/>
                <w:szCs w:val="4"/>
              </w:rPr>
            </w:pPr>
            <w:r>
              <w:rPr>
                <w:sz w:val="4"/>
                <w:szCs w:val="4"/>
              </w:rPr>
            </w:r>
          </w:p>
        </w:tc>
        <w:tc>
          <w:tcPr>
            <w:tcW w:w="191" w:type="dxa"/>
            <w:tcBorders/>
            <w:shd w:fill="auto" w:val="clear"/>
            <w:vAlign w:val="bottom"/>
          </w:tcPr>
          <w:p>
            <w:pPr>
              <w:pStyle w:val="TableContents"/>
              <w:spacing w:before="0" w:after="283"/>
              <w:rPr>
                <w:sz w:val="4"/>
                <w:szCs w:val="4"/>
              </w:rPr>
            </w:pPr>
            <w:r>
              <w:rPr>
                <w:sz w:val="4"/>
                <w:szCs w:val="4"/>
              </w:rPr>
            </w:r>
          </w:p>
        </w:tc>
        <w:tc>
          <w:tcPr>
            <w:tcW w:w="985" w:type="dxa"/>
            <w:tcBorders/>
            <w:shd w:fill="auto" w:val="clear"/>
            <w:vAlign w:val="center"/>
          </w:tcPr>
          <w:p>
            <w:pPr>
              <w:pStyle w:val="TableContents"/>
              <w:spacing w:before="0" w:after="283"/>
              <w:rPr>
                <w:sz w:val="4"/>
                <w:szCs w:val="4"/>
              </w:rPr>
            </w:pPr>
            <w:r>
              <w:rPr>
                <w:sz w:val="4"/>
                <w:szCs w:val="4"/>
              </w:rPr>
            </w:r>
          </w:p>
        </w:tc>
        <w:tc>
          <w:tcPr>
            <w:tcW w:w="191" w:type="dxa"/>
            <w:tcBorders/>
            <w:shd w:fill="auto" w:val="clear"/>
            <w:vAlign w:val="bottom"/>
          </w:tcPr>
          <w:p>
            <w:pPr>
              <w:pStyle w:val="TableContents"/>
              <w:spacing w:before="0" w:after="283"/>
              <w:rPr>
                <w:sz w:val="4"/>
                <w:szCs w:val="4"/>
              </w:rPr>
            </w:pPr>
            <w:r>
              <w:rPr>
                <w:sz w:val="4"/>
                <w:szCs w:val="4"/>
              </w:rPr>
            </w:r>
          </w:p>
        </w:tc>
        <w:tc>
          <w:tcPr>
            <w:tcW w:w="860" w:type="dxa"/>
            <w:tcBorders/>
            <w:shd w:fill="auto" w:val="clear"/>
            <w:vAlign w:val="center"/>
          </w:tcPr>
          <w:p>
            <w:pPr>
              <w:pStyle w:val="TableContents"/>
              <w:spacing w:before="0" w:after="283"/>
              <w:rPr>
                <w:sz w:val="4"/>
                <w:szCs w:val="4"/>
              </w:rPr>
            </w:pPr>
            <w:r>
              <w:rPr>
                <w:sz w:val="4"/>
                <w:szCs w:val="4"/>
              </w:rPr>
            </w:r>
          </w:p>
        </w:tc>
        <w:tc>
          <w:tcPr>
            <w:tcW w:w="191" w:type="dxa"/>
            <w:tcBorders/>
            <w:shd w:fill="auto" w:val="clear"/>
            <w:vAlign w:val="bottom"/>
          </w:tcPr>
          <w:p>
            <w:pPr>
              <w:pStyle w:val="TableContents"/>
              <w:spacing w:before="0" w:after="283"/>
              <w:rPr>
                <w:sz w:val="4"/>
                <w:szCs w:val="4"/>
              </w:rPr>
            </w:pPr>
            <w:r>
              <w:rPr>
                <w:sz w:val="4"/>
                <w:szCs w:val="4"/>
              </w:rPr>
            </w:r>
          </w:p>
        </w:tc>
        <w:tc>
          <w:tcPr>
            <w:tcW w:w="985" w:type="dxa"/>
            <w:tcBorders/>
            <w:shd w:fill="auto" w:val="clear"/>
            <w:vAlign w:val="center"/>
          </w:tcPr>
          <w:p>
            <w:pPr>
              <w:pStyle w:val="TableContents"/>
              <w:spacing w:before="0" w:after="283"/>
              <w:rPr>
                <w:sz w:val="4"/>
                <w:szCs w:val="4"/>
              </w:rPr>
            </w:pPr>
            <w:r>
              <w:rPr>
                <w:sz w:val="4"/>
                <w:szCs w:val="4"/>
              </w:rPr>
            </w:r>
          </w:p>
        </w:tc>
        <w:tc>
          <w:tcPr>
            <w:tcW w:w="190" w:type="dxa"/>
            <w:tcBorders/>
            <w:shd w:fill="auto" w:val="clear"/>
            <w:vAlign w:val="bottom"/>
          </w:tcPr>
          <w:p>
            <w:pPr>
              <w:pStyle w:val="TableContents"/>
              <w:spacing w:before="0" w:after="283"/>
              <w:rPr>
                <w:sz w:val="4"/>
                <w:szCs w:val="4"/>
              </w:rPr>
            </w:pPr>
            <w:r>
              <w:rPr>
                <w:sz w:val="4"/>
                <w:szCs w:val="4"/>
              </w:rPr>
            </w:r>
          </w:p>
        </w:tc>
        <w:tc>
          <w:tcPr>
            <w:tcW w:w="811" w:type="dxa"/>
            <w:tcBorders/>
            <w:shd w:fill="auto" w:val="clear"/>
            <w:vAlign w:val="center"/>
          </w:tcPr>
          <w:p>
            <w:pPr>
              <w:pStyle w:val="TableContents"/>
              <w:spacing w:before="0" w:after="283"/>
              <w:rPr>
                <w:sz w:val="4"/>
                <w:szCs w:val="4"/>
              </w:rPr>
            </w:pPr>
            <w:r>
              <w:rPr>
                <w:sz w:val="4"/>
                <w:szCs w:val="4"/>
              </w:rPr>
            </w:r>
          </w:p>
        </w:tc>
      </w:tr>
      <w:tr>
        <w:trPr/>
        <w:tc>
          <w:tcPr>
            <w:tcW w:w="799" w:type="dxa"/>
            <w:tcBorders/>
            <w:shd w:fill="auto" w:val="clear"/>
            <w:vAlign w:val="bottom"/>
          </w:tcPr>
          <w:p>
            <w:pPr>
              <w:pStyle w:val="TableContents"/>
              <w:pBdr>
                <w:bottom w:val="single" w:sz="8" w:space="1" w:color="000000"/>
              </w:pBdr>
              <w:spacing w:before="0" w:after="0"/>
              <w:rPr>
                <w:rFonts w:ascii="Times New Roman" w:hAnsi="Times New Roman"/>
                <w:sz w:val="16"/>
              </w:rPr>
            </w:pPr>
            <w:r>
              <w:rPr>
                <w:rFonts w:ascii="Times New Roman" w:hAnsi="Times New Roman"/>
                <w:sz w:val="16"/>
              </w:rPr>
              <w:t>No. in</w:t>
              <w:br/>
              <w:t>sequence</w:t>
            </w:r>
          </w:p>
        </w:tc>
        <w:tc>
          <w:tcPr>
            <w:tcW w:w="246" w:type="dxa"/>
            <w:tcBorders/>
            <w:shd w:fill="auto" w:val="clear"/>
            <w:vAlign w:val="bottom"/>
          </w:tcPr>
          <w:p>
            <w:pPr>
              <w:pStyle w:val="TableContents"/>
              <w:spacing w:before="0" w:after="283"/>
              <w:rPr/>
            </w:pPr>
            <w:r>
              <w:rPr/>
              <w:t>  </w:t>
            </w:r>
          </w:p>
        </w:tc>
        <w:tc>
          <w:tcPr>
            <w:tcW w:w="3890" w:type="dxa"/>
            <w:tcBorders>
              <w:bottom w:val="single" w:sz="8" w:space="0" w:color="000000"/>
              <w:insideH w:val="single" w:sz="8" w:space="0" w:color="000000"/>
            </w:tcBorders>
            <w:shd w:fill="auto" w:val="clear"/>
            <w:tcMar>
              <w:bottom w:w="28" w:type="dxa"/>
            </w:tcMar>
            <w:vAlign w:val="bottom"/>
          </w:tcPr>
          <w:p>
            <w:pPr>
              <w:pStyle w:val="TableContents"/>
              <w:spacing w:before="0" w:after="0"/>
              <w:jc w:val="center"/>
              <w:rPr>
                <w:rFonts w:ascii="Times New Roman" w:hAnsi="Times New Roman"/>
                <w:sz w:val="16"/>
              </w:rPr>
            </w:pPr>
            <w:r>
              <w:rPr>
                <w:rFonts w:ascii="Times New Roman" w:hAnsi="Times New Roman"/>
                <w:sz w:val="16"/>
              </w:rPr>
              <w:t>Name of financial</w:t>
            </w:r>
          </w:p>
          <w:p>
            <w:pPr>
              <w:pStyle w:val="TableContents"/>
              <w:spacing w:before="0" w:after="20"/>
              <w:jc w:val="center"/>
              <w:rPr>
                <w:rFonts w:ascii="Times New Roman" w:hAnsi="Times New Roman"/>
                <w:sz w:val="16"/>
              </w:rPr>
            </w:pPr>
            <w:r>
              <w:rPr>
                <w:rFonts w:ascii="Times New Roman" w:hAnsi="Times New Roman"/>
                <w:sz w:val="16"/>
              </w:rPr>
              <w:t>indicator</w:t>
            </w:r>
          </w:p>
        </w:tc>
        <w:tc>
          <w:tcPr>
            <w:tcW w:w="246" w:type="dxa"/>
            <w:tcBorders/>
            <w:shd w:fill="auto" w:val="clear"/>
            <w:vAlign w:val="bottom"/>
          </w:tcPr>
          <w:p>
            <w:pPr>
              <w:pStyle w:val="TableContents"/>
              <w:spacing w:before="0" w:after="283"/>
              <w:rPr/>
            </w:pPr>
            <w:r>
              <w:rPr/>
              <w:t>  </w:t>
            </w:r>
          </w:p>
        </w:tc>
        <w:tc>
          <w:tcPr>
            <w:tcW w:w="62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Data</w:t>
              <w:br/>
              <w:t>source</w:t>
            </w:r>
          </w:p>
        </w:tc>
        <w:tc>
          <w:tcPr>
            <w:tcW w:w="191" w:type="dxa"/>
            <w:tcBorders/>
            <w:shd w:fill="auto" w:val="clear"/>
            <w:vAlign w:val="bottom"/>
          </w:tcPr>
          <w:p>
            <w:pPr>
              <w:pStyle w:val="TableContents"/>
              <w:spacing w:before="0" w:after="283"/>
              <w:rPr/>
            </w:pPr>
            <w:r>
              <w:rPr/>
              <w:t> </w:t>
            </w:r>
          </w:p>
        </w:tc>
        <w:tc>
          <w:tcPr>
            <w:tcW w:w="985"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Procedure</w:t>
              <w:br/>
              <w:t>of</w:t>
              <w:br/>
              <w:t>settlement</w:t>
            </w:r>
          </w:p>
        </w:tc>
        <w:tc>
          <w:tcPr>
            <w:tcW w:w="191" w:type="dxa"/>
            <w:tcBorders/>
            <w:shd w:fill="auto" w:val="clear"/>
            <w:vAlign w:val="bottom"/>
          </w:tcPr>
          <w:p>
            <w:pPr>
              <w:pStyle w:val="TableContents"/>
              <w:spacing w:before="0" w:after="283"/>
              <w:rPr/>
            </w:pPr>
            <w:r>
              <w:rPr/>
              <w:t> </w:t>
            </w:r>
          </w:p>
        </w:tc>
        <w:tc>
          <w:tcPr>
            <w:tcW w:w="86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Indicator</w:t>
              <w:br/>
              <w:t>value</w:t>
            </w:r>
          </w:p>
        </w:tc>
        <w:tc>
          <w:tcPr>
            <w:tcW w:w="191" w:type="dxa"/>
            <w:tcBorders/>
            <w:shd w:fill="auto" w:val="clear"/>
            <w:vAlign w:val="bottom"/>
          </w:tcPr>
          <w:p>
            <w:pPr>
              <w:pStyle w:val="TableContents"/>
              <w:spacing w:before="0" w:after="283"/>
              <w:rPr/>
            </w:pPr>
            <w:r>
              <w:rPr/>
              <w:t> </w:t>
            </w:r>
          </w:p>
        </w:tc>
        <w:tc>
          <w:tcPr>
            <w:tcW w:w="985"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Settlement</w:t>
              <w:br/>
              <w:t>date</w:t>
            </w:r>
          </w:p>
        </w:tc>
        <w:tc>
          <w:tcPr>
            <w:tcW w:w="190" w:type="dxa"/>
            <w:tcBorders/>
            <w:shd w:fill="auto" w:val="clear"/>
            <w:vAlign w:val="bottom"/>
          </w:tcPr>
          <w:p>
            <w:pPr>
              <w:pStyle w:val="TableContents"/>
              <w:spacing w:before="0" w:after="283"/>
              <w:rPr/>
            </w:pPr>
            <w:r>
              <w:rPr/>
              <w:t> </w:t>
            </w:r>
          </w:p>
        </w:tc>
        <w:tc>
          <w:tcPr>
            <w:tcW w:w="811"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Event of</w:t>
              <w:br/>
              <w:t>default</w:t>
            </w:r>
          </w:p>
        </w:tc>
      </w:tr>
      <w:tr>
        <w:trPr/>
        <w:tc>
          <w:tcPr>
            <w:tcW w:w="799" w:type="dxa"/>
            <w:tcBorders/>
            <w:shd w:fill="auto" w:val="clear"/>
            <w:vAlign w:val="bottom"/>
          </w:tcPr>
          <w:p>
            <w:pPr>
              <w:pStyle w:val="TableContents"/>
              <w:spacing w:before="0" w:after="283"/>
              <w:rPr/>
            </w:pPr>
            <w:r>
              <w:rPr/>
              <w:t>1</w:t>
            </w:r>
          </w:p>
        </w:tc>
        <w:tc>
          <w:tcPr>
            <w:tcW w:w="246" w:type="dxa"/>
            <w:tcBorders/>
            <w:shd w:fill="auto" w:val="clear"/>
            <w:vAlign w:val="bottom"/>
          </w:tcPr>
          <w:p>
            <w:pPr>
              <w:pStyle w:val="TableContents"/>
              <w:spacing w:before="0" w:after="283"/>
              <w:rPr/>
            </w:pPr>
            <w:r>
              <w:rPr/>
              <w:t>  </w:t>
            </w:r>
          </w:p>
        </w:tc>
        <w:tc>
          <w:tcPr>
            <w:tcW w:w="3890" w:type="dxa"/>
            <w:tcBorders/>
            <w:shd w:fill="auto" w:val="clear"/>
            <w:vAlign w:val="bottom"/>
          </w:tcPr>
          <w:p>
            <w:pPr>
              <w:pStyle w:val="TableContents"/>
              <w:spacing w:before="0" w:after="283"/>
              <w:rPr/>
            </w:pPr>
            <w:r>
              <w:rPr/>
              <w:t>Revenue amount under the Russian accounting standards</w:t>
            </w:r>
          </w:p>
        </w:tc>
        <w:tc>
          <w:tcPr>
            <w:tcW w:w="246" w:type="dxa"/>
            <w:tcBorders/>
            <w:shd w:fill="auto" w:val="clear"/>
            <w:vAlign w:val="bottom"/>
          </w:tcPr>
          <w:p>
            <w:pPr>
              <w:pStyle w:val="TableContents"/>
              <w:spacing w:before="0" w:after="283"/>
              <w:rPr/>
            </w:pPr>
            <w:r>
              <w:rPr/>
              <w:t>  </w:t>
            </w:r>
          </w:p>
        </w:tc>
        <w:tc>
          <w:tcPr>
            <w:tcW w:w="620" w:type="dxa"/>
            <w:tcBorders/>
            <w:shd w:fill="auto" w:val="clear"/>
            <w:vAlign w:val="bottom"/>
          </w:tcPr>
          <w:p>
            <w:pPr>
              <w:pStyle w:val="TableContents"/>
              <w:spacing w:before="0" w:after="283"/>
              <w:rPr/>
            </w:pPr>
            <w:r>
              <w:rPr/>
              <w:t>[●]</w:t>
            </w:r>
          </w:p>
        </w:tc>
        <w:tc>
          <w:tcPr>
            <w:tcW w:w="191" w:type="dxa"/>
            <w:tcBorders/>
            <w:shd w:fill="auto" w:val="clear"/>
            <w:vAlign w:val="bottom"/>
          </w:tcPr>
          <w:p>
            <w:pPr>
              <w:pStyle w:val="TableContents"/>
              <w:spacing w:before="0" w:after="283"/>
              <w:rPr/>
            </w:pPr>
            <w:r>
              <w:rPr/>
              <w:t> </w:t>
            </w:r>
          </w:p>
        </w:tc>
        <w:tc>
          <w:tcPr>
            <w:tcW w:w="985" w:type="dxa"/>
            <w:tcBorders/>
            <w:shd w:fill="auto" w:val="clear"/>
            <w:vAlign w:val="bottom"/>
          </w:tcPr>
          <w:p>
            <w:pPr>
              <w:pStyle w:val="TableContents"/>
              <w:spacing w:before="0" w:after="283"/>
              <w:rPr/>
            </w:pPr>
            <w:r>
              <w:rPr/>
              <w:t>[●]</w:t>
            </w:r>
          </w:p>
        </w:tc>
        <w:tc>
          <w:tcPr>
            <w:tcW w:w="191" w:type="dxa"/>
            <w:tcBorders/>
            <w:shd w:fill="auto" w:val="clear"/>
            <w:vAlign w:val="bottom"/>
          </w:tcPr>
          <w:p>
            <w:pPr>
              <w:pStyle w:val="TableContents"/>
              <w:spacing w:before="0" w:after="283"/>
              <w:rPr/>
            </w:pPr>
            <w:r>
              <w:rPr/>
              <w:t> </w:t>
            </w:r>
          </w:p>
        </w:tc>
        <w:tc>
          <w:tcPr>
            <w:tcW w:w="860" w:type="dxa"/>
            <w:tcBorders/>
            <w:shd w:fill="auto" w:val="clear"/>
            <w:vAlign w:val="bottom"/>
          </w:tcPr>
          <w:p>
            <w:pPr>
              <w:pStyle w:val="TableContents"/>
              <w:spacing w:before="0" w:after="283"/>
              <w:rPr/>
            </w:pPr>
            <w:r>
              <w:rPr/>
              <w:t>[●]</w:t>
            </w:r>
          </w:p>
        </w:tc>
        <w:tc>
          <w:tcPr>
            <w:tcW w:w="191" w:type="dxa"/>
            <w:tcBorders/>
            <w:shd w:fill="auto" w:val="clear"/>
            <w:vAlign w:val="bottom"/>
          </w:tcPr>
          <w:p>
            <w:pPr>
              <w:pStyle w:val="TableContents"/>
              <w:spacing w:before="0" w:after="283"/>
              <w:rPr/>
            </w:pPr>
            <w:r>
              <w:rPr/>
              <w:t> </w:t>
            </w:r>
          </w:p>
        </w:tc>
        <w:tc>
          <w:tcPr>
            <w:tcW w:w="985" w:type="dxa"/>
            <w:tcBorders/>
            <w:shd w:fill="auto" w:val="clear"/>
            <w:vAlign w:val="bottom"/>
          </w:tcPr>
          <w:p>
            <w:pPr>
              <w:pStyle w:val="TableContents"/>
              <w:spacing w:before="0" w:after="283"/>
              <w:rPr/>
            </w:pPr>
            <w:r>
              <w:rPr/>
              <w:t>[●]</w:t>
            </w:r>
          </w:p>
        </w:tc>
        <w:tc>
          <w:tcPr>
            <w:tcW w:w="190" w:type="dxa"/>
            <w:tcBorders/>
            <w:shd w:fill="auto" w:val="clear"/>
            <w:vAlign w:val="bottom"/>
          </w:tcPr>
          <w:p>
            <w:pPr>
              <w:pStyle w:val="TableContents"/>
              <w:spacing w:before="0" w:after="283"/>
              <w:rPr/>
            </w:pPr>
            <w:r>
              <w:rPr/>
              <w:t> </w:t>
            </w:r>
          </w:p>
        </w:tc>
        <w:tc>
          <w:tcPr>
            <w:tcW w:w="811" w:type="dxa"/>
            <w:tcBorders/>
            <w:shd w:fill="auto" w:val="clear"/>
            <w:vAlign w:val="bottom"/>
          </w:tcPr>
          <w:p>
            <w:pPr>
              <w:pStyle w:val="TableContents"/>
              <w:spacing w:before="0" w:after="283"/>
              <w:rPr/>
            </w:pPr>
            <w:r>
              <w:rPr/>
              <w:t>[●]</w:t>
            </w:r>
          </w:p>
        </w:tc>
      </w:tr>
      <w:tr>
        <w:trPr>
          <w:trHeight w:val="120" w:hRule="atLeast"/>
        </w:trPr>
        <w:tc>
          <w:tcPr>
            <w:tcW w:w="799" w:type="dxa"/>
            <w:tcBorders/>
            <w:shd w:fill="auto" w:val="clear"/>
            <w:vAlign w:val="center"/>
          </w:tcPr>
          <w:p>
            <w:pPr>
              <w:pStyle w:val="TableContents"/>
              <w:spacing w:before="0" w:after="283"/>
              <w:rPr>
                <w:sz w:val="4"/>
                <w:szCs w:val="4"/>
              </w:rPr>
            </w:pPr>
            <w:r>
              <w:rPr>
                <w:sz w:val="4"/>
                <w:szCs w:val="4"/>
              </w:rPr>
            </w:r>
          </w:p>
        </w:tc>
        <w:tc>
          <w:tcPr>
            <w:tcW w:w="4136" w:type="dxa"/>
            <w:gridSpan w:val="2"/>
            <w:tcBorders/>
            <w:shd w:fill="auto" w:val="clear"/>
            <w:vAlign w:val="center"/>
          </w:tcPr>
          <w:p>
            <w:pPr>
              <w:pStyle w:val="TableContents"/>
              <w:spacing w:before="0" w:after="283"/>
              <w:rPr>
                <w:sz w:val="4"/>
                <w:szCs w:val="4"/>
              </w:rPr>
            </w:pPr>
            <w:r>
              <w:rPr>
                <w:sz w:val="4"/>
                <w:szCs w:val="4"/>
              </w:rPr>
            </w:r>
          </w:p>
        </w:tc>
        <w:tc>
          <w:tcPr>
            <w:tcW w:w="866" w:type="dxa"/>
            <w:gridSpan w:val="2"/>
            <w:tcBorders/>
            <w:shd w:fill="auto" w:val="clear"/>
            <w:vAlign w:val="center"/>
          </w:tcPr>
          <w:p>
            <w:pPr>
              <w:pStyle w:val="TableContents"/>
              <w:spacing w:before="0" w:after="283"/>
              <w:rPr>
                <w:sz w:val="4"/>
                <w:szCs w:val="4"/>
              </w:rPr>
            </w:pPr>
            <w:r>
              <w:rPr>
                <w:sz w:val="4"/>
                <w:szCs w:val="4"/>
              </w:rPr>
            </w:r>
          </w:p>
        </w:tc>
        <w:tc>
          <w:tcPr>
            <w:tcW w:w="1176" w:type="dxa"/>
            <w:gridSpan w:val="2"/>
            <w:tcBorders/>
            <w:shd w:fill="auto" w:val="clear"/>
            <w:vAlign w:val="center"/>
          </w:tcPr>
          <w:p>
            <w:pPr>
              <w:pStyle w:val="TableContents"/>
              <w:spacing w:before="0" w:after="283"/>
              <w:rPr>
                <w:sz w:val="4"/>
                <w:szCs w:val="4"/>
              </w:rPr>
            </w:pPr>
            <w:r>
              <w:rPr>
                <w:sz w:val="4"/>
                <w:szCs w:val="4"/>
              </w:rPr>
            </w:r>
          </w:p>
        </w:tc>
        <w:tc>
          <w:tcPr>
            <w:tcW w:w="1051" w:type="dxa"/>
            <w:gridSpan w:val="2"/>
            <w:tcBorders/>
            <w:shd w:fill="auto" w:val="clear"/>
            <w:vAlign w:val="center"/>
          </w:tcPr>
          <w:p>
            <w:pPr>
              <w:pStyle w:val="TableContents"/>
              <w:spacing w:before="0" w:after="283"/>
              <w:rPr>
                <w:sz w:val="4"/>
                <w:szCs w:val="4"/>
              </w:rPr>
            </w:pPr>
            <w:r>
              <w:rPr>
                <w:sz w:val="4"/>
                <w:szCs w:val="4"/>
              </w:rPr>
            </w:r>
          </w:p>
        </w:tc>
        <w:tc>
          <w:tcPr>
            <w:tcW w:w="1176" w:type="dxa"/>
            <w:gridSpan w:val="2"/>
            <w:tcBorders/>
            <w:shd w:fill="auto" w:val="clear"/>
            <w:vAlign w:val="center"/>
          </w:tcPr>
          <w:p>
            <w:pPr>
              <w:pStyle w:val="TableContents"/>
              <w:spacing w:before="0" w:after="283"/>
              <w:rPr>
                <w:sz w:val="4"/>
                <w:szCs w:val="4"/>
              </w:rPr>
            </w:pPr>
            <w:r>
              <w:rPr>
                <w:sz w:val="4"/>
                <w:szCs w:val="4"/>
              </w:rPr>
            </w:r>
          </w:p>
        </w:tc>
        <w:tc>
          <w:tcPr>
            <w:tcW w:w="1001" w:type="dxa"/>
            <w:gridSpan w:val="2"/>
            <w:tcBorders/>
            <w:shd w:fill="auto" w:val="clear"/>
            <w:vAlign w:val="center"/>
          </w:tcPr>
          <w:p>
            <w:pPr>
              <w:pStyle w:val="TableContents"/>
              <w:spacing w:before="0" w:after="283"/>
              <w:rPr>
                <w:sz w:val="4"/>
                <w:szCs w:val="4"/>
              </w:rPr>
            </w:pPr>
            <w:r>
              <w:rPr>
                <w:sz w:val="4"/>
                <w:szCs w:val="4"/>
              </w:rPr>
            </w:r>
          </w:p>
        </w:tc>
      </w:tr>
      <w:tr>
        <w:trPr/>
        <w:tc>
          <w:tcPr>
            <w:tcW w:w="799" w:type="dxa"/>
            <w:tcBorders/>
            <w:shd w:fill="auto" w:val="clear"/>
            <w:vAlign w:val="bottom"/>
          </w:tcPr>
          <w:p>
            <w:pPr>
              <w:pStyle w:val="TableContents"/>
              <w:spacing w:before="0" w:after="283"/>
              <w:rPr/>
            </w:pPr>
            <w:r>
              <w:rPr/>
              <w:t>2</w:t>
            </w:r>
          </w:p>
        </w:tc>
        <w:tc>
          <w:tcPr>
            <w:tcW w:w="246" w:type="dxa"/>
            <w:tcBorders/>
            <w:shd w:fill="auto" w:val="clear"/>
            <w:vAlign w:val="bottom"/>
          </w:tcPr>
          <w:p>
            <w:pPr>
              <w:pStyle w:val="TableContents"/>
              <w:spacing w:before="0" w:after="283"/>
              <w:rPr/>
            </w:pPr>
            <w:r>
              <w:rPr/>
              <w:t>  </w:t>
            </w:r>
          </w:p>
        </w:tc>
        <w:tc>
          <w:tcPr>
            <w:tcW w:w="3890" w:type="dxa"/>
            <w:tcBorders/>
            <w:shd w:fill="auto" w:val="clear"/>
            <w:vAlign w:val="bottom"/>
          </w:tcPr>
          <w:p>
            <w:pPr>
              <w:pStyle w:val="TableContents"/>
              <w:spacing w:before="0" w:after="283"/>
              <w:rPr/>
            </w:pPr>
            <w:r>
              <w:rPr/>
              <w:t>Amount of Cash Receipts</w:t>
            </w:r>
          </w:p>
        </w:tc>
        <w:tc>
          <w:tcPr>
            <w:tcW w:w="246" w:type="dxa"/>
            <w:tcBorders/>
            <w:shd w:fill="auto" w:val="clear"/>
            <w:vAlign w:val="bottom"/>
          </w:tcPr>
          <w:p>
            <w:pPr>
              <w:pStyle w:val="TableContents"/>
              <w:spacing w:before="0" w:after="283"/>
              <w:rPr/>
            </w:pPr>
            <w:r>
              <w:rPr/>
              <w:t>  </w:t>
            </w:r>
          </w:p>
        </w:tc>
        <w:tc>
          <w:tcPr>
            <w:tcW w:w="620" w:type="dxa"/>
            <w:tcBorders/>
            <w:shd w:fill="auto" w:val="clear"/>
            <w:vAlign w:val="bottom"/>
          </w:tcPr>
          <w:p>
            <w:pPr>
              <w:pStyle w:val="TableContents"/>
              <w:spacing w:before="0" w:after="283"/>
              <w:rPr/>
            </w:pPr>
            <w:r>
              <w:rPr/>
              <w:t>[●]</w:t>
            </w:r>
          </w:p>
        </w:tc>
        <w:tc>
          <w:tcPr>
            <w:tcW w:w="191" w:type="dxa"/>
            <w:tcBorders/>
            <w:shd w:fill="auto" w:val="clear"/>
            <w:vAlign w:val="bottom"/>
          </w:tcPr>
          <w:p>
            <w:pPr>
              <w:pStyle w:val="TableContents"/>
              <w:spacing w:before="0" w:after="283"/>
              <w:rPr/>
            </w:pPr>
            <w:r>
              <w:rPr/>
              <w:t> </w:t>
            </w:r>
          </w:p>
        </w:tc>
        <w:tc>
          <w:tcPr>
            <w:tcW w:w="985" w:type="dxa"/>
            <w:tcBorders/>
            <w:shd w:fill="auto" w:val="clear"/>
            <w:vAlign w:val="bottom"/>
          </w:tcPr>
          <w:p>
            <w:pPr>
              <w:pStyle w:val="TableContents"/>
              <w:spacing w:before="0" w:after="283"/>
              <w:rPr/>
            </w:pPr>
            <w:r>
              <w:rPr/>
              <w:t>[●]</w:t>
            </w:r>
          </w:p>
        </w:tc>
        <w:tc>
          <w:tcPr>
            <w:tcW w:w="191" w:type="dxa"/>
            <w:tcBorders/>
            <w:shd w:fill="auto" w:val="clear"/>
            <w:vAlign w:val="bottom"/>
          </w:tcPr>
          <w:p>
            <w:pPr>
              <w:pStyle w:val="TableContents"/>
              <w:spacing w:before="0" w:after="283"/>
              <w:rPr/>
            </w:pPr>
            <w:r>
              <w:rPr/>
              <w:t> </w:t>
            </w:r>
          </w:p>
        </w:tc>
        <w:tc>
          <w:tcPr>
            <w:tcW w:w="860" w:type="dxa"/>
            <w:tcBorders/>
            <w:shd w:fill="auto" w:val="clear"/>
            <w:vAlign w:val="bottom"/>
          </w:tcPr>
          <w:p>
            <w:pPr>
              <w:pStyle w:val="TableContents"/>
              <w:spacing w:before="0" w:after="283"/>
              <w:rPr/>
            </w:pPr>
            <w:r>
              <w:rPr/>
              <w:t>[●]</w:t>
            </w:r>
          </w:p>
        </w:tc>
        <w:tc>
          <w:tcPr>
            <w:tcW w:w="191" w:type="dxa"/>
            <w:tcBorders/>
            <w:shd w:fill="auto" w:val="clear"/>
            <w:vAlign w:val="bottom"/>
          </w:tcPr>
          <w:p>
            <w:pPr>
              <w:pStyle w:val="TableContents"/>
              <w:spacing w:before="0" w:after="283"/>
              <w:rPr/>
            </w:pPr>
            <w:r>
              <w:rPr/>
              <w:t> </w:t>
            </w:r>
          </w:p>
        </w:tc>
        <w:tc>
          <w:tcPr>
            <w:tcW w:w="985" w:type="dxa"/>
            <w:tcBorders/>
            <w:shd w:fill="auto" w:val="clear"/>
            <w:vAlign w:val="bottom"/>
          </w:tcPr>
          <w:p>
            <w:pPr>
              <w:pStyle w:val="TableContents"/>
              <w:spacing w:before="0" w:after="283"/>
              <w:rPr/>
            </w:pPr>
            <w:r>
              <w:rPr/>
              <w:t>[●]</w:t>
            </w:r>
          </w:p>
        </w:tc>
        <w:tc>
          <w:tcPr>
            <w:tcW w:w="190" w:type="dxa"/>
            <w:tcBorders/>
            <w:shd w:fill="auto" w:val="clear"/>
            <w:vAlign w:val="bottom"/>
          </w:tcPr>
          <w:p>
            <w:pPr>
              <w:pStyle w:val="TableContents"/>
              <w:spacing w:before="0" w:after="283"/>
              <w:rPr/>
            </w:pPr>
            <w:r>
              <w:rPr/>
              <w:t> </w:t>
            </w:r>
          </w:p>
        </w:tc>
        <w:tc>
          <w:tcPr>
            <w:tcW w:w="811" w:type="dxa"/>
            <w:tcBorders/>
            <w:shd w:fill="auto" w:val="clear"/>
            <w:vAlign w:val="bottom"/>
          </w:tcPr>
          <w:p>
            <w:pPr>
              <w:pStyle w:val="TableContents"/>
              <w:spacing w:before="0" w:after="283"/>
              <w:rPr/>
            </w:pPr>
            <w:r>
              <w:rPr/>
              <w:t>[●]</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 6 </w:t>
      </w:r>
    </w:p>
    <w:p>
      <w:pPr>
        <w:pStyle w:val="TextBody"/>
        <w:spacing w:before="240" w:after="0"/>
        <w:jc w:val="center"/>
        <w:rPr>
          <w:rFonts w:ascii="Times New Roman" w:hAnsi="Times New Roman"/>
          <w:sz w:val="20"/>
        </w:rPr>
      </w:pPr>
      <w:r>
        <w:rPr>
          <w:rFonts w:ascii="Times New Roman" w:hAnsi="Times New Roman"/>
          <w:sz w:val="20"/>
        </w:rPr>
        <w:t xml:space="preserve">LOAN REPAYMENT SCHEDULE </w:t>
      </w:r>
    </w:p>
    <w:p>
      <w:pPr>
        <w:pStyle w:val="TextBody"/>
        <w:spacing w:before="240" w:after="0"/>
        <w:jc w:val="center"/>
        <w:rPr>
          <w:rFonts w:ascii="Times New Roman" w:hAnsi="Times New Roman"/>
          <w:sz w:val="20"/>
        </w:rPr>
      </w:pPr>
      <w:r>
        <w:rPr>
          <w:rFonts w:ascii="Times New Roman" w:hAnsi="Times New Roman"/>
          <w:sz w:val="20"/>
        </w:rPr>
        <w:t xml:space="preserve">PART 1 </w:t>
      </w:r>
    </w:p>
    <w:p>
      <w:pPr>
        <w:pStyle w:val="TextBody"/>
        <w:spacing w:before="240" w:after="0"/>
        <w:jc w:val="center"/>
        <w:rPr>
          <w:rFonts w:ascii="Times New Roman" w:hAnsi="Times New Roman"/>
          <w:sz w:val="20"/>
        </w:rPr>
      </w:pPr>
      <w:r>
        <w:rPr>
          <w:rFonts w:ascii="Times New Roman" w:hAnsi="Times New Roman"/>
          <w:sz w:val="20"/>
        </w:rPr>
        <w:t xml:space="preserve">LOAN PAYMENT SCHEDULE ON TRANCHE A AND TRANCHE B </w:t>
      </w:r>
    </w:p>
    <w:p>
      <w:pPr>
        <w:pStyle w:val="TextBody"/>
        <w:spacing w:before="0" w:after="0"/>
        <w:rPr/>
      </w:pPr>
      <w:r>
        <w:rPr/>
        <w:t> </w:t>
      </w:r>
    </w:p>
    <w:tbl>
      <w:tblPr>
        <w:tblW w:w="8170" w:type="dxa"/>
        <w:jc w:val="center"/>
        <w:tblInd w:w="0" w:type="dxa"/>
        <w:tblBorders/>
        <w:tblCellMar>
          <w:top w:w="0" w:type="dxa"/>
          <w:left w:w="0" w:type="dxa"/>
          <w:bottom w:w="0" w:type="dxa"/>
          <w:right w:w="0" w:type="dxa"/>
        </w:tblCellMar>
      </w:tblPr>
      <w:tblGrid>
        <w:gridCol w:w="1370"/>
        <w:gridCol w:w="120"/>
        <w:gridCol w:w="293"/>
        <w:gridCol w:w="2742"/>
        <w:gridCol w:w="275"/>
        <w:gridCol w:w="60"/>
        <w:gridCol w:w="292"/>
        <w:gridCol w:w="2743"/>
        <w:gridCol w:w="275"/>
      </w:tblGrid>
      <w:tr>
        <w:trPr/>
        <w:tc>
          <w:tcPr>
            <w:tcW w:w="137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293" w:type="dxa"/>
            <w:tcBorders/>
            <w:shd w:fill="auto" w:val="clear"/>
            <w:vAlign w:val="center"/>
          </w:tcPr>
          <w:p>
            <w:pPr>
              <w:pStyle w:val="TableContents"/>
              <w:spacing w:before="0" w:after="283"/>
              <w:rPr>
                <w:sz w:val="4"/>
                <w:szCs w:val="4"/>
              </w:rPr>
            </w:pPr>
            <w:r>
              <w:rPr>
                <w:sz w:val="4"/>
                <w:szCs w:val="4"/>
              </w:rPr>
            </w:r>
          </w:p>
        </w:tc>
        <w:tc>
          <w:tcPr>
            <w:tcW w:w="2742"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292" w:type="dxa"/>
            <w:tcBorders/>
            <w:shd w:fill="auto" w:val="clear"/>
            <w:vAlign w:val="center"/>
          </w:tcPr>
          <w:p>
            <w:pPr>
              <w:pStyle w:val="TableContents"/>
              <w:spacing w:before="0" w:after="283"/>
              <w:rPr>
                <w:sz w:val="4"/>
                <w:szCs w:val="4"/>
              </w:rPr>
            </w:pPr>
            <w:r>
              <w:rPr>
                <w:sz w:val="4"/>
                <w:szCs w:val="4"/>
              </w:rPr>
            </w:r>
          </w:p>
        </w:tc>
        <w:tc>
          <w:tcPr>
            <w:tcW w:w="2743"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sz w:val="4"/>
                <w:szCs w:val="4"/>
              </w:rPr>
            </w:pPr>
            <w:r>
              <w:rPr>
                <w:sz w:val="4"/>
                <w:szCs w:val="4"/>
              </w:rPr>
            </w:r>
          </w:p>
        </w:tc>
      </w:tr>
      <w:tr>
        <w:trPr/>
        <w:tc>
          <w:tcPr>
            <w:tcW w:w="1370"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Date</w:t>
            </w:r>
          </w:p>
        </w:tc>
        <w:tc>
          <w:tcPr>
            <w:tcW w:w="12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Payment amount of Tranche A</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Payment amount of Tranche B</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vAlign w:val="bottom"/>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(as a percentage of the amount of</w:t>
              <w:br/>
              <w:t>Tranche A as of the Tranche A</w:t>
              <w:br/>
              <w:t>Drawdown Date)</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(as a percentage of the amount of</w:t>
              <w:br/>
              <w:t>Tranche B as of the Tranche B</w:t>
              <w:br/>
              <w:t>Drawdown Date)</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September 30, 2017</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2.50</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December 31, 2017</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2.50</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March 31, 2018</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2.50</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June 30, 2018</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2.50</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September 30, 2018</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December 31, 2018</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March 31, 2019</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June 30, 2019</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September 30, 2019</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December 31, 2019</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March 31, 2020</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June 30, 2020</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September 30, 2020</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December 31, 2020</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283"/>
              <w:jc w:val="center"/>
              <w:rPr/>
            </w:pPr>
            <w:r>
              <w:rPr/>
              <w:t>March 31, 2021</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4.50</w:t>
            </w:r>
          </w:p>
        </w:tc>
        <w:tc>
          <w:tcPr>
            <w:tcW w:w="275" w:type="dxa"/>
            <w:tcBorders/>
            <w:shd w:fill="auto" w:val="clear"/>
            <w:vAlign w:val="bottom"/>
          </w:tcPr>
          <w:p>
            <w:pPr>
              <w:pStyle w:val="TableContents"/>
              <w:spacing w:before="0" w:after="283"/>
              <w:rPr/>
            </w:pPr>
            <w:r>
              <w:rPr/>
              <w:t>% </w:t>
            </w:r>
          </w:p>
        </w:tc>
      </w:tr>
      <w:tr>
        <w:trPr/>
        <w:tc>
          <w:tcPr>
            <w:tcW w:w="1370"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Date of Final payment of</w:t>
            </w:r>
          </w:p>
          <w:p>
            <w:pPr>
              <w:pStyle w:val="TableContents"/>
              <w:spacing w:before="0" w:after="20"/>
              <w:jc w:val="center"/>
              <w:rPr>
                <w:rFonts w:ascii="Times New Roman" w:hAnsi="Times New Roman"/>
                <w:sz w:val="20"/>
              </w:rPr>
            </w:pPr>
            <w:r>
              <w:rPr>
                <w:rFonts w:ascii="Times New Roman" w:hAnsi="Times New Roman"/>
                <w:sz w:val="20"/>
              </w:rPr>
              <w:t>Tranche A and Tranche B</w:t>
            </w:r>
          </w:p>
        </w:tc>
        <w:tc>
          <w:tcPr>
            <w:tcW w:w="120" w:type="dxa"/>
            <w:tcBorders/>
            <w:shd w:fill="auto" w:val="clear"/>
            <w:vAlign w:val="bottom"/>
          </w:tcPr>
          <w:p>
            <w:pPr>
              <w:pStyle w:val="TableContents"/>
              <w:spacing w:before="0" w:after="283"/>
              <w:rPr/>
            </w:pPr>
            <w:r>
              <w:rPr/>
              <w:t>  </w:t>
            </w:r>
          </w:p>
        </w:tc>
        <w:tc>
          <w:tcPr>
            <w:tcW w:w="293" w:type="dxa"/>
            <w:tcBorders/>
            <w:shd w:fill="auto" w:val="clear"/>
            <w:vAlign w:val="bottom"/>
          </w:tcPr>
          <w:p>
            <w:pPr>
              <w:pStyle w:val="TableContents"/>
              <w:spacing w:before="0" w:after="283"/>
              <w:rPr/>
            </w:pPr>
            <w:r>
              <w:rPr/>
              <w:t> </w:t>
            </w:r>
          </w:p>
        </w:tc>
        <w:tc>
          <w:tcPr>
            <w:tcW w:w="2742" w:type="dxa"/>
            <w:tcBorders/>
            <w:shd w:fill="auto" w:val="clear"/>
            <w:vAlign w:val="bottom"/>
          </w:tcPr>
          <w:p>
            <w:pPr>
              <w:pStyle w:val="TableContents"/>
              <w:spacing w:before="0" w:after="283"/>
              <w:jc w:val="right"/>
              <w:rPr/>
            </w:pPr>
            <w:r>
              <w:rPr/>
              <w:t>48.75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92" w:type="dxa"/>
            <w:tcBorders/>
            <w:shd w:fill="auto" w:val="clear"/>
            <w:vAlign w:val="bottom"/>
          </w:tcPr>
          <w:p>
            <w:pPr>
              <w:pStyle w:val="TableContents"/>
              <w:spacing w:before="0" w:after="283"/>
              <w:rPr/>
            </w:pPr>
            <w:r>
              <w:rPr/>
              <w:t> </w:t>
            </w:r>
          </w:p>
        </w:tc>
        <w:tc>
          <w:tcPr>
            <w:tcW w:w="2743" w:type="dxa"/>
            <w:tcBorders/>
            <w:shd w:fill="auto" w:val="clear"/>
            <w:vAlign w:val="bottom"/>
          </w:tcPr>
          <w:p>
            <w:pPr>
              <w:pStyle w:val="TableContents"/>
              <w:spacing w:before="0" w:after="283"/>
              <w:jc w:val="right"/>
              <w:rPr/>
            </w:pPr>
            <w:r>
              <w:rPr/>
              <w:t>50.50</w:t>
            </w:r>
          </w:p>
        </w:tc>
        <w:tc>
          <w:tcPr>
            <w:tcW w:w="275"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PART 2 </w:t>
      </w:r>
    </w:p>
    <w:p>
      <w:pPr>
        <w:pStyle w:val="TextBody"/>
        <w:spacing w:before="240" w:after="0"/>
        <w:jc w:val="center"/>
        <w:rPr>
          <w:rFonts w:ascii="Times New Roman" w:hAnsi="Times New Roman"/>
          <w:sz w:val="20"/>
        </w:rPr>
      </w:pPr>
      <w:r>
        <w:rPr>
          <w:rFonts w:ascii="Times New Roman" w:hAnsi="Times New Roman"/>
          <w:sz w:val="20"/>
        </w:rPr>
        <w:t xml:space="preserve">LOAN PAYMENT SCHEDULE ON TRANCHE C AND TRANCHE D </w:t>
      </w:r>
    </w:p>
    <w:p>
      <w:pPr>
        <w:pStyle w:val="TextBody"/>
        <w:spacing w:before="0" w:after="0"/>
        <w:rPr/>
      </w:pPr>
      <w:r>
        <w:rPr/>
        <w:t> </w:t>
      </w:r>
    </w:p>
    <w:tbl>
      <w:tblPr>
        <w:tblW w:w="7915" w:type="dxa"/>
        <w:jc w:val="center"/>
        <w:tblInd w:w="0" w:type="dxa"/>
        <w:tblBorders/>
        <w:tblCellMar>
          <w:top w:w="0" w:type="dxa"/>
          <w:left w:w="0" w:type="dxa"/>
          <w:bottom w:w="0" w:type="dxa"/>
          <w:right w:w="0" w:type="dxa"/>
        </w:tblCellMar>
      </w:tblPr>
      <w:tblGrid>
        <w:gridCol w:w="1115"/>
        <w:gridCol w:w="120"/>
        <w:gridCol w:w="364"/>
        <w:gridCol w:w="2671"/>
        <w:gridCol w:w="275"/>
        <w:gridCol w:w="60"/>
        <w:gridCol w:w="364"/>
        <w:gridCol w:w="2671"/>
        <w:gridCol w:w="275"/>
      </w:tblGrid>
      <w:tr>
        <w:trPr/>
        <w:tc>
          <w:tcPr>
            <w:tcW w:w="1115"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64" w:type="dxa"/>
            <w:tcBorders/>
            <w:shd w:fill="auto" w:val="clear"/>
            <w:vAlign w:val="center"/>
          </w:tcPr>
          <w:p>
            <w:pPr>
              <w:pStyle w:val="TableContents"/>
              <w:spacing w:before="0" w:after="283"/>
              <w:rPr>
                <w:sz w:val="4"/>
                <w:szCs w:val="4"/>
              </w:rPr>
            </w:pPr>
            <w:r>
              <w:rPr>
                <w:sz w:val="4"/>
                <w:szCs w:val="4"/>
              </w:rPr>
            </w:r>
          </w:p>
        </w:tc>
        <w:tc>
          <w:tcPr>
            <w:tcW w:w="2671"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364" w:type="dxa"/>
            <w:tcBorders/>
            <w:shd w:fill="auto" w:val="clear"/>
            <w:vAlign w:val="center"/>
          </w:tcPr>
          <w:p>
            <w:pPr>
              <w:pStyle w:val="TableContents"/>
              <w:spacing w:before="0" w:after="283"/>
              <w:rPr>
                <w:sz w:val="4"/>
                <w:szCs w:val="4"/>
              </w:rPr>
            </w:pPr>
            <w:r>
              <w:rPr>
                <w:sz w:val="4"/>
                <w:szCs w:val="4"/>
              </w:rPr>
            </w:r>
          </w:p>
        </w:tc>
        <w:tc>
          <w:tcPr>
            <w:tcW w:w="2671"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sz w:val="4"/>
                <w:szCs w:val="4"/>
              </w:rPr>
            </w:pPr>
            <w:r>
              <w:rPr>
                <w:sz w:val="4"/>
                <w:szCs w:val="4"/>
              </w:rPr>
            </w:r>
          </w:p>
        </w:tc>
      </w:tr>
      <w:tr>
        <w:trPr/>
        <w:tc>
          <w:tcPr>
            <w:tcW w:w="1115"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Date</w:t>
            </w:r>
          </w:p>
        </w:tc>
        <w:tc>
          <w:tcPr>
            <w:tcW w:w="12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Payment amount of Tranche C</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Payment amount of Tranche D</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vAlign w:val="bottom"/>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(as a percentage of the amount of</w:t>
              <w:br/>
              <w:t>Tranche C as of the Tranche C</w:t>
              <w:br/>
              <w:t>Drawdown Date)</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03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(as a percentage of the amount of</w:t>
              <w:br/>
              <w:t>Tranche D as of the Tranche D</w:t>
              <w:br/>
              <w:t>Drawdown Date)</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15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18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21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24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2.5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27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30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33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36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39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42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45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48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51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54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57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coming in 60 months after the date of the Agreement on Amendment No. 3</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3.75</w:t>
            </w:r>
          </w:p>
        </w:tc>
        <w:tc>
          <w:tcPr>
            <w:tcW w:w="275" w:type="dxa"/>
            <w:tcBorders/>
            <w:shd w:fill="auto" w:val="clear"/>
            <w:vAlign w:val="bottom"/>
          </w:tcPr>
          <w:p>
            <w:pPr>
              <w:pStyle w:val="TableContents"/>
              <w:spacing w:before="0" w:after="283"/>
              <w:rPr/>
            </w:pPr>
            <w:r>
              <w:rPr/>
              <w:t>% </w:t>
            </w:r>
          </w:p>
        </w:tc>
      </w:tr>
      <w:tr>
        <w:trPr/>
        <w:tc>
          <w:tcPr>
            <w:tcW w:w="1115" w:type="dxa"/>
            <w:tcBorders/>
            <w:shd w:fill="auto" w:val="clear"/>
          </w:tcPr>
          <w:p>
            <w:pPr>
              <w:pStyle w:val="TableContents"/>
              <w:spacing w:before="0" w:after="283"/>
              <w:jc w:val="center"/>
              <w:rPr/>
            </w:pPr>
            <w:r>
              <w:rPr/>
              <w:t>Date of Final payment of Tranche C and Tranche D</w:t>
            </w:r>
          </w:p>
        </w:tc>
        <w:tc>
          <w:tcPr>
            <w:tcW w:w="12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45</w:t>
            </w:r>
          </w:p>
        </w:tc>
        <w:tc>
          <w:tcPr>
            <w:tcW w:w="27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64" w:type="dxa"/>
            <w:tcBorders/>
            <w:shd w:fill="auto" w:val="clear"/>
            <w:vAlign w:val="bottom"/>
          </w:tcPr>
          <w:p>
            <w:pPr>
              <w:pStyle w:val="TableContents"/>
              <w:spacing w:before="0" w:after="283"/>
              <w:rPr/>
            </w:pPr>
            <w:r>
              <w:rPr/>
              <w:t> </w:t>
            </w:r>
          </w:p>
        </w:tc>
        <w:tc>
          <w:tcPr>
            <w:tcW w:w="2671" w:type="dxa"/>
            <w:tcBorders/>
            <w:shd w:fill="auto" w:val="clear"/>
            <w:vAlign w:val="bottom"/>
          </w:tcPr>
          <w:p>
            <w:pPr>
              <w:pStyle w:val="TableContents"/>
              <w:spacing w:before="0" w:after="283"/>
              <w:jc w:val="right"/>
              <w:rPr/>
            </w:pPr>
            <w:r>
              <w:rPr/>
              <w:t>45</w:t>
            </w:r>
          </w:p>
        </w:tc>
        <w:tc>
          <w:tcPr>
            <w:tcW w:w="275"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2"/>
        </w:rPr>
      </w:pPr>
      <w:r>
        <w:rPr>
          <w:rFonts w:ascii="Times New Roman" w:hAnsi="Times New Roman"/>
          <w:sz w:val="22"/>
        </w:rPr>
        <w:t xml:space="preserve">ANNEX 7 </w:t>
      </w:r>
    </w:p>
    <w:p>
      <w:pPr>
        <w:pStyle w:val="TextBody"/>
        <w:spacing w:before="240" w:after="0"/>
        <w:jc w:val="center"/>
        <w:rPr>
          <w:rFonts w:ascii="Times New Roman" w:hAnsi="Times New Roman"/>
          <w:sz w:val="20"/>
        </w:rPr>
      </w:pPr>
      <w:r>
        <w:rPr>
          <w:rFonts w:ascii="Times New Roman" w:hAnsi="Times New Roman"/>
          <w:sz w:val="20"/>
        </w:rPr>
        <w:t xml:space="preserve">CURRENT FINANCIAL DEBT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84"/>
        <w:gridCol w:w="120"/>
        <w:gridCol w:w="3409"/>
        <w:gridCol w:w="196"/>
        <w:gridCol w:w="1392"/>
        <w:gridCol w:w="196"/>
        <w:gridCol w:w="1128"/>
        <w:gridCol w:w="196"/>
        <w:gridCol w:w="60"/>
        <w:gridCol w:w="1364"/>
        <w:gridCol w:w="174"/>
        <w:gridCol w:w="195"/>
        <w:gridCol w:w="1091"/>
      </w:tblGrid>
      <w:tr>
        <w:trPr/>
        <w:tc>
          <w:tcPr>
            <w:tcW w:w="684"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409" w:type="dxa"/>
            <w:tcBorders/>
            <w:shd w:fill="auto" w:val="clear"/>
            <w:vAlign w:val="center"/>
          </w:tcPr>
          <w:p>
            <w:pPr>
              <w:pStyle w:val="TableContents"/>
              <w:spacing w:before="0" w:after="283"/>
              <w:rPr>
                <w:sz w:val="4"/>
                <w:szCs w:val="4"/>
              </w:rPr>
            </w:pPr>
            <w:r>
              <w:rPr>
                <w:sz w:val="4"/>
                <w:szCs w:val="4"/>
              </w:rPr>
            </w:r>
          </w:p>
        </w:tc>
        <w:tc>
          <w:tcPr>
            <w:tcW w:w="196" w:type="dxa"/>
            <w:tcBorders/>
            <w:shd w:fill="auto" w:val="clear"/>
            <w:vAlign w:val="bottom"/>
          </w:tcPr>
          <w:p>
            <w:pPr>
              <w:pStyle w:val="TableContents"/>
              <w:spacing w:before="0" w:after="283"/>
              <w:rPr>
                <w:sz w:val="4"/>
                <w:szCs w:val="4"/>
              </w:rPr>
            </w:pPr>
            <w:r>
              <w:rPr>
                <w:sz w:val="4"/>
                <w:szCs w:val="4"/>
              </w:rPr>
            </w:r>
          </w:p>
        </w:tc>
        <w:tc>
          <w:tcPr>
            <w:tcW w:w="1392" w:type="dxa"/>
            <w:tcBorders/>
            <w:shd w:fill="auto" w:val="clear"/>
            <w:vAlign w:val="center"/>
          </w:tcPr>
          <w:p>
            <w:pPr>
              <w:pStyle w:val="TableContents"/>
              <w:spacing w:before="0" w:after="283"/>
              <w:rPr>
                <w:sz w:val="4"/>
                <w:szCs w:val="4"/>
              </w:rPr>
            </w:pPr>
            <w:r>
              <w:rPr>
                <w:sz w:val="4"/>
                <w:szCs w:val="4"/>
              </w:rPr>
            </w:r>
          </w:p>
        </w:tc>
        <w:tc>
          <w:tcPr>
            <w:tcW w:w="196" w:type="dxa"/>
            <w:tcBorders/>
            <w:shd w:fill="auto" w:val="clear"/>
            <w:vAlign w:val="bottom"/>
          </w:tcPr>
          <w:p>
            <w:pPr>
              <w:pStyle w:val="TableContents"/>
              <w:spacing w:before="0" w:after="283"/>
              <w:rPr>
                <w:sz w:val="4"/>
                <w:szCs w:val="4"/>
              </w:rPr>
            </w:pPr>
            <w:r>
              <w:rPr>
                <w:sz w:val="4"/>
                <w:szCs w:val="4"/>
              </w:rPr>
            </w:r>
          </w:p>
        </w:tc>
        <w:tc>
          <w:tcPr>
            <w:tcW w:w="1128" w:type="dxa"/>
            <w:tcBorders/>
            <w:shd w:fill="auto" w:val="clear"/>
            <w:vAlign w:val="center"/>
          </w:tcPr>
          <w:p>
            <w:pPr>
              <w:pStyle w:val="TableContents"/>
              <w:spacing w:before="0" w:after="283"/>
              <w:rPr>
                <w:sz w:val="4"/>
                <w:szCs w:val="4"/>
              </w:rPr>
            </w:pPr>
            <w:r>
              <w:rPr>
                <w:sz w:val="4"/>
                <w:szCs w:val="4"/>
              </w:rPr>
            </w:r>
          </w:p>
        </w:tc>
        <w:tc>
          <w:tcPr>
            <w:tcW w:w="196"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364" w:type="dxa"/>
            <w:tcBorders/>
            <w:shd w:fill="auto" w:val="clear"/>
            <w:vAlign w:val="center"/>
          </w:tcPr>
          <w:p>
            <w:pPr>
              <w:pStyle w:val="TableContents"/>
              <w:spacing w:before="0" w:after="283"/>
              <w:rPr>
                <w:sz w:val="4"/>
                <w:szCs w:val="4"/>
              </w:rPr>
            </w:pPr>
            <w:r>
              <w:rPr>
                <w:sz w:val="4"/>
                <w:szCs w:val="4"/>
              </w:rPr>
            </w:r>
          </w:p>
        </w:tc>
        <w:tc>
          <w:tcPr>
            <w:tcW w:w="174" w:type="dxa"/>
            <w:tcBorders/>
            <w:shd w:fill="auto" w:val="clear"/>
            <w:vAlign w:val="bottom"/>
          </w:tcPr>
          <w:p>
            <w:pPr>
              <w:pStyle w:val="TableContents"/>
              <w:spacing w:before="0" w:after="283"/>
              <w:rPr>
                <w:sz w:val="4"/>
                <w:szCs w:val="4"/>
              </w:rPr>
            </w:pPr>
            <w:r>
              <w:rPr>
                <w:sz w:val="4"/>
                <w:szCs w:val="4"/>
              </w:rPr>
            </w:r>
          </w:p>
        </w:tc>
        <w:tc>
          <w:tcPr>
            <w:tcW w:w="195" w:type="dxa"/>
            <w:tcBorders/>
            <w:shd w:fill="auto" w:val="clear"/>
            <w:vAlign w:val="bottom"/>
          </w:tcPr>
          <w:p>
            <w:pPr>
              <w:pStyle w:val="TableContents"/>
              <w:spacing w:before="0" w:after="283"/>
              <w:rPr>
                <w:sz w:val="4"/>
                <w:szCs w:val="4"/>
              </w:rPr>
            </w:pPr>
            <w:r>
              <w:rPr>
                <w:sz w:val="4"/>
                <w:szCs w:val="4"/>
              </w:rPr>
            </w:r>
          </w:p>
        </w:tc>
        <w:tc>
          <w:tcPr>
            <w:tcW w:w="1091" w:type="dxa"/>
            <w:tcBorders/>
            <w:shd w:fill="auto" w:val="clear"/>
            <w:vAlign w:val="center"/>
          </w:tcPr>
          <w:p>
            <w:pPr>
              <w:pStyle w:val="TableContents"/>
              <w:spacing w:before="0" w:after="283"/>
              <w:rPr>
                <w:sz w:val="4"/>
                <w:szCs w:val="4"/>
              </w:rPr>
            </w:pPr>
            <w:r>
              <w:rPr>
                <w:sz w:val="4"/>
                <w:szCs w:val="4"/>
              </w:rPr>
            </w:r>
          </w:p>
        </w:tc>
      </w:tr>
      <w:tr>
        <w:trPr/>
        <w:tc>
          <w:tcPr>
            <w:tcW w:w="684" w:type="dxa"/>
            <w:tcBorders/>
            <w:shd w:fill="auto" w:val="clear"/>
            <w:vAlign w:val="bottom"/>
          </w:tcPr>
          <w:p>
            <w:pPr>
              <w:pStyle w:val="TableContents"/>
              <w:pBdr>
                <w:bottom w:val="single" w:sz="8" w:space="1" w:color="000000"/>
              </w:pBdr>
              <w:spacing w:before="0" w:after="0"/>
              <w:jc w:val="center"/>
              <w:rPr>
                <w:rFonts w:ascii="Times New Roman" w:hAnsi="Times New Roman"/>
                <w:sz w:val="16"/>
              </w:rPr>
            </w:pPr>
            <w:r>
              <w:rPr>
                <w:rFonts w:ascii="Times New Roman" w:hAnsi="Times New Roman"/>
                <w:sz w:val="16"/>
              </w:rPr>
              <w:t>No. in</w:t>
              <w:br/>
              <w:t>sequence</w:t>
            </w:r>
          </w:p>
        </w:tc>
        <w:tc>
          <w:tcPr>
            <w:tcW w:w="120" w:type="dxa"/>
            <w:tcBorders/>
            <w:shd w:fill="auto" w:val="clear"/>
            <w:vAlign w:val="bottom"/>
          </w:tcPr>
          <w:p>
            <w:pPr>
              <w:pStyle w:val="TableContents"/>
              <w:spacing w:before="0" w:after="283"/>
              <w:rPr/>
            </w:pPr>
            <w:r>
              <w:rPr/>
              <w:t>  </w:t>
            </w:r>
          </w:p>
        </w:tc>
        <w:tc>
          <w:tcPr>
            <w:tcW w:w="3409" w:type="dxa"/>
            <w:tcBorders>
              <w:bottom w:val="single" w:sz="8" w:space="0" w:color="000000"/>
              <w:insideH w:val="single" w:sz="8" w:space="0" w:color="000000"/>
            </w:tcBorders>
            <w:shd w:fill="auto" w:val="clear"/>
            <w:tcMar>
              <w:bottom w:w="28" w:type="dxa"/>
            </w:tcMar>
            <w:vAlign w:val="bottom"/>
          </w:tcPr>
          <w:p>
            <w:pPr>
              <w:pStyle w:val="TableContents"/>
              <w:spacing w:before="0" w:after="0"/>
              <w:jc w:val="center"/>
              <w:rPr>
                <w:rFonts w:ascii="Times New Roman" w:hAnsi="Times New Roman"/>
                <w:sz w:val="16"/>
              </w:rPr>
            </w:pPr>
            <w:r>
              <w:rPr>
                <w:rFonts w:ascii="Times New Roman" w:hAnsi="Times New Roman"/>
                <w:sz w:val="16"/>
              </w:rPr>
              <w:t>Number and date of</w:t>
            </w:r>
          </w:p>
          <w:p>
            <w:pPr>
              <w:pStyle w:val="TableContents"/>
              <w:spacing w:before="0" w:after="20"/>
              <w:jc w:val="center"/>
              <w:rPr>
                <w:rFonts w:ascii="Times New Roman" w:hAnsi="Times New Roman"/>
                <w:sz w:val="16"/>
              </w:rPr>
            </w:pPr>
            <w:r>
              <w:rPr>
                <w:rFonts w:ascii="Times New Roman" w:hAnsi="Times New Roman"/>
                <w:sz w:val="16"/>
              </w:rPr>
              <w:t>agreement</w:t>
            </w:r>
          </w:p>
        </w:tc>
        <w:tc>
          <w:tcPr>
            <w:tcW w:w="196" w:type="dxa"/>
            <w:tcBorders/>
            <w:shd w:fill="auto" w:val="clear"/>
            <w:vAlign w:val="bottom"/>
          </w:tcPr>
          <w:p>
            <w:pPr>
              <w:pStyle w:val="TableContents"/>
              <w:spacing w:before="0" w:after="283"/>
              <w:rPr/>
            </w:pPr>
            <w:r>
              <w:rPr/>
              <w:t>  </w:t>
            </w:r>
          </w:p>
        </w:tc>
        <w:tc>
          <w:tcPr>
            <w:tcW w:w="1392"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Creditor</w:t>
            </w:r>
          </w:p>
        </w:tc>
        <w:tc>
          <w:tcPr>
            <w:tcW w:w="196" w:type="dxa"/>
            <w:tcBorders/>
            <w:shd w:fill="auto" w:val="clear"/>
            <w:vAlign w:val="bottom"/>
          </w:tcPr>
          <w:p>
            <w:pPr>
              <w:pStyle w:val="TableContents"/>
              <w:spacing w:before="0" w:after="283"/>
              <w:rPr/>
            </w:pPr>
            <w:r>
              <w:rPr/>
              <w:t>  </w:t>
            </w:r>
          </w:p>
        </w:tc>
        <w:tc>
          <w:tcPr>
            <w:tcW w:w="1128"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Borrower</w:t>
            </w:r>
          </w:p>
        </w:tc>
        <w:tc>
          <w:tcPr>
            <w:tcW w:w="196" w:type="dxa"/>
            <w:tcBorders/>
            <w:shd w:fill="auto" w:val="clear"/>
            <w:vAlign w:val="bottom"/>
          </w:tcPr>
          <w:p>
            <w:pPr>
              <w:pStyle w:val="TableContents"/>
              <w:spacing w:before="0" w:after="283"/>
              <w:rPr/>
            </w:pPr>
            <w:r>
              <w:rPr/>
              <w:t>  </w:t>
            </w:r>
          </w:p>
        </w:tc>
        <w:tc>
          <w:tcPr>
            <w:tcW w:w="1424"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Loan amount</w:t>
            </w:r>
          </w:p>
        </w:tc>
        <w:tc>
          <w:tcPr>
            <w:tcW w:w="174" w:type="dxa"/>
            <w:tcBorders/>
            <w:shd w:fill="auto" w:val="clear"/>
            <w:vAlign w:val="bottom"/>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Currency</w:t>
            </w:r>
          </w:p>
        </w:tc>
      </w:tr>
      <w:tr>
        <w:trPr/>
        <w:tc>
          <w:tcPr>
            <w:tcW w:w="684" w:type="dxa"/>
            <w:tcBorders/>
            <w:shd w:fill="auto" w:val="clear"/>
          </w:tcPr>
          <w:p>
            <w:pPr>
              <w:pStyle w:val="TableContents"/>
              <w:spacing w:before="0" w:after="283"/>
              <w:jc w:val="center"/>
              <w:rPr/>
            </w:pPr>
            <w:r>
              <w:rPr/>
              <w:t>1.</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unnumbered, dated 13/01/16-14/01/2019</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205 000 000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2.</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unnumbered, dated 14/03/14-03/04/17</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451 657 000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3.</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unnumbered, dated 27/08/14-02/09/17</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284 000 000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4.</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Agreement unnumbered, dated 01/06/15 (05/06/2015-05/01/2016)</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70 000 000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5.</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Agreement unnumbered, dated 30/06/15 (30/06/2015-30/06/2017)</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126 000 000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6.</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Agreement unnumbered, dated 17/06/15 (19/06/2015-19/06/2017)</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85 000 000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7.</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Contract unnumbered, dated 16/11/15 (16/11/15-16/11/18)</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775 000 000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8.</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dated 19.11.2012</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pPr>
            <w:r>
              <w:rPr/>
              <w:t>“</w:t>
            </w:r>
            <w:r>
              <w:rPr>
                <w:rFonts w:ascii="Times New Roman" w:hAnsi="Times New Roman"/>
                <w:sz w:val="20"/>
              </w:rPr>
              <w:t>100PABOT AZ”</w:t>
            </w:r>
          </w:p>
          <w:p>
            <w:pPr>
              <w:pStyle w:val="TableContents"/>
              <w:spacing w:before="0" w:after="20"/>
              <w:jc w:val="center"/>
              <w:rPr>
                <w:rFonts w:ascii="Times New Roman" w:hAnsi="Times New Roman"/>
                <w:sz w:val="20"/>
              </w:rPr>
            </w:pPr>
            <w:r>
              <w:rPr>
                <w:rFonts w:ascii="Times New Roman" w:hAnsi="Times New Roman"/>
                <w:sz w:val="20"/>
              </w:rPr>
              <w:t>LLC</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30 000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USD</w:t>
            </w:r>
          </w:p>
        </w:tc>
      </w:tr>
      <w:tr>
        <w:trPr/>
        <w:tc>
          <w:tcPr>
            <w:tcW w:w="684" w:type="dxa"/>
            <w:tcBorders/>
            <w:shd w:fill="auto" w:val="clear"/>
          </w:tcPr>
          <w:p>
            <w:pPr>
              <w:pStyle w:val="TableContents"/>
              <w:spacing w:before="0" w:after="283"/>
              <w:jc w:val="center"/>
              <w:rPr/>
            </w:pPr>
            <w:r>
              <w:rPr/>
              <w:t>9.</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dated 20.05.2013</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pPr>
            <w:r>
              <w:rPr/>
              <w:t>“</w:t>
            </w:r>
            <w:r>
              <w:rPr>
                <w:rFonts w:ascii="Times New Roman" w:hAnsi="Times New Roman"/>
                <w:sz w:val="20"/>
              </w:rPr>
              <w:t>100PABOT</w:t>
            </w:r>
          </w:p>
          <w:p>
            <w:pPr>
              <w:pStyle w:val="TableContents"/>
              <w:spacing w:before="0" w:after="0"/>
              <w:jc w:val="center"/>
              <w:rPr>
                <w:rFonts w:ascii="Times New Roman" w:hAnsi="Times New Roman"/>
                <w:sz w:val="20"/>
              </w:rPr>
            </w:pPr>
            <w:r>
              <w:rPr>
                <w:rFonts w:ascii="Times New Roman" w:hAnsi="Times New Roman"/>
                <w:sz w:val="20"/>
              </w:rPr>
              <w:t>AZ”</w:t>
            </w:r>
          </w:p>
          <w:p>
            <w:pPr>
              <w:pStyle w:val="TableContents"/>
              <w:spacing w:before="0" w:after="20"/>
              <w:jc w:val="center"/>
              <w:rPr>
                <w:rFonts w:ascii="Times New Roman" w:hAnsi="Times New Roman"/>
                <w:sz w:val="20"/>
              </w:rPr>
            </w:pPr>
            <w:r>
              <w:rPr>
                <w:rFonts w:ascii="Times New Roman" w:hAnsi="Times New Roman"/>
                <w:sz w:val="20"/>
              </w:rPr>
              <w:t>LLC</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10 000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USD</w:t>
            </w:r>
          </w:p>
        </w:tc>
      </w:tr>
      <w:tr>
        <w:trPr/>
        <w:tc>
          <w:tcPr>
            <w:tcW w:w="684" w:type="dxa"/>
            <w:tcBorders/>
            <w:shd w:fill="auto" w:val="clear"/>
          </w:tcPr>
          <w:p>
            <w:pPr>
              <w:pStyle w:val="TableContents"/>
              <w:spacing w:before="0" w:after="283"/>
              <w:jc w:val="center"/>
              <w:rPr/>
            </w:pPr>
            <w:r>
              <w:rPr/>
              <w:t>10.</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dated 09.12.2013</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pPr>
            <w:r>
              <w:rPr/>
              <w:t>“</w:t>
            </w:r>
            <w:r>
              <w:rPr>
                <w:rFonts w:ascii="Times New Roman" w:hAnsi="Times New Roman"/>
                <w:sz w:val="20"/>
              </w:rPr>
              <w:t>100PABOT</w:t>
            </w:r>
          </w:p>
          <w:p>
            <w:pPr>
              <w:pStyle w:val="TableContents"/>
              <w:spacing w:before="0" w:after="0"/>
              <w:jc w:val="center"/>
              <w:rPr>
                <w:rFonts w:ascii="Times New Roman" w:hAnsi="Times New Roman"/>
                <w:sz w:val="20"/>
              </w:rPr>
            </w:pPr>
            <w:r>
              <w:rPr>
                <w:rFonts w:ascii="Times New Roman" w:hAnsi="Times New Roman"/>
                <w:sz w:val="20"/>
              </w:rPr>
              <w:t>AZ”</w:t>
            </w:r>
          </w:p>
          <w:p>
            <w:pPr>
              <w:pStyle w:val="TableContents"/>
              <w:spacing w:before="0" w:after="20"/>
              <w:jc w:val="center"/>
              <w:rPr>
                <w:rFonts w:ascii="Times New Roman" w:hAnsi="Times New Roman"/>
                <w:sz w:val="20"/>
              </w:rPr>
            </w:pPr>
            <w:r>
              <w:rPr>
                <w:rFonts w:ascii="Times New Roman" w:hAnsi="Times New Roman"/>
                <w:sz w:val="20"/>
              </w:rPr>
              <w:t>LLC</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10 000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USD</w:t>
            </w:r>
          </w:p>
        </w:tc>
      </w:tr>
      <w:tr>
        <w:trPr/>
        <w:tc>
          <w:tcPr>
            <w:tcW w:w="684" w:type="dxa"/>
            <w:tcBorders/>
            <w:shd w:fill="auto" w:val="clear"/>
          </w:tcPr>
          <w:p>
            <w:pPr>
              <w:pStyle w:val="TableContents"/>
              <w:spacing w:before="0" w:after="283"/>
              <w:jc w:val="center"/>
              <w:rPr/>
            </w:pPr>
            <w:r>
              <w:rPr/>
              <w:t>11.</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dated 09.11.2015</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pPr>
            <w:r>
              <w:rPr/>
              <w:t>“</w:t>
            </w:r>
            <w:r>
              <w:rPr>
                <w:rFonts w:ascii="Times New Roman" w:hAnsi="Times New Roman"/>
                <w:sz w:val="20"/>
              </w:rPr>
              <w:t>100PABOT</w:t>
            </w:r>
          </w:p>
          <w:p>
            <w:pPr>
              <w:pStyle w:val="TableContents"/>
              <w:spacing w:before="0" w:after="0"/>
              <w:jc w:val="center"/>
              <w:rPr>
                <w:rFonts w:ascii="Times New Roman" w:hAnsi="Times New Roman"/>
                <w:sz w:val="20"/>
              </w:rPr>
            </w:pPr>
            <w:r>
              <w:rPr>
                <w:rFonts w:ascii="Times New Roman" w:hAnsi="Times New Roman"/>
                <w:sz w:val="20"/>
              </w:rPr>
              <w:t>AZ”</w:t>
            </w:r>
          </w:p>
          <w:p>
            <w:pPr>
              <w:pStyle w:val="TableContents"/>
              <w:spacing w:before="0" w:after="20"/>
              <w:jc w:val="center"/>
              <w:rPr>
                <w:rFonts w:ascii="Times New Roman" w:hAnsi="Times New Roman"/>
                <w:sz w:val="20"/>
              </w:rPr>
            </w:pPr>
            <w:r>
              <w:rPr>
                <w:rFonts w:ascii="Times New Roman" w:hAnsi="Times New Roman"/>
                <w:sz w:val="20"/>
              </w:rPr>
              <w:t>LLC</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15 000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USD</w:t>
            </w:r>
          </w:p>
        </w:tc>
      </w:tr>
      <w:tr>
        <w:trPr/>
        <w:tc>
          <w:tcPr>
            <w:tcW w:w="684" w:type="dxa"/>
            <w:tcBorders/>
            <w:shd w:fill="auto" w:val="clear"/>
          </w:tcPr>
          <w:p>
            <w:pPr>
              <w:pStyle w:val="TableContents"/>
              <w:spacing w:before="0" w:after="283"/>
              <w:jc w:val="center"/>
              <w:rPr/>
            </w:pPr>
            <w:r>
              <w:rPr/>
              <w:t>12.</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dated 11.07.2014</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LLP</w:t>
            </w:r>
          </w:p>
          <w:p>
            <w:pPr>
              <w:pStyle w:val="TableContents"/>
              <w:spacing w:before="0" w:after="0"/>
              <w:jc w:val="center"/>
              <w:rPr/>
            </w:pPr>
            <w:r>
              <w:rPr/>
              <w:t>“</w:t>
            </w: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.KZ”</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172 867 678</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Kazakhstan Tenge (KZT)</w:t>
            </w:r>
          </w:p>
        </w:tc>
      </w:tr>
      <w:tr>
        <w:trPr/>
        <w:tc>
          <w:tcPr>
            <w:tcW w:w="684" w:type="dxa"/>
            <w:tcBorders/>
            <w:shd w:fill="auto" w:val="clear"/>
          </w:tcPr>
          <w:p>
            <w:pPr>
              <w:pStyle w:val="TableContents"/>
              <w:spacing w:before="0" w:after="283"/>
              <w:jc w:val="center"/>
              <w:rPr/>
            </w:pPr>
            <w:r>
              <w:rPr/>
              <w:t>13.</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dated 01.11.2007</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283"/>
              <w:jc w:val="center"/>
              <w:rPr/>
            </w:pPr>
            <w:r>
              <w:rPr/>
              <w:t>CV Keskus OÜ</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1 537 970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Euro</w:t>
            </w:r>
          </w:p>
        </w:tc>
      </w:tr>
      <w:tr>
        <w:trPr/>
        <w:tc>
          <w:tcPr>
            <w:tcW w:w="684" w:type="dxa"/>
            <w:tcBorders/>
            <w:shd w:fill="auto" w:val="clear"/>
          </w:tcPr>
          <w:p>
            <w:pPr>
              <w:pStyle w:val="TableContents"/>
              <w:spacing w:before="0" w:after="283"/>
              <w:jc w:val="center"/>
              <w:rPr/>
            </w:pPr>
            <w:r>
              <w:rPr/>
              <w:t>14.</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agreement dated April 18, 2016</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500 000 000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15.</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contract dated April 18, 2016</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283"/>
              <w:jc w:val="center"/>
              <w:rPr/>
            </w:pPr>
            <w:r>
              <w:rPr/>
              <w:t>HeadHunter LLC</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283"/>
              <w:jc w:val="center"/>
              <w:rPr/>
            </w:pPr>
            <w:r>
              <w:rPr/>
              <w:t>Zemenik LLC</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60 100 000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r>
        <w:trPr/>
        <w:tc>
          <w:tcPr>
            <w:tcW w:w="684" w:type="dxa"/>
            <w:tcBorders/>
            <w:shd w:fill="auto" w:val="clear"/>
          </w:tcPr>
          <w:p>
            <w:pPr>
              <w:pStyle w:val="TableContents"/>
              <w:spacing w:before="0" w:after="283"/>
              <w:jc w:val="center"/>
              <w:rPr/>
            </w:pPr>
            <w:r>
              <w:rPr/>
              <w:t>16.</w:t>
            </w:r>
          </w:p>
        </w:tc>
        <w:tc>
          <w:tcPr>
            <w:tcW w:w="120" w:type="dxa"/>
            <w:tcBorders/>
            <w:shd w:fill="auto" w:val="clear"/>
            <w:vAlign w:val="bottom"/>
          </w:tcPr>
          <w:p>
            <w:pPr>
              <w:pStyle w:val="TableContents"/>
              <w:spacing w:before="0" w:after="283"/>
              <w:rPr/>
            </w:pPr>
            <w:r>
              <w:rPr/>
              <w:t>  </w:t>
            </w:r>
          </w:p>
        </w:tc>
        <w:tc>
          <w:tcPr>
            <w:tcW w:w="3409" w:type="dxa"/>
            <w:tcBorders/>
            <w:shd w:fill="auto" w:val="clear"/>
          </w:tcPr>
          <w:p>
            <w:pPr>
              <w:pStyle w:val="TableContents"/>
              <w:spacing w:before="0" w:after="283"/>
              <w:jc w:val="center"/>
              <w:rPr/>
            </w:pPr>
            <w:r>
              <w:rPr/>
              <w:t>Loan agreement dated April 18, 2016</w:t>
            </w:r>
          </w:p>
        </w:tc>
        <w:tc>
          <w:tcPr>
            <w:tcW w:w="196" w:type="dxa"/>
            <w:tcBorders/>
            <w:shd w:fill="auto" w:val="clear"/>
            <w:vAlign w:val="bottom"/>
          </w:tcPr>
          <w:p>
            <w:pPr>
              <w:pStyle w:val="TableContents"/>
              <w:spacing w:before="0" w:after="283"/>
              <w:rPr/>
            </w:pPr>
            <w:r>
              <w:rPr/>
              <w:t>  </w:t>
            </w:r>
          </w:p>
        </w:tc>
        <w:tc>
          <w:tcPr>
            <w:tcW w:w="139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HeadHunter</w:t>
            </w:r>
          </w:p>
          <w:p>
            <w:pPr>
              <w:pStyle w:val="TableContents"/>
              <w:spacing w:before="0" w:after="20"/>
              <w:jc w:val="center"/>
              <w:rPr>
                <w:rFonts w:ascii="Times New Roman" w:hAnsi="Times New Roman"/>
                <w:sz w:val="20"/>
              </w:rPr>
            </w:pPr>
            <w:r>
              <w:rPr>
                <w:rFonts w:ascii="Times New Roman" w:hAnsi="Times New Roman"/>
                <w:sz w:val="20"/>
              </w:rPr>
              <w:t>FSU Limited</w:t>
            </w:r>
          </w:p>
        </w:tc>
        <w:tc>
          <w:tcPr>
            <w:tcW w:w="196" w:type="dxa"/>
            <w:tcBorders/>
            <w:shd w:fill="auto" w:val="clear"/>
            <w:vAlign w:val="bottom"/>
          </w:tcPr>
          <w:p>
            <w:pPr>
              <w:pStyle w:val="TableContents"/>
              <w:spacing w:before="0" w:after="283"/>
              <w:rPr/>
            </w:pPr>
            <w:r>
              <w:rPr/>
              <w:t>  </w:t>
            </w:r>
          </w:p>
        </w:tc>
        <w:tc>
          <w:tcPr>
            <w:tcW w:w="1128"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Zemenik</w:t>
            </w:r>
          </w:p>
          <w:p>
            <w:pPr>
              <w:pStyle w:val="TableContents"/>
              <w:spacing w:before="0" w:after="20"/>
              <w:jc w:val="center"/>
              <w:rPr>
                <w:rFonts w:ascii="Times New Roman" w:hAnsi="Times New Roman"/>
                <w:sz w:val="20"/>
              </w:rPr>
            </w:pPr>
            <w:r>
              <w:rPr>
                <w:rFonts w:ascii="Times New Roman" w:hAnsi="Times New Roman"/>
                <w:sz w:val="20"/>
              </w:rPr>
              <w:t>Trading Limited</w:t>
            </w:r>
          </w:p>
        </w:tc>
        <w:tc>
          <w:tcPr>
            <w:tcW w:w="196"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364" w:type="dxa"/>
            <w:tcBorders/>
            <w:shd w:fill="auto" w:val="clear"/>
          </w:tcPr>
          <w:p>
            <w:pPr>
              <w:pStyle w:val="TableContents"/>
              <w:spacing w:before="0" w:after="283"/>
              <w:jc w:val="right"/>
              <w:rPr/>
            </w:pPr>
            <w:r>
              <w:rPr/>
              <w:t>500 000 000</w:t>
            </w:r>
          </w:p>
        </w:tc>
        <w:tc>
          <w:tcPr>
            <w:tcW w:w="174" w:type="dxa"/>
            <w:tcBorders/>
            <w:shd w:fill="auto" w:val="clear"/>
          </w:tcPr>
          <w:p>
            <w:pPr>
              <w:pStyle w:val="TableContents"/>
              <w:spacing w:before="0" w:after="283"/>
              <w:rPr/>
            </w:pPr>
            <w:r>
              <w:rPr/>
              <w:t> </w:t>
            </w:r>
          </w:p>
        </w:tc>
        <w:tc>
          <w:tcPr>
            <w:tcW w:w="195" w:type="dxa"/>
            <w:tcBorders/>
            <w:shd w:fill="auto" w:val="clear"/>
            <w:vAlign w:val="bottom"/>
          </w:tcPr>
          <w:p>
            <w:pPr>
              <w:pStyle w:val="TableContents"/>
              <w:spacing w:before="0" w:after="283"/>
              <w:rPr/>
            </w:pPr>
            <w:r>
              <w:rPr/>
              <w:t>  </w:t>
            </w:r>
          </w:p>
        </w:tc>
        <w:tc>
          <w:tcPr>
            <w:tcW w:w="1091" w:type="dxa"/>
            <w:tcBorders/>
            <w:shd w:fill="auto" w:val="clear"/>
          </w:tcPr>
          <w:p>
            <w:pPr>
              <w:pStyle w:val="TableContents"/>
              <w:spacing w:before="0" w:after="283"/>
              <w:jc w:val="center"/>
              <w:rPr/>
            </w:pPr>
            <w:r>
              <w:rPr/>
              <w:t>Rubles</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 8 </w:t>
      </w:r>
    </w:p>
    <w:p>
      <w:pPr>
        <w:pStyle w:val="TextBody"/>
        <w:spacing w:before="240" w:after="0"/>
        <w:jc w:val="center"/>
        <w:rPr>
          <w:rFonts w:ascii="Times New Roman" w:hAnsi="Times New Roman"/>
          <w:sz w:val="22"/>
        </w:rPr>
      </w:pPr>
      <w:r>
        <w:rPr>
          <w:rFonts w:ascii="Times New Roman" w:hAnsi="Times New Roman"/>
          <w:sz w:val="22"/>
        </w:rPr>
        <w:t xml:space="preserve">INTELLECTUAL PROPERTY ITEMS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1.</w:t>
            </w:r>
          </w:p>
        </w:tc>
        <w:tc>
          <w:tcPr>
            <w:tcW w:w="9186" w:type="dxa"/>
            <w:tcBorders/>
            <w:shd w:fill="auto" w:val="clear"/>
          </w:tcPr>
          <w:p>
            <w:pPr>
              <w:pStyle w:val="TableContents"/>
              <w:spacing w:before="0" w:after="283"/>
              <w:jc w:val="left"/>
              <w:rPr/>
            </w:pPr>
            <w:r>
              <w:rPr/>
              <w:t xml:space="preserve">Trademarks of debtors </w:t>
            </w:r>
          </w:p>
        </w:tc>
      </w:tr>
    </w:tbl>
    <w:p>
      <w:pPr>
        <w:pStyle w:val="TextBody"/>
        <w:spacing w:before="0" w:after="0"/>
        <w:rPr/>
      </w:pPr>
      <w:r>
        <w:rPr/>
        <w:t> </w:t>
      </w:r>
    </w:p>
    <w:tbl>
      <w:tblPr>
        <w:tblW w:w="11580" w:type="dxa"/>
        <w:jc w:val="center"/>
        <w:tblInd w:w="0" w:type="dxa"/>
        <w:tblBorders/>
        <w:tblCellMar>
          <w:top w:w="0" w:type="dxa"/>
          <w:left w:w="0" w:type="dxa"/>
          <w:bottom w:w="0" w:type="dxa"/>
          <w:right w:w="0" w:type="dxa"/>
        </w:tblCellMar>
      </w:tblPr>
      <w:tblGrid>
        <w:gridCol w:w="620"/>
        <w:gridCol w:w="120"/>
        <w:gridCol w:w="965"/>
        <w:gridCol w:w="120"/>
        <w:gridCol w:w="1580"/>
        <w:gridCol w:w="120"/>
        <w:gridCol w:w="1745"/>
        <w:gridCol w:w="120"/>
        <w:gridCol w:w="2120"/>
        <w:gridCol w:w="120"/>
        <w:gridCol w:w="680"/>
        <w:gridCol w:w="120"/>
        <w:gridCol w:w="1010"/>
        <w:gridCol w:w="120"/>
        <w:gridCol w:w="890"/>
        <w:gridCol w:w="120"/>
        <w:gridCol w:w="1010"/>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965"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58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745"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21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68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01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89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010"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vAlign w:val="bottom"/>
          </w:tcPr>
          <w:p>
            <w:pPr>
              <w:pStyle w:val="TableContents"/>
              <w:spacing w:before="0" w:after="0"/>
              <w:rPr>
                <w:rFonts w:ascii="Times New Roman" w:hAnsi="Times New Roman"/>
                <w:sz w:val="16"/>
              </w:rPr>
            </w:pPr>
            <w:r>
              <w:rPr>
                <w:rFonts w:ascii="Times New Roman" w:hAnsi="Times New Roman"/>
                <w:sz w:val="16"/>
              </w:rPr>
              <w:t>No. in</w:t>
            </w:r>
          </w:p>
          <w:p>
            <w:pPr>
              <w:pStyle w:val="TableContents"/>
              <w:pBdr>
                <w:bottom w:val="single" w:sz="8" w:space="1" w:color="000000"/>
              </w:pBdr>
              <w:spacing w:before="0" w:after="20"/>
              <w:rPr>
                <w:rFonts w:ascii="Times New Roman" w:hAnsi="Times New Roman"/>
                <w:sz w:val="16"/>
              </w:rPr>
            </w:pPr>
            <w:r>
              <w:rPr>
                <w:rFonts w:ascii="Times New Roman" w:hAnsi="Times New Roman"/>
                <w:sz w:val="16"/>
              </w:rPr>
              <w:t>sequence</w:t>
            </w:r>
          </w:p>
        </w:tc>
        <w:tc>
          <w:tcPr>
            <w:tcW w:w="120" w:type="dxa"/>
            <w:tcBorders/>
            <w:shd w:fill="auto" w:val="clear"/>
            <w:vAlign w:val="bottom"/>
          </w:tcPr>
          <w:p>
            <w:pPr>
              <w:pStyle w:val="TableContents"/>
              <w:spacing w:before="0" w:after="283"/>
              <w:rPr/>
            </w:pPr>
            <w:r>
              <w:rPr/>
              <w:t>  </w:t>
            </w:r>
          </w:p>
        </w:tc>
        <w:tc>
          <w:tcPr>
            <w:tcW w:w="965" w:type="dxa"/>
            <w:tcBorders>
              <w:bottom w:val="single" w:sz="8" w:space="0" w:color="000000"/>
              <w:insideH w:val="single" w:sz="8" w:space="0" w:color="000000"/>
            </w:tcBorders>
            <w:shd w:fill="auto" w:val="clear"/>
            <w:tcMar>
              <w:bottom w:w="28" w:type="dxa"/>
            </w:tcMar>
            <w:vAlign w:val="bottom"/>
          </w:tcPr>
          <w:p>
            <w:pPr>
              <w:pStyle w:val="TableContents"/>
              <w:spacing w:before="0" w:after="0"/>
              <w:jc w:val="center"/>
              <w:rPr>
                <w:rFonts w:ascii="Times New Roman" w:hAnsi="Times New Roman"/>
                <w:sz w:val="16"/>
              </w:rPr>
            </w:pPr>
            <w:r>
              <w:rPr>
                <w:rFonts w:ascii="Times New Roman" w:hAnsi="Times New Roman"/>
                <w:sz w:val="16"/>
              </w:rPr>
              <w:t>Type of</w:t>
            </w:r>
          </w:p>
          <w:p>
            <w:pPr>
              <w:pStyle w:val="TableContents"/>
              <w:spacing w:before="0" w:after="20"/>
              <w:jc w:val="center"/>
              <w:rPr>
                <w:rFonts w:ascii="Times New Roman" w:hAnsi="Times New Roman"/>
                <w:sz w:val="16"/>
              </w:rPr>
            </w:pPr>
            <w:r>
              <w:rPr>
                <w:rFonts w:ascii="Times New Roman" w:hAnsi="Times New Roman"/>
                <w:sz w:val="16"/>
              </w:rPr>
              <w:t>mark</w:t>
            </w:r>
          </w:p>
        </w:tc>
        <w:tc>
          <w:tcPr>
            <w:tcW w:w="120" w:type="dxa"/>
            <w:tcBorders/>
            <w:shd w:fill="auto" w:val="clear"/>
            <w:vAlign w:val="bottom"/>
          </w:tcPr>
          <w:p>
            <w:pPr>
              <w:pStyle w:val="TableContents"/>
              <w:spacing w:before="0" w:after="283"/>
              <w:rPr/>
            </w:pPr>
            <w:r>
              <w:rPr/>
              <w:t>  </w:t>
            </w:r>
          </w:p>
        </w:tc>
        <w:tc>
          <w:tcPr>
            <w:tcW w:w="1580"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Content</w:t>
            </w:r>
          </w:p>
        </w:tc>
        <w:tc>
          <w:tcPr>
            <w:tcW w:w="120" w:type="dxa"/>
            <w:tcBorders/>
            <w:shd w:fill="auto" w:val="clear"/>
            <w:vAlign w:val="bottom"/>
          </w:tcPr>
          <w:p>
            <w:pPr>
              <w:pStyle w:val="TableContents"/>
              <w:spacing w:before="0" w:after="283"/>
              <w:rPr/>
            </w:pPr>
            <w:r>
              <w:rPr/>
              <w:t>  </w:t>
            </w:r>
          </w:p>
        </w:tc>
        <w:tc>
          <w:tcPr>
            <w:tcW w:w="1745"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Registration country</w:t>
            </w:r>
          </w:p>
        </w:tc>
        <w:tc>
          <w:tcPr>
            <w:tcW w:w="120" w:type="dxa"/>
            <w:tcBorders/>
            <w:shd w:fill="auto" w:val="clear"/>
            <w:vAlign w:val="bottom"/>
          </w:tcPr>
          <w:p>
            <w:pPr>
              <w:pStyle w:val="TableContents"/>
              <w:spacing w:before="0" w:after="283"/>
              <w:rPr/>
            </w:pPr>
            <w:r>
              <w:rPr/>
              <w:t>  </w:t>
            </w:r>
          </w:p>
        </w:tc>
        <w:tc>
          <w:tcPr>
            <w:tcW w:w="212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International</w:t>
              <w:br/>
              <w:t>Classification of Goods</w:t>
              <w:br/>
              <w:t>and Services Classes</w:t>
            </w:r>
          </w:p>
        </w:tc>
        <w:tc>
          <w:tcPr>
            <w:tcW w:w="120" w:type="dxa"/>
            <w:tcBorders/>
            <w:shd w:fill="auto" w:val="clear"/>
            <w:vAlign w:val="bottom"/>
          </w:tcPr>
          <w:p>
            <w:pPr>
              <w:pStyle w:val="TableContents"/>
              <w:spacing w:before="0" w:after="283"/>
              <w:rPr/>
            </w:pPr>
            <w:r>
              <w:rPr/>
              <w:t>  </w:t>
            </w:r>
          </w:p>
        </w:tc>
        <w:tc>
          <w:tcPr>
            <w:tcW w:w="68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Priority date</w:t>
            </w:r>
          </w:p>
        </w:tc>
        <w:tc>
          <w:tcPr>
            <w:tcW w:w="120" w:type="dxa"/>
            <w:tcBorders/>
            <w:shd w:fill="auto" w:val="clear"/>
            <w:vAlign w:val="bottom"/>
          </w:tcPr>
          <w:p>
            <w:pPr>
              <w:pStyle w:val="TableContents"/>
              <w:spacing w:before="0" w:after="283"/>
              <w:rPr/>
            </w:pPr>
            <w:r>
              <w:rPr/>
              <w:t>  </w:t>
            </w:r>
          </w:p>
        </w:tc>
        <w:tc>
          <w:tcPr>
            <w:tcW w:w="101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Number of</w:t>
              <w:br/>
              <w:t>certificate</w:t>
            </w:r>
          </w:p>
        </w:tc>
        <w:tc>
          <w:tcPr>
            <w:tcW w:w="120" w:type="dxa"/>
            <w:tcBorders/>
            <w:shd w:fill="auto" w:val="clear"/>
            <w:vAlign w:val="bottom"/>
          </w:tcPr>
          <w:p>
            <w:pPr>
              <w:pStyle w:val="TableContents"/>
              <w:spacing w:before="0" w:after="283"/>
              <w:rPr/>
            </w:pPr>
            <w:r>
              <w:rPr/>
              <w:t>  </w:t>
            </w:r>
          </w:p>
        </w:tc>
        <w:tc>
          <w:tcPr>
            <w:tcW w:w="89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Date of</w:t>
              <w:br/>
              <w:t>certificate</w:t>
            </w:r>
          </w:p>
        </w:tc>
        <w:tc>
          <w:tcPr>
            <w:tcW w:w="120" w:type="dxa"/>
            <w:tcBorders/>
            <w:shd w:fill="auto" w:val="clear"/>
            <w:vAlign w:val="bottom"/>
          </w:tcPr>
          <w:p>
            <w:pPr>
              <w:pStyle w:val="TableContents"/>
              <w:spacing w:before="0" w:after="283"/>
              <w:rPr/>
            </w:pPr>
            <w:r>
              <w:rPr/>
              <w:t>  </w:t>
            </w:r>
          </w:p>
        </w:tc>
        <w:tc>
          <w:tcPr>
            <w:tcW w:w="1010"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Term of</w:t>
              <w:br/>
              <w:t>registration</w:t>
            </w:r>
          </w:p>
        </w:tc>
      </w:tr>
      <w:tr>
        <w:trPr/>
        <w:tc>
          <w:tcPr>
            <w:tcW w:w="620" w:type="dxa"/>
            <w:tcBorders/>
            <w:shd w:fill="auto" w:val="clear"/>
          </w:tcPr>
          <w:p>
            <w:pPr>
              <w:pStyle w:val="TableContents"/>
              <w:spacing w:before="0" w:after="283"/>
              <w:rPr/>
            </w:pPr>
            <w:r>
              <w:rPr/>
              <w:t>1</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wordmark</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HEADHUNTER</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06/04/2006</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339197</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12/12/2007</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06/04/2026</w:t>
            </w:r>
          </w:p>
        </w:tc>
      </w:tr>
      <w:tr>
        <w:trPr/>
        <w:tc>
          <w:tcPr>
            <w:tcW w:w="620" w:type="dxa"/>
            <w:tcBorders/>
            <w:shd w:fill="auto" w:val="clear"/>
          </w:tcPr>
          <w:p>
            <w:pPr>
              <w:pStyle w:val="TableContents"/>
              <w:spacing w:before="0" w:after="283"/>
              <w:rPr/>
            </w:pPr>
            <w:r>
              <w:rPr/>
              <w:t>2</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wordmark</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HEADHUNTER</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22/02/2008</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401167</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12/02/2010</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22/02/2018</w:t>
            </w:r>
          </w:p>
        </w:tc>
      </w:tr>
      <w:tr>
        <w:trPr/>
        <w:tc>
          <w:tcPr>
            <w:tcW w:w="620" w:type="dxa"/>
            <w:tcBorders/>
            <w:shd w:fill="auto" w:val="clear"/>
          </w:tcPr>
          <w:p>
            <w:pPr>
              <w:pStyle w:val="TableContents"/>
              <w:spacing w:before="0" w:after="283"/>
              <w:rPr/>
            </w:pPr>
            <w:r>
              <w:rPr/>
              <w:t>3</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graphic symbol</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HH</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22/06/2009</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410843</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09/06/2010</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22/06/2019</w:t>
            </w:r>
          </w:p>
        </w:tc>
      </w:tr>
      <w:tr>
        <w:trPr/>
        <w:tc>
          <w:tcPr>
            <w:tcW w:w="620" w:type="dxa"/>
            <w:tcBorders/>
            <w:shd w:fill="auto" w:val="clear"/>
          </w:tcPr>
          <w:p>
            <w:pPr>
              <w:pStyle w:val="TableContents"/>
              <w:spacing w:before="0" w:after="283"/>
              <w:rPr/>
            </w:pPr>
            <w:r>
              <w:rPr/>
              <w:t>4</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graphic symbol</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HH</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22/06/2009</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410844</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09/06/2010</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22/06/2019</w:t>
            </w:r>
          </w:p>
        </w:tc>
      </w:tr>
      <w:tr>
        <w:trPr/>
        <w:tc>
          <w:tcPr>
            <w:tcW w:w="620" w:type="dxa"/>
            <w:tcBorders/>
            <w:shd w:fill="auto" w:val="clear"/>
          </w:tcPr>
          <w:p>
            <w:pPr>
              <w:pStyle w:val="TableContents"/>
              <w:spacing w:before="0" w:after="283"/>
              <w:rPr/>
            </w:pPr>
            <w:r>
              <w:rPr/>
              <w:t>5</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graphic symbol</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new wordmark HH</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11/03/2009</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431008</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28/02/2011</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11/03/2019</w:t>
            </w:r>
          </w:p>
        </w:tc>
      </w:tr>
      <w:tr>
        <w:trPr/>
        <w:tc>
          <w:tcPr>
            <w:tcW w:w="620" w:type="dxa"/>
            <w:tcBorders/>
            <w:shd w:fill="auto" w:val="clear"/>
          </w:tcPr>
          <w:p>
            <w:pPr>
              <w:pStyle w:val="TableContents"/>
              <w:spacing w:before="0" w:after="283"/>
              <w:rPr/>
            </w:pPr>
            <w:r>
              <w:rPr/>
              <w:t>6</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graphic symbol</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HH</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22/06/2009</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430120</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14/02/2011</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22/06/2019</w:t>
            </w:r>
          </w:p>
        </w:tc>
      </w:tr>
      <w:tr>
        <w:trPr/>
        <w:tc>
          <w:tcPr>
            <w:tcW w:w="620" w:type="dxa"/>
            <w:tcBorders/>
            <w:shd w:fill="auto" w:val="clear"/>
          </w:tcPr>
          <w:p>
            <w:pPr>
              <w:pStyle w:val="TableContents"/>
              <w:spacing w:before="0" w:after="283"/>
              <w:rPr/>
            </w:pPr>
            <w:r>
              <w:rPr/>
              <w:t>7</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wordmark</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HRBBRAND</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22/04/2008</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378423</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05/05/2009</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22/04/2018</w:t>
            </w:r>
          </w:p>
        </w:tc>
      </w:tr>
      <w:tr>
        <w:trPr/>
        <w:tc>
          <w:tcPr>
            <w:tcW w:w="620" w:type="dxa"/>
            <w:tcBorders/>
            <w:shd w:fill="auto" w:val="clear"/>
          </w:tcPr>
          <w:p>
            <w:pPr>
              <w:pStyle w:val="TableContents"/>
              <w:spacing w:before="0" w:after="283"/>
              <w:rPr/>
            </w:pPr>
            <w:r>
              <w:rPr/>
              <w:t>8</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wordmark</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HR –brand of year</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22/02/2008</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423350</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22/11/2010</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22/02/2018</w:t>
            </w:r>
          </w:p>
        </w:tc>
      </w:tr>
      <w:tr>
        <w:trPr/>
        <w:tc>
          <w:tcPr>
            <w:tcW w:w="620" w:type="dxa"/>
            <w:tcBorders/>
            <w:shd w:fill="auto" w:val="clear"/>
          </w:tcPr>
          <w:p>
            <w:pPr>
              <w:pStyle w:val="TableContents"/>
              <w:spacing w:before="0" w:after="283"/>
              <w:rPr/>
            </w:pPr>
            <w:r>
              <w:rPr/>
              <w:t>9</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wordmark</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HR –brand</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08/04/2008</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388438</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02/09/2009</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08/04/2018</w:t>
            </w:r>
          </w:p>
        </w:tc>
      </w:tr>
      <w:tr>
        <w:trPr/>
        <w:tc>
          <w:tcPr>
            <w:tcW w:w="620" w:type="dxa"/>
            <w:tcBorders/>
            <w:shd w:fill="auto" w:val="clear"/>
          </w:tcPr>
          <w:p>
            <w:pPr>
              <w:pStyle w:val="TableContents"/>
              <w:spacing w:before="0" w:after="283"/>
              <w:rPr/>
            </w:pPr>
            <w:r>
              <w:rPr/>
              <w:t>10</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wordmark</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HRspace</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35,36</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11/12/2015</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602908</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24/01/2017</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11/12/2025</w:t>
            </w:r>
          </w:p>
        </w:tc>
      </w:tr>
      <w:tr>
        <w:trPr/>
        <w:tc>
          <w:tcPr>
            <w:tcW w:w="620" w:type="dxa"/>
            <w:tcBorders/>
            <w:shd w:fill="auto" w:val="clear"/>
          </w:tcPr>
          <w:p>
            <w:pPr>
              <w:pStyle w:val="TableContents"/>
              <w:spacing w:before="0" w:after="283"/>
              <w:rPr/>
            </w:pPr>
            <w:r>
              <w:rPr/>
              <w:t>11</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combined</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Data base of labor costs</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18/02/2016</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622996</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10/07/2017</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18/02/2026</w:t>
            </w:r>
          </w:p>
        </w:tc>
      </w:tr>
      <w:tr>
        <w:trPr/>
        <w:tc>
          <w:tcPr>
            <w:tcW w:w="620" w:type="dxa"/>
            <w:tcBorders/>
            <w:shd w:fill="auto" w:val="clear"/>
          </w:tcPr>
          <w:p>
            <w:pPr>
              <w:pStyle w:val="TableContents"/>
              <w:spacing w:before="0" w:after="283"/>
              <w:rPr/>
            </w:pPr>
            <w:r>
              <w:rPr/>
              <w:t>12</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combined</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League of HR experts</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18/02/2016</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615705</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10/05/2017</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18/02/2026</w:t>
            </w:r>
          </w:p>
        </w:tc>
      </w:tr>
      <w:tr>
        <w:trPr/>
        <w:tc>
          <w:tcPr>
            <w:tcW w:w="620" w:type="dxa"/>
            <w:tcBorders/>
            <w:shd w:fill="auto" w:val="clear"/>
          </w:tcPr>
          <w:p>
            <w:pPr>
              <w:pStyle w:val="TableContents"/>
              <w:spacing w:before="0" w:after="283"/>
              <w:rPr/>
            </w:pPr>
            <w:r>
              <w:rPr/>
              <w:t>13</w:t>
            </w:r>
          </w:p>
        </w:tc>
        <w:tc>
          <w:tcPr>
            <w:tcW w:w="120" w:type="dxa"/>
            <w:tcBorders/>
            <w:shd w:fill="auto" w:val="clear"/>
            <w:vAlign w:val="bottom"/>
          </w:tcPr>
          <w:p>
            <w:pPr>
              <w:pStyle w:val="TableContents"/>
              <w:spacing w:before="0" w:after="283"/>
              <w:rPr/>
            </w:pPr>
            <w:r>
              <w:rPr/>
              <w:t>  </w:t>
            </w:r>
          </w:p>
        </w:tc>
        <w:tc>
          <w:tcPr>
            <w:tcW w:w="965" w:type="dxa"/>
            <w:tcBorders/>
            <w:shd w:fill="auto" w:val="clear"/>
          </w:tcPr>
          <w:p>
            <w:pPr>
              <w:pStyle w:val="TableContents"/>
              <w:spacing w:before="0" w:after="283"/>
              <w:rPr/>
            </w:pPr>
            <w:r>
              <w:rPr/>
              <w:t>combined</w:t>
            </w:r>
          </w:p>
        </w:tc>
        <w:tc>
          <w:tcPr>
            <w:tcW w:w="120" w:type="dxa"/>
            <w:tcBorders/>
            <w:shd w:fill="auto" w:val="clear"/>
            <w:vAlign w:val="bottom"/>
          </w:tcPr>
          <w:p>
            <w:pPr>
              <w:pStyle w:val="TableContents"/>
              <w:spacing w:before="0" w:after="283"/>
              <w:rPr/>
            </w:pPr>
            <w:r>
              <w:rPr/>
              <w:t>  </w:t>
            </w:r>
          </w:p>
        </w:tc>
        <w:tc>
          <w:tcPr>
            <w:tcW w:w="1580" w:type="dxa"/>
            <w:tcBorders/>
            <w:shd w:fill="auto" w:val="clear"/>
          </w:tcPr>
          <w:p>
            <w:pPr>
              <w:pStyle w:val="TableContents"/>
              <w:spacing w:before="0" w:after="283"/>
              <w:rPr/>
            </w:pPr>
            <w:r>
              <w:rPr/>
              <w:t>Talent Rating</w:t>
            </w:r>
          </w:p>
        </w:tc>
        <w:tc>
          <w:tcPr>
            <w:tcW w:w="120" w:type="dxa"/>
            <w:tcBorders/>
            <w:shd w:fill="auto" w:val="clear"/>
            <w:vAlign w:val="bottom"/>
          </w:tcPr>
          <w:p>
            <w:pPr>
              <w:pStyle w:val="TableContents"/>
              <w:spacing w:before="0" w:after="283"/>
              <w:rPr/>
            </w:pPr>
            <w:r>
              <w:rPr/>
              <w:t>  </w:t>
            </w:r>
          </w:p>
        </w:tc>
        <w:tc>
          <w:tcPr>
            <w:tcW w:w="1745" w:type="dxa"/>
            <w:tcBorders/>
            <w:shd w:fill="auto" w:val="clear"/>
          </w:tcPr>
          <w:p>
            <w:pPr>
              <w:pStyle w:val="TableContents"/>
              <w:spacing w:before="0" w:after="283"/>
              <w:rPr/>
            </w:pPr>
            <w:r>
              <w:rPr/>
              <w:t>Russian Federation</w:t>
            </w:r>
          </w:p>
        </w:tc>
        <w:tc>
          <w:tcPr>
            <w:tcW w:w="120" w:type="dxa"/>
            <w:tcBorders/>
            <w:shd w:fill="auto" w:val="clear"/>
            <w:vAlign w:val="bottom"/>
          </w:tcPr>
          <w:p>
            <w:pPr>
              <w:pStyle w:val="TableContents"/>
              <w:spacing w:before="0" w:after="283"/>
              <w:rPr/>
            </w:pPr>
            <w:r>
              <w:rPr/>
              <w:t>  </w:t>
            </w:r>
          </w:p>
        </w:tc>
        <w:tc>
          <w:tcPr>
            <w:tcW w:w="2120" w:type="dxa"/>
            <w:tcBorders/>
            <w:shd w:fill="auto" w:val="clear"/>
          </w:tcPr>
          <w:p>
            <w:pPr>
              <w:pStyle w:val="TableContents"/>
              <w:spacing w:before="0" w:after="283"/>
              <w:rPr/>
            </w:pPr>
            <w:r>
              <w:rPr/>
              <w:t>09,16,35,38,41,42</w:t>
            </w:r>
          </w:p>
        </w:tc>
        <w:tc>
          <w:tcPr>
            <w:tcW w:w="120"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jc w:val="center"/>
              <w:rPr/>
            </w:pPr>
            <w:r>
              <w:rPr/>
              <w:t>18/02/2016</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606635</w:t>
            </w:r>
          </w:p>
        </w:tc>
        <w:tc>
          <w:tcPr>
            <w:tcW w:w="120" w:type="dxa"/>
            <w:tcBorders/>
            <w:shd w:fill="auto" w:val="clear"/>
            <w:vAlign w:val="bottom"/>
          </w:tcPr>
          <w:p>
            <w:pPr>
              <w:pStyle w:val="TableContents"/>
              <w:spacing w:before="0" w:after="283"/>
              <w:rPr/>
            </w:pPr>
            <w:r>
              <w:rPr/>
              <w:t>  </w:t>
            </w:r>
          </w:p>
        </w:tc>
        <w:tc>
          <w:tcPr>
            <w:tcW w:w="890" w:type="dxa"/>
            <w:tcBorders/>
            <w:shd w:fill="auto" w:val="clear"/>
          </w:tcPr>
          <w:p>
            <w:pPr>
              <w:pStyle w:val="TableContents"/>
              <w:spacing w:before="0" w:after="283"/>
              <w:jc w:val="center"/>
              <w:rPr/>
            </w:pPr>
            <w:r>
              <w:rPr/>
              <w:t>22/02/2017</w:t>
            </w:r>
          </w:p>
        </w:tc>
        <w:tc>
          <w:tcPr>
            <w:tcW w:w="120" w:type="dxa"/>
            <w:tcBorders/>
            <w:shd w:fill="auto" w:val="clear"/>
            <w:vAlign w:val="bottom"/>
          </w:tcPr>
          <w:p>
            <w:pPr>
              <w:pStyle w:val="TableContents"/>
              <w:spacing w:before="0" w:after="283"/>
              <w:rPr/>
            </w:pPr>
            <w:r>
              <w:rPr/>
              <w:t>  </w:t>
            </w:r>
          </w:p>
        </w:tc>
        <w:tc>
          <w:tcPr>
            <w:tcW w:w="1010" w:type="dxa"/>
            <w:tcBorders/>
            <w:shd w:fill="auto" w:val="clear"/>
          </w:tcPr>
          <w:p>
            <w:pPr>
              <w:pStyle w:val="TableContents"/>
              <w:spacing w:before="0" w:after="283"/>
              <w:jc w:val="center"/>
              <w:rPr/>
            </w:pPr>
            <w:r>
              <w:rPr/>
              <w:t>18/02/2026</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2.</w:t>
            </w:r>
          </w:p>
        </w:tc>
        <w:tc>
          <w:tcPr>
            <w:tcW w:w="9187" w:type="dxa"/>
            <w:tcBorders/>
            <w:shd w:fill="auto" w:val="clear"/>
          </w:tcPr>
          <w:p>
            <w:pPr>
              <w:pStyle w:val="TableContents"/>
              <w:spacing w:before="0" w:after="283"/>
              <w:jc w:val="left"/>
              <w:rPr/>
            </w:pPr>
            <w:r>
              <w:rPr/>
              <w:t xml:space="preserve">Sites of Debtors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7"/>
        <w:gridCol w:w="9190"/>
      </w:tblGrid>
      <w:tr>
        <w:trPr/>
        <w:tc>
          <w:tcPr>
            <w:tcW w:w="507" w:type="dxa"/>
            <w:tcBorders/>
            <w:shd w:fill="auto" w:val="clear"/>
            <w:vAlign w:val="center"/>
          </w:tcPr>
          <w:p>
            <w:pPr>
              <w:pStyle w:val="TableContents"/>
              <w:spacing w:before="0" w:after="283"/>
              <w:rPr/>
            </w:pPr>
            <w:r>
              <w:rPr/>
              <w:t> </w:t>
            </w:r>
          </w:p>
        </w:tc>
        <w:tc>
          <w:tcPr>
            <w:tcW w:w="507" w:type="dxa"/>
            <w:tcBorders/>
            <w:shd w:fill="auto" w:val="clear"/>
          </w:tcPr>
          <w:p>
            <w:pPr>
              <w:pStyle w:val="TableContents"/>
              <w:spacing w:before="0" w:after="283"/>
              <w:jc w:val="left"/>
              <w:rPr/>
            </w:pPr>
            <w:r>
              <w:rPr/>
              <w:t>  </w:t>
            </w:r>
          </w:p>
        </w:tc>
        <w:tc>
          <w:tcPr>
            <w:tcW w:w="9190" w:type="dxa"/>
            <w:tcBorders/>
            <w:shd w:fill="auto" w:val="clear"/>
          </w:tcPr>
          <w:p>
            <w:pPr>
              <w:pStyle w:val="TableContents"/>
              <w:spacing w:before="0" w:after="283"/>
              <w:jc w:val="left"/>
              <w:rPr/>
            </w:pPr>
            <w:r>
              <w:rPr/>
              <w:t xml:space="preserve">Headhunter LLC (Russia) - http://hh.ru; http://headhunter.ru; http://XX.rf; </w:t>
            </w:r>
            <w:r>
              <w:rPr>
                <w:u w:val="single"/>
              </w:rPr>
              <w:t>http://hrbrand.ru/</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3.</w:t>
            </w:r>
          </w:p>
        </w:tc>
        <w:tc>
          <w:tcPr>
            <w:tcW w:w="9187" w:type="dxa"/>
            <w:tcBorders/>
            <w:shd w:fill="auto" w:val="clear"/>
          </w:tcPr>
          <w:p>
            <w:pPr>
              <w:pStyle w:val="TableContents"/>
              <w:spacing w:before="0" w:after="283"/>
              <w:jc w:val="left"/>
              <w:rPr/>
            </w:pPr>
            <w:r>
              <w:rPr/>
              <w:t xml:space="preserve">Data base </w:t>
            </w:r>
          </w:p>
        </w:tc>
      </w:tr>
    </w:tbl>
    <w:r>
      <w:br w:type="page"/>
    </w:r>
    <w:p>
      <w:pPr>
        <w:pStyle w:val="HorizontalLine"/>
        <w:pBdr>
          <w:bottom w:val="double" w:sz="6" w:space="0" w:color="808080"/>
        </w:pBdr>
        <w:rPr/>
      </w:pPr>
      <w:r>
        <w:rPr/>
      </w:r>
    </w:p>
    <w:tbl>
      <w:tblPr>
        <w:tblW w:w="11265" w:type="dxa"/>
        <w:jc w:val="center"/>
        <w:tblInd w:w="0" w:type="dxa"/>
        <w:tblBorders/>
        <w:tblCellMar>
          <w:top w:w="0" w:type="dxa"/>
          <w:left w:w="0" w:type="dxa"/>
          <w:bottom w:w="0" w:type="dxa"/>
          <w:right w:w="0" w:type="dxa"/>
        </w:tblCellMar>
      </w:tblPr>
      <w:tblGrid>
        <w:gridCol w:w="620"/>
        <w:gridCol w:w="120"/>
        <w:gridCol w:w="1130"/>
        <w:gridCol w:w="120"/>
        <w:gridCol w:w="935"/>
        <w:gridCol w:w="120"/>
        <w:gridCol w:w="1130"/>
        <w:gridCol w:w="120"/>
        <w:gridCol w:w="97"/>
        <w:gridCol w:w="988"/>
        <w:gridCol w:w="60"/>
        <w:gridCol w:w="120"/>
        <w:gridCol w:w="60"/>
        <w:gridCol w:w="1190"/>
        <w:gridCol w:w="60"/>
        <w:gridCol w:w="120"/>
        <w:gridCol w:w="60"/>
        <w:gridCol w:w="950"/>
        <w:gridCol w:w="60"/>
        <w:gridCol w:w="120"/>
        <w:gridCol w:w="60"/>
        <w:gridCol w:w="1220"/>
        <w:gridCol w:w="60"/>
        <w:gridCol w:w="120"/>
        <w:gridCol w:w="1625"/>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13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935"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13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97" w:type="dxa"/>
            <w:tcBorders/>
            <w:shd w:fill="auto" w:val="clear"/>
            <w:vAlign w:val="center"/>
          </w:tcPr>
          <w:p>
            <w:pPr>
              <w:pStyle w:val="TableContents"/>
              <w:spacing w:before="0" w:after="283"/>
              <w:rPr>
                <w:sz w:val="4"/>
                <w:szCs w:val="4"/>
              </w:rPr>
            </w:pPr>
            <w:r>
              <w:rPr>
                <w:sz w:val="4"/>
                <w:szCs w:val="4"/>
              </w:rPr>
            </w:r>
          </w:p>
        </w:tc>
        <w:tc>
          <w:tcPr>
            <w:tcW w:w="988"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190"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950"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220"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625"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vAlign w:val="bottom"/>
          </w:tcPr>
          <w:p>
            <w:pPr>
              <w:pStyle w:val="TableContents"/>
              <w:pBdr>
                <w:bottom w:val="single" w:sz="8" w:space="1" w:color="000000"/>
              </w:pBdr>
              <w:spacing w:before="0" w:after="0"/>
              <w:rPr>
                <w:rFonts w:ascii="Times New Roman" w:hAnsi="Times New Roman"/>
                <w:sz w:val="16"/>
              </w:rPr>
            </w:pPr>
            <w:r>
              <w:rPr>
                <w:rFonts w:ascii="Times New Roman" w:hAnsi="Times New Roman"/>
                <w:sz w:val="16"/>
              </w:rPr>
              <w:t>No. in</w:t>
              <w:br/>
              <w:t>sequence</w:t>
            </w:r>
          </w:p>
        </w:tc>
        <w:tc>
          <w:tcPr>
            <w:tcW w:w="120" w:type="dxa"/>
            <w:tcBorders/>
            <w:shd w:fill="auto" w:val="clear"/>
            <w:vAlign w:val="bottom"/>
          </w:tcPr>
          <w:p>
            <w:pPr>
              <w:pStyle w:val="TableContents"/>
              <w:spacing w:before="0" w:after="283"/>
              <w:rPr/>
            </w:pPr>
            <w:r>
              <w:rPr/>
              <w:t>  </w:t>
            </w:r>
          </w:p>
        </w:tc>
        <w:tc>
          <w:tcPr>
            <w:tcW w:w="1130"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Right holder</w:t>
            </w:r>
          </w:p>
        </w:tc>
        <w:tc>
          <w:tcPr>
            <w:tcW w:w="120" w:type="dxa"/>
            <w:tcBorders/>
            <w:shd w:fill="auto" w:val="clear"/>
            <w:vAlign w:val="bottom"/>
          </w:tcPr>
          <w:p>
            <w:pPr>
              <w:pStyle w:val="TableContents"/>
              <w:spacing w:before="0" w:after="283"/>
              <w:rPr/>
            </w:pPr>
            <w:r>
              <w:rPr/>
              <w:t>  </w:t>
            </w:r>
          </w:p>
        </w:tc>
        <w:tc>
          <w:tcPr>
            <w:tcW w:w="935"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Type</w:t>
            </w:r>
          </w:p>
        </w:tc>
        <w:tc>
          <w:tcPr>
            <w:tcW w:w="120" w:type="dxa"/>
            <w:tcBorders/>
            <w:shd w:fill="auto" w:val="clear"/>
            <w:vAlign w:val="bottom"/>
          </w:tcPr>
          <w:p>
            <w:pPr>
              <w:pStyle w:val="TableContents"/>
              <w:spacing w:before="0" w:after="283"/>
              <w:rPr/>
            </w:pPr>
            <w:r>
              <w:rPr/>
              <w:t>  </w:t>
            </w:r>
          </w:p>
        </w:tc>
        <w:tc>
          <w:tcPr>
            <w:tcW w:w="1130"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Name</w:t>
            </w:r>
          </w:p>
        </w:tc>
        <w:tc>
          <w:tcPr>
            <w:tcW w:w="120" w:type="dxa"/>
            <w:tcBorders/>
            <w:shd w:fill="auto" w:val="clear"/>
            <w:vAlign w:val="bottom"/>
          </w:tcPr>
          <w:p>
            <w:pPr>
              <w:pStyle w:val="TableContents"/>
              <w:spacing w:before="0" w:after="283"/>
              <w:rPr/>
            </w:pPr>
            <w:r>
              <w:rPr/>
              <w:t>  </w:t>
            </w:r>
          </w:p>
        </w:tc>
        <w:tc>
          <w:tcPr>
            <w:tcW w:w="108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Registration</w:t>
              <w:br/>
              <w:t>country</w:t>
            </w:r>
          </w:p>
        </w:tc>
        <w:tc>
          <w:tcPr>
            <w:tcW w:w="60" w:type="dxa"/>
            <w:tcBorders/>
            <w:shd w:fill="auto" w:val="clear"/>
            <w:vAlign w:val="bottom"/>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1250"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Number of</w:t>
              <w:br/>
              <w:t>application</w:t>
            </w:r>
          </w:p>
        </w:tc>
        <w:tc>
          <w:tcPr>
            <w:tcW w:w="60" w:type="dxa"/>
            <w:tcBorders/>
            <w:shd w:fill="auto" w:val="clear"/>
            <w:vAlign w:val="bottom"/>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1010"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Date of</w:t>
              <w:br/>
              <w:t>application</w:t>
            </w:r>
          </w:p>
        </w:tc>
        <w:tc>
          <w:tcPr>
            <w:tcW w:w="60" w:type="dxa"/>
            <w:tcBorders/>
            <w:shd w:fill="auto" w:val="clear"/>
            <w:vAlign w:val="bottom"/>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1280"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Number of</w:t>
              <w:br/>
              <w:t>certificate</w:t>
            </w:r>
          </w:p>
        </w:tc>
        <w:tc>
          <w:tcPr>
            <w:tcW w:w="60" w:type="dxa"/>
            <w:tcBorders/>
            <w:shd w:fill="auto" w:val="clear"/>
            <w:vAlign w:val="bottom"/>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1625"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Date of certificate</w:t>
            </w:r>
          </w:p>
        </w:tc>
      </w:tr>
      <w:tr>
        <w:trPr/>
        <w:tc>
          <w:tcPr>
            <w:tcW w:w="11265" w:type="dxa"/>
            <w:gridSpan w:val="25"/>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2015</w:t>
            </w:r>
          </w:p>
        </w:tc>
      </w:tr>
      <w:tr>
        <w:trPr/>
        <w:tc>
          <w:tcPr>
            <w:tcW w:w="620" w:type="dxa"/>
            <w:tcBorders/>
            <w:shd w:fill="auto" w:val="clear"/>
          </w:tcPr>
          <w:p>
            <w:pPr>
              <w:pStyle w:val="TableContents"/>
              <w:spacing w:before="0" w:after="0"/>
              <w:rPr>
                <w:rFonts w:ascii="Times New Roman" w:hAnsi="Times New Roman"/>
                <w:sz w:val="20"/>
              </w:rPr>
            </w:pPr>
            <w:r>
              <w:rPr>
                <w:rFonts w:ascii="Times New Roman" w:hAnsi="Times New Roman"/>
                <w:sz w:val="20"/>
              </w:rPr>
              <w:t>1</w:t>
            </w:r>
          </w:p>
        </w:tc>
        <w:tc>
          <w:tcPr>
            <w:tcW w:w="120" w:type="dxa"/>
            <w:tcBorders/>
            <w:shd w:fill="auto" w:val="clear"/>
            <w:vAlign w:val="bottom"/>
          </w:tcPr>
          <w:p>
            <w:pPr>
              <w:pStyle w:val="TableContents"/>
              <w:spacing w:before="0" w:after="283"/>
              <w:rPr/>
            </w:pPr>
            <w:r>
              <w:rPr/>
              <w:t>  </w:t>
            </w:r>
          </w:p>
        </w:tc>
        <w:tc>
          <w:tcPr>
            <w:tcW w:w="1130" w:type="dxa"/>
            <w:tcBorders/>
            <w:shd w:fill="auto" w:val="clear"/>
          </w:tcPr>
          <w:p>
            <w:pPr>
              <w:pStyle w:val="TableContents"/>
              <w:spacing w:before="0" w:after="283"/>
              <w:rPr/>
            </w:pPr>
            <w:r>
              <w:rPr/>
              <w:t>HeadHunter LLC</w:t>
            </w:r>
          </w:p>
        </w:tc>
        <w:tc>
          <w:tcPr>
            <w:tcW w:w="120" w:type="dxa"/>
            <w:tcBorders/>
            <w:shd w:fill="auto" w:val="clear"/>
            <w:vAlign w:val="bottom"/>
          </w:tcPr>
          <w:p>
            <w:pPr>
              <w:pStyle w:val="TableContents"/>
              <w:spacing w:before="0" w:after="283"/>
              <w:rPr/>
            </w:pPr>
            <w:r>
              <w:rPr/>
              <w:t>  </w:t>
            </w:r>
          </w:p>
        </w:tc>
        <w:tc>
          <w:tcPr>
            <w:tcW w:w="935" w:type="dxa"/>
            <w:tcBorders/>
            <w:shd w:fill="auto" w:val="clear"/>
          </w:tcPr>
          <w:p>
            <w:pPr>
              <w:pStyle w:val="TableContents"/>
              <w:spacing w:before="0" w:after="283"/>
              <w:jc w:val="right"/>
              <w:rPr/>
            </w:pPr>
            <w:r>
              <w:rPr/>
              <w:t>Data base</w:t>
            </w:r>
          </w:p>
        </w:tc>
        <w:tc>
          <w:tcPr>
            <w:tcW w:w="120" w:type="dxa"/>
            <w:tcBorders/>
            <w:shd w:fill="auto" w:val="clear"/>
            <w:vAlign w:val="bottom"/>
          </w:tcPr>
          <w:p>
            <w:pPr>
              <w:pStyle w:val="TableContents"/>
              <w:spacing w:before="0" w:after="283"/>
              <w:rPr/>
            </w:pPr>
            <w:r>
              <w:rPr/>
              <w:t>  </w:t>
            </w:r>
          </w:p>
        </w:tc>
        <w:tc>
          <w:tcPr>
            <w:tcW w:w="1130" w:type="dxa"/>
            <w:tcBorders/>
            <w:shd w:fill="auto" w:val="clear"/>
          </w:tcPr>
          <w:p>
            <w:pPr>
              <w:pStyle w:val="TableContents"/>
              <w:spacing w:before="0" w:after="283"/>
              <w:rPr/>
            </w:pPr>
            <w:r>
              <w:rPr/>
              <w:t>Data base of HeadHunter LLC</w:t>
            </w:r>
          </w:p>
        </w:tc>
        <w:tc>
          <w:tcPr>
            <w:tcW w:w="120" w:type="dxa"/>
            <w:tcBorders/>
            <w:shd w:fill="auto" w:val="clear"/>
            <w:vAlign w:val="bottom"/>
          </w:tcPr>
          <w:p>
            <w:pPr>
              <w:pStyle w:val="TableContents"/>
              <w:spacing w:before="0" w:after="283"/>
              <w:rPr/>
            </w:pPr>
            <w:r>
              <w:rPr/>
              <w:t>  </w:t>
            </w:r>
          </w:p>
        </w:tc>
        <w:tc>
          <w:tcPr>
            <w:tcW w:w="97" w:type="dxa"/>
            <w:tcBorders/>
            <w:shd w:fill="auto" w:val="clear"/>
          </w:tcPr>
          <w:p>
            <w:pPr>
              <w:pStyle w:val="TableContents"/>
              <w:spacing w:before="0" w:after="283"/>
              <w:rPr/>
            </w:pPr>
            <w:r>
              <w:rPr/>
              <w:t> </w:t>
            </w:r>
          </w:p>
        </w:tc>
        <w:tc>
          <w:tcPr>
            <w:tcW w:w="988" w:type="dxa"/>
            <w:tcBorders/>
            <w:shd w:fill="auto" w:val="clear"/>
          </w:tcPr>
          <w:p>
            <w:pPr>
              <w:pStyle w:val="TableContents"/>
              <w:spacing w:before="0" w:after="283"/>
              <w:jc w:val="right"/>
              <w:rPr/>
            </w:pPr>
            <w:r>
              <w:rPr/>
              <w:t>Russia</w:t>
            </w:r>
          </w:p>
        </w:tc>
        <w:tc>
          <w:tcPr>
            <w:tcW w:w="60" w:type="dxa"/>
            <w:tcBorders/>
            <w:shd w:fill="auto" w:val="clear"/>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190" w:type="dxa"/>
            <w:tcBorders/>
            <w:shd w:fill="auto" w:val="clear"/>
          </w:tcPr>
          <w:p>
            <w:pPr>
              <w:pStyle w:val="TableContents"/>
              <w:spacing w:before="0" w:after="283"/>
              <w:jc w:val="right"/>
              <w:rPr/>
            </w:pPr>
            <w:r>
              <w:rPr/>
              <w:t>2015621116</w:t>
            </w:r>
          </w:p>
        </w:tc>
        <w:tc>
          <w:tcPr>
            <w:tcW w:w="60" w:type="dxa"/>
            <w:tcBorders/>
            <w:shd w:fill="auto" w:val="clear"/>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950" w:type="dxa"/>
            <w:tcBorders/>
            <w:shd w:fill="auto" w:val="clear"/>
            <w:vAlign w:val="bottom"/>
          </w:tcPr>
          <w:p>
            <w:pPr>
              <w:pStyle w:val="TableContents"/>
              <w:jc w:val="right"/>
              <w:rPr/>
            </w:pPr>
            <w:r>
              <w:rPr/>
              <w:t>August 31,</w:t>
            </w:r>
          </w:p>
          <w:p>
            <w:pPr>
              <w:pStyle w:val="TableContents"/>
              <w:spacing w:before="0" w:after="20"/>
              <w:jc w:val="center"/>
              <w:rPr>
                <w:rFonts w:ascii="Times New Roman" w:hAnsi="Times New Roman"/>
                <w:sz w:val="20"/>
              </w:rPr>
            </w:pPr>
            <w:r>
              <w:rPr>
                <w:rFonts w:ascii="Times New Roman" w:hAnsi="Times New Roman"/>
                <w:sz w:val="20"/>
              </w:rPr>
              <w:t>2015</w:t>
            </w:r>
          </w:p>
        </w:tc>
        <w:tc>
          <w:tcPr>
            <w:tcW w:w="60" w:type="dxa"/>
            <w:tcBorders/>
            <w:shd w:fill="auto" w:val="clear"/>
            <w:vAlign w:val="bottom"/>
          </w:tcPr>
          <w:p>
            <w:pPr>
              <w:pStyle w:val="TableContents"/>
              <w:rPr/>
            </w:pPr>
            <w:r>
              <w:rPr/>
            </w:r>
          </w:p>
          <w:p>
            <w:pPr>
              <w:pStyle w:val="TableContents"/>
              <w:spacing w:before="0" w:after="20"/>
              <w:rPr/>
            </w:pPr>
            <w:r>
              <w:rPr/>
              <w:t> </w:t>
            </w:r>
          </w:p>
        </w:tc>
        <w:tc>
          <w:tcPr>
            <w:tcW w:w="120"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1220" w:type="dxa"/>
            <w:tcBorders/>
            <w:shd w:fill="auto" w:val="clear"/>
          </w:tcPr>
          <w:p>
            <w:pPr>
              <w:pStyle w:val="TableContents"/>
              <w:spacing w:before="0" w:after="283"/>
              <w:jc w:val="right"/>
              <w:rPr/>
            </w:pPr>
            <w:r>
              <w:rPr/>
              <w:t>2015621803</w:t>
            </w:r>
          </w:p>
        </w:tc>
        <w:tc>
          <w:tcPr>
            <w:tcW w:w="60" w:type="dxa"/>
            <w:tcBorders/>
            <w:shd w:fill="auto" w:val="clear"/>
          </w:tcPr>
          <w:p>
            <w:pPr>
              <w:pStyle w:val="TableContents"/>
              <w:spacing w:before="0" w:after="283"/>
              <w:rPr/>
            </w:pPr>
            <w:r>
              <w:rPr/>
              <w:t> </w:t>
            </w:r>
          </w:p>
        </w:tc>
        <w:tc>
          <w:tcPr>
            <w:tcW w:w="120" w:type="dxa"/>
            <w:tcBorders/>
            <w:shd w:fill="auto" w:val="clear"/>
            <w:vAlign w:val="bottom"/>
          </w:tcPr>
          <w:p>
            <w:pPr>
              <w:pStyle w:val="TableContents"/>
              <w:spacing w:before="0" w:after="283"/>
              <w:rPr/>
            </w:pPr>
            <w:r>
              <w:rPr/>
              <w:t>  </w:t>
            </w:r>
          </w:p>
        </w:tc>
        <w:tc>
          <w:tcPr>
            <w:tcW w:w="1625" w:type="dxa"/>
            <w:tcBorders/>
            <w:shd w:fill="auto" w:val="clear"/>
            <w:vAlign w:val="bottom"/>
          </w:tcPr>
          <w:p>
            <w:pPr>
              <w:pStyle w:val="TableContents"/>
              <w:jc w:val="center"/>
              <w:rPr/>
            </w:pPr>
            <w:r>
              <w:rPr/>
              <w:t>December 21,</w:t>
            </w:r>
          </w:p>
          <w:p>
            <w:pPr>
              <w:pStyle w:val="TableContents"/>
              <w:spacing w:before="0" w:after="20"/>
              <w:jc w:val="center"/>
              <w:rPr>
                <w:rFonts w:ascii="Times New Roman" w:hAnsi="Times New Roman"/>
                <w:sz w:val="20"/>
              </w:rPr>
            </w:pPr>
            <w:r>
              <w:rPr>
                <w:rFonts w:ascii="Times New Roman" w:hAnsi="Times New Roman"/>
                <w:sz w:val="20"/>
              </w:rPr>
              <w:t>2015</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 9 </w:t>
      </w:r>
    </w:p>
    <w:p>
      <w:pPr>
        <w:pStyle w:val="TextBody"/>
        <w:spacing w:before="240" w:after="0"/>
        <w:jc w:val="center"/>
        <w:rPr>
          <w:rFonts w:ascii="Times New Roman" w:hAnsi="Times New Roman"/>
          <w:sz w:val="20"/>
        </w:rPr>
      </w:pPr>
      <w:r>
        <w:rPr>
          <w:rFonts w:ascii="Times New Roman" w:hAnsi="Times New Roman"/>
          <w:sz w:val="20"/>
        </w:rPr>
        <w:t xml:space="preserve">GROUP STRUCTURE CHART </w:t>
      </w:r>
    </w:p>
    <w:p>
      <w:pPr>
        <w:pStyle w:val="TextBody"/>
        <w:spacing w:before="0" w:after="0"/>
        <w:rPr/>
      </w:pPr>
      <w:r>
        <w:rPr/>
        <w:t> </w:t>
      </w:r>
    </w:p>
    <w:p>
      <w:pPr>
        <w:pStyle w:val="TextBody"/>
        <w:spacing w:before="0" w:after="0"/>
        <w:jc w:val="center"/>
        <w:rPr/>
      </w:pPr>
      <w:r>
        <w:rPr/>
        <w:drawing>
          <wp:inline distT="0" distB="0" distL="0" distR="0">
            <wp:extent cx="718820" cy="35941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link="rId9"/>
                    <a:stretch>
                      <a:fillRect/>
                    </a:stretch>
                  </pic:blipFill>
                  <pic:spPr bwMode="auto">
                    <a:xfrm>
                      <a:off x="0" y="0"/>
                      <a:ext cx="718820" cy="359410"/>
                    </a:xfrm>
                    <a:prstGeom prst="rect">
                      <a:avLst/>
                    </a:prstGeom>
                    <a:noFill/>
                    <a:ln w="9525">
                      <a:noFill/>
                      <a:miter lim="800000"/>
                      <a:headEnd/>
                      <a:tailEnd/>
                    </a:ln>
                  </pic:spPr>
                </pic:pic>
              </a:graphicData>
            </a:graphic>
          </wp:inline>
        </w:drawing>
      </w:r>
      <w:r>
        <w:rPr/>
        <w:t xml:space="preserve"> </w:t>
      </w:r>
      <w:r>
        <w:br w:type="page"/>
      </w:r>
    </w:p>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ANNEX10 </w:t>
      </w:r>
    </w:p>
    <w:p>
      <w:pPr>
        <w:pStyle w:val="TextBody"/>
        <w:spacing w:before="240" w:after="0"/>
        <w:jc w:val="center"/>
        <w:rPr>
          <w:rFonts w:ascii="Times New Roman" w:hAnsi="Times New Roman"/>
          <w:sz w:val="20"/>
        </w:rPr>
      </w:pPr>
      <w:r>
        <w:rPr>
          <w:rFonts w:ascii="Times New Roman" w:hAnsi="Times New Roman"/>
          <w:sz w:val="20"/>
        </w:rPr>
        <w:t xml:space="preserve">LITIGATION </w:t>
      </w:r>
    </w:p>
    <w:p>
      <w:pPr>
        <w:pStyle w:val="TextBody"/>
        <w:spacing w:before="240" w:after="0"/>
        <w:rPr>
          <w:rFonts w:ascii="Times New Roman" w:hAnsi="Times New Roman"/>
          <w:sz w:val="20"/>
        </w:rPr>
      </w:pPr>
      <w:r>
        <w:rPr>
          <w:rFonts w:ascii="Times New Roman" w:hAnsi="Times New Roman"/>
          <w:sz w:val="20"/>
        </w:rPr>
        <w:t xml:space="preserve">Pending judicial proceedings as of April 14, 2016: </w:t>
      </w:r>
    </w:p>
    <w:p>
      <w:pPr>
        <w:pStyle w:val="TextBody"/>
        <w:spacing w:before="0" w:after="0"/>
        <w:rPr/>
      </w:pPr>
      <w:r>
        <w:rPr/>
        <w:t> </w:t>
      </w:r>
    </w:p>
    <w:tbl>
      <w:tblPr>
        <w:tblW w:w="10279" w:type="dxa"/>
        <w:jc w:val="center"/>
        <w:tblInd w:w="0" w:type="dxa"/>
        <w:tblBorders/>
        <w:tblCellMar>
          <w:top w:w="0" w:type="dxa"/>
          <w:left w:w="0" w:type="dxa"/>
          <w:bottom w:w="0" w:type="dxa"/>
          <w:right w:w="0" w:type="dxa"/>
        </w:tblCellMar>
      </w:tblPr>
      <w:tblGrid>
        <w:gridCol w:w="614"/>
        <w:gridCol w:w="120"/>
        <w:gridCol w:w="995"/>
        <w:gridCol w:w="120"/>
        <w:gridCol w:w="1387"/>
        <w:gridCol w:w="120"/>
        <w:gridCol w:w="1277"/>
        <w:gridCol w:w="120"/>
        <w:gridCol w:w="1173"/>
        <w:gridCol w:w="120"/>
        <w:gridCol w:w="1175"/>
        <w:gridCol w:w="120"/>
        <w:gridCol w:w="1431"/>
        <w:gridCol w:w="120"/>
        <w:gridCol w:w="1387"/>
      </w:tblGrid>
      <w:tr>
        <w:trPr/>
        <w:tc>
          <w:tcPr>
            <w:tcW w:w="614"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995"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387"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277"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173"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175"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431"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387" w:type="dxa"/>
            <w:tcBorders/>
            <w:shd w:fill="auto" w:val="clear"/>
            <w:vAlign w:val="center"/>
          </w:tcPr>
          <w:p>
            <w:pPr>
              <w:pStyle w:val="TableContents"/>
              <w:spacing w:before="0" w:after="283"/>
              <w:rPr>
                <w:sz w:val="4"/>
                <w:szCs w:val="4"/>
              </w:rPr>
            </w:pPr>
            <w:r>
              <w:rPr>
                <w:sz w:val="4"/>
                <w:szCs w:val="4"/>
              </w:rPr>
            </w:r>
          </w:p>
        </w:tc>
      </w:tr>
      <w:tr>
        <w:trPr/>
        <w:tc>
          <w:tcPr>
            <w:tcW w:w="614" w:type="dxa"/>
            <w:tcBorders/>
            <w:shd w:fill="auto" w:val="clear"/>
            <w:vAlign w:val="bottom"/>
          </w:tcPr>
          <w:p>
            <w:pPr>
              <w:pStyle w:val="TableContents"/>
              <w:pBdr>
                <w:bottom w:val="single" w:sz="8" w:space="1" w:color="000000"/>
              </w:pBdr>
              <w:spacing w:before="0" w:after="0"/>
              <w:rPr>
                <w:rFonts w:ascii="Times New Roman" w:hAnsi="Times New Roman"/>
                <w:sz w:val="16"/>
              </w:rPr>
            </w:pPr>
            <w:r>
              <w:rPr>
                <w:rFonts w:ascii="Times New Roman" w:hAnsi="Times New Roman"/>
                <w:sz w:val="16"/>
              </w:rPr>
              <w:t>No. in</w:t>
              <w:br/>
              <w:t>sequence</w:t>
            </w:r>
          </w:p>
        </w:tc>
        <w:tc>
          <w:tcPr>
            <w:tcW w:w="120" w:type="dxa"/>
            <w:tcBorders/>
            <w:shd w:fill="auto" w:val="clear"/>
            <w:vAlign w:val="bottom"/>
          </w:tcPr>
          <w:p>
            <w:pPr>
              <w:pStyle w:val="TableContents"/>
              <w:spacing w:before="0" w:after="283"/>
              <w:rPr/>
            </w:pPr>
            <w:r>
              <w:rPr/>
              <w:t>  </w:t>
            </w:r>
          </w:p>
        </w:tc>
        <w:tc>
          <w:tcPr>
            <w:tcW w:w="995"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Case number</w:t>
            </w:r>
          </w:p>
        </w:tc>
        <w:tc>
          <w:tcPr>
            <w:tcW w:w="120" w:type="dxa"/>
            <w:tcBorders/>
            <w:shd w:fill="auto" w:val="clear"/>
            <w:vAlign w:val="bottom"/>
          </w:tcPr>
          <w:p>
            <w:pPr>
              <w:pStyle w:val="TableContents"/>
              <w:spacing w:before="0" w:after="283"/>
              <w:rPr/>
            </w:pPr>
            <w:r>
              <w:rPr/>
              <w:t>  </w:t>
            </w:r>
          </w:p>
        </w:tc>
        <w:tc>
          <w:tcPr>
            <w:tcW w:w="1387"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Court name</w:t>
            </w:r>
          </w:p>
        </w:tc>
        <w:tc>
          <w:tcPr>
            <w:tcW w:w="120" w:type="dxa"/>
            <w:tcBorders/>
            <w:shd w:fill="auto" w:val="clear"/>
            <w:vAlign w:val="bottom"/>
          </w:tcPr>
          <w:p>
            <w:pPr>
              <w:pStyle w:val="TableContents"/>
              <w:spacing w:before="0" w:after="283"/>
              <w:rPr/>
            </w:pPr>
            <w:r>
              <w:rPr/>
              <w:t>  </w:t>
            </w:r>
          </w:p>
        </w:tc>
        <w:tc>
          <w:tcPr>
            <w:tcW w:w="1277"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Claimants</w:t>
            </w:r>
          </w:p>
        </w:tc>
        <w:tc>
          <w:tcPr>
            <w:tcW w:w="120" w:type="dxa"/>
            <w:tcBorders/>
            <w:shd w:fill="auto" w:val="clear"/>
            <w:vAlign w:val="bottom"/>
          </w:tcPr>
          <w:p>
            <w:pPr>
              <w:pStyle w:val="TableContents"/>
              <w:spacing w:before="0" w:after="283"/>
              <w:rPr/>
            </w:pPr>
            <w:r>
              <w:rPr/>
              <w:t>  </w:t>
            </w:r>
          </w:p>
        </w:tc>
        <w:tc>
          <w:tcPr>
            <w:tcW w:w="1173"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Defendants</w:t>
            </w:r>
          </w:p>
        </w:tc>
        <w:tc>
          <w:tcPr>
            <w:tcW w:w="120" w:type="dxa"/>
            <w:tcBorders/>
            <w:shd w:fill="auto" w:val="clear"/>
            <w:vAlign w:val="bottom"/>
          </w:tcPr>
          <w:p>
            <w:pPr>
              <w:pStyle w:val="TableContents"/>
              <w:spacing w:before="0" w:after="283"/>
              <w:rPr/>
            </w:pPr>
            <w:r>
              <w:rPr/>
              <w:t>  </w:t>
            </w:r>
          </w:p>
        </w:tc>
        <w:tc>
          <w:tcPr>
            <w:tcW w:w="1175"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Subject matter of the</w:t>
              <w:br/>
              <w:t>dispute</w:t>
            </w:r>
          </w:p>
        </w:tc>
        <w:tc>
          <w:tcPr>
            <w:tcW w:w="120" w:type="dxa"/>
            <w:tcBorders/>
            <w:shd w:fill="auto" w:val="clear"/>
            <w:vAlign w:val="bottom"/>
          </w:tcPr>
          <w:p>
            <w:pPr>
              <w:pStyle w:val="TableContents"/>
              <w:spacing w:before="0" w:after="283"/>
              <w:rPr/>
            </w:pPr>
            <w:r>
              <w:rPr/>
              <w:t>  </w:t>
            </w:r>
          </w:p>
        </w:tc>
        <w:tc>
          <w:tcPr>
            <w:tcW w:w="1431"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Claim amount</w:t>
            </w:r>
          </w:p>
        </w:tc>
        <w:tc>
          <w:tcPr>
            <w:tcW w:w="120" w:type="dxa"/>
            <w:tcBorders/>
            <w:shd w:fill="auto" w:val="clear"/>
            <w:vAlign w:val="bottom"/>
          </w:tcPr>
          <w:p>
            <w:pPr>
              <w:pStyle w:val="TableContents"/>
              <w:spacing w:before="0" w:after="283"/>
              <w:rPr/>
            </w:pPr>
            <w:r>
              <w:rPr/>
              <w:t>  </w:t>
            </w:r>
          </w:p>
        </w:tc>
        <w:tc>
          <w:tcPr>
            <w:tcW w:w="1387"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Current status</w:t>
            </w:r>
          </w:p>
        </w:tc>
      </w:tr>
      <w:tr>
        <w:trPr/>
        <w:tc>
          <w:tcPr>
            <w:tcW w:w="614" w:type="dxa"/>
            <w:tcBorders/>
            <w:shd w:fill="auto" w:val="clear"/>
          </w:tcPr>
          <w:p>
            <w:pPr>
              <w:pStyle w:val="TableContents"/>
              <w:spacing w:before="0" w:after="283"/>
              <w:rPr/>
            </w:pPr>
            <w:r>
              <w:rPr/>
              <w:t>1</w:t>
            </w:r>
          </w:p>
        </w:tc>
        <w:tc>
          <w:tcPr>
            <w:tcW w:w="120" w:type="dxa"/>
            <w:tcBorders/>
            <w:shd w:fill="auto" w:val="clear"/>
            <w:vAlign w:val="bottom"/>
          </w:tcPr>
          <w:p>
            <w:pPr>
              <w:pStyle w:val="TableContents"/>
              <w:spacing w:before="0" w:after="283"/>
              <w:rPr/>
            </w:pPr>
            <w:r>
              <w:rPr/>
              <w:t>  </w:t>
            </w:r>
          </w:p>
        </w:tc>
        <w:tc>
          <w:tcPr>
            <w:tcW w:w="995" w:type="dxa"/>
            <w:tcBorders/>
            <w:shd w:fill="auto" w:val="clear"/>
          </w:tcPr>
          <w:p>
            <w:pPr>
              <w:pStyle w:val="TableContents"/>
              <w:spacing w:before="0" w:after="283"/>
              <w:rPr/>
            </w:pPr>
            <w:r>
              <w:rPr/>
              <w:t>A40-</w:t>
              <w:br/>
              <w:t>24718/16-</w:t>
              <w:br/>
              <w:t>74-182</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20"/>
              <w:rPr>
                <w:rFonts w:ascii="Times New Roman" w:hAnsi="Times New Roman"/>
                <w:sz w:val="20"/>
              </w:rPr>
            </w:pPr>
            <w:r>
              <w:rPr>
                <w:rFonts w:ascii="Times New Roman" w:hAnsi="Times New Roman"/>
                <w:sz w:val="20"/>
              </w:rPr>
              <w:t>Arbitration Court of the city of Moscow</w:t>
            </w:r>
          </w:p>
        </w:tc>
        <w:tc>
          <w:tcPr>
            <w:tcW w:w="120" w:type="dxa"/>
            <w:tcBorders/>
            <w:shd w:fill="auto" w:val="clear"/>
            <w:vAlign w:val="bottom"/>
          </w:tcPr>
          <w:p>
            <w:pPr>
              <w:pStyle w:val="TableContents"/>
              <w:spacing w:before="0" w:after="283"/>
              <w:rPr/>
            </w:pPr>
            <w:r>
              <w:rPr/>
              <w:t>  </w:t>
            </w:r>
          </w:p>
        </w:tc>
        <w:tc>
          <w:tcPr>
            <w:tcW w:w="1277" w:type="dxa"/>
            <w:tcBorders/>
            <w:shd w:fill="auto" w:val="clear"/>
          </w:tcPr>
          <w:p>
            <w:pPr>
              <w:pStyle w:val="TableContents"/>
              <w:spacing w:before="0" w:after="283"/>
              <w:rPr/>
            </w:pPr>
            <w:r>
              <w:rPr/>
              <w:t>HeadHunter</w:t>
              <w:br/>
              <w:t>LLC,</w:t>
              <w:br/>
              <w:t>Russian</w:t>
              <w:br/>
              <w:t>Federation</w:t>
            </w:r>
          </w:p>
        </w:tc>
        <w:tc>
          <w:tcPr>
            <w:tcW w:w="120" w:type="dxa"/>
            <w:tcBorders/>
            <w:shd w:fill="auto" w:val="clear"/>
            <w:vAlign w:val="bottom"/>
          </w:tcPr>
          <w:p>
            <w:pPr>
              <w:pStyle w:val="TableContents"/>
              <w:spacing w:before="0" w:after="283"/>
              <w:rPr/>
            </w:pPr>
            <w:r>
              <w:rPr/>
              <w:t>  </w:t>
            </w:r>
          </w:p>
        </w:tc>
        <w:tc>
          <w:tcPr>
            <w:tcW w:w="1173" w:type="dxa"/>
            <w:tcBorders/>
            <w:shd w:fill="auto" w:val="clear"/>
          </w:tcPr>
          <w:p>
            <w:pPr>
              <w:pStyle w:val="TableContents"/>
              <w:spacing w:before="0" w:after="283"/>
              <w:rPr/>
            </w:pPr>
            <w:r>
              <w:rPr/>
              <w:t>Registrar P01, JSC Kuznetsov A.E.</w:t>
            </w:r>
          </w:p>
        </w:tc>
        <w:tc>
          <w:tcPr>
            <w:tcW w:w="120" w:type="dxa"/>
            <w:tcBorders/>
            <w:shd w:fill="auto" w:val="clear"/>
            <w:vAlign w:val="bottom"/>
          </w:tcPr>
          <w:p>
            <w:pPr>
              <w:pStyle w:val="TableContents"/>
              <w:spacing w:before="0" w:after="283"/>
              <w:rPr/>
            </w:pPr>
            <w:r>
              <w:rPr/>
              <w:t>  </w:t>
            </w:r>
          </w:p>
        </w:tc>
        <w:tc>
          <w:tcPr>
            <w:tcW w:w="1175" w:type="dxa"/>
            <w:tcBorders/>
            <w:shd w:fill="auto" w:val="clear"/>
          </w:tcPr>
          <w:p>
            <w:pPr>
              <w:pStyle w:val="TableContents"/>
              <w:spacing w:before="0" w:after="283"/>
              <w:rPr/>
            </w:pPr>
            <w:r>
              <w:rPr/>
              <w:t>on the protection of rights to trademarks as a result of registration on Kuznetsov A.E. of the domain http://i-hh.ru</w:t>
            </w:r>
          </w:p>
        </w:tc>
        <w:tc>
          <w:tcPr>
            <w:tcW w:w="120" w:type="dxa"/>
            <w:tcBorders/>
            <w:shd w:fill="auto" w:val="clear"/>
            <w:vAlign w:val="bottom"/>
          </w:tcPr>
          <w:p>
            <w:pPr>
              <w:pStyle w:val="TableContents"/>
              <w:spacing w:before="0" w:after="283"/>
              <w:rPr/>
            </w:pPr>
            <w:r>
              <w:rPr/>
              <w:t>  </w:t>
            </w:r>
          </w:p>
        </w:tc>
        <w:tc>
          <w:tcPr>
            <w:tcW w:w="1431" w:type="dxa"/>
            <w:tcBorders/>
            <w:shd w:fill="auto" w:val="clear"/>
          </w:tcPr>
          <w:p>
            <w:pPr>
              <w:pStyle w:val="TableContents"/>
              <w:spacing w:before="0" w:after="283"/>
              <w:rPr/>
            </w:pPr>
            <w:r>
              <w:rPr/>
              <w:t>0 rubles</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283"/>
              <w:rPr/>
            </w:pPr>
            <w:r>
              <w:rPr/>
              <w:t>under</w:t>
              <w:br/>
              <w:t>consideration</w:t>
              <w:br/>
              <w:t>of the court of</w:t>
              <w:br/>
              <w:t>first instance</w:t>
            </w:r>
          </w:p>
        </w:tc>
      </w:tr>
      <w:tr>
        <w:trPr/>
        <w:tc>
          <w:tcPr>
            <w:tcW w:w="614" w:type="dxa"/>
            <w:tcBorders/>
            <w:shd w:fill="auto" w:val="clear"/>
          </w:tcPr>
          <w:p>
            <w:pPr>
              <w:pStyle w:val="TableContents"/>
              <w:spacing w:before="0" w:after="283"/>
              <w:rPr/>
            </w:pPr>
            <w:r>
              <w:rPr/>
              <w:t>2</w:t>
            </w:r>
          </w:p>
        </w:tc>
        <w:tc>
          <w:tcPr>
            <w:tcW w:w="120" w:type="dxa"/>
            <w:tcBorders/>
            <w:shd w:fill="auto" w:val="clear"/>
            <w:vAlign w:val="bottom"/>
          </w:tcPr>
          <w:p>
            <w:pPr>
              <w:pStyle w:val="TableContents"/>
              <w:spacing w:before="0" w:after="283"/>
              <w:rPr/>
            </w:pPr>
            <w:r>
              <w:rPr/>
              <w:t>  </w:t>
            </w:r>
          </w:p>
        </w:tc>
        <w:tc>
          <w:tcPr>
            <w:tcW w:w="995" w:type="dxa"/>
            <w:tcBorders/>
            <w:shd w:fill="auto" w:val="clear"/>
          </w:tcPr>
          <w:p>
            <w:pPr>
              <w:pStyle w:val="TableContents"/>
              <w:rPr/>
            </w:pPr>
            <w:r>
              <w:rPr/>
              <w:drawing>
                <wp:inline distT="0" distB="0" distL="0" distR="0">
                  <wp:extent cx="619125" cy="1619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link="rId10"/>
                          <a:stretch>
                            <a:fillRect/>
                          </a:stretch>
                        </pic:blipFill>
                        <pic:spPr bwMode="auto">
                          <a:xfrm>
                            <a:off x="0" y="0"/>
                            <a:ext cx="619125" cy="161925"/>
                          </a:xfrm>
                          <a:prstGeom prst="rect">
                            <a:avLst/>
                          </a:prstGeom>
                          <a:noFill/>
                          <a:ln w="9525">
                            <a:noFill/>
                            <a:miter lim="800000"/>
                            <a:headEnd/>
                            <a:tailEnd/>
                          </a:ln>
                        </pic:spPr>
                      </pic:pic>
                    </a:graphicData>
                  </a:graphic>
                </wp:inline>
              </w:drawing>
            </w:r>
            <w:r>
              <w:rPr/>
              <w:t xml:space="preserve"> </w:t>
            </w:r>
            <w:r>
              <w:rPr/>
              <w:br/>
              <w:t>- 492/</w:t>
            </w:r>
          </w:p>
          <w:p>
            <w:pPr>
              <w:pStyle w:val="TableContents"/>
              <w:spacing w:before="0" w:after="20"/>
              <w:rPr>
                <w:rFonts w:ascii="Times New Roman" w:hAnsi="Times New Roman"/>
                <w:sz w:val="20"/>
              </w:rPr>
            </w:pPr>
            <w:r>
              <w:rPr>
                <w:rFonts w:ascii="Times New Roman" w:hAnsi="Times New Roman"/>
                <w:sz w:val="20"/>
              </w:rPr>
              <w:t>2015</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283"/>
              <w:rPr/>
            </w:pPr>
            <w:r>
              <w:rPr/>
              <w:t>Court of Intellectual Rights</w:t>
            </w:r>
          </w:p>
        </w:tc>
        <w:tc>
          <w:tcPr>
            <w:tcW w:w="120" w:type="dxa"/>
            <w:tcBorders/>
            <w:shd w:fill="auto" w:val="clear"/>
            <w:vAlign w:val="bottom"/>
          </w:tcPr>
          <w:p>
            <w:pPr>
              <w:pStyle w:val="TableContents"/>
              <w:spacing w:before="0" w:after="283"/>
              <w:rPr/>
            </w:pPr>
            <w:r>
              <w:rPr/>
              <w:t>  </w:t>
            </w:r>
          </w:p>
        </w:tc>
        <w:tc>
          <w:tcPr>
            <w:tcW w:w="1277" w:type="dxa"/>
            <w:tcBorders/>
            <w:shd w:fill="auto" w:val="clear"/>
          </w:tcPr>
          <w:p>
            <w:pPr>
              <w:pStyle w:val="TableContents"/>
              <w:spacing w:before="0" w:after="283"/>
              <w:rPr/>
            </w:pPr>
            <w:r>
              <w:rPr/>
              <w:t>HeadHunter</w:t>
              <w:br/>
              <w:t>LLC,</w:t>
              <w:br/>
              <w:t>Russian</w:t>
              <w:br/>
              <w:t>Federation</w:t>
            </w:r>
          </w:p>
        </w:tc>
        <w:tc>
          <w:tcPr>
            <w:tcW w:w="120" w:type="dxa"/>
            <w:tcBorders/>
            <w:shd w:fill="auto" w:val="clear"/>
            <w:vAlign w:val="bottom"/>
          </w:tcPr>
          <w:p>
            <w:pPr>
              <w:pStyle w:val="TableContents"/>
              <w:spacing w:before="0" w:after="283"/>
              <w:rPr/>
            </w:pPr>
            <w:r>
              <w:rPr/>
              <w:t>  </w:t>
            </w:r>
          </w:p>
        </w:tc>
        <w:tc>
          <w:tcPr>
            <w:tcW w:w="1173" w:type="dxa"/>
            <w:tcBorders/>
            <w:shd w:fill="auto" w:val="clear"/>
          </w:tcPr>
          <w:p>
            <w:pPr>
              <w:pStyle w:val="TableContents"/>
              <w:spacing w:before="0" w:after="0"/>
              <w:rPr>
                <w:rFonts w:ascii="Times New Roman" w:hAnsi="Times New Roman"/>
                <w:sz w:val="20"/>
              </w:rPr>
            </w:pPr>
            <w:r>
              <w:rPr>
                <w:rFonts w:ascii="Times New Roman" w:hAnsi="Times New Roman"/>
                <w:sz w:val="20"/>
              </w:rPr>
              <w:t>Belgin</w:t>
            </w:r>
          </w:p>
          <w:p>
            <w:pPr>
              <w:pStyle w:val="TableContents"/>
              <w:spacing w:before="0" w:after="20"/>
              <w:rPr>
                <w:rFonts w:ascii="Times New Roman" w:hAnsi="Times New Roman"/>
                <w:sz w:val="20"/>
              </w:rPr>
            </w:pPr>
            <w:r>
              <w:rPr>
                <w:rFonts w:ascii="Times New Roman" w:hAnsi="Times New Roman"/>
                <w:sz w:val="20"/>
              </w:rPr>
              <w:t>ALTAN</w:t>
            </w:r>
          </w:p>
        </w:tc>
        <w:tc>
          <w:tcPr>
            <w:tcW w:w="120" w:type="dxa"/>
            <w:tcBorders/>
            <w:shd w:fill="auto" w:val="clear"/>
            <w:vAlign w:val="bottom"/>
          </w:tcPr>
          <w:p>
            <w:pPr>
              <w:pStyle w:val="TableContents"/>
              <w:spacing w:before="0" w:after="283"/>
              <w:rPr/>
            </w:pPr>
            <w:r>
              <w:rPr/>
              <w:t>  </w:t>
            </w:r>
          </w:p>
        </w:tc>
        <w:tc>
          <w:tcPr>
            <w:tcW w:w="1175" w:type="dxa"/>
            <w:tcBorders/>
            <w:shd w:fill="auto" w:val="clear"/>
          </w:tcPr>
          <w:p>
            <w:pPr>
              <w:pStyle w:val="TableContents"/>
              <w:spacing w:before="0" w:after="283"/>
              <w:rPr/>
            </w:pPr>
            <w:r>
              <w:rPr/>
              <w:t>on early termination of the legal protection of the trademark of the defendant KlikMi in class 35 of the ICGS</w:t>
            </w:r>
          </w:p>
        </w:tc>
        <w:tc>
          <w:tcPr>
            <w:tcW w:w="120" w:type="dxa"/>
            <w:tcBorders/>
            <w:shd w:fill="auto" w:val="clear"/>
            <w:vAlign w:val="bottom"/>
          </w:tcPr>
          <w:p>
            <w:pPr>
              <w:pStyle w:val="TableContents"/>
              <w:spacing w:before="0" w:after="283"/>
              <w:rPr/>
            </w:pPr>
            <w:r>
              <w:rPr/>
              <w:t>  </w:t>
            </w:r>
          </w:p>
        </w:tc>
        <w:tc>
          <w:tcPr>
            <w:tcW w:w="1431" w:type="dxa"/>
            <w:tcBorders/>
            <w:shd w:fill="auto" w:val="clear"/>
          </w:tcPr>
          <w:p>
            <w:pPr>
              <w:pStyle w:val="TableContents"/>
              <w:spacing w:before="0" w:after="283"/>
              <w:rPr/>
            </w:pPr>
            <w:r>
              <w:rPr/>
              <w:t>0 rubles</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283"/>
              <w:rPr/>
            </w:pPr>
            <w:r>
              <w:rPr/>
              <w:t>under</w:t>
              <w:br/>
              <w:t>consideration</w:t>
              <w:br/>
              <w:t>of the court of</w:t>
              <w:br/>
              <w:t>first instance</w:t>
            </w:r>
          </w:p>
        </w:tc>
      </w:tr>
      <w:tr>
        <w:trPr/>
        <w:tc>
          <w:tcPr>
            <w:tcW w:w="614" w:type="dxa"/>
            <w:tcBorders/>
            <w:shd w:fill="auto" w:val="clear"/>
          </w:tcPr>
          <w:p>
            <w:pPr>
              <w:pStyle w:val="TableContents"/>
              <w:spacing w:before="0" w:after="283"/>
              <w:rPr/>
            </w:pPr>
            <w:r>
              <w:rPr/>
              <w:t>3</w:t>
            </w:r>
          </w:p>
        </w:tc>
        <w:tc>
          <w:tcPr>
            <w:tcW w:w="120" w:type="dxa"/>
            <w:tcBorders/>
            <w:shd w:fill="auto" w:val="clear"/>
            <w:vAlign w:val="bottom"/>
          </w:tcPr>
          <w:p>
            <w:pPr>
              <w:pStyle w:val="TableContents"/>
              <w:spacing w:before="0" w:after="283"/>
              <w:rPr/>
            </w:pPr>
            <w:r>
              <w:rPr/>
              <w:t>  </w:t>
            </w:r>
          </w:p>
        </w:tc>
        <w:tc>
          <w:tcPr>
            <w:tcW w:w="995" w:type="dxa"/>
            <w:tcBorders/>
            <w:shd w:fill="auto" w:val="clear"/>
          </w:tcPr>
          <w:p>
            <w:pPr>
              <w:pStyle w:val="TableContents"/>
              <w:rPr/>
            </w:pPr>
            <w:r>
              <w:rPr/>
              <w:t>758/7053/</w:t>
            </w:r>
          </w:p>
          <w:p>
            <w:pPr>
              <w:pStyle w:val="TableContents"/>
              <w:spacing w:before="0" w:after="20"/>
              <w:rPr>
                <w:rFonts w:ascii="Times New Roman" w:hAnsi="Times New Roman"/>
                <w:sz w:val="20"/>
              </w:rPr>
            </w:pPr>
            <w:r>
              <w:rPr>
                <w:rFonts w:ascii="Times New Roman" w:hAnsi="Times New Roman"/>
                <w:sz w:val="20"/>
              </w:rPr>
              <w:t xml:space="preserve">15- </w:t>
            </w:r>
            <w:r>
              <w:rPr>
                <w:rFonts w:ascii="Times New Roman" w:hAnsi="Times New Roman"/>
                <w:sz w:val="20"/>
              </w:rPr>
              <w:drawing>
                <wp:inline distT="0" distB="0" distL="0" distR="0">
                  <wp:extent cx="352425" cy="1714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link="rId11"/>
                          <a:stretch>
                            <a:fillRect/>
                          </a:stretch>
                        </pic:blipFill>
                        <pic:spPr bwMode="auto">
                          <a:xfrm>
                            <a:off x="0" y="0"/>
                            <a:ext cx="352425" cy="171450"/>
                          </a:xfrm>
                          <a:prstGeom prst="rect">
                            <a:avLst/>
                          </a:prstGeom>
                          <a:noFill/>
                          <a:ln w="9525">
                            <a:noFill/>
                            <a:miter lim="800000"/>
                            <a:headEnd/>
                            <a:tailEnd/>
                          </a:ln>
                        </pic:spPr>
                      </pic:pic>
                    </a:graphicData>
                  </a:graphic>
                </wp:inline>
              </w:drawing>
            </w:r>
            <w:r>
              <w:rPr>
                <w:rFonts w:ascii="Times New Roman" w:hAnsi="Times New Roman"/>
                <w:sz w:val="20"/>
              </w:rPr>
              <w:t xml:space="preserve"> </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0"/>
              <w:rPr>
                <w:rFonts w:ascii="Times New Roman" w:hAnsi="Times New Roman"/>
                <w:sz w:val="20"/>
              </w:rPr>
            </w:pPr>
            <w:r>
              <w:rPr>
                <w:rFonts w:ascii="Times New Roman" w:hAnsi="Times New Roman"/>
                <w:sz w:val="20"/>
              </w:rPr>
              <w:t>Initially - Podolsky district court of Kiev</w:t>
            </w:r>
          </w:p>
          <w:p>
            <w:pPr>
              <w:pStyle w:val="TableContents"/>
              <w:spacing w:before="0" w:after="20"/>
              <w:rPr>
                <w:rFonts w:ascii="Times New Roman" w:hAnsi="Times New Roman"/>
                <w:sz w:val="20"/>
              </w:rPr>
            </w:pPr>
            <w:r>
              <w:rPr>
                <w:rFonts w:ascii="Times New Roman" w:hAnsi="Times New Roman"/>
                <w:sz w:val="20"/>
              </w:rPr>
              <w:t>Then the case was transferred to the Obolonsky District Court of Kiev</w:t>
            </w:r>
          </w:p>
        </w:tc>
        <w:tc>
          <w:tcPr>
            <w:tcW w:w="120" w:type="dxa"/>
            <w:tcBorders/>
            <w:shd w:fill="auto" w:val="clear"/>
            <w:vAlign w:val="bottom"/>
          </w:tcPr>
          <w:p>
            <w:pPr>
              <w:pStyle w:val="TableContents"/>
              <w:spacing w:before="0" w:after="283"/>
              <w:rPr/>
            </w:pPr>
            <w:r>
              <w:rPr/>
              <w:t>  </w:t>
            </w:r>
          </w:p>
        </w:tc>
        <w:tc>
          <w:tcPr>
            <w:tcW w:w="1277" w:type="dxa"/>
            <w:tcBorders/>
            <w:shd w:fill="auto" w:val="clear"/>
          </w:tcPr>
          <w:p>
            <w:pPr>
              <w:pStyle w:val="TableContents"/>
              <w:spacing w:before="0" w:after="283"/>
              <w:rPr/>
            </w:pPr>
            <w:r>
              <w:rPr/>
              <w:t>Marchenko</w:t>
              <w:br/>
              <w:t>Maxim</w:t>
              <w:br/>
              <w:t>Mikhailovich</w:t>
            </w:r>
          </w:p>
        </w:tc>
        <w:tc>
          <w:tcPr>
            <w:tcW w:w="120" w:type="dxa"/>
            <w:tcBorders/>
            <w:shd w:fill="auto" w:val="clear"/>
            <w:vAlign w:val="bottom"/>
          </w:tcPr>
          <w:p>
            <w:pPr>
              <w:pStyle w:val="TableContents"/>
              <w:spacing w:before="0" w:after="283"/>
              <w:rPr/>
            </w:pPr>
            <w:r>
              <w:rPr/>
              <w:t>  </w:t>
            </w:r>
          </w:p>
        </w:tc>
        <w:tc>
          <w:tcPr>
            <w:tcW w:w="1173" w:type="dxa"/>
            <w:tcBorders/>
            <w:shd w:fill="auto" w:val="clear"/>
          </w:tcPr>
          <w:p>
            <w:pPr>
              <w:pStyle w:val="TableContents"/>
              <w:spacing w:before="0" w:after="283"/>
              <w:rPr/>
            </w:pPr>
            <w:r>
              <w:rPr/>
              <w:t>HeadHunter LLC, Ukraine</w:t>
            </w:r>
          </w:p>
        </w:tc>
        <w:tc>
          <w:tcPr>
            <w:tcW w:w="120" w:type="dxa"/>
            <w:tcBorders/>
            <w:shd w:fill="auto" w:val="clear"/>
            <w:vAlign w:val="bottom"/>
          </w:tcPr>
          <w:p>
            <w:pPr>
              <w:pStyle w:val="TableContents"/>
              <w:spacing w:before="0" w:after="283"/>
              <w:rPr/>
            </w:pPr>
            <w:r>
              <w:rPr/>
              <w:t>  </w:t>
            </w:r>
          </w:p>
        </w:tc>
        <w:tc>
          <w:tcPr>
            <w:tcW w:w="1175" w:type="dxa"/>
            <w:tcBorders/>
            <w:shd w:fill="auto" w:val="clear"/>
          </w:tcPr>
          <w:p>
            <w:pPr>
              <w:pStyle w:val="TableContents"/>
              <w:spacing w:before="0" w:after="283"/>
              <w:rPr/>
            </w:pPr>
            <w:r>
              <w:rPr/>
              <w:t>Return of payment under the contract and collection of interest</w:t>
            </w:r>
          </w:p>
        </w:tc>
        <w:tc>
          <w:tcPr>
            <w:tcW w:w="120" w:type="dxa"/>
            <w:tcBorders/>
            <w:shd w:fill="auto" w:val="clear"/>
            <w:vAlign w:val="bottom"/>
          </w:tcPr>
          <w:p>
            <w:pPr>
              <w:pStyle w:val="TableContents"/>
              <w:spacing w:before="0" w:after="283"/>
              <w:rPr/>
            </w:pPr>
            <w:r>
              <w:rPr/>
              <w:t>  </w:t>
            </w:r>
          </w:p>
        </w:tc>
        <w:tc>
          <w:tcPr>
            <w:tcW w:w="1431" w:type="dxa"/>
            <w:tcBorders/>
            <w:shd w:fill="auto" w:val="clear"/>
          </w:tcPr>
          <w:p>
            <w:pPr>
              <w:pStyle w:val="TableContents"/>
              <w:spacing w:before="0" w:after="283"/>
              <w:rPr/>
            </w:pPr>
            <w:r>
              <w:rPr/>
              <w:t>138,361 UAH</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283"/>
              <w:rPr/>
            </w:pPr>
            <w:r>
              <w:rPr/>
              <w:t>under</w:t>
              <w:br/>
              <w:t>consideration</w:t>
              <w:br/>
              <w:t>of the court of</w:t>
              <w:br/>
              <w:t>first instance</w:t>
            </w:r>
          </w:p>
        </w:tc>
      </w:tr>
      <w:tr>
        <w:trPr/>
        <w:tc>
          <w:tcPr>
            <w:tcW w:w="614" w:type="dxa"/>
            <w:tcBorders/>
            <w:shd w:fill="auto" w:val="clear"/>
          </w:tcPr>
          <w:p>
            <w:pPr>
              <w:pStyle w:val="TableContents"/>
              <w:spacing w:before="0" w:after="283"/>
              <w:rPr/>
            </w:pPr>
            <w:r>
              <w:rPr/>
              <w:t>4</w:t>
            </w:r>
          </w:p>
        </w:tc>
        <w:tc>
          <w:tcPr>
            <w:tcW w:w="120" w:type="dxa"/>
            <w:tcBorders/>
            <w:shd w:fill="auto" w:val="clear"/>
            <w:vAlign w:val="bottom"/>
          </w:tcPr>
          <w:p>
            <w:pPr>
              <w:pStyle w:val="TableContents"/>
              <w:spacing w:before="0" w:after="283"/>
              <w:rPr/>
            </w:pPr>
            <w:r>
              <w:rPr/>
              <w:t>  </w:t>
            </w:r>
          </w:p>
        </w:tc>
        <w:tc>
          <w:tcPr>
            <w:tcW w:w="995" w:type="dxa"/>
            <w:tcBorders/>
            <w:shd w:fill="auto" w:val="clear"/>
          </w:tcPr>
          <w:p>
            <w:pPr>
              <w:pStyle w:val="TableContents"/>
              <w:spacing w:before="0" w:after="283"/>
              <w:rPr/>
            </w:pPr>
            <w:r>
              <w:rPr/>
              <w:t>08-21/14-16</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283"/>
              <w:rPr/>
            </w:pPr>
            <w:r>
              <w:rPr/>
              <w:t>Office of the Federal Antimonopoly Service for the Moscow Region of the Russian Federation</w:t>
            </w:r>
          </w:p>
        </w:tc>
        <w:tc>
          <w:tcPr>
            <w:tcW w:w="120" w:type="dxa"/>
            <w:tcBorders/>
            <w:shd w:fill="auto" w:val="clear"/>
            <w:vAlign w:val="bottom"/>
          </w:tcPr>
          <w:p>
            <w:pPr>
              <w:pStyle w:val="TableContents"/>
              <w:spacing w:before="0" w:after="283"/>
              <w:rPr/>
            </w:pPr>
            <w:r>
              <w:rPr/>
              <w:t>  </w:t>
            </w:r>
          </w:p>
        </w:tc>
        <w:tc>
          <w:tcPr>
            <w:tcW w:w="1277"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173" w:type="dxa"/>
            <w:tcBorders/>
            <w:shd w:fill="auto" w:val="clear"/>
          </w:tcPr>
          <w:p>
            <w:pPr>
              <w:pStyle w:val="TableContents"/>
              <w:spacing w:before="0" w:after="283"/>
              <w:rPr/>
            </w:pPr>
            <w:r>
              <w:rPr/>
              <w:t>HeadHunter LLC, Russian Federation and JSC “Tinkoff Bank” (Russian Federation)</w:t>
            </w:r>
          </w:p>
        </w:tc>
        <w:tc>
          <w:tcPr>
            <w:tcW w:w="120" w:type="dxa"/>
            <w:tcBorders/>
            <w:shd w:fill="auto" w:val="clear"/>
            <w:vAlign w:val="bottom"/>
          </w:tcPr>
          <w:p>
            <w:pPr>
              <w:pStyle w:val="TableContents"/>
              <w:spacing w:before="0" w:after="283"/>
              <w:rPr/>
            </w:pPr>
            <w:r>
              <w:rPr/>
              <w:t>  </w:t>
            </w:r>
          </w:p>
        </w:tc>
        <w:tc>
          <w:tcPr>
            <w:tcW w:w="1175" w:type="dxa"/>
            <w:tcBorders/>
            <w:shd w:fill="auto" w:val="clear"/>
          </w:tcPr>
          <w:p>
            <w:pPr>
              <w:pStyle w:val="TableContents"/>
              <w:spacing w:before="0" w:after="283"/>
              <w:rPr/>
            </w:pPr>
            <w:r>
              <w:rPr/>
              <w:t>Violation of the Federal Law of the Russian Federation No. 38-FZ of 13.03.2006 “On Advertising”</w:t>
            </w:r>
          </w:p>
        </w:tc>
        <w:tc>
          <w:tcPr>
            <w:tcW w:w="120" w:type="dxa"/>
            <w:tcBorders/>
            <w:shd w:fill="auto" w:val="clear"/>
            <w:vAlign w:val="bottom"/>
          </w:tcPr>
          <w:p>
            <w:pPr>
              <w:pStyle w:val="TableContents"/>
              <w:spacing w:before="0" w:after="283"/>
              <w:rPr/>
            </w:pPr>
            <w:r>
              <w:rPr/>
              <w:t>  </w:t>
            </w:r>
          </w:p>
        </w:tc>
        <w:tc>
          <w:tcPr>
            <w:tcW w:w="1431" w:type="dxa"/>
            <w:tcBorders/>
            <w:shd w:fill="auto" w:val="clear"/>
          </w:tcPr>
          <w:p>
            <w:pPr>
              <w:pStyle w:val="TableContents"/>
              <w:spacing w:before="0" w:after="283"/>
              <w:rPr/>
            </w:pPr>
            <w:r>
              <w:rPr/>
              <w:t>According to</w:t>
              <w:br/>
              <w:t>the article of</w:t>
              <w:br/>
              <w:t>the Code of</w:t>
              <w:br/>
              <w:t>Administrative</w:t>
              <w:br/>
              <w:t>Offenses of</w:t>
              <w:br/>
              <w:t>the Russian</w:t>
              <w:br/>
              <w:t>Federation</w:t>
              <w:br/>
              <w:t>14.3.</w:t>
            </w:r>
          </w:p>
        </w:tc>
        <w:tc>
          <w:tcPr>
            <w:tcW w:w="120" w:type="dxa"/>
            <w:tcBorders/>
            <w:shd w:fill="auto" w:val="clear"/>
            <w:vAlign w:val="bottom"/>
          </w:tcPr>
          <w:p>
            <w:pPr>
              <w:pStyle w:val="TableContents"/>
              <w:spacing w:before="0" w:after="283"/>
              <w:rPr/>
            </w:pPr>
            <w:r>
              <w:rPr/>
              <w:t>  </w:t>
            </w:r>
          </w:p>
        </w:tc>
        <w:tc>
          <w:tcPr>
            <w:tcW w:w="1387" w:type="dxa"/>
            <w:tcBorders/>
            <w:shd w:fill="auto" w:val="clear"/>
          </w:tcPr>
          <w:p>
            <w:pPr>
              <w:pStyle w:val="TableContents"/>
              <w:spacing w:before="0" w:after="283"/>
              <w:rPr/>
            </w:pPr>
            <w:r>
              <w:rPr/>
              <w:t>Office of the</w:t>
              <w:br/>
              <w:t>Federal</w:t>
              <w:br/>
              <w:t>Antimonopoly</w:t>
              <w:br/>
              <w:t>Service for</w:t>
              <w:br/>
              <w:t>the Moscow</w:t>
              <w:br/>
              <w:t>Region of the</w:t>
              <w:br/>
              <w:t>Russian</w:t>
              <w:br/>
              <w:t>Federation</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 11 </w:t>
      </w:r>
    </w:p>
    <w:p>
      <w:pPr>
        <w:pStyle w:val="TextBody"/>
        <w:spacing w:before="240" w:after="0"/>
        <w:jc w:val="center"/>
        <w:rPr>
          <w:rFonts w:ascii="Times New Roman" w:hAnsi="Times New Roman"/>
          <w:sz w:val="20"/>
        </w:rPr>
      </w:pPr>
      <w:r>
        <w:rPr>
          <w:rFonts w:ascii="Times New Roman" w:hAnsi="Times New Roman"/>
          <w:sz w:val="20"/>
        </w:rPr>
        <w:t xml:space="preserve">LIST OF CURRENT DEBTS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942"/>
        <w:gridCol w:w="125"/>
        <w:gridCol w:w="1713"/>
        <w:gridCol w:w="125"/>
        <w:gridCol w:w="2090"/>
        <w:gridCol w:w="125"/>
        <w:gridCol w:w="1617"/>
        <w:gridCol w:w="125"/>
        <w:gridCol w:w="1343"/>
      </w:tblGrid>
      <w:tr>
        <w:trPr/>
        <w:tc>
          <w:tcPr>
            <w:tcW w:w="2942" w:type="dxa"/>
            <w:tcBorders/>
            <w:shd w:fill="auto" w:val="clear"/>
            <w:vAlign w:val="center"/>
          </w:tcPr>
          <w:p>
            <w:pPr>
              <w:pStyle w:val="TableContents"/>
              <w:spacing w:before="0" w:after="283"/>
              <w:rPr>
                <w:sz w:val="4"/>
                <w:szCs w:val="4"/>
              </w:rPr>
            </w:pPr>
            <w:r>
              <w:rPr>
                <w:sz w:val="4"/>
                <w:szCs w:val="4"/>
              </w:rPr>
            </w:r>
          </w:p>
        </w:tc>
        <w:tc>
          <w:tcPr>
            <w:tcW w:w="125" w:type="dxa"/>
            <w:tcBorders/>
            <w:shd w:fill="auto" w:val="clear"/>
            <w:vAlign w:val="bottom"/>
          </w:tcPr>
          <w:p>
            <w:pPr>
              <w:pStyle w:val="TableContents"/>
              <w:spacing w:before="0" w:after="283"/>
              <w:rPr>
                <w:sz w:val="4"/>
                <w:szCs w:val="4"/>
              </w:rPr>
            </w:pPr>
            <w:r>
              <w:rPr>
                <w:sz w:val="4"/>
                <w:szCs w:val="4"/>
              </w:rPr>
            </w:r>
          </w:p>
        </w:tc>
        <w:tc>
          <w:tcPr>
            <w:tcW w:w="1713" w:type="dxa"/>
            <w:tcBorders/>
            <w:shd w:fill="auto" w:val="clear"/>
            <w:vAlign w:val="center"/>
          </w:tcPr>
          <w:p>
            <w:pPr>
              <w:pStyle w:val="TableContents"/>
              <w:spacing w:before="0" w:after="283"/>
              <w:rPr>
                <w:sz w:val="4"/>
                <w:szCs w:val="4"/>
              </w:rPr>
            </w:pPr>
            <w:r>
              <w:rPr>
                <w:sz w:val="4"/>
                <w:szCs w:val="4"/>
              </w:rPr>
            </w:r>
          </w:p>
        </w:tc>
        <w:tc>
          <w:tcPr>
            <w:tcW w:w="125" w:type="dxa"/>
            <w:tcBorders/>
            <w:shd w:fill="auto" w:val="clear"/>
            <w:vAlign w:val="bottom"/>
          </w:tcPr>
          <w:p>
            <w:pPr>
              <w:pStyle w:val="TableContents"/>
              <w:spacing w:before="0" w:after="283"/>
              <w:rPr>
                <w:sz w:val="4"/>
                <w:szCs w:val="4"/>
              </w:rPr>
            </w:pPr>
            <w:r>
              <w:rPr>
                <w:sz w:val="4"/>
                <w:szCs w:val="4"/>
              </w:rPr>
            </w:r>
          </w:p>
        </w:tc>
        <w:tc>
          <w:tcPr>
            <w:tcW w:w="2090" w:type="dxa"/>
            <w:tcBorders/>
            <w:shd w:fill="auto" w:val="clear"/>
            <w:vAlign w:val="center"/>
          </w:tcPr>
          <w:p>
            <w:pPr>
              <w:pStyle w:val="TableContents"/>
              <w:spacing w:before="0" w:after="283"/>
              <w:rPr>
                <w:sz w:val="4"/>
                <w:szCs w:val="4"/>
              </w:rPr>
            </w:pPr>
            <w:r>
              <w:rPr>
                <w:sz w:val="4"/>
                <w:szCs w:val="4"/>
              </w:rPr>
            </w:r>
          </w:p>
        </w:tc>
        <w:tc>
          <w:tcPr>
            <w:tcW w:w="125" w:type="dxa"/>
            <w:tcBorders/>
            <w:shd w:fill="auto" w:val="clear"/>
            <w:vAlign w:val="bottom"/>
          </w:tcPr>
          <w:p>
            <w:pPr>
              <w:pStyle w:val="TableContents"/>
              <w:spacing w:before="0" w:after="283"/>
              <w:rPr>
                <w:sz w:val="4"/>
                <w:szCs w:val="4"/>
              </w:rPr>
            </w:pPr>
            <w:r>
              <w:rPr>
                <w:sz w:val="4"/>
                <w:szCs w:val="4"/>
              </w:rPr>
            </w:r>
          </w:p>
        </w:tc>
        <w:tc>
          <w:tcPr>
            <w:tcW w:w="1617" w:type="dxa"/>
            <w:tcBorders/>
            <w:shd w:fill="auto" w:val="clear"/>
            <w:vAlign w:val="center"/>
          </w:tcPr>
          <w:p>
            <w:pPr>
              <w:pStyle w:val="TableContents"/>
              <w:spacing w:before="0" w:after="283"/>
              <w:rPr>
                <w:sz w:val="4"/>
                <w:szCs w:val="4"/>
              </w:rPr>
            </w:pPr>
            <w:r>
              <w:rPr>
                <w:sz w:val="4"/>
                <w:szCs w:val="4"/>
              </w:rPr>
            </w:r>
          </w:p>
        </w:tc>
        <w:tc>
          <w:tcPr>
            <w:tcW w:w="125" w:type="dxa"/>
            <w:tcBorders/>
            <w:shd w:fill="auto" w:val="clear"/>
            <w:vAlign w:val="bottom"/>
          </w:tcPr>
          <w:p>
            <w:pPr>
              <w:pStyle w:val="TableContents"/>
              <w:spacing w:before="0" w:after="283"/>
              <w:rPr>
                <w:sz w:val="4"/>
                <w:szCs w:val="4"/>
              </w:rPr>
            </w:pPr>
            <w:r>
              <w:rPr>
                <w:sz w:val="4"/>
                <w:szCs w:val="4"/>
              </w:rPr>
            </w:r>
          </w:p>
        </w:tc>
        <w:tc>
          <w:tcPr>
            <w:tcW w:w="1343" w:type="dxa"/>
            <w:tcBorders/>
            <w:shd w:fill="auto" w:val="clear"/>
            <w:vAlign w:val="center"/>
          </w:tcPr>
          <w:p>
            <w:pPr>
              <w:pStyle w:val="TableContents"/>
              <w:spacing w:before="0" w:after="283"/>
              <w:rPr>
                <w:sz w:val="4"/>
                <w:szCs w:val="4"/>
              </w:rPr>
            </w:pPr>
            <w:r>
              <w:rPr>
                <w:sz w:val="4"/>
                <w:szCs w:val="4"/>
              </w:rPr>
            </w:r>
          </w:p>
        </w:tc>
      </w:tr>
      <w:tr>
        <w:trPr/>
        <w:tc>
          <w:tcPr>
            <w:tcW w:w="2942" w:type="dxa"/>
            <w:tcBorders/>
            <w:shd w:fill="auto" w:val="clear"/>
            <w:vAlign w:val="bottom"/>
          </w:tcPr>
          <w:p>
            <w:pPr>
              <w:pStyle w:val="TableContents"/>
              <w:pBdr>
                <w:bottom w:val="single" w:sz="8" w:space="1" w:color="000000"/>
              </w:pBdr>
              <w:spacing w:before="0" w:after="0"/>
              <w:jc w:val="center"/>
              <w:rPr>
                <w:rFonts w:ascii="Times New Roman" w:hAnsi="Times New Roman"/>
                <w:sz w:val="16"/>
              </w:rPr>
            </w:pPr>
            <w:r>
              <w:rPr>
                <w:rFonts w:ascii="Times New Roman" w:hAnsi="Times New Roman"/>
                <w:sz w:val="16"/>
              </w:rPr>
              <w:t>Number and date of agreement</w:t>
            </w:r>
          </w:p>
        </w:tc>
        <w:tc>
          <w:tcPr>
            <w:tcW w:w="125" w:type="dxa"/>
            <w:tcBorders/>
            <w:shd w:fill="auto" w:val="clear"/>
            <w:vAlign w:val="bottom"/>
          </w:tcPr>
          <w:p>
            <w:pPr>
              <w:pStyle w:val="TableContents"/>
              <w:spacing w:before="0" w:after="283"/>
              <w:rPr/>
            </w:pPr>
            <w:r>
              <w:rPr/>
              <w:t>  </w:t>
            </w:r>
          </w:p>
        </w:tc>
        <w:tc>
          <w:tcPr>
            <w:tcW w:w="1713"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Creditor</w:t>
            </w:r>
          </w:p>
        </w:tc>
        <w:tc>
          <w:tcPr>
            <w:tcW w:w="125" w:type="dxa"/>
            <w:tcBorders/>
            <w:shd w:fill="auto" w:val="clear"/>
            <w:vAlign w:val="bottom"/>
          </w:tcPr>
          <w:p>
            <w:pPr>
              <w:pStyle w:val="TableContents"/>
              <w:spacing w:before="0" w:after="283"/>
              <w:rPr/>
            </w:pPr>
            <w:r>
              <w:rPr/>
              <w:t>  </w:t>
            </w:r>
          </w:p>
        </w:tc>
        <w:tc>
          <w:tcPr>
            <w:tcW w:w="2090"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Borrower</w:t>
            </w:r>
          </w:p>
        </w:tc>
        <w:tc>
          <w:tcPr>
            <w:tcW w:w="125" w:type="dxa"/>
            <w:tcBorders/>
            <w:shd w:fill="auto" w:val="clear"/>
            <w:vAlign w:val="bottom"/>
          </w:tcPr>
          <w:p>
            <w:pPr>
              <w:pStyle w:val="TableContents"/>
              <w:spacing w:before="0" w:after="283"/>
              <w:rPr/>
            </w:pPr>
            <w:r>
              <w:rPr/>
              <w:t>  </w:t>
            </w:r>
          </w:p>
        </w:tc>
        <w:tc>
          <w:tcPr>
            <w:tcW w:w="1617"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sz w:val="16"/>
              </w:rPr>
            </w:pPr>
            <w:r>
              <w:rPr>
                <w:rFonts w:ascii="Times New Roman" w:hAnsi="Times New Roman"/>
                <w:sz w:val="16"/>
              </w:rPr>
              <w:t>Loan amount</w:t>
            </w:r>
          </w:p>
        </w:tc>
        <w:tc>
          <w:tcPr>
            <w:tcW w:w="125" w:type="dxa"/>
            <w:tcBorders/>
            <w:shd w:fill="auto" w:val="clear"/>
            <w:vAlign w:val="bottom"/>
          </w:tcPr>
          <w:p>
            <w:pPr>
              <w:pStyle w:val="TableContents"/>
              <w:spacing w:before="0" w:after="283"/>
              <w:rPr/>
            </w:pPr>
            <w:r>
              <w:rPr/>
              <w:t>  </w:t>
            </w:r>
          </w:p>
        </w:tc>
        <w:tc>
          <w:tcPr>
            <w:tcW w:w="1343" w:type="dxa"/>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pPr>
            <w:r>
              <w:rPr/>
              <w:t>Loan end date</w:t>
            </w:r>
          </w:p>
        </w:tc>
      </w:tr>
      <w:tr>
        <w:trPr/>
        <w:tc>
          <w:tcPr>
            <w:tcW w:w="2942" w:type="dxa"/>
            <w:tcBorders/>
            <w:shd w:fill="auto" w:val="clear"/>
          </w:tcPr>
          <w:p>
            <w:pPr>
              <w:pStyle w:val="TableContents"/>
              <w:spacing w:before="0" w:after="283"/>
              <w:jc w:val="center"/>
              <w:rPr/>
            </w:pPr>
            <w:r>
              <w:rPr/>
              <w:t>Loan Agreement of November 25, 2014 and Supplementary Agreement No. 1 of November 19, 2015 to it</w:t>
            </w:r>
          </w:p>
        </w:tc>
        <w:tc>
          <w:tcPr>
            <w:tcW w:w="125" w:type="dxa"/>
            <w:tcBorders/>
            <w:shd w:fill="auto" w:val="clear"/>
            <w:vAlign w:val="bottom"/>
          </w:tcPr>
          <w:p>
            <w:pPr>
              <w:pStyle w:val="TableContents"/>
              <w:spacing w:before="0" w:after="283"/>
              <w:rPr/>
            </w:pPr>
            <w:r>
              <w:rPr/>
              <w:t>  </w:t>
            </w:r>
          </w:p>
        </w:tc>
        <w:tc>
          <w:tcPr>
            <w:tcW w:w="1713" w:type="dxa"/>
            <w:tcBorders/>
            <w:shd w:fill="auto" w:val="clear"/>
          </w:tcPr>
          <w:p>
            <w:pPr>
              <w:pStyle w:val="TableContents"/>
              <w:rPr/>
            </w:pPr>
            <w:r>
              <w:rPr/>
              <w:t>                </w:t>
            </w:r>
            <w:r>
              <w:rPr/>
              <w:t>LLC</w:t>
            </w:r>
          </w:p>
          <w:p>
            <w:pPr>
              <w:pStyle w:val="TableContents"/>
              <w:spacing w:before="0" w:after="20"/>
              <w:rPr/>
            </w:pPr>
            <w:r>
              <w:rPr/>
              <w:t>“</w:t>
            </w:r>
            <w:r>
              <w:rPr>
                <w:rFonts w:ascii="Times New Roman" w:hAnsi="Times New Roman"/>
                <w:sz w:val="20"/>
              </w:rPr>
              <w:t>HEADHUNTER.KZ”</w:t>
            </w:r>
          </w:p>
        </w:tc>
        <w:tc>
          <w:tcPr>
            <w:tcW w:w="125" w:type="dxa"/>
            <w:tcBorders/>
            <w:shd w:fill="auto" w:val="clear"/>
            <w:vAlign w:val="bottom"/>
          </w:tcPr>
          <w:p>
            <w:pPr>
              <w:pStyle w:val="TableContents"/>
              <w:spacing w:before="0" w:after="283"/>
              <w:rPr/>
            </w:pPr>
            <w:r>
              <w:rPr/>
              <w:t>  </w:t>
            </w:r>
          </w:p>
        </w:tc>
        <w:tc>
          <w:tcPr>
            <w:tcW w:w="2090" w:type="dxa"/>
            <w:tcBorders/>
            <w:shd w:fill="auto" w:val="clear"/>
          </w:tcPr>
          <w:p>
            <w:pPr>
              <w:pStyle w:val="TableContents"/>
              <w:spacing w:before="0" w:after="283"/>
              <w:rPr/>
            </w:pPr>
            <w:r>
              <w:rPr/>
              <w:t>Krasavsky A.V.</w:t>
            </w:r>
          </w:p>
        </w:tc>
        <w:tc>
          <w:tcPr>
            <w:tcW w:w="125"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rPr/>
            </w:pPr>
            <w:r>
              <w:rPr/>
              <w:t>KZT 89 798 000</w:t>
            </w:r>
          </w:p>
        </w:tc>
        <w:tc>
          <w:tcPr>
            <w:tcW w:w="125" w:type="dxa"/>
            <w:tcBorders/>
            <w:shd w:fill="auto" w:val="clear"/>
            <w:vAlign w:val="bottom"/>
          </w:tcPr>
          <w:p>
            <w:pPr>
              <w:pStyle w:val="TableContents"/>
              <w:spacing w:before="0" w:after="283"/>
              <w:rPr/>
            </w:pPr>
            <w:r>
              <w:rPr/>
              <w:t>  </w:t>
            </w:r>
          </w:p>
        </w:tc>
        <w:tc>
          <w:tcPr>
            <w:tcW w:w="1343" w:type="dxa"/>
            <w:tcBorders/>
            <w:shd w:fill="auto" w:val="clear"/>
          </w:tcPr>
          <w:p>
            <w:pPr>
              <w:pStyle w:val="TableContents"/>
              <w:spacing w:before="0" w:after="283"/>
              <w:rPr/>
            </w:pPr>
            <w:r>
              <w:rPr/>
              <w:t>19.11.2016</w:t>
            </w:r>
          </w:p>
        </w:tc>
      </w:tr>
      <w:tr>
        <w:trPr/>
        <w:tc>
          <w:tcPr>
            <w:tcW w:w="2942"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Loan agreement dated</w:t>
            </w:r>
          </w:p>
          <w:p>
            <w:pPr>
              <w:pStyle w:val="TableContents"/>
              <w:spacing w:before="0" w:after="20"/>
              <w:jc w:val="center"/>
              <w:rPr>
                <w:rFonts w:ascii="Times New Roman" w:hAnsi="Times New Roman"/>
                <w:sz w:val="20"/>
              </w:rPr>
            </w:pPr>
            <w:r>
              <w:rPr>
                <w:rFonts w:ascii="Times New Roman" w:hAnsi="Times New Roman"/>
                <w:sz w:val="20"/>
              </w:rPr>
              <w:t>26.01.2016</w:t>
            </w:r>
          </w:p>
        </w:tc>
        <w:tc>
          <w:tcPr>
            <w:tcW w:w="125" w:type="dxa"/>
            <w:tcBorders/>
            <w:shd w:fill="auto" w:val="clear"/>
            <w:vAlign w:val="bottom"/>
          </w:tcPr>
          <w:p>
            <w:pPr>
              <w:pStyle w:val="TableContents"/>
              <w:spacing w:before="0" w:after="283"/>
              <w:rPr/>
            </w:pPr>
            <w:r>
              <w:rPr/>
              <w:t>  </w:t>
            </w:r>
          </w:p>
        </w:tc>
        <w:tc>
          <w:tcPr>
            <w:tcW w:w="1713" w:type="dxa"/>
            <w:tcBorders/>
            <w:shd w:fill="auto" w:val="clear"/>
          </w:tcPr>
          <w:p>
            <w:pPr>
              <w:pStyle w:val="TableContents"/>
              <w:spacing w:before="0" w:after="283"/>
              <w:rPr/>
            </w:pPr>
            <w:r>
              <w:rPr/>
              <w:t>CV Keskus OÜ</w:t>
            </w:r>
          </w:p>
        </w:tc>
        <w:tc>
          <w:tcPr>
            <w:tcW w:w="125" w:type="dxa"/>
            <w:tcBorders/>
            <w:shd w:fill="auto" w:val="clear"/>
            <w:vAlign w:val="bottom"/>
          </w:tcPr>
          <w:p>
            <w:pPr>
              <w:pStyle w:val="TableContents"/>
              <w:spacing w:before="0" w:after="283"/>
              <w:rPr/>
            </w:pPr>
            <w:r>
              <w:rPr/>
              <w:t>  </w:t>
            </w:r>
          </w:p>
        </w:tc>
        <w:tc>
          <w:tcPr>
            <w:tcW w:w="2090" w:type="dxa"/>
            <w:tcBorders/>
            <w:shd w:fill="auto" w:val="clear"/>
          </w:tcPr>
          <w:p>
            <w:pPr>
              <w:pStyle w:val="TableContents"/>
              <w:spacing w:before="0" w:after="283"/>
              <w:rPr/>
            </w:pPr>
            <w:r>
              <w:rPr/>
              <w:t>Taavo Kuusiku</w:t>
            </w:r>
          </w:p>
        </w:tc>
        <w:tc>
          <w:tcPr>
            <w:tcW w:w="125"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rPr/>
            </w:pPr>
            <w:r>
              <w:rPr/>
              <w:t>EUR 15 000</w:t>
            </w:r>
          </w:p>
        </w:tc>
        <w:tc>
          <w:tcPr>
            <w:tcW w:w="125" w:type="dxa"/>
            <w:tcBorders/>
            <w:shd w:fill="auto" w:val="clear"/>
            <w:vAlign w:val="bottom"/>
          </w:tcPr>
          <w:p>
            <w:pPr>
              <w:pStyle w:val="TableContents"/>
              <w:spacing w:before="0" w:after="283"/>
              <w:rPr/>
            </w:pPr>
            <w:r>
              <w:rPr/>
              <w:t>  </w:t>
            </w:r>
          </w:p>
        </w:tc>
        <w:tc>
          <w:tcPr>
            <w:tcW w:w="1343" w:type="dxa"/>
            <w:tcBorders/>
            <w:shd w:fill="auto" w:val="clear"/>
          </w:tcPr>
          <w:p>
            <w:pPr>
              <w:pStyle w:val="TableContents"/>
              <w:spacing w:before="0" w:after="283"/>
              <w:rPr/>
            </w:pPr>
            <w:r>
              <w:rPr/>
              <w:t>10.02.2018</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ANNEX 12 </w:t>
      </w:r>
    </w:p>
    <w:p>
      <w:pPr>
        <w:pStyle w:val="TextBody"/>
        <w:spacing w:before="240" w:after="0"/>
        <w:jc w:val="center"/>
        <w:rPr>
          <w:rFonts w:ascii="Times New Roman" w:hAnsi="Times New Roman"/>
          <w:sz w:val="20"/>
        </w:rPr>
      </w:pPr>
      <w:r>
        <w:rPr>
          <w:rFonts w:ascii="Times New Roman" w:hAnsi="Times New Roman"/>
          <w:sz w:val="20"/>
        </w:rPr>
        <w:t xml:space="preserve">LIST OF RUSSIAN BANKS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w:t>
            </w:r>
          </w:p>
        </w:tc>
        <w:tc>
          <w:tcPr>
            <w:tcW w:w="9695" w:type="dxa"/>
            <w:tcBorders/>
            <w:shd w:fill="auto" w:val="clear"/>
          </w:tcPr>
          <w:p>
            <w:pPr>
              <w:pStyle w:val="TableContents"/>
              <w:spacing w:before="0" w:after="283"/>
              <w:jc w:val="left"/>
              <w:rPr/>
            </w:pPr>
            <w:r>
              <w:rPr/>
              <w:t xml:space="preserve">Sberbank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2.</w:t>
            </w:r>
          </w:p>
        </w:tc>
        <w:tc>
          <w:tcPr>
            <w:tcW w:w="9697" w:type="dxa"/>
            <w:tcBorders/>
            <w:shd w:fill="auto" w:val="clear"/>
          </w:tcPr>
          <w:p>
            <w:pPr>
              <w:pStyle w:val="TableContents"/>
              <w:spacing w:before="0" w:after="283"/>
              <w:jc w:val="left"/>
              <w:rPr/>
            </w:pPr>
            <w:r>
              <w:rPr/>
              <w:t xml:space="preserve">VTB Bank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w:t>
            </w:r>
          </w:p>
        </w:tc>
        <w:tc>
          <w:tcPr>
            <w:tcW w:w="9695" w:type="dxa"/>
            <w:tcBorders/>
            <w:shd w:fill="auto" w:val="clear"/>
          </w:tcPr>
          <w:p>
            <w:pPr>
              <w:pStyle w:val="TableContents"/>
              <w:spacing w:before="0" w:after="283"/>
              <w:jc w:val="left"/>
              <w:rPr/>
            </w:pPr>
            <w:r>
              <w:rPr/>
              <w:t xml:space="preserve">Gazprombank (Joint Stock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w:t>
            </w:r>
          </w:p>
        </w:tc>
        <w:tc>
          <w:tcPr>
            <w:tcW w:w="9695" w:type="dxa"/>
            <w:tcBorders/>
            <w:shd w:fill="auto" w:val="clear"/>
          </w:tcPr>
          <w:p>
            <w:pPr>
              <w:pStyle w:val="TableContents"/>
              <w:spacing w:before="0" w:after="283"/>
              <w:jc w:val="left"/>
              <w:rPr/>
            </w:pPr>
            <w:r>
              <w:rPr/>
              <w:t xml:space="preserve">Bank “Financial Corporation “Otkrytiye”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5.</w:t>
            </w:r>
          </w:p>
        </w:tc>
        <w:tc>
          <w:tcPr>
            <w:tcW w:w="9697" w:type="dxa"/>
            <w:tcBorders/>
            <w:shd w:fill="auto" w:val="clear"/>
          </w:tcPr>
          <w:p>
            <w:pPr>
              <w:pStyle w:val="TableContents"/>
              <w:spacing w:before="0" w:after="283"/>
              <w:jc w:val="left"/>
              <w:rPr/>
            </w:pPr>
            <w:r>
              <w:rPr/>
              <w:t xml:space="preserve">VTB 24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6.</w:t>
            </w:r>
          </w:p>
        </w:tc>
        <w:tc>
          <w:tcPr>
            <w:tcW w:w="9697" w:type="dxa"/>
            <w:tcBorders/>
            <w:shd w:fill="auto" w:val="clear"/>
          </w:tcPr>
          <w:p>
            <w:pPr>
              <w:pStyle w:val="TableContents"/>
              <w:spacing w:before="0" w:after="283"/>
              <w:jc w:val="left"/>
              <w:rPr/>
            </w:pPr>
            <w:r>
              <w:rPr/>
              <w:t xml:space="preserve">Bank of Moscow JSCB (OJSC)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7.</w:t>
            </w:r>
          </w:p>
        </w:tc>
        <w:tc>
          <w:tcPr>
            <w:tcW w:w="9695" w:type="dxa"/>
            <w:tcBorders/>
            <w:shd w:fill="auto" w:val="clear"/>
          </w:tcPr>
          <w:p>
            <w:pPr>
              <w:pStyle w:val="TableContents"/>
              <w:spacing w:before="0" w:after="283"/>
              <w:jc w:val="left"/>
              <w:rPr/>
            </w:pPr>
            <w:r>
              <w:rPr/>
              <w:t xml:space="preserve">UniCredit Bank 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8.</w:t>
            </w:r>
          </w:p>
        </w:tc>
        <w:tc>
          <w:tcPr>
            <w:tcW w:w="9695" w:type="dxa"/>
            <w:tcBorders/>
            <w:shd w:fill="auto" w:val="clear"/>
          </w:tcPr>
          <w:p>
            <w:pPr>
              <w:pStyle w:val="TableContents"/>
              <w:spacing w:before="0" w:after="283"/>
              <w:jc w:val="left"/>
              <w:rPr/>
            </w:pPr>
            <w:r>
              <w:rPr/>
              <w:t>“</w:t>
            </w:r>
            <w:r>
              <w:rPr/>
              <w:t xml:space="preserve">Moscow Credit Bank” OJSC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9.</w:t>
            </w:r>
          </w:p>
        </w:tc>
        <w:tc>
          <w:tcPr>
            <w:tcW w:w="9695" w:type="dxa"/>
            <w:tcBorders/>
            <w:shd w:fill="auto" w:val="clear"/>
          </w:tcPr>
          <w:p>
            <w:pPr>
              <w:pStyle w:val="TableContents"/>
              <w:spacing w:before="0" w:after="283"/>
              <w:jc w:val="left"/>
              <w:rPr/>
            </w:pPr>
            <w:r>
              <w:rPr/>
              <w:t>“</w:t>
            </w:r>
            <w:r>
              <w:rPr/>
              <w:t xml:space="preserve">Promsvyazbank”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10.</w:t>
            </w:r>
          </w:p>
        </w:tc>
        <w:tc>
          <w:tcPr>
            <w:tcW w:w="9695" w:type="dxa"/>
            <w:tcBorders/>
            <w:shd w:fill="auto" w:val="clear"/>
          </w:tcPr>
          <w:p>
            <w:pPr>
              <w:pStyle w:val="TableContents"/>
              <w:spacing w:before="0" w:after="283"/>
              <w:jc w:val="left"/>
              <w:rPr/>
            </w:pPr>
            <w:r>
              <w:rPr/>
              <w:t xml:space="preserve">Raiffeisenbank 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11.</w:t>
            </w:r>
          </w:p>
        </w:tc>
        <w:tc>
          <w:tcPr>
            <w:tcW w:w="9694" w:type="dxa"/>
            <w:tcBorders/>
            <w:shd w:fill="auto" w:val="clear"/>
          </w:tcPr>
          <w:p>
            <w:pPr>
              <w:pStyle w:val="TableContents"/>
              <w:spacing w:before="0" w:after="283"/>
              <w:jc w:val="left"/>
              <w:rPr/>
            </w:pPr>
            <w:r>
              <w:rPr/>
              <w:t>“</w:t>
            </w:r>
            <w:r>
              <w:rPr/>
              <w:t xml:space="preserve">Rosbank”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12.</w:t>
            </w:r>
          </w:p>
        </w:tc>
        <w:tc>
          <w:tcPr>
            <w:tcW w:w="9694" w:type="dxa"/>
            <w:tcBorders/>
            <w:shd w:fill="auto" w:val="clear"/>
          </w:tcPr>
          <w:p>
            <w:pPr>
              <w:pStyle w:val="TableContents"/>
              <w:spacing w:before="0" w:after="283"/>
              <w:jc w:val="left"/>
              <w:rPr/>
            </w:pPr>
            <w:r>
              <w:rPr/>
              <w:t>“</w:t>
            </w:r>
            <w:r>
              <w:rPr/>
              <w:t xml:space="preserve">Binbank”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13.</w:t>
            </w:r>
          </w:p>
        </w:tc>
        <w:tc>
          <w:tcPr>
            <w:tcW w:w="9695" w:type="dxa"/>
            <w:tcBorders/>
            <w:shd w:fill="auto" w:val="clear"/>
          </w:tcPr>
          <w:p>
            <w:pPr>
              <w:pStyle w:val="TableContents"/>
              <w:spacing w:before="0" w:after="283"/>
              <w:jc w:val="left"/>
              <w:rPr/>
            </w:pPr>
            <w:r>
              <w:rPr/>
              <w:t>“</w:t>
            </w:r>
            <w:r>
              <w:rPr/>
              <w:t xml:space="preserve">Bank” Saint-Petersburg”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14.</w:t>
            </w:r>
          </w:p>
        </w:tc>
        <w:tc>
          <w:tcPr>
            <w:tcW w:w="9696" w:type="dxa"/>
            <w:tcBorders/>
            <w:shd w:fill="auto" w:val="clear"/>
          </w:tcPr>
          <w:p>
            <w:pPr>
              <w:pStyle w:val="TableContents"/>
              <w:spacing w:before="0" w:after="283"/>
              <w:jc w:val="left"/>
              <w:rPr/>
            </w:pPr>
            <w:r>
              <w:rPr/>
              <w:t xml:space="preserve">Khanty-Mansiysk Bank “Otkrytiye”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15.</w:t>
            </w:r>
          </w:p>
        </w:tc>
        <w:tc>
          <w:tcPr>
            <w:tcW w:w="9695" w:type="dxa"/>
            <w:tcBorders/>
            <w:shd w:fill="auto" w:val="clear"/>
          </w:tcPr>
          <w:p>
            <w:pPr>
              <w:pStyle w:val="TableContents"/>
              <w:spacing w:before="0" w:after="283"/>
              <w:jc w:val="left"/>
              <w:rPr/>
            </w:pPr>
            <w:r>
              <w:rPr/>
              <w:t xml:space="preserve">Sovcombank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16.</w:t>
            </w:r>
          </w:p>
        </w:tc>
        <w:tc>
          <w:tcPr>
            <w:tcW w:w="9694" w:type="dxa"/>
            <w:tcBorders/>
            <w:shd w:fill="auto" w:val="clear"/>
          </w:tcPr>
          <w:p>
            <w:pPr>
              <w:pStyle w:val="TableContents"/>
              <w:spacing w:before="0" w:after="283"/>
              <w:jc w:val="left"/>
              <w:rPr/>
            </w:pPr>
            <w:r>
              <w:rPr/>
              <w:t xml:space="preserve">AK Bars JSCB (PJSC)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17.</w:t>
            </w:r>
          </w:p>
        </w:tc>
        <w:tc>
          <w:tcPr>
            <w:tcW w:w="9696" w:type="dxa"/>
            <w:tcBorders/>
            <w:shd w:fill="auto" w:val="clear"/>
          </w:tcPr>
          <w:p>
            <w:pPr>
              <w:pStyle w:val="TableContents"/>
              <w:spacing w:before="0" w:after="283"/>
              <w:jc w:val="left"/>
              <w:rPr/>
            </w:pPr>
            <w:r>
              <w:rPr/>
              <w:t xml:space="preserve">City bank JSC CB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w:t>
            </w:r>
          </w:p>
        </w:tc>
        <w:tc>
          <w:tcPr>
            <w:tcW w:w="9695" w:type="dxa"/>
            <w:tcBorders/>
            <w:shd w:fill="auto" w:val="clear"/>
          </w:tcPr>
          <w:p>
            <w:pPr>
              <w:pStyle w:val="TableContents"/>
              <w:spacing w:before="0" w:after="283"/>
              <w:jc w:val="left"/>
              <w:rPr/>
            </w:pPr>
            <w:r>
              <w:rPr/>
              <w:t xml:space="preserve">Nordea Bank JSC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SIGNATURES OF THE PARTIES </w:t>
      </w:r>
    </w:p>
    <w:p>
      <w:pPr>
        <w:pStyle w:val="TextBody"/>
        <w:spacing w:before="240" w:after="0"/>
        <w:rPr>
          <w:rFonts w:ascii="Times New Roman" w:hAnsi="Times New Roman"/>
          <w:sz w:val="20"/>
        </w:rPr>
      </w:pPr>
      <w:r>
        <w:rPr>
          <w:rFonts w:ascii="Times New Roman" w:hAnsi="Times New Roman"/>
          <w:sz w:val="20"/>
        </w:rPr>
        <w:t xml:space="preserve">The Borrower </w:t>
      </w:r>
    </w:p>
    <w:p>
      <w:pPr>
        <w:pStyle w:val="TextBody"/>
        <w:spacing w:before="240" w:after="0"/>
        <w:rPr>
          <w:rFonts w:ascii="Times New Roman" w:hAnsi="Times New Roman"/>
          <w:sz w:val="20"/>
        </w:rPr>
      </w:pPr>
      <w:r>
        <w:rPr>
          <w:rFonts w:ascii="Times New Roman" w:hAnsi="Times New Roman"/>
          <w:sz w:val="20"/>
        </w:rPr>
        <w:t xml:space="preserve">LIMITED LIABILITY COMPANY “ZEMENIK” </w:t>
      </w:r>
    </w:p>
    <w:p>
      <w:pPr>
        <w:pStyle w:val="TextBody"/>
        <w:spacing w:before="240" w:after="0"/>
        <w:rPr>
          <w:rFonts w:ascii="Times New Roman" w:hAnsi="Times New Roman"/>
          <w:sz w:val="20"/>
        </w:rPr>
      </w:pPr>
      <w:r>
        <w:rPr>
          <w:rFonts w:ascii="Times New Roman" w:hAnsi="Times New Roman"/>
          <w:sz w:val="20"/>
        </w:rPr>
        <w:t xml:space="preserve">Signature: </w:t>
      </w:r>
    </w:p>
    <w:p>
      <w:pPr>
        <w:pStyle w:val="TextBody"/>
        <w:spacing w:before="240" w:after="0"/>
        <w:rPr>
          <w:rFonts w:ascii="Times New Roman" w:hAnsi="Times New Roman"/>
          <w:sz w:val="20"/>
        </w:rPr>
      </w:pPr>
      <w:r>
        <w:rPr>
          <w:rFonts w:ascii="Times New Roman" w:hAnsi="Times New Roman"/>
          <w:sz w:val="20"/>
        </w:rPr>
        <w:t xml:space="preserve">Full name: Agayan Karen Eduardovich </w:t>
      </w:r>
    </w:p>
    <w:p>
      <w:pPr>
        <w:pStyle w:val="TextBody"/>
        <w:spacing w:before="240" w:after="0"/>
        <w:rPr>
          <w:rFonts w:ascii="Times New Roman" w:hAnsi="Times New Roman"/>
          <w:sz w:val="20"/>
        </w:rPr>
      </w:pPr>
      <w:r>
        <w:rPr>
          <w:rFonts w:ascii="Times New Roman" w:hAnsi="Times New Roman"/>
          <w:sz w:val="20"/>
        </w:rPr>
        <w:t xml:space="preserve">Position: Director General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Manager </w:t>
      </w:r>
    </w:p>
    <w:p>
      <w:pPr>
        <w:pStyle w:val="TextBody"/>
        <w:spacing w:before="240" w:after="0"/>
        <w:rPr>
          <w:rFonts w:ascii="Times New Roman" w:hAnsi="Times New Roman"/>
          <w:sz w:val="20"/>
        </w:rPr>
      </w:pPr>
      <w:r>
        <w:rPr>
          <w:rFonts w:ascii="Times New Roman" w:hAnsi="Times New Roman"/>
          <w:sz w:val="20"/>
        </w:rPr>
        <w:t xml:space="preserve">VTB BANK (PUBLIC JOINT STOCK COMPANY) </w:t>
      </w:r>
    </w:p>
    <w:p>
      <w:pPr>
        <w:pStyle w:val="TextBody"/>
        <w:spacing w:before="240" w:after="0"/>
        <w:rPr>
          <w:rFonts w:ascii="Times New Roman" w:hAnsi="Times New Roman"/>
          <w:sz w:val="20"/>
        </w:rPr>
      </w:pPr>
      <w:r>
        <w:rPr>
          <w:rFonts w:ascii="Times New Roman" w:hAnsi="Times New Roman"/>
          <w:sz w:val="20"/>
        </w:rPr>
        <w:t xml:space="preserve">Signature: </w:t>
      </w:r>
    </w:p>
    <w:p>
      <w:pPr>
        <w:pStyle w:val="TextBody"/>
        <w:spacing w:before="240" w:after="0"/>
        <w:rPr>
          <w:rFonts w:ascii="Times New Roman" w:hAnsi="Times New Roman"/>
          <w:sz w:val="20"/>
        </w:rPr>
      </w:pPr>
      <w:r>
        <w:rPr>
          <w:rFonts w:ascii="Times New Roman" w:hAnsi="Times New Roman"/>
          <w:sz w:val="20"/>
        </w:rPr>
        <w:t xml:space="preserve">Full name: Buzovera Vitaly Nikolaevich </w:t>
      </w:r>
    </w:p>
    <w:p>
      <w:pPr>
        <w:pStyle w:val="TextBody"/>
        <w:spacing w:before="240" w:after="0"/>
        <w:rPr>
          <w:rFonts w:ascii="Times New Roman" w:hAnsi="Times New Roman"/>
          <w:sz w:val="20"/>
        </w:rPr>
      </w:pPr>
      <w:r>
        <w:rPr>
          <w:rFonts w:ascii="Times New Roman" w:hAnsi="Times New Roman"/>
          <w:sz w:val="20"/>
        </w:rPr>
        <w:t xml:space="preserve">Position: Representative by proxy </w:t>
      </w:r>
    </w:p>
    <w:p>
      <w:pPr>
        <w:pStyle w:val="TextBody"/>
        <w:spacing w:before="240" w:after="0"/>
        <w:rPr>
          <w:rFonts w:ascii="Times New Roman" w:hAnsi="Times New Roman"/>
          <w:sz w:val="20"/>
        </w:rPr>
      </w:pPr>
      <w:r>
        <w:rPr>
          <w:rFonts w:ascii="Times New Roman" w:hAnsi="Times New Roman"/>
          <w:sz w:val="20"/>
        </w:rPr>
        <w:t xml:space="preserve">The Credit Agent </w:t>
      </w:r>
    </w:p>
    <w:p>
      <w:pPr>
        <w:pStyle w:val="TextBody"/>
        <w:spacing w:before="240" w:after="0"/>
        <w:rPr>
          <w:rFonts w:ascii="Times New Roman" w:hAnsi="Times New Roman"/>
          <w:sz w:val="20"/>
        </w:rPr>
      </w:pPr>
      <w:r>
        <w:rPr>
          <w:rFonts w:ascii="Times New Roman" w:hAnsi="Times New Roman"/>
          <w:sz w:val="20"/>
        </w:rPr>
        <w:t xml:space="preserve">VTB BANK (PUBLIC JOINT STOCK COMPANY) </w:t>
      </w:r>
    </w:p>
    <w:p>
      <w:pPr>
        <w:pStyle w:val="TextBody"/>
        <w:spacing w:before="240" w:after="0"/>
        <w:rPr>
          <w:rFonts w:ascii="Times New Roman" w:hAnsi="Times New Roman"/>
          <w:sz w:val="20"/>
        </w:rPr>
      </w:pPr>
      <w:r>
        <w:rPr>
          <w:rFonts w:ascii="Times New Roman" w:hAnsi="Times New Roman"/>
          <w:sz w:val="20"/>
        </w:rPr>
        <w:t xml:space="preserve">Signature: </w:t>
      </w:r>
    </w:p>
    <w:p>
      <w:pPr>
        <w:pStyle w:val="TextBody"/>
        <w:spacing w:before="240" w:after="0"/>
        <w:rPr>
          <w:rFonts w:ascii="Times New Roman" w:hAnsi="Times New Roman"/>
          <w:sz w:val="20"/>
        </w:rPr>
      </w:pPr>
      <w:r>
        <w:rPr>
          <w:rFonts w:ascii="Times New Roman" w:hAnsi="Times New Roman"/>
          <w:sz w:val="20"/>
        </w:rPr>
        <w:t xml:space="preserve">Full name: Buzovera Vitaly Nikolaevich </w:t>
      </w:r>
    </w:p>
    <w:p>
      <w:pPr>
        <w:pStyle w:val="TextBody"/>
        <w:spacing w:before="240" w:after="0"/>
        <w:rPr>
          <w:rFonts w:ascii="Times New Roman" w:hAnsi="Times New Roman"/>
          <w:sz w:val="20"/>
        </w:rPr>
      </w:pPr>
      <w:r>
        <w:rPr>
          <w:rFonts w:ascii="Times New Roman" w:hAnsi="Times New Roman"/>
          <w:sz w:val="20"/>
        </w:rPr>
        <w:t xml:space="preserve">Position: Representative by proxy </w:t>
      </w:r>
    </w:p>
    <w:p>
      <w:pPr>
        <w:pStyle w:val="TextBody"/>
        <w:spacing w:before="240" w:after="0"/>
        <w:rPr>
          <w:rFonts w:ascii="Times New Roman" w:hAnsi="Times New Roman"/>
          <w:sz w:val="20"/>
        </w:rPr>
      </w:pPr>
      <w:r>
        <w:rPr>
          <w:rFonts w:ascii="Times New Roman" w:hAnsi="Times New Roman"/>
          <w:sz w:val="20"/>
        </w:rPr>
        <w:t xml:space="preserve">The Original Creditor </w:t>
      </w:r>
    </w:p>
    <w:p>
      <w:pPr>
        <w:pStyle w:val="TextBody"/>
        <w:spacing w:before="240" w:after="0"/>
        <w:rPr>
          <w:rFonts w:ascii="Times New Roman" w:hAnsi="Times New Roman"/>
          <w:sz w:val="20"/>
        </w:rPr>
      </w:pPr>
      <w:r>
        <w:rPr>
          <w:rFonts w:ascii="Times New Roman" w:hAnsi="Times New Roman"/>
          <w:sz w:val="20"/>
        </w:rPr>
        <w:t xml:space="preserve">VTB BANK (PUBLIC JOINT STOCK COMPANY) </w:t>
      </w:r>
    </w:p>
    <w:p>
      <w:pPr>
        <w:pStyle w:val="TextBody"/>
        <w:spacing w:before="240" w:after="0"/>
        <w:rPr>
          <w:rFonts w:ascii="Times New Roman" w:hAnsi="Times New Roman"/>
          <w:sz w:val="20"/>
        </w:rPr>
      </w:pPr>
      <w:r>
        <w:rPr>
          <w:rFonts w:ascii="Times New Roman" w:hAnsi="Times New Roman"/>
          <w:sz w:val="20"/>
        </w:rPr>
        <w:t xml:space="preserve">Signature: </w:t>
      </w:r>
    </w:p>
    <w:p>
      <w:pPr>
        <w:pStyle w:val="TextBody"/>
        <w:spacing w:before="240" w:after="0"/>
        <w:rPr>
          <w:rFonts w:ascii="Times New Roman" w:hAnsi="Times New Roman"/>
          <w:sz w:val="20"/>
        </w:rPr>
      </w:pPr>
      <w:r>
        <w:rPr>
          <w:rFonts w:ascii="Times New Roman" w:hAnsi="Times New Roman"/>
          <w:sz w:val="20"/>
        </w:rPr>
        <w:t xml:space="preserve">Full name: Buzovera Vitaly Nikolaevich </w:t>
      </w:r>
    </w:p>
    <w:p>
      <w:pPr>
        <w:pStyle w:val="TextBody"/>
        <w:spacing w:before="240" w:after="0"/>
        <w:rPr>
          <w:rFonts w:ascii="Times New Roman" w:hAnsi="Times New Roman"/>
          <w:sz w:val="20"/>
        </w:rPr>
      </w:pPr>
      <w:r>
        <w:rPr>
          <w:rFonts w:ascii="Times New Roman" w:hAnsi="Times New Roman"/>
          <w:sz w:val="20"/>
        </w:rPr>
        <w:t xml:space="preserve">Position: Representative by proxy </w:t>
      </w:r>
      <w:r>
        <w:br w:type="page"/>
      </w:r>
    </w:p>
    <w:p>
      <w:pPr>
        <w:pStyle w:val="HorizontalLine"/>
        <w:pBdr>
          <w:bottom w:val="double" w:sz="6" w:space="0" w:color="808080"/>
        </w:pBdr>
        <w:rPr/>
      </w:pPr>
      <w:r>
        <w:rPr/>
      </w:r>
    </w:p>
    <w:p>
      <w:pPr>
        <w:pStyle w:val="TextBody"/>
        <w:spacing w:before="0" w:after="0"/>
        <w:jc w:val="right"/>
        <w:rPr>
          <w:rFonts w:ascii="Times New Roman" w:hAnsi="Times New Roman"/>
          <w:b/>
          <w:sz w:val="20"/>
        </w:rPr>
      </w:pPr>
      <w:r>
        <w:rPr>
          <w:rFonts w:ascii="Times New Roman" w:hAnsi="Times New Roman"/>
          <w:b/>
          <w:sz w:val="20"/>
        </w:rPr>
        <w:t xml:space="preserve">Exhibit 10.4 </w:t>
      </w:r>
    </w:p>
    <w:p>
      <w:pPr>
        <w:pStyle w:val="TextBody"/>
        <w:spacing w:before="240" w:after="0"/>
        <w:jc w:val="right"/>
        <w:rPr>
          <w:rFonts w:ascii="Times New Roman" w:hAnsi="Times New Roman"/>
          <w:b/>
          <w:sz w:val="20"/>
        </w:rPr>
      </w:pPr>
      <w:r>
        <w:rPr>
          <w:rFonts w:ascii="Times New Roman" w:hAnsi="Times New Roman"/>
          <w:b/>
          <w:sz w:val="20"/>
        </w:rPr>
        <w:t xml:space="preserve">EXECUTION VERSION </w:t>
      </w:r>
    </w:p>
    <w:p>
      <w:pPr>
        <w:pStyle w:val="TextBody"/>
        <w:spacing w:before="240" w:after="0"/>
        <w:jc w:val="center"/>
        <w:rPr>
          <w:rFonts w:ascii="Times New Roman" w:hAnsi="Times New Roman"/>
          <w:b/>
          <w:sz w:val="20"/>
        </w:rPr>
      </w:pPr>
      <w:r>
        <w:rPr>
          <w:rFonts w:ascii="Times New Roman" w:hAnsi="Times New Roman"/>
          <w:b/>
          <w:sz w:val="20"/>
        </w:rPr>
        <w:t xml:space="preserve">December 29, 2017 </w:t>
      </w:r>
    </w:p>
    <w:p>
      <w:pPr>
        <w:pStyle w:val="TextBody"/>
        <w:spacing w:before="24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0" w:after="0"/>
        <w:jc w:val="center"/>
        <w:rPr>
          <w:rFonts w:ascii="Times New Roman" w:hAnsi="Times New Roman"/>
          <w:sz w:val="20"/>
        </w:rPr>
      </w:pPr>
      <w:r>
        <w:rPr>
          <w:rFonts w:ascii="Times New Roman" w:hAnsi="Times New Roman"/>
          <w:sz w:val="20"/>
        </w:rPr>
        <w:t xml:space="preserve">as the Borrower </w:t>
      </w:r>
    </w:p>
    <w:p>
      <w:pPr>
        <w:pStyle w:val="TextBody"/>
        <w:spacing w:before="240" w:after="0"/>
        <w:jc w:val="center"/>
        <w:rPr>
          <w:rFonts w:ascii="Times New Roman" w:hAnsi="Times New Roman"/>
          <w:b/>
          <w:sz w:val="20"/>
        </w:rPr>
      </w:pPr>
      <w:r>
        <w:rPr>
          <w:rFonts w:ascii="Times New Roman" w:hAnsi="Times New Roman"/>
          <w:b/>
          <w:sz w:val="20"/>
        </w:rPr>
        <w:t xml:space="preserve">VTB BANK (PUBLIC JOINT-STOCK COMPANY) </w:t>
      </w:r>
    </w:p>
    <w:p>
      <w:pPr>
        <w:pStyle w:val="TextBody"/>
        <w:spacing w:before="0" w:after="0"/>
        <w:jc w:val="center"/>
        <w:rPr>
          <w:rFonts w:ascii="Times New Roman" w:hAnsi="Times New Roman"/>
          <w:sz w:val="20"/>
        </w:rPr>
      </w:pPr>
      <w:r>
        <w:rPr>
          <w:rFonts w:ascii="Times New Roman" w:hAnsi="Times New Roman"/>
          <w:sz w:val="20"/>
        </w:rPr>
        <w:t xml:space="preserve">as the Arranger </w:t>
      </w:r>
    </w:p>
    <w:p>
      <w:pPr>
        <w:pStyle w:val="TextBody"/>
        <w:spacing w:before="240" w:after="0"/>
        <w:jc w:val="center"/>
        <w:rPr>
          <w:rFonts w:ascii="Times New Roman" w:hAnsi="Times New Roman"/>
          <w:b/>
          <w:sz w:val="20"/>
        </w:rPr>
      </w:pPr>
      <w:r>
        <w:rPr>
          <w:rFonts w:ascii="Times New Roman" w:hAnsi="Times New Roman"/>
          <w:b/>
          <w:sz w:val="20"/>
        </w:rPr>
        <w:t xml:space="preserve">VTB BANK (PUBLIC JOINT-STOCK COMPANY) </w:t>
      </w:r>
    </w:p>
    <w:p>
      <w:pPr>
        <w:pStyle w:val="TextBody"/>
        <w:spacing w:before="0" w:after="0"/>
        <w:jc w:val="center"/>
        <w:rPr>
          <w:rFonts w:ascii="Times New Roman" w:hAnsi="Times New Roman"/>
          <w:sz w:val="20"/>
        </w:rPr>
      </w:pPr>
      <w:r>
        <w:rPr>
          <w:rFonts w:ascii="Times New Roman" w:hAnsi="Times New Roman"/>
          <w:sz w:val="20"/>
        </w:rPr>
        <w:t xml:space="preserve">as the Facility Agent </w:t>
      </w:r>
    </w:p>
    <w:p>
      <w:pPr>
        <w:pStyle w:val="TextBody"/>
        <w:spacing w:before="240" w:after="0"/>
        <w:jc w:val="center"/>
        <w:rPr>
          <w:rFonts w:ascii="Times New Roman" w:hAnsi="Times New Roman"/>
          <w:b/>
          <w:sz w:val="20"/>
        </w:rPr>
      </w:pPr>
      <w:r>
        <w:rPr>
          <w:rFonts w:ascii="Times New Roman" w:hAnsi="Times New Roman"/>
          <w:b/>
          <w:sz w:val="20"/>
        </w:rPr>
        <w:t xml:space="preserve">VTB BANK (PUBLIC JOINT-STOCK COMPANY) </w:t>
      </w:r>
    </w:p>
    <w:p>
      <w:pPr>
        <w:pStyle w:val="TextBody"/>
        <w:spacing w:before="0" w:after="0"/>
        <w:jc w:val="center"/>
        <w:rPr>
          <w:rFonts w:ascii="Times New Roman" w:hAnsi="Times New Roman"/>
          <w:sz w:val="20"/>
        </w:rPr>
      </w:pPr>
      <w:r>
        <w:rPr>
          <w:rFonts w:ascii="Times New Roman" w:hAnsi="Times New Roman"/>
          <w:sz w:val="20"/>
        </w:rPr>
        <w:t xml:space="preserve">as the Original Lender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AMENDMENT AGREEMENT NO. 4 </w:t>
      </w:r>
    </w:p>
    <w:p>
      <w:pPr>
        <w:pStyle w:val="TextBody"/>
        <w:spacing w:before="0" w:after="0"/>
        <w:jc w:val="center"/>
        <w:rPr>
          <w:rFonts w:ascii="Times New Roman" w:hAnsi="Times New Roman"/>
          <w:b/>
          <w:sz w:val="20"/>
        </w:rPr>
      </w:pPr>
      <w:r>
        <w:rPr>
          <w:rFonts w:ascii="Times New Roman" w:hAnsi="Times New Roman"/>
          <w:b/>
          <w:sz w:val="20"/>
        </w:rPr>
        <w:t xml:space="preserve">TO SYNDICATED FACILITY AGREEMENT FOR </w:t>
      </w:r>
    </w:p>
    <w:p>
      <w:pPr>
        <w:pStyle w:val="TextBody"/>
        <w:spacing w:before="0" w:after="0"/>
        <w:jc w:val="center"/>
        <w:rPr>
          <w:rFonts w:ascii="Times New Roman" w:hAnsi="Times New Roman"/>
          <w:b/>
          <w:sz w:val="20"/>
        </w:rPr>
      </w:pPr>
      <w:r>
        <w:rPr>
          <w:rFonts w:ascii="Times New Roman" w:hAnsi="Times New Roman"/>
          <w:b/>
          <w:sz w:val="20"/>
        </w:rPr>
        <w:t xml:space="preserve">RUB 7,000,000,000 DATED MAY 16,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34"/>
        <w:gridCol w:w="108"/>
        <w:gridCol w:w="9358"/>
        <w:gridCol w:w="122"/>
        <w:gridCol w:w="60"/>
        <w:gridCol w:w="260"/>
        <w:gridCol w:w="63"/>
      </w:tblGrid>
      <w:tr>
        <w:trPr/>
        <w:tc>
          <w:tcPr>
            <w:tcW w:w="234" w:type="dxa"/>
            <w:tcBorders/>
            <w:shd w:fill="auto" w:val="clear"/>
            <w:vAlign w:val="center"/>
          </w:tcPr>
          <w:p>
            <w:pPr>
              <w:pStyle w:val="TableContents"/>
              <w:spacing w:before="0" w:after="283"/>
              <w:rPr>
                <w:sz w:val="4"/>
                <w:szCs w:val="4"/>
              </w:rPr>
            </w:pPr>
            <w:r>
              <w:rPr>
                <w:sz w:val="4"/>
                <w:szCs w:val="4"/>
              </w:rPr>
            </w:r>
          </w:p>
        </w:tc>
        <w:tc>
          <w:tcPr>
            <w:tcW w:w="108" w:type="dxa"/>
            <w:tcBorders/>
            <w:shd w:fill="auto" w:val="clear"/>
            <w:vAlign w:val="bottom"/>
          </w:tcPr>
          <w:p>
            <w:pPr>
              <w:pStyle w:val="TableContents"/>
              <w:spacing w:before="0" w:after="283"/>
              <w:rPr>
                <w:sz w:val="4"/>
                <w:szCs w:val="4"/>
              </w:rPr>
            </w:pPr>
            <w:r>
              <w:rPr>
                <w:sz w:val="4"/>
                <w:szCs w:val="4"/>
              </w:rPr>
            </w:r>
          </w:p>
        </w:tc>
        <w:tc>
          <w:tcPr>
            <w:tcW w:w="9358" w:type="dxa"/>
            <w:tcBorders/>
            <w:shd w:fill="auto" w:val="clear"/>
            <w:vAlign w:val="cente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260"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1.</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Definitions</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3</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2.</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Consents</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4</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3.</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Amendments to the Facility Agreement</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7</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Amendments to Amendment Agreement No. 2</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9</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5.</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Limitations</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9</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6.</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Additional Undertakings</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9</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tcPr>
          <w:p>
            <w:pPr>
              <w:pStyle w:val="TableContents"/>
              <w:spacing w:before="0" w:after="0"/>
              <w:rPr>
                <w:rFonts w:ascii="Times New Roman" w:hAnsi="Times New Roman"/>
                <w:sz w:val="20"/>
              </w:rPr>
            </w:pPr>
            <w:r>
              <w:rPr>
                <w:rFonts w:ascii="Times New Roman" w:hAnsi="Times New Roman"/>
                <w:sz w:val="20"/>
              </w:rPr>
              <w:t>7.</w:t>
            </w:r>
          </w:p>
        </w:tc>
        <w:tc>
          <w:tcPr>
            <w:tcW w:w="108" w:type="dxa"/>
            <w:tcBorders/>
            <w:shd w:fill="auto" w:val="clear"/>
            <w:vAlign w:val="bottom"/>
          </w:tcPr>
          <w:p>
            <w:pPr>
              <w:pStyle w:val="TableContents"/>
              <w:spacing w:before="0" w:after="283"/>
              <w:rPr/>
            </w:pPr>
            <w:r>
              <w:rPr/>
              <w:t> </w:t>
            </w:r>
          </w:p>
        </w:tc>
        <w:tc>
          <w:tcPr>
            <w:tcW w:w="9358" w:type="dxa"/>
            <w:tcBorders/>
            <w:shd w:fill="auto" w:val="clear"/>
            <w:vAlign w:val="bottom"/>
          </w:tcPr>
          <w:p>
            <w:pPr>
              <w:pStyle w:val="TableContents"/>
              <w:spacing w:before="0" w:after="283"/>
              <w:rPr/>
            </w:pPr>
            <w:r>
              <w:rPr/>
              <w:t>Fee</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10</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tcPr>
          <w:p>
            <w:pPr>
              <w:pStyle w:val="TableContents"/>
              <w:spacing w:before="0" w:after="0"/>
              <w:rPr>
                <w:rFonts w:ascii="Times New Roman" w:hAnsi="Times New Roman"/>
                <w:sz w:val="20"/>
              </w:rPr>
            </w:pPr>
            <w:r>
              <w:rPr>
                <w:rFonts w:ascii="Times New Roman" w:hAnsi="Times New Roman"/>
                <w:sz w:val="20"/>
              </w:rPr>
              <w:t>8.</w:t>
            </w:r>
          </w:p>
        </w:tc>
        <w:tc>
          <w:tcPr>
            <w:tcW w:w="108" w:type="dxa"/>
            <w:tcBorders/>
            <w:shd w:fill="auto" w:val="clear"/>
            <w:vAlign w:val="bottom"/>
          </w:tcPr>
          <w:p>
            <w:pPr>
              <w:pStyle w:val="TableContents"/>
              <w:spacing w:before="0" w:after="283"/>
              <w:rPr/>
            </w:pPr>
            <w:r>
              <w:rPr/>
              <w:t> </w:t>
            </w:r>
          </w:p>
        </w:tc>
        <w:tc>
          <w:tcPr>
            <w:tcW w:w="9358" w:type="dxa"/>
            <w:tcBorders/>
            <w:shd w:fill="auto" w:val="clear"/>
            <w:vAlign w:val="bottom"/>
          </w:tcPr>
          <w:p>
            <w:pPr>
              <w:pStyle w:val="TableContents"/>
              <w:spacing w:before="0" w:after="283"/>
              <w:rPr/>
            </w:pPr>
            <w:r>
              <w:rPr/>
              <w:t>Representations</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10</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9.</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Subsequent Conditions</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10</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10.</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Governing Law</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10</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11.</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Dispute Resolution</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10</w:t>
            </w:r>
          </w:p>
        </w:tc>
        <w:tc>
          <w:tcPr>
            <w:tcW w:w="63" w:type="dxa"/>
            <w:tcBorders/>
            <w:shd w:fill="auto" w:val="clear"/>
            <w:vAlign w:val="bottom"/>
          </w:tcPr>
          <w:p>
            <w:pPr>
              <w:pStyle w:val="TableContents"/>
              <w:spacing w:before="0" w:after="283"/>
              <w:rPr/>
            </w:pPr>
            <w:r>
              <w:rPr/>
              <w:t> </w:t>
            </w:r>
          </w:p>
        </w:tc>
      </w:tr>
      <w:tr>
        <w:trPr>
          <w:trHeight w:val="120" w:hRule="atLeast"/>
        </w:trPr>
        <w:tc>
          <w:tcPr>
            <w:tcW w:w="234" w:type="dxa"/>
            <w:tcBorders/>
            <w:shd w:fill="auto" w:val="clear"/>
            <w:vAlign w:val="center"/>
          </w:tcPr>
          <w:p>
            <w:pPr>
              <w:pStyle w:val="TableContents"/>
              <w:spacing w:before="0" w:after="283"/>
              <w:rPr>
                <w:sz w:val="4"/>
                <w:szCs w:val="4"/>
              </w:rPr>
            </w:pPr>
            <w:r>
              <w:rPr>
                <w:sz w:val="4"/>
                <w:szCs w:val="4"/>
              </w:rPr>
            </w:r>
          </w:p>
        </w:tc>
        <w:tc>
          <w:tcPr>
            <w:tcW w:w="9466" w:type="dxa"/>
            <w:gridSpan w:val="2"/>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23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12.</w:t>
            </w:r>
          </w:p>
        </w:tc>
        <w:tc>
          <w:tcPr>
            <w:tcW w:w="108" w:type="dxa"/>
            <w:tcBorders/>
            <w:shd w:fill="auto" w:val="clear"/>
            <w:vAlign w:val="bottom"/>
          </w:tcPr>
          <w:p>
            <w:pPr>
              <w:pStyle w:val="TableContents"/>
              <w:spacing w:before="0" w:after="283"/>
              <w:rPr/>
            </w:pPr>
            <w:r>
              <w:rPr/>
              <w:t> </w:t>
            </w:r>
          </w:p>
        </w:tc>
        <w:tc>
          <w:tcPr>
            <w:tcW w:w="9358" w:type="dxa"/>
            <w:tcBorders/>
            <w:shd w:fill="auto" w:val="clear"/>
          </w:tcPr>
          <w:p>
            <w:pPr>
              <w:pStyle w:val="TableContents"/>
              <w:spacing w:before="0" w:after="0"/>
              <w:rPr>
                <w:rFonts w:ascii="Times New Roman" w:hAnsi="Times New Roman"/>
                <w:sz w:val="20"/>
              </w:rPr>
            </w:pPr>
            <w:r>
              <w:rPr>
                <w:rFonts w:ascii="Times New Roman" w:hAnsi="Times New Roman"/>
                <w:sz w:val="20"/>
              </w:rPr>
              <w:t>Execution</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10</w:t>
            </w:r>
          </w:p>
        </w:tc>
        <w:tc>
          <w:tcPr>
            <w:tcW w:w="63" w:type="dxa"/>
            <w:tcBorders/>
            <w:shd w:fill="auto" w:val="clear"/>
            <w:vAlign w:val="bottom"/>
          </w:tcPr>
          <w:p>
            <w:pPr>
              <w:pStyle w:val="TableContents"/>
              <w:spacing w:before="0" w:after="283"/>
              <w:rPr/>
            </w:pPr>
            <w:r>
              <w:rPr/>
              <w:t> </w:t>
            </w:r>
          </w:p>
        </w:tc>
      </w:tr>
      <w:tr>
        <w:trPr>
          <w:trHeight w:val="120" w:hRule="atLeast"/>
        </w:trPr>
        <w:tc>
          <w:tcPr>
            <w:tcW w:w="9700" w:type="dxa"/>
            <w:gridSpan w:val="3"/>
            <w:tcBorders/>
            <w:shd w:fill="auto" w:val="clear"/>
            <w:vAlign w:val="center"/>
          </w:tcPr>
          <w:p>
            <w:pPr>
              <w:pStyle w:val="TableContents"/>
              <w:spacing w:before="0" w:after="283"/>
              <w:rPr>
                <w:sz w:val="4"/>
                <w:szCs w:val="4"/>
              </w:rPr>
            </w:pPr>
            <w:r>
              <w:rPr>
                <w:sz w:val="4"/>
                <w:szCs w:val="4"/>
              </w:rPr>
            </w:r>
          </w:p>
        </w:tc>
        <w:tc>
          <w:tcPr>
            <w:tcW w:w="505" w:type="dxa"/>
            <w:gridSpan w:val="4"/>
            <w:tcBorders/>
            <w:shd w:fill="auto" w:val="clear"/>
            <w:vAlign w:val="center"/>
          </w:tcPr>
          <w:p>
            <w:pPr>
              <w:pStyle w:val="TableContents"/>
              <w:spacing w:before="0" w:after="283"/>
              <w:rPr>
                <w:sz w:val="4"/>
                <w:szCs w:val="4"/>
              </w:rPr>
            </w:pPr>
            <w:r>
              <w:rPr>
                <w:sz w:val="4"/>
                <w:szCs w:val="4"/>
              </w:rPr>
            </w:r>
          </w:p>
        </w:tc>
      </w:tr>
      <w:tr>
        <w:trPr/>
        <w:tc>
          <w:tcPr>
            <w:tcW w:w="9700"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Appendix 1 Conditions Precedent</w:t>
            </w:r>
          </w:p>
        </w:tc>
        <w:tc>
          <w:tcPr>
            <w:tcW w:w="12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pPr>
            <w:r>
              <w:rPr/>
              <w:t>11</w:t>
            </w:r>
          </w:p>
        </w:tc>
        <w:tc>
          <w:tcPr>
            <w:tcW w:w="63" w:type="dxa"/>
            <w:tcBorders/>
            <w:shd w:fill="auto" w:val="clear"/>
            <w:vAlign w:val="bottom"/>
          </w:tcPr>
          <w:p>
            <w:pPr>
              <w:pStyle w:val="TableContents"/>
              <w:spacing w:before="0" w:after="283"/>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AMENDMENT AGREEMENT NO.</w:t>
      </w:r>
      <w:r>
        <w:rPr>
          <w:rFonts w:ascii="Times New Roman" w:hAnsi="Times New Roman"/>
          <w:sz w:val="20"/>
        </w:rPr>
        <w:t> </w:t>
      </w:r>
      <w:r>
        <w:rPr>
          <w:rFonts w:ascii="Times New Roman" w:hAnsi="Times New Roman"/>
          <w:b/>
          <w:sz w:val="20"/>
        </w:rPr>
        <w:t xml:space="preserve">4 TO THE SYNDICATED FACILITY AGREEMENT </w:t>
      </w:r>
      <w:r>
        <w:rPr>
          <w:rFonts w:ascii="Times New Roman" w:hAnsi="Times New Roman"/>
          <w:sz w:val="20"/>
        </w:rPr>
        <w:t xml:space="preserve">(hereinafter referred to as the </w:t>
      </w:r>
      <w:r>
        <w:rPr>
          <w:rFonts w:ascii="Times New Roman" w:hAnsi="Times New Roman"/>
          <w:b/>
          <w:sz w:val="20"/>
        </w:rPr>
        <w:t>Agreement</w:t>
      </w:r>
      <w:r>
        <w:rPr>
          <w:rFonts w:ascii="Times New Roman" w:hAnsi="Times New Roman"/>
          <w:sz w:val="20"/>
        </w:rPr>
        <w:t xml:space="preserve">) was made on December 29,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w:t>
            </w:r>
          </w:p>
        </w:tc>
        <w:tc>
          <w:tcPr>
            <w:tcW w:w="9695" w:type="dxa"/>
            <w:tcBorders/>
            <w:shd w:fill="auto" w:val="clear"/>
          </w:tcPr>
          <w:p>
            <w:pPr>
              <w:pStyle w:val="TableContents"/>
              <w:spacing w:before="0" w:after="283"/>
              <w:jc w:val="left"/>
              <w:rPr/>
            </w:pPr>
            <w:r>
              <w:rPr>
                <w:b/>
              </w:rPr>
              <w:t>ZEMENIK LIMITED LIABILITY COMPANY</w:t>
            </w:r>
            <w:r>
              <w:rPr/>
              <w:t xml:space="preserve">, established under the laws of the Russian Federation, registered in the Unified State Register of Legal Entities of the Russian Federation under number (OGRN): 1167746153860, with the place of business at: Akademika Ilyushina Street, 4, build. 1, office 54, Moscow, Russian Federation, 125319, duly represented by Karen E. Agayan, its Director General, acting under the Charter (hereinafter referred to as the </w:t>
            </w:r>
            <w:r>
              <w:rPr>
                <w:b/>
              </w:rPr>
              <w:t>Borrower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w:t>
            </w:r>
          </w:p>
        </w:tc>
        <w:tc>
          <w:tcPr>
            <w:tcW w:w="9696" w:type="dxa"/>
            <w:tcBorders/>
            <w:shd w:fill="auto" w:val="clear"/>
          </w:tcPr>
          <w:p>
            <w:pPr>
              <w:pStyle w:val="TableContents"/>
              <w:spacing w:before="0" w:after="283"/>
              <w:jc w:val="left"/>
              <w:rPr/>
            </w:pPr>
            <w:r>
              <w:rPr>
                <w:b/>
              </w:rPr>
              <w:t xml:space="preserve">VTB BANK (PUBLIC JOINT-STOCK COMPANY) </w:t>
            </w:r>
            <w:r>
              <w:rPr/>
              <w:t xml:space="preserve">as the Facility arranger (hereinafter referred to as the </w:t>
            </w:r>
            <w:r>
              <w:rPr>
                <w:b/>
              </w:rPr>
              <w:t>Arranger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w:t>
            </w:r>
          </w:p>
        </w:tc>
        <w:tc>
          <w:tcPr>
            <w:tcW w:w="9696" w:type="dxa"/>
            <w:tcBorders/>
            <w:shd w:fill="auto" w:val="clear"/>
          </w:tcPr>
          <w:p>
            <w:pPr>
              <w:pStyle w:val="TableContents"/>
              <w:spacing w:before="0" w:after="283"/>
              <w:jc w:val="left"/>
              <w:rPr/>
            </w:pPr>
            <w:r>
              <w:rPr>
                <w:b/>
              </w:rPr>
              <w:t xml:space="preserve">VTB BANK (PUBLIC JOINT-STOCK COMPANY) </w:t>
            </w:r>
            <w:r>
              <w:rPr/>
              <w:t xml:space="preserve">as the lender (hereinafter referred to as the </w:t>
            </w:r>
            <w:r>
              <w:rPr>
                <w:b/>
              </w:rPr>
              <w:t>Original Lender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(4)</w:t>
            </w:r>
          </w:p>
        </w:tc>
        <w:tc>
          <w:tcPr>
            <w:tcW w:w="9696" w:type="dxa"/>
            <w:tcBorders/>
            <w:shd w:fill="auto" w:val="clear"/>
          </w:tcPr>
          <w:p>
            <w:pPr>
              <w:pStyle w:val="TableContents"/>
              <w:spacing w:before="0" w:after="283"/>
              <w:jc w:val="left"/>
              <w:rPr/>
            </w:pPr>
            <w:r>
              <w:rPr>
                <w:b/>
              </w:rPr>
              <w:t xml:space="preserve">VTB BANK (PUBLIC JOINT-STOCK COMPANY) </w:t>
            </w:r>
            <w:r>
              <w:rPr/>
              <w:t xml:space="preserve">as the facility agent (hereinafter referred to as the </w:t>
            </w:r>
            <w:r>
              <w:rPr>
                <w:b/>
              </w:rPr>
              <w:t>Facility Agent</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(A)</w:t>
            </w:r>
          </w:p>
        </w:tc>
        <w:tc>
          <w:tcPr>
            <w:tcW w:w="9696" w:type="dxa"/>
            <w:tcBorders/>
            <w:shd w:fill="auto" w:val="clear"/>
          </w:tcPr>
          <w:p>
            <w:pPr>
              <w:pStyle w:val="TableContents"/>
              <w:spacing w:before="0" w:after="283"/>
              <w:jc w:val="left"/>
              <w:rPr/>
            </w:pPr>
            <w:r>
              <w:rPr/>
              <w:t xml:space="preserve">VTB Bank (Public Joint-Stock Company) as the Arranger, Facility Agent and Original Lender and Zemenik Limited Liability Company as the Borrower on May 16, 2016 concluded the syndicated facility agreement for RUB 7,000,000,000 (Seven billion) as amended by amendment agreement No. 1 dated December 14, 2016, amendment agreement No. 2 dated June 28, 2017 and amendment agreement No. 3 dated October 5, 2017 (hereinafter referred to as the </w:t>
            </w:r>
            <w:r>
              <w:rPr>
                <w:b/>
              </w:rPr>
              <w:t>Facility Agreement)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(B)</w:t>
            </w:r>
          </w:p>
        </w:tc>
        <w:tc>
          <w:tcPr>
            <w:tcW w:w="9696" w:type="dxa"/>
            <w:tcBorders/>
            <w:shd w:fill="auto" w:val="clear"/>
          </w:tcPr>
          <w:p>
            <w:pPr>
              <w:pStyle w:val="TableContents"/>
              <w:spacing w:before="0" w:after="283"/>
              <w:jc w:val="left"/>
              <w:rPr/>
            </w:pPr>
            <w:r>
              <w:rPr/>
              <w:t xml:space="preserve">The Borrower submitted to the Facility Agent a request to give consent to certain actions and to amend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(C)</w:t>
            </w:r>
          </w:p>
        </w:tc>
        <w:tc>
          <w:tcPr>
            <w:tcW w:w="9695" w:type="dxa"/>
            <w:tcBorders/>
            <w:shd w:fill="auto" w:val="clear"/>
          </w:tcPr>
          <w:p>
            <w:pPr>
              <w:pStyle w:val="TableContents"/>
              <w:spacing w:before="0" w:after="283"/>
              <w:jc w:val="left"/>
              <w:rPr/>
            </w:pPr>
            <w:r>
              <w:rPr/>
              <w:t xml:space="preserve">The Parties hereby agreed to amend the Facility Agreement and Amendment Agreement No. 2 as follows. </w:t>
            </w:r>
          </w:p>
        </w:tc>
      </w:tr>
    </w:tbl>
    <w:p>
      <w:pPr>
        <w:pStyle w:val="TextBody"/>
        <w:spacing w:before="240" w:after="0"/>
        <w:rPr>
          <w:rFonts w:ascii="Times New Roman" w:hAnsi="Times New Roman"/>
          <w:sz w:val="20"/>
        </w:rPr>
      </w:pPr>
      <w:r>
        <w:rPr>
          <w:rFonts w:ascii="Times New Roman" w:hAnsi="Times New Roman"/>
          <w:b/>
          <w:sz w:val="20"/>
        </w:rPr>
        <w:t xml:space="preserve">THE PARTIES AGREED </w:t>
      </w:r>
      <w:r>
        <w:rPr>
          <w:rFonts w:ascii="Times New Roman" w:hAnsi="Times New Roman"/>
          <w:sz w:val="20"/>
        </w:rPr>
        <w:t xml:space="preserve">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pPr>
            <w:r>
              <w:rPr/>
              <w:t>1.</w:t>
            </w:r>
          </w:p>
        </w:tc>
        <w:tc>
          <w:tcPr>
            <w:tcW w:w="9698"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1.1</w:t>
            </w:r>
          </w:p>
        </w:tc>
        <w:tc>
          <w:tcPr>
            <w:tcW w:w="9694"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Agreement: </w:t>
      </w:r>
    </w:p>
    <w:p>
      <w:pPr>
        <w:pStyle w:val="TextBody"/>
        <w:spacing w:before="120" w:after="0"/>
        <w:rPr>
          <w:rFonts w:ascii="Times New Roman" w:hAnsi="Times New Roman"/>
          <w:sz w:val="20"/>
        </w:rPr>
      </w:pPr>
      <w:r>
        <w:rPr>
          <w:rFonts w:ascii="Times New Roman" w:hAnsi="Times New Roman"/>
          <w:b/>
          <w:sz w:val="20"/>
        </w:rPr>
        <w:t xml:space="preserve">Effective Date </w:t>
      </w:r>
      <w:r>
        <w:rPr>
          <w:rFonts w:ascii="Times New Roman" w:hAnsi="Times New Roman"/>
          <w:sz w:val="20"/>
        </w:rPr>
        <w:t>shall have the meaning specified in sub-Clause (a) of Clause 5 (</w:t>
      </w:r>
      <w:r>
        <w:rPr>
          <w:rFonts w:ascii="Times New Roman" w:hAnsi="Times New Roman"/>
          <w:i/>
          <w:sz w:val="20"/>
        </w:rPr>
        <w:t>Limitations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b/>
          <w:sz w:val="20"/>
        </w:rPr>
        <w:t xml:space="preserve">Unlimited Guarantee </w:t>
      </w:r>
      <w:r>
        <w:rPr>
          <w:rFonts w:ascii="Times New Roman" w:hAnsi="Times New Roman"/>
          <w:sz w:val="20"/>
        </w:rPr>
        <w:t>shall have the meaning assigned to this term in sub-Clause 2.1(d) of Clause 2 (</w:t>
      </w:r>
      <w:r>
        <w:rPr>
          <w:rFonts w:ascii="Times New Roman" w:hAnsi="Times New Roman"/>
          <w:i/>
          <w:sz w:val="20"/>
        </w:rPr>
        <w:t>Consents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b/>
          <w:sz w:val="20"/>
        </w:rPr>
        <w:t xml:space="preserve">New Finance Documents </w:t>
      </w:r>
      <w:r>
        <w:rPr>
          <w:rFonts w:ascii="Times New Roman" w:hAnsi="Times New Roman"/>
          <w:sz w:val="20"/>
        </w:rPr>
        <w:t>shall mean the Finance Documents listed in Clause 1 (</w:t>
      </w:r>
      <w:r>
        <w:rPr>
          <w:rFonts w:ascii="Times New Roman" w:hAnsi="Times New Roman"/>
          <w:i/>
          <w:sz w:val="20"/>
        </w:rPr>
        <w:t>New Finance Documents</w:t>
      </w:r>
      <w:r>
        <w:rPr>
          <w:rFonts w:ascii="Times New Roman" w:hAnsi="Times New Roman"/>
          <w:sz w:val="20"/>
        </w:rPr>
        <w:t xml:space="preserve">) of Appendix </w:t>
      </w:r>
      <w:r>
        <w:rPr>
          <w:rFonts w:ascii="Times New Roman" w:hAnsi="Times New Roman"/>
          <w:sz w:val="20"/>
        </w:rPr>
        <w:drawing>
          <wp:inline distT="0" distB="0" distL="0" distR="0">
            <wp:extent cx="718820" cy="35941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link="rId12"/>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1 (</w:t>
      </w:r>
      <w:r>
        <w:rPr>
          <w:rFonts w:ascii="Times New Roman" w:hAnsi="Times New Roman"/>
          <w:i/>
          <w:sz w:val="20"/>
        </w:rPr>
        <w:t>Conditions Precedent</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b/>
          <w:sz w:val="20"/>
        </w:rPr>
        <w:t xml:space="preserve">Final Effective Date </w:t>
      </w:r>
      <w:r>
        <w:rPr>
          <w:rFonts w:ascii="Times New Roman" w:hAnsi="Times New Roman"/>
          <w:sz w:val="20"/>
        </w:rPr>
        <w:t xml:space="preserve">shall mean the date in 60 (Sixty) days after the date of this Agreement. </w:t>
      </w:r>
    </w:p>
    <w:p>
      <w:pPr>
        <w:pStyle w:val="TextBody"/>
        <w:spacing w:before="120" w:after="0"/>
        <w:rPr>
          <w:rFonts w:ascii="Times New Roman" w:hAnsi="Times New Roman"/>
          <w:sz w:val="20"/>
        </w:rPr>
      </w:pPr>
      <w:r>
        <w:rPr>
          <w:rFonts w:ascii="Times New Roman" w:hAnsi="Times New Roman"/>
          <w:b/>
          <w:sz w:val="20"/>
        </w:rPr>
        <w:t xml:space="preserve">A Party </w:t>
      </w:r>
      <w:r>
        <w:rPr>
          <w:rFonts w:ascii="Times New Roman" w:hAnsi="Times New Roman"/>
          <w:sz w:val="20"/>
        </w:rPr>
        <w:t xml:space="preserve">shall mean a party to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1.2</w:t>
            </w:r>
          </w:p>
        </w:tc>
        <w:tc>
          <w:tcPr>
            <w:tcW w:w="9694" w:type="dxa"/>
            <w:tcBorders/>
            <w:shd w:fill="auto" w:val="clear"/>
          </w:tcPr>
          <w:p>
            <w:pPr>
              <w:pStyle w:val="TableContents"/>
              <w:spacing w:before="0" w:after="283"/>
              <w:jc w:val="left"/>
              <w:rPr/>
            </w:pPr>
            <w:r>
              <w:rPr>
                <w:b/>
              </w:rPr>
              <w:t>Incorporated 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the context requires otherwise, the capitalized terms used in the Facility Agreement and not defined in this Agreement shall have the same meaning as in the Facility Agreement.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3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1.3</w:t>
            </w:r>
          </w:p>
        </w:tc>
        <w:tc>
          <w:tcPr>
            <w:tcW w:w="9694" w:type="dxa"/>
            <w:tcBorders/>
            <w:shd w:fill="auto" w:val="clear"/>
          </w:tcPr>
          <w:p>
            <w:pPr>
              <w:pStyle w:val="TableContents"/>
              <w:spacing w:before="0" w:after="283"/>
              <w:jc w:val="left"/>
              <w:rPr/>
            </w:pPr>
            <w:r>
              <w:rPr>
                <w:b/>
              </w:rPr>
              <w:t>Construction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provisions of Clause 1.2 (Construction) of the Facility Agreement shall apply to this Agreement as if they were stated in this Agreement, while references to the Clauses, sub-Clauses and Appendixes shall be considered as references to the Clauses, sub-Clauses and Appendixes to this Agreement unless the context requires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w:t>
            </w:r>
          </w:p>
        </w:tc>
        <w:tc>
          <w:tcPr>
            <w:tcW w:w="9695"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shall be a Finance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2.</w:t>
            </w:r>
          </w:p>
        </w:tc>
        <w:tc>
          <w:tcPr>
            <w:tcW w:w="9697" w:type="dxa"/>
            <w:tcBorders/>
            <w:shd w:fill="auto" w:val="clear"/>
          </w:tcPr>
          <w:p>
            <w:pPr>
              <w:pStyle w:val="TableContents"/>
              <w:spacing w:before="0" w:after="283"/>
              <w:jc w:val="left"/>
              <w:rPr/>
            </w:pPr>
            <w:r>
              <w:rPr>
                <w:b/>
              </w:rPr>
              <w:t>CONSENTS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w:t>
            </w:r>
          </w:p>
        </w:tc>
        <w:tc>
          <w:tcPr>
            <w:tcW w:w="9695" w:type="dxa"/>
            <w:tcBorders/>
            <w:shd w:fill="auto" w:val="clear"/>
          </w:tcPr>
          <w:p>
            <w:pPr>
              <w:pStyle w:val="TableContents"/>
              <w:spacing w:before="0" w:after="283"/>
              <w:jc w:val="left"/>
              <w:rPr/>
            </w:pPr>
            <w:r>
              <w:rPr/>
              <w:t xml:space="preserve">Provided that the Effective Date occurs, the Parties agreed: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b/>
              </w:rPr>
              <w:t>Split of Shares:</w:t>
            </w:r>
            <w:r>
              <w:rPr/>
              <w:t xml:space="preserve"> For the purposes of Clause 19.11 (</w:t>
            </w:r>
            <w:r>
              <w:rPr>
                <w:i/>
              </w:rPr>
              <w:t xml:space="preserve">Amendment of Constitutive Documents) </w:t>
            </w:r>
            <w:r>
              <w:rPr/>
              <w:t>of the Facility Agreement and sub-Clause (z) (</w:t>
            </w:r>
            <w:r>
              <w:rPr>
                <w:i/>
              </w:rPr>
              <w:t>Amendment of Constitutive Documents</w:t>
            </w:r>
            <w:r>
              <w:rPr/>
              <w:t>) of Clause 4 (</w:t>
            </w:r>
            <w:r>
              <w:rPr>
                <w:i/>
              </w:rPr>
              <w:t>Obligations of the Guarantor</w:t>
            </w:r>
            <w:r>
              <w:rPr/>
              <w:t xml:space="preserve">) of the Deed on Issue of Independent Guarantee of Zemenik Trading, the Facility Agent hereby gives its consent to split of each share of Zemenik Trading in the ratio of 1:500 (each existing share with the nominal value of one euro will be converted into 500 (Five hundred) shares with the nominal value of 0.002 (Zero point two thousandth) euro each) provided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09"/>
        <w:gridCol w:w="8576"/>
      </w:tblGrid>
      <w:tr>
        <w:trPr/>
        <w:tc>
          <w:tcPr>
            <w:tcW w:w="1019"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after splitting the shares will be distributed between the existing shareholders of Zemenik Trading while keeping the current percentage: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3" w:type="dxa"/>
            <w:tcBorders/>
            <w:shd w:fill="auto" w:val="clear"/>
          </w:tcPr>
          <w:p>
            <w:pPr>
              <w:pStyle w:val="TableContents"/>
              <w:spacing w:before="0" w:after="283"/>
              <w:jc w:val="left"/>
              <w:rPr/>
            </w:pPr>
            <w:r>
              <w:rPr/>
              <w:t xml:space="preserve">60% of shares belong to Highworld;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40% of shares belong to ELQ VIII Investors Limited;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The Borrower shall provide (or ensure that Zemenik Trading provides) to the Facility Agent the following documents within 15 (Fifteen) Business Days after completion of share split procedure: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certified copies of all share certificates of Zemenik Trading;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8064" w:type="dxa"/>
            <w:tcBorders/>
            <w:shd w:fill="auto" w:val="clear"/>
          </w:tcPr>
          <w:p>
            <w:pPr>
              <w:pStyle w:val="TableContents"/>
              <w:spacing w:before="0" w:after="283"/>
              <w:jc w:val="left"/>
              <w:rPr/>
            </w:pPr>
            <w:r>
              <w:rPr/>
              <w:t xml:space="preserve">certified copy of the shareholder register of Zemenik Trading;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8064" w:type="dxa"/>
            <w:tcBorders/>
            <w:shd w:fill="auto" w:val="clear"/>
          </w:tcPr>
          <w:p>
            <w:pPr>
              <w:pStyle w:val="TableContents"/>
              <w:spacing w:before="0" w:after="283"/>
              <w:jc w:val="left"/>
              <w:rPr/>
            </w:pPr>
            <w:r>
              <w:rPr/>
              <w:t xml:space="preserve">other documents which the Facility Agent may reasonably request to confirm proper compliance with the provisions of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b/>
              </w:rPr>
              <w:t>Change in Form and Name:</w:t>
            </w:r>
            <w:r>
              <w:rPr/>
              <w:t xml:space="preserve"> for the purposes of Clause 9.11 (</w:t>
            </w:r>
            <w:r>
              <w:rPr>
                <w:i/>
              </w:rPr>
              <w:t>Amendment of Constitutive Documents</w:t>
            </w:r>
            <w:r>
              <w:rPr/>
              <w:t>) of the Facility Agreement and sub-Clause (z) (</w:t>
            </w:r>
            <w:r>
              <w:rPr>
                <w:i/>
              </w:rPr>
              <w:t>Amendment of Constitutive Documents</w:t>
            </w:r>
            <w:r>
              <w:rPr/>
              <w:t>) of Clause 4 (</w:t>
            </w:r>
            <w:r>
              <w:rPr>
                <w:i/>
              </w:rPr>
              <w:t>Obligations of the Guarantor</w:t>
            </w:r>
            <w:r>
              <w:rPr/>
              <w:t xml:space="preserve">) of the Deed on Issue of Independent Guarantee of Zemenik Trading the Facility Agent hereby gives its consent to the following actions: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13"/>
        <w:gridCol w:w="8574"/>
      </w:tblGrid>
      <w:tr>
        <w:trPr/>
        <w:tc>
          <w:tcPr>
            <w:tcW w:w="1017" w:type="dxa"/>
            <w:tcBorders/>
            <w:shd w:fill="auto" w:val="clear"/>
            <w:vAlign w:val="center"/>
          </w:tcPr>
          <w:p>
            <w:pPr>
              <w:pStyle w:val="TableContents"/>
              <w:spacing w:before="0" w:after="283"/>
              <w:rPr/>
            </w:pPr>
            <w:r>
              <w:rPr/>
              <w:t> </w:t>
            </w:r>
          </w:p>
        </w:tc>
        <w:tc>
          <w:tcPr>
            <w:tcW w:w="613"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change of the form of incorporation of Zemenik Trading from private limited liability company to public limited liability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rename Zemenik Trading into “HeadHunter Group PLC”;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amend the charter of Zemenik Trading (adopt the new version of the charter), </w:t>
            </w:r>
          </w:p>
        </w:tc>
      </w:tr>
    </w:tbl>
    <w:p>
      <w:pPr>
        <w:pStyle w:val="TextBody"/>
        <w:spacing w:before="120" w:after="0"/>
        <w:rPr>
          <w:rFonts w:ascii="Times New Roman" w:hAnsi="Times New Roman"/>
          <w:sz w:val="20"/>
        </w:rPr>
      </w:pPr>
      <w:r>
        <w:rPr>
          <w:rFonts w:ascii="Times New Roman" w:hAnsi="Times New Roman"/>
          <w:sz w:val="20"/>
        </w:rPr>
        <w:t xml:space="preserve">provided that the Borrower shall provide (or ensure that Zemenik Trading provides) to the Facility Agent the following documents within 15 (Fifteen) Business Days after completion of registration of the said changes: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3" w:type="dxa"/>
            <w:tcBorders/>
            <w:shd w:fill="auto" w:val="clear"/>
          </w:tcPr>
          <w:p>
            <w:pPr>
              <w:pStyle w:val="TableContents"/>
              <w:spacing w:before="0" w:after="283"/>
              <w:jc w:val="left"/>
              <w:rPr/>
            </w:pPr>
            <w:r>
              <w:rPr/>
              <w:t xml:space="preserve">certified copies of all constitutive documents of Zemenik Trading;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updated Group Structure Scheme certified by the head of the Borrower.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4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b/>
              </w:rPr>
              <w:t>Additional Issue of Shares:</w:t>
            </w:r>
            <w:r>
              <w:rPr/>
              <w:t xml:space="preserve"> for the purposes of Clause 19.10 (Issue of New Shares or Increase in the Charter Capital), 19.22 (Obligations of Zemenik Trading) of the Facility Agreement and sub-Clause (y) (Issue of New Shares or Increase in the Charter Capital) of Clause 4 (Obligations of the Guarantor) of the Deed on Issue of Independent Guarantee of Zemenik Trading the Facility Agent hereby gives its consent to issue and public placement through public offering by, and including any transactions whereunder the underwriter banks will perform acquisitions from the existing shareholders of, Zemenik Trading of not more than 30,000,000 (Thirty million) additional shares with the nominal value of </w:t>
            </w:r>
            <w:r>
              <w:rPr>
                <w:i/>
              </w:rPr>
              <w:t>EUR 0.002 (Zero point two thousandth) each</w:t>
            </w:r>
            <w:r>
              <w:rPr/>
              <w:t xml:space="preserve"> (hereinafter referred to as the </w:t>
            </w:r>
            <w:r>
              <w:rPr>
                <w:b/>
              </w:rPr>
              <w:t>Placement</w:t>
            </w:r>
            <w:r>
              <w:rPr/>
              <w:t xml:space="preserve">) making not more than 37.5 (Thirty-seven point five) percent of the charter capital of Zemenik Trading after Placement, provided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the procedure of splitting the shares of Zemenik Trading stipulated by sub-Clause (a) above will be duly completed and all conditions stipulated by sub-Clause (a) above will be met to the satisfaction of the Facility Agent prior to commencement of additional issue of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the Borrower shall provide (or ensure that Zemenik Trading provides) to the Facility Agent within 15 (Fifteen) Business Days after completion of additional issue of shares the documents which the Facility Agent may reasonably request to confirm proper compliance with the provisions of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4" w:type="dxa"/>
            <w:tcBorders/>
            <w:shd w:fill="auto" w:val="clear"/>
          </w:tcPr>
          <w:p>
            <w:pPr>
              <w:pStyle w:val="TableContents"/>
              <w:spacing w:before="0" w:after="283"/>
              <w:jc w:val="left"/>
              <w:rPr/>
            </w:pPr>
            <w:r>
              <w:rPr>
                <w:b/>
              </w:rPr>
              <w:t>Guarantees:</w:t>
            </w:r>
            <w:r>
              <w:rPr/>
              <w:t xml:space="preserve"> for the purposes of Clause 19.7 (</w:t>
            </w:r>
            <w:r>
              <w:rPr>
                <w:i/>
              </w:rPr>
              <w:t>Provision of Guarantees and Sureties</w:t>
            </w:r>
            <w:r>
              <w:rPr/>
              <w:t>) of the Facility Agreement and sub-Clause (m) (</w:t>
            </w:r>
            <w:r>
              <w:rPr>
                <w:i/>
              </w:rPr>
              <w:t>Provision of Guarantees and Sureties</w:t>
            </w:r>
            <w:r>
              <w:rPr/>
              <w:t>) of Clause 4 (</w:t>
            </w:r>
            <w:r>
              <w:rPr>
                <w:i/>
              </w:rPr>
              <w:t>Obligations of the Guarantor</w:t>
            </w:r>
            <w:r>
              <w:rPr/>
              <w:t xml:space="preserve">) of the Deed on Issue of Independent Guarantee of Zemenik Trading the Facility Agent hereby gives its consent to provision by Zemenik Trading of indemnities in favor of Placement underwriter banks (including their Affiliates), depository bank appointed in connection with Placement and/or The Depository Trust Company for the purposes of Placement to cover possible losses and expenses connected with errors and incomplete disclosure of information provided in the Placement prospectus and exercise by Zemenik Trading of its rights and obligations within the frameworks of Placement (hereinafter referred to as the </w:t>
            </w:r>
            <w:r>
              <w:rPr>
                <w:b/>
              </w:rPr>
              <w:t>Unlimited Guarantee</w:t>
            </w:r>
            <w:r>
              <w:rPr/>
              <w:t xml:space="preserve">), provided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the Placement shall take place before December 30, 2018;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the Borrower shall provide (or ensure that Zemenik Trading provides) to the Facility Agent within 15 (Fifteen) Business Days after provision of the Unlimited Guarantee the extract from the document (s) containing the Unlimited Guarantee and in case of introduction of changes into the Unlimited Guarantee, </w:t>
            </w:r>
            <w:r>
              <w:rPr>
                <w:i/>
              </w:rPr>
              <w:t xml:space="preserve">within 15 (Fifteen) Business Days after </w:t>
            </w:r>
            <w:r>
              <w:rPr/>
              <w:t xml:space="preserve">of introduction of changes – the certified the extract from the document containing such changes;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(e)</w:t>
            </w:r>
          </w:p>
        </w:tc>
        <w:tc>
          <w:tcPr>
            <w:tcW w:w="9186" w:type="dxa"/>
            <w:tcBorders/>
            <w:shd w:fill="auto" w:val="clear"/>
          </w:tcPr>
          <w:p>
            <w:pPr>
              <w:pStyle w:val="TableContents"/>
              <w:spacing w:before="0" w:after="283"/>
              <w:jc w:val="left"/>
              <w:rPr/>
            </w:pPr>
            <w:r>
              <w:rPr>
                <w:b/>
              </w:rPr>
              <w:t>Sale of Headhunter LLP:</w:t>
            </w:r>
            <w:r>
              <w:rPr/>
              <w:t xml:space="preserve"> for the purposes of Clause 19.3 (</w:t>
            </w:r>
            <w:r>
              <w:rPr>
                <w:i/>
              </w:rPr>
              <w:t>Disposal of Assets</w:t>
            </w:r>
            <w:r>
              <w:rPr/>
              <w:t>) of the Facility Agreement and sub-Clause (i) (</w:t>
            </w:r>
            <w:r>
              <w:rPr>
                <w:i/>
              </w:rPr>
              <w:t>Disposal of Assets</w:t>
            </w:r>
            <w:r>
              <w:rPr/>
              <w:t>) of Clause 4 (</w:t>
            </w:r>
            <w:r>
              <w:rPr>
                <w:i/>
              </w:rPr>
              <w:t>Obligations of the Guarantor</w:t>
            </w:r>
            <w:r>
              <w:rPr/>
              <w:t xml:space="preserve">) of the Deed on Issue of Independent Guarantee of Zemenik Trading the Facility Agent hereby gives its consent to disposal by HeadHunter FSU of its share making 51% of the charter capital of Headhunter LLP (Ukraine) under the stake sale and purchase agreement (hereinafter referred to as </w:t>
            </w:r>
            <w:r>
              <w:rPr>
                <w:b/>
              </w:rPr>
              <w:t>Stake SPA</w:t>
            </w:r>
            <w:r>
              <w:rPr/>
              <w:t xml:space="preserve">) under the following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7"/>
        <w:gridCol w:w="609"/>
        <w:gridCol w:w="8578"/>
      </w:tblGrid>
      <w:tr>
        <w:trPr/>
        <w:tc>
          <w:tcPr>
            <w:tcW w:w="1017"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8" w:type="dxa"/>
            <w:tcBorders/>
            <w:shd w:fill="auto" w:val="clear"/>
          </w:tcPr>
          <w:p>
            <w:pPr>
              <w:pStyle w:val="TableContents"/>
              <w:spacing w:before="0" w:after="283"/>
              <w:jc w:val="left"/>
              <w:rPr/>
            </w:pPr>
            <w:r>
              <w:rPr/>
              <w:t xml:space="preserve">Purchasers: participants of Headhunter LLP—Yuri Kostrykin (a citizen of Ukraine) and Marina Makovy (a citizen of Ukraine) (hereinafter referred to as the </w:t>
            </w:r>
            <w:r>
              <w:rPr>
                <w:b/>
              </w:rPr>
              <w:t>Purchasers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2"/>
        <w:gridCol w:w="8573"/>
      </w:tblGrid>
      <w:tr>
        <w:trPr/>
        <w:tc>
          <w:tcPr>
            <w:tcW w:w="1019"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purchase price: not less than USD 255,000 or equivalent in another currency (hereinafter referred to as the </w:t>
            </w:r>
            <w:r>
              <w:rPr>
                <w:b/>
              </w:rPr>
              <w:t>Purchase Price</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Purchase Price payment procedure: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5 </w:t>
      </w:r>
      <w:r>
        <w:br w:type="page"/>
      </w:r>
    </w:p>
    <w:p>
      <w:pPr>
        <w:pStyle w:val="HorizontalLine"/>
        <w:pBdr>
          <w:bottom w:val="double" w:sz="6" w:space="0" w:color="808080"/>
        </w:pBdr>
        <w:rPr/>
      </w:pPr>
      <w:r>
        <w:rPr/>
      </w:r>
    </w:p>
    <w:tbl>
      <w:tblPr>
        <w:tblW w:w="4500" w:type="pct"/>
        <w:jc w:val="right"/>
        <w:tblInd w:w="0" w:type="dxa"/>
        <w:tblBorders/>
        <w:tblCellMar>
          <w:top w:w="0" w:type="dxa"/>
          <w:left w:w="0" w:type="dxa"/>
          <w:bottom w:w="0" w:type="dxa"/>
          <w:right w:w="0" w:type="dxa"/>
        </w:tblCellMar>
      </w:tblPr>
      <w:tblGrid>
        <w:gridCol w:w="4684"/>
        <w:gridCol w:w="182"/>
        <w:gridCol w:w="4317"/>
      </w:tblGrid>
      <w:tr>
        <w:trPr/>
        <w:tc>
          <w:tcPr>
            <w:tcW w:w="4684" w:type="dxa"/>
            <w:tcBorders/>
            <w:shd w:fill="auto" w:val="clear"/>
            <w:vAlign w:val="center"/>
          </w:tcPr>
          <w:p>
            <w:pPr>
              <w:pStyle w:val="TableContents"/>
              <w:spacing w:before="0" w:after="283"/>
              <w:rPr>
                <w:sz w:val="4"/>
                <w:szCs w:val="4"/>
              </w:rPr>
            </w:pPr>
            <w:r>
              <w:rPr>
                <w:sz w:val="4"/>
                <w:szCs w:val="4"/>
              </w:rPr>
            </w:r>
          </w:p>
        </w:tc>
        <w:tc>
          <w:tcPr>
            <w:tcW w:w="182" w:type="dxa"/>
            <w:tcBorders/>
            <w:shd w:fill="auto" w:val="clear"/>
            <w:vAlign w:val="bottom"/>
          </w:tcPr>
          <w:p>
            <w:pPr>
              <w:pStyle w:val="TableContents"/>
              <w:spacing w:before="0" w:after="283"/>
              <w:rPr>
                <w:sz w:val="4"/>
                <w:szCs w:val="4"/>
              </w:rPr>
            </w:pPr>
            <w:r>
              <w:rPr>
                <w:sz w:val="4"/>
                <w:szCs w:val="4"/>
              </w:rPr>
            </w:r>
          </w:p>
        </w:tc>
        <w:tc>
          <w:tcPr>
            <w:tcW w:w="4317" w:type="dxa"/>
            <w:tcBorders/>
            <w:shd w:fill="auto" w:val="clear"/>
            <w:vAlign w:val="center"/>
          </w:tcPr>
          <w:p>
            <w:pPr>
              <w:pStyle w:val="TableContents"/>
              <w:spacing w:before="0" w:after="283"/>
              <w:rPr>
                <w:sz w:val="4"/>
                <w:szCs w:val="4"/>
              </w:rPr>
            </w:pPr>
            <w:r>
              <w:rPr>
                <w:sz w:val="4"/>
                <w:szCs w:val="4"/>
              </w:rPr>
            </w:r>
          </w:p>
        </w:tc>
      </w:tr>
      <w:tr>
        <w:trPr/>
        <w:tc>
          <w:tcPr>
            <w:tcW w:w="4684" w:type="dxa"/>
            <w:tcBorders/>
            <w:shd w:fill="auto" w:val="clear"/>
            <w:vAlign w:val="bottom"/>
          </w:tcPr>
          <w:p>
            <w:pPr>
              <w:pStyle w:val="TableContents"/>
              <w:pBdr>
                <w:bottom w:val="single" w:sz="8" w:space="1" w:color="000000"/>
              </w:pBdr>
              <w:spacing w:before="0" w:after="0"/>
              <w:rPr>
                <w:rFonts w:ascii="Times New Roman" w:hAnsi="Times New Roman"/>
                <w:b/>
                <w:sz w:val="16"/>
              </w:rPr>
            </w:pPr>
            <w:r>
              <w:rPr>
                <w:rFonts w:ascii="Times New Roman" w:hAnsi="Times New Roman"/>
                <w:b/>
                <w:sz w:val="16"/>
              </w:rPr>
              <w:t>Payment Term</w:t>
            </w:r>
          </w:p>
        </w:tc>
        <w:tc>
          <w:tcPr>
            <w:tcW w:w="182" w:type="dxa"/>
            <w:tcBorders/>
            <w:shd w:fill="auto" w:val="clear"/>
            <w:vAlign w:val="bottom"/>
          </w:tcPr>
          <w:p>
            <w:pPr>
              <w:pStyle w:val="TableContents"/>
              <w:spacing w:before="0" w:after="283"/>
              <w:rPr/>
            </w:pPr>
            <w:r>
              <w:rPr/>
              <w:t>  </w:t>
            </w:r>
          </w:p>
        </w:tc>
        <w:tc>
          <w:tcPr>
            <w:tcW w:w="4317" w:type="dxa"/>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b/>
                <w:sz w:val="16"/>
              </w:rPr>
            </w:pPr>
            <w:r>
              <w:rPr>
                <w:rFonts w:ascii="Times New Roman" w:hAnsi="Times New Roman"/>
                <w:b/>
                <w:sz w:val="16"/>
              </w:rPr>
              <w:t>Amount Payable by each Purchaser, USD</w:t>
            </w:r>
          </w:p>
        </w:tc>
      </w:tr>
      <w:tr>
        <w:trPr/>
        <w:tc>
          <w:tcPr>
            <w:tcW w:w="4684" w:type="dxa"/>
            <w:tcBorders/>
            <w:shd w:fill="auto" w:val="clear"/>
            <w:vAlign w:val="bottom"/>
          </w:tcPr>
          <w:p>
            <w:pPr>
              <w:pStyle w:val="TableContents"/>
              <w:spacing w:before="0" w:after="283"/>
              <w:rPr/>
            </w:pPr>
            <w:r>
              <w:rPr/>
              <w:t>A day falling in 1 year after Stake SPA date</w:t>
            </w:r>
          </w:p>
        </w:tc>
        <w:tc>
          <w:tcPr>
            <w:tcW w:w="182" w:type="dxa"/>
            <w:tcBorders/>
            <w:shd w:fill="auto" w:val="clear"/>
            <w:vAlign w:val="bottom"/>
          </w:tcPr>
          <w:p>
            <w:pPr>
              <w:pStyle w:val="TableContents"/>
              <w:spacing w:before="0" w:after="283"/>
              <w:rPr/>
            </w:pPr>
            <w:r>
              <w:rPr/>
              <w:t>  </w:t>
            </w:r>
          </w:p>
        </w:tc>
        <w:tc>
          <w:tcPr>
            <w:tcW w:w="4317" w:type="dxa"/>
            <w:tcBorders/>
            <w:shd w:fill="auto" w:val="clear"/>
            <w:vAlign w:val="bottom"/>
          </w:tcPr>
          <w:p>
            <w:pPr>
              <w:pStyle w:val="TableContents"/>
              <w:spacing w:before="0" w:after="283"/>
              <w:rPr/>
            </w:pPr>
            <w:r>
              <w:rPr/>
              <w:t>12,500 (Twelve thousand and five hundred)</w:t>
            </w:r>
          </w:p>
        </w:tc>
      </w:tr>
      <w:tr>
        <w:trPr/>
        <w:tc>
          <w:tcPr>
            <w:tcW w:w="4684" w:type="dxa"/>
            <w:tcBorders/>
            <w:shd w:fill="auto" w:val="clear"/>
            <w:vAlign w:val="bottom"/>
          </w:tcPr>
          <w:p>
            <w:pPr>
              <w:pStyle w:val="TableContents"/>
              <w:spacing w:before="0" w:after="283"/>
              <w:rPr/>
            </w:pPr>
            <w:r>
              <w:rPr/>
              <w:t>A day falling in 2 years after Stake SPA date</w:t>
            </w:r>
          </w:p>
        </w:tc>
        <w:tc>
          <w:tcPr>
            <w:tcW w:w="182" w:type="dxa"/>
            <w:tcBorders/>
            <w:shd w:fill="auto" w:val="clear"/>
            <w:vAlign w:val="bottom"/>
          </w:tcPr>
          <w:p>
            <w:pPr>
              <w:pStyle w:val="TableContents"/>
              <w:spacing w:before="0" w:after="283"/>
              <w:rPr/>
            </w:pPr>
            <w:r>
              <w:rPr/>
              <w:t>  </w:t>
            </w:r>
          </w:p>
        </w:tc>
        <w:tc>
          <w:tcPr>
            <w:tcW w:w="4317" w:type="dxa"/>
            <w:tcBorders/>
            <w:shd w:fill="auto" w:val="clear"/>
            <w:vAlign w:val="bottom"/>
          </w:tcPr>
          <w:p>
            <w:pPr>
              <w:pStyle w:val="TableContents"/>
              <w:spacing w:before="0" w:after="283"/>
              <w:rPr/>
            </w:pPr>
            <w:r>
              <w:rPr/>
              <w:t>28,750 (Twenty-eight thousand seven hundred and fifty)</w:t>
            </w:r>
          </w:p>
        </w:tc>
      </w:tr>
      <w:tr>
        <w:trPr/>
        <w:tc>
          <w:tcPr>
            <w:tcW w:w="4684" w:type="dxa"/>
            <w:tcBorders/>
            <w:shd w:fill="auto" w:val="clear"/>
            <w:vAlign w:val="bottom"/>
          </w:tcPr>
          <w:p>
            <w:pPr>
              <w:pStyle w:val="TableContents"/>
              <w:spacing w:before="0" w:after="283"/>
              <w:rPr/>
            </w:pPr>
            <w:r>
              <w:rPr/>
              <w:t>A day falling in 3 years after Stake SPA date</w:t>
            </w:r>
          </w:p>
        </w:tc>
        <w:tc>
          <w:tcPr>
            <w:tcW w:w="182" w:type="dxa"/>
            <w:tcBorders/>
            <w:shd w:fill="auto" w:val="clear"/>
            <w:vAlign w:val="bottom"/>
          </w:tcPr>
          <w:p>
            <w:pPr>
              <w:pStyle w:val="TableContents"/>
              <w:spacing w:before="0" w:after="283"/>
              <w:rPr/>
            </w:pPr>
            <w:r>
              <w:rPr/>
              <w:t>  </w:t>
            </w:r>
          </w:p>
        </w:tc>
        <w:tc>
          <w:tcPr>
            <w:tcW w:w="4317" w:type="dxa"/>
            <w:tcBorders/>
            <w:shd w:fill="auto" w:val="clear"/>
            <w:vAlign w:val="bottom"/>
          </w:tcPr>
          <w:p>
            <w:pPr>
              <w:pStyle w:val="TableContents"/>
              <w:spacing w:before="0" w:after="283"/>
              <w:rPr/>
            </w:pPr>
            <w:r>
              <w:rPr/>
              <w:t>28,750 (Twenty-eight thousand seven hundred and fifty)</w:t>
            </w:r>
          </w:p>
        </w:tc>
      </w:tr>
      <w:tr>
        <w:trPr/>
        <w:tc>
          <w:tcPr>
            <w:tcW w:w="4684" w:type="dxa"/>
            <w:tcBorders/>
            <w:shd w:fill="auto" w:val="clear"/>
            <w:vAlign w:val="bottom"/>
          </w:tcPr>
          <w:p>
            <w:pPr>
              <w:pStyle w:val="TableContents"/>
              <w:spacing w:before="0" w:after="283"/>
              <w:rPr/>
            </w:pPr>
            <w:r>
              <w:rPr/>
              <w:t>A day falling in 4 years after Stake SPA date</w:t>
            </w:r>
          </w:p>
        </w:tc>
        <w:tc>
          <w:tcPr>
            <w:tcW w:w="182" w:type="dxa"/>
            <w:tcBorders/>
            <w:shd w:fill="auto" w:val="clear"/>
            <w:vAlign w:val="bottom"/>
          </w:tcPr>
          <w:p>
            <w:pPr>
              <w:pStyle w:val="TableContents"/>
              <w:spacing w:before="0" w:after="283"/>
              <w:rPr/>
            </w:pPr>
            <w:r>
              <w:rPr/>
              <w:t>  </w:t>
            </w:r>
          </w:p>
        </w:tc>
        <w:tc>
          <w:tcPr>
            <w:tcW w:w="4317" w:type="dxa"/>
            <w:tcBorders/>
            <w:shd w:fill="auto" w:val="clear"/>
            <w:vAlign w:val="bottom"/>
          </w:tcPr>
          <w:p>
            <w:pPr>
              <w:pStyle w:val="TableContents"/>
              <w:spacing w:before="0" w:after="283"/>
              <w:rPr/>
            </w:pPr>
            <w:r>
              <w:rPr/>
              <w:t>28,750 (Twenty-eight thousand seven hundred and fifty)</w:t>
            </w:r>
          </w:p>
        </w:tc>
      </w:tr>
      <w:tr>
        <w:trPr/>
        <w:tc>
          <w:tcPr>
            <w:tcW w:w="4684" w:type="dxa"/>
            <w:tcBorders/>
            <w:shd w:fill="auto" w:val="clear"/>
            <w:vAlign w:val="bottom"/>
          </w:tcPr>
          <w:p>
            <w:pPr>
              <w:pStyle w:val="TableContents"/>
              <w:spacing w:before="0" w:after="283"/>
              <w:rPr/>
            </w:pPr>
            <w:r>
              <w:rPr/>
              <w:t>A day falling in 5 years after Stake SPA date</w:t>
            </w:r>
          </w:p>
        </w:tc>
        <w:tc>
          <w:tcPr>
            <w:tcW w:w="182" w:type="dxa"/>
            <w:tcBorders/>
            <w:shd w:fill="auto" w:val="clear"/>
            <w:vAlign w:val="bottom"/>
          </w:tcPr>
          <w:p>
            <w:pPr>
              <w:pStyle w:val="TableContents"/>
              <w:spacing w:before="0" w:after="283"/>
              <w:rPr/>
            </w:pPr>
            <w:r>
              <w:rPr/>
              <w:t>  </w:t>
            </w:r>
          </w:p>
        </w:tc>
        <w:tc>
          <w:tcPr>
            <w:tcW w:w="4317" w:type="dxa"/>
            <w:tcBorders/>
            <w:shd w:fill="auto" w:val="clear"/>
            <w:vAlign w:val="bottom"/>
          </w:tcPr>
          <w:p>
            <w:pPr>
              <w:pStyle w:val="TableContents"/>
              <w:spacing w:before="0" w:after="283"/>
              <w:rPr/>
            </w:pPr>
            <w:r>
              <w:rPr/>
              <w:t>28,750 (Twenty-eight thousand seven hundred and fifty)</w:t>
            </w:r>
          </w:p>
        </w:tc>
      </w:tr>
    </w:tbl>
    <w:p>
      <w:pPr>
        <w:pStyle w:val="TextBody"/>
        <w:spacing w:before="120" w:after="0"/>
        <w:rPr>
          <w:rFonts w:ascii="Times New Roman" w:hAnsi="Times New Roman"/>
          <w:sz w:val="20"/>
        </w:rPr>
      </w:pPr>
      <w:r>
        <w:rPr>
          <w:rFonts w:ascii="Times New Roman" w:hAnsi="Times New Roman"/>
          <w:sz w:val="20"/>
        </w:rPr>
        <w:t xml:space="preserve">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Stake SPA will be concluded not later than on December 30, 2017;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the Borrower shall provide (or ensure that Zemenik Trading provides) to the Facility Agent the following documents within 15 (Fifteen) Business Days after conclusion of Stake SPA: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certified copy of Stake SPA signed by HeadHunter FSU and the respective purchaser and the supporting documents stipulated by Stake SPA;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1"/>
        <w:gridCol w:w="8062"/>
      </w:tblGrid>
      <w:tr>
        <w:trPr/>
        <w:tc>
          <w:tcPr>
            <w:tcW w:w="1631" w:type="dxa"/>
            <w:tcBorders/>
            <w:shd w:fill="auto" w:val="clear"/>
            <w:vAlign w:val="center"/>
          </w:tcPr>
          <w:p>
            <w:pPr>
              <w:pStyle w:val="TableContents"/>
              <w:spacing w:before="0" w:after="283"/>
              <w:rPr/>
            </w:pPr>
            <w:r>
              <w:rPr/>
              <w:t> </w:t>
            </w:r>
          </w:p>
        </w:tc>
        <w:tc>
          <w:tcPr>
            <w:tcW w:w="511"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updated Group Structure Scheme certified by the head of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(f)</w:t>
            </w:r>
          </w:p>
        </w:tc>
        <w:tc>
          <w:tcPr>
            <w:tcW w:w="9186" w:type="dxa"/>
            <w:tcBorders/>
            <w:shd w:fill="auto" w:val="clear"/>
          </w:tcPr>
          <w:p>
            <w:pPr>
              <w:pStyle w:val="TableContents"/>
              <w:spacing w:before="0" w:after="283"/>
              <w:jc w:val="left"/>
              <w:rPr/>
            </w:pPr>
            <w:r>
              <w:rPr>
                <w:b/>
              </w:rPr>
              <w:t>Amendment of Headhunter Charter:</w:t>
            </w:r>
            <w:r>
              <w:rPr/>
              <w:t xml:space="preserve"> for the purposes of Clause 19.11 (</w:t>
            </w:r>
            <w:r>
              <w:rPr>
                <w:i/>
              </w:rPr>
              <w:t>Amendment of Constitutive Documents</w:t>
            </w:r>
            <w:r>
              <w:rPr/>
              <w:t xml:space="preserve">) of the Facility Agreement the Facility Agent hereby gives its consent to amendment of the Charter of Headhunter in terms of change of the address of Vladivostok Branch of Headhunter within Vladivostok, provided that the Borrower shall provide (or ensure that Headhunter provides) to the Facility Agent within 15 (Fifteen) Business Days after receipt from the tax authority of the documents proving state registration of the respective amendments but in any event within 75 (Seventy-five) Business Days from the date of this Agreement, the notarized copy of the Charter of Headhunter in the new version with the mark of the registering authority and list of entry in respect of registration of amendments to the charter;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(g)</w:t>
            </w:r>
          </w:p>
        </w:tc>
        <w:tc>
          <w:tcPr>
            <w:tcW w:w="9184" w:type="dxa"/>
            <w:tcBorders/>
            <w:shd w:fill="auto" w:val="clear"/>
          </w:tcPr>
          <w:p>
            <w:pPr>
              <w:pStyle w:val="TableContents"/>
              <w:spacing w:before="0" w:after="283"/>
              <w:jc w:val="left"/>
              <w:rPr/>
            </w:pPr>
            <w:r>
              <w:rPr>
                <w:b/>
              </w:rPr>
              <w:t>Reduction of share premium account of Zemenik Trading:</w:t>
            </w:r>
            <w:r>
              <w:rPr/>
              <w:t xml:space="preserve"> for the purposes of Clause 19.9 (</w:t>
            </w:r>
            <w:r>
              <w:rPr>
                <w:i/>
              </w:rPr>
              <w:t>Reorganization and Decrease in the Charter Capital</w:t>
            </w:r>
            <w:r>
              <w:rPr/>
              <w:t>) of the Facility Agreement and sub-Clause (x) (</w:t>
            </w:r>
            <w:r>
              <w:rPr>
                <w:i/>
              </w:rPr>
              <w:t>Reorganization and Decrease in the Charter Capital</w:t>
            </w:r>
            <w:r>
              <w:rPr/>
              <w:t>) of Clause 4 (</w:t>
            </w:r>
            <w:r>
              <w:rPr>
                <w:i/>
              </w:rPr>
              <w:t>Obligations of the Guarantor</w:t>
            </w:r>
            <w:r>
              <w:rPr/>
              <w:t>) of the Deed on Issue of Independent Guarantee of Zemenik Trading the Facility Agent hereby gives its consent to the reduction of the share premium account of Zemenik Trading maintained pursuant to section 55 of the Companies Law Cap. 113 of the Republic of Cyprus for an amount of 1,422,874,344.59 (o</w:t>
            </w:r>
            <w:r>
              <w:rPr>
                <w:i/>
              </w:rPr>
              <w:t>ne billion four hundred twenty-two million eight hundred seventy-four thousand three hundred and forty-four, 59/100</w:t>
            </w:r>
            <w:r>
              <w:rPr/>
              <w:t>) Roubles (in addition to the amount of decrease of the share premium account in the amount of 2,000,000,000 (</w:t>
            </w:r>
            <w:r>
              <w:rPr>
                <w:i/>
              </w:rPr>
              <w:t>Two billion</w:t>
            </w:r>
            <w:r>
              <w:rPr/>
              <w:t xml:space="preserve">) Roubles which is allowed and consented to under sub-Clause (iii) of Clause 19.9 </w:t>
            </w:r>
            <w:r>
              <w:rPr>
                <w:i/>
              </w:rPr>
              <w:t>Reorganization and Decrease in the Charter Capital</w:t>
            </w:r>
            <w:r>
              <w:rPr/>
              <w:t>) of the Facility Agreement and sub-Clause (x) (</w:t>
            </w:r>
            <w:r>
              <w:rPr>
                <w:i/>
              </w:rPr>
              <w:t>Reorganization and Decrease in the Charter Capital</w:t>
            </w:r>
            <w:r>
              <w:rPr/>
              <w:t>) of Clause 4 (</w:t>
            </w:r>
            <w:r>
              <w:rPr>
                <w:i/>
              </w:rPr>
              <w:t>Obligations of the Guarantor</w:t>
            </w:r>
            <w:r>
              <w:rPr/>
              <w:t xml:space="preserve">) of the Deed on Issue of Independent Guarantee of Zemenik Trading), provided that: </w:t>
            </w:r>
          </w:p>
        </w:tc>
      </w:tr>
    </w:tbl>
    <w:p>
      <w:pPr>
        <w:pStyle w:val="TextBody"/>
        <w:spacing w:before="120" w:after="0"/>
        <w:rPr>
          <w:rFonts w:ascii="Times New Roman" w:hAnsi="Times New Roman"/>
          <w:sz w:val="20"/>
        </w:rPr>
      </w:pPr>
      <w:r>
        <w:rPr>
          <w:rFonts w:ascii="Times New Roman" w:hAnsi="Times New Roman"/>
          <w:sz w:val="20"/>
        </w:rPr>
        <w:t>(i) the amount of reduction equal to 3,422,874,344.59 (</w:t>
      </w:r>
      <w:r>
        <w:rPr>
          <w:rFonts w:ascii="Times New Roman" w:hAnsi="Times New Roman"/>
          <w:i/>
          <w:sz w:val="20"/>
        </w:rPr>
        <w:t>three billion four hundred twenty-two million eight hundred seventy-four thousand three hundred and forty-four, 59/100</w:t>
      </w:r>
      <w:r>
        <w:rPr>
          <w:rFonts w:ascii="Times New Roman" w:hAnsi="Times New Roman"/>
          <w:sz w:val="20"/>
        </w:rPr>
        <w:t>) Roubles or EUR 39,867,480.25 (</w:t>
      </w:r>
      <w:r>
        <w:rPr>
          <w:rFonts w:ascii="Times New Roman" w:hAnsi="Times New Roman"/>
          <w:i/>
          <w:sz w:val="20"/>
        </w:rPr>
        <w:t xml:space="preserve">thirty nine million eight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6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i/>
          <w:sz w:val="20"/>
        </w:rPr>
        <w:t>hundred sixty seven thousand four hundred and eighty, 25/100</w:t>
      </w:r>
      <w:r>
        <w:rPr>
          <w:rFonts w:ascii="Times New Roman" w:hAnsi="Times New Roman"/>
          <w:sz w:val="20"/>
        </w:rPr>
        <w:t>) (provided that such reduction amount of share premium account in euro shall not exceed the relevant amount specified in Roubles) (the “</w:t>
      </w:r>
      <w:r>
        <w:rPr>
          <w:rFonts w:ascii="Times New Roman" w:hAnsi="Times New Roman"/>
          <w:b/>
          <w:sz w:val="20"/>
        </w:rPr>
        <w:t>Total Distribution Amount</w:t>
      </w:r>
      <w:r>
        <w:rPr>
          <w:rFonts w:ascii="Times New Roman" w:hAnsi="Times New Roman"/>
          <w:sz w:val="20"/>
        </w:rPr>
        <w:t xml:space="preserve">”) shall be wholly offset against payments to shareholders of Zemenik Trading as share premium which is in excess of the wants of Zemenik Trading in the following proportion: </w:t>
      </w:r>
    </w:p>
    <w:p>
      <w:pPr>
        <w:pStyle w:val="TextBody"/>
        <w:spacing w:before="0" w:after="0"/>
        <w:rPr/>
      </w:pPr>
      <w:r>
        <w:rPr/>
        <w:t> </w:t>
      </w:r>
    </w:p>
    <w:tbl>
      <w:tblPr>
        <w:tblW w:w="4200" w:type="pct"/>
        <w:jc w:val="center"/>
        <w:tblInd w:w="0" w:type="dxa"/>
        <w:tblBorders/>
        <w:tblCellMar>
          <w:top w:w="0" w:type="dxa"/>
          <w:left w:w="0" w:type="dxa"/>
          <w:bottom w:w="0" w:type="dxa"/>
          <w:right w:w="0" w:type="dxa"/>
        </w:tblCellMar>
      </w:tblPr>
      <w:tblGrid>
        <w:gridCol w:w="2563"/>
        <w:gridCol w:w="257"/>
        <w:gridCol w:w="205"/>
        <w:gridCol w:w="1292"/>
        <w:gridCol w:w="275"/>
        <w:gridCol w:w="204"/>
        <w:gridCol w:w="60"/>
        <w:gridCol w:w="1785"/>
        <w:gridCol w:w="60"/>
        <w:gridCol w:w="257"/>
        <w:gridCol w:w="60"/>
        <w:gridCol w:w="1488"/>
        <w:gridCol w:w="66"/>
      </w:tblGrid>
      <w:tr>
        <w:trPr/>
        <w:tc>
          <w:tcPr>
            <w:tcW w:w="2563" w:type="dxa"/>
            <w:tcBorders/>
            <w:shd w:fill="auto" w:val="clear"/>
            <w:vAlign w:val="center"/>
          </w:tcPr>
          <w:p>
            <w:pPr>
              <w:pStyle w:val="TableContents"/>
              <w:spacing w:before="0" w:after="283"/>
              <w:rPr>
                <w:sz w:val="4"/>
                <w:szCs w:val="4"/>
              </w:rPr>
            </w:pPr>
            <w:r>
              <w:rPr>
                <w:sz w:val="4"/>
                <w:szCs w:val="4"/>
              </w:rPr>
            </w:r>
          </w:p>
        </w:tc>
        <w:tc>
          <w:tcPr>
            <w:tcW w:w="257" w:type="dxa"/>
            <w:tcBorders/>
            <w:shd w:fill="auto" w:val="clear"/>
            <w:vAlign w:val="bottom"/>
          </w:tcPr>
          <w:p>
            <w:pPr>
              <w:pStyle w:val="TableContents"/>
              <w:spacing w:before="0" w:after="283"/>
              <w:rPr>
                <w:sz w:val="4"/>
                <w:szCs w:val="4"/>
              </w:rPr>
            </w:pPr>
            <w:r>
              <w:rPr>
                <w:sz w:val="4"/>
                <w:szCs w:val="4"/>
              </w:rPr>
            </w:r>
          </w:p>
        </w:tc>
        <w:tc>
          <w:tcPr>
            <w:tcW w:w="205" w:type="dxa"/>
            <w:tcBorders/>
            <w:shd w:fill="auto" w:val="clear"/>
            <w:vAlign w:val="center"/>
          </w:tcPr>
          <w:p>
            <w:pPr>
              <w:pStyle w:val="TableContents"/>
              <w:spacing w:before="0" w:after="283"/>
              <w:rPr>
                <w:sz w:val="4"/>
                <w:szCs w:val="4"/>
              </w:rPr>
            </w:pPr>
            <w:r>
              <w:rPr>
                <w:sz w:val="4"/>
                <w:szCs w:val="4"/>
              </w:rPr>
            </w:r>
          </w:p>
        </w:tc>
        <w:tc>
          <w:tcPr>
            <w:tcW w:w="1292"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785"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257"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488" w:type="dxa"/>
            <w:tcBorders/>
            <w:shd w:fill="auto" w:val="clear"/>
            <w:vAlign w:val="center"/>
          </w:tcPr>
          <w:p>
            <w:pPr>
              <w:pStyle w:val="TableContents"/>
              <w:spacing w:before="0" w:after="283"/>
              <w:rPr>
                <w:sz w:val="4"/>
                <w:szCs w:val="4"/>
              </w:rPr>
            </w:pPr>
            <w:r>
              <w:rPr>
                <w:sz w:val="4"/>
                <w:szCs w:val="4"/>
              </w:rPr>
            </w:r>
          </w:p>
        </w:tc>
        <w:tc>
          <w:tcPr>
            <w:tcW w:w="66" w:type="dxa"/>
            <w:tcBorders/>
            <w:shd w:fill="auto" w:val="clear"/>
            <w:vAlign w:val="center"/>
          </w:tcPr>
          <w:p>
            <w:pPr>
              <w:pStyle w:val="TableContents"/>
              <w:spacing w:before="0" w:after="283"/>
              <w:rPr>
                <w:sz w:val="4"/>
                <w:szCs w:val="4"/>
              </w:rPr>
            </w:pPr>
            <w:r>
              <w:rPr>
                <w:sz w:val="4"/>
                <w:szCs w:val="4"/>
              </w:rPr>
            </w:r>
          </w:p>
        </w:tc>
      </w:tr>
      <w:tr>
        <w:trPr/>
        <w:tc>
          <w:tcPr>
            <w:tcW w:w="2563" w:type="dxa"/>
            <w:tcBorders/>
            <w:shd w:fill="auto" w:val="clear"/>
            <w:vAlign w:val="bottom"/>
          </w:tcPr>
          <w:p>
            <w:pPr>
              <w:pStyle w:val="TableContents"/>
              <w:pBdr>
                <w:bottom w:val="single" w:sz="8" w:space="1" w:color="000000"/>
              </w:pBdr>
              <w:spacing w:before="0" w:after="0"/>
              <w:rPr>
                <w:rFonts w:ascii="Times New Roman" w:hAnsi="Times New Roman"/>
                <w:b/>
                <w:sz w:val="16"/>
              </w:rPr>
            </w:pPr>
            <w:r>
              <w:rPr>
                <w:rFonts w:ascii="Times New Roman" w:hAnsi="Times New Roman"/>
                <w:b/>
                <w:sz w:val="16"/>
              </w:rPr>
              <w:t>Shareholder</w:t>
            </w:r>
          </w:p>
        </w:tc>
        <w:tc>
          <w:tcPr>
            <w:tcW w:w="257" w:type="dxa"/>
            <w:tcBorders/>
            <w:shd w:fill="auto" w:val="clear"/>
            <w:vAlign w:val="bottom"/>
          </w:tcPr>
          <w:p>
            <w:pPr>
              <w:pStyle w:val="TableContents"/>
              <w:spacing w:before="0" w:after="283"/>
              <w:rPr/>
            </w:pPr>
            <w:r>
              <w:rPr/>
              <w:t>  </w:t>
            </w:r>
          </w:p>
        </w:tc>
        <w:tc>
          <w:tcPr>
            <w:tcW w:w="1497"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b/>
              </w:rPr>
            </w:pPr>
            <w:r>
              <w:rPr>
                <w:b/>
              </w:rPr>
              <w:t>Distribution in</w:t>
              <w:br/>
              <w:t>shares</w:t>
            </w:r>
          </w:p>
        </w:tc>
        <w:tc>
          <w:tcPr>
            <w:tcW w:w="275" w:type="dxa"/>
            <w:tcBorders/>
            <w:shd w:fill="auto" w:val="clear"/>
            <w:vAlign w:val="bottom"/>
          </w:tcPr>
          <w:p>
            <w:pPr>
              <w:pStyle w:val="TableContents"/>
              <w:spacing w:before="0" w:after="283"/>
              <w:rPr/>
            </w:pPr>
            <w:r>
              <w:rPr/>
              <w:t> </w:t>
            </w:r>
          </w:p>
        </w:tc>
        <w:tc>
          <w:tcPr>
            <w:tcW w:w="204" w:type="dxa"/>
            <w:tcBorders/>
            <w:shd w:fill="auto" w:val="clear"/>
            <w:vAlign w:val="bottom"/>
          </w:tcPr>
          <w:p>
            <w:pPr>
              <w:pStyle w:val="TableContents"/>
              <w:spacing w:before="0" w:after="283"/>
              <w:rPr/>
            </w:pPr>
            <w:r>
              <w:rPr/>
              <w:t> </w:t>
            </w:r>
          </w:p>
        </w:tc>
        <w:tc>
          <w:tcPr>
            <w:tcW w:w="184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b/>
              </w:rPr>
            </w:pPr>
            <w:r>
              <w:rPr>
                <w:b/>
              </w:rPr>
              <w:t>Amount in RUB</w:t>
            </w:r>
          </w:p>
        </w:tc>
        <w:tc>
          <w:tcPr>
            <w:tcW w:w="60" w:type="dxa"/>
            <w:tcBorders/>
            <w:shd w:fill="auto" w:val="clear"/>
            <w:vAlign w:val="bottom"/>
          </w:tcPr>
          <w:p>
            <w:pPr>
              <w:pStyle w:val="TableContents"/>
              <w:spacing w:before="0" w:after="283"/>
              <w:rPr/>
            </w:pPr>
            <w:r>
              <w:rPr/>
              <w:t> </w:t>
            </w:r>
          </w:p>
        </w:tc>
        <w:tc>
          <w:tcPr>
            <w:tcW w:w="257" w:type="dxa"/>
            <w:tcBorders/>
            <w:shd w:fill="auto" w:val="clear"/>
            <w:vAlign w:val="bottom"/>
          </w:tcPr>
          <w:p>
            <w:pPr>
              <w:pStyle w:val="TableContents"/>
              <w:spacing w:before="0" w:after="283"/>
              <w:rPr/>
            </w:pPr>
            <w:r>
              <w:rPr/>
              <w:t>  </w:t>
            </w:r>
          </w:p>
        </w:tc>
        <w:tc>
          <w:tcPr>
            <w:tcW w:w="1548"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b/>
              </w:rPr>
            </w:pPr>
            <w:r>
              <w:rPr>
                <w:b/>
              </w:rPr>
              <w:t>Euro equivalent</w:t>
              <w:br/>
              <w:t>(at the following</w:t>
              <w:br/>
              <w:t>exchange rate:</w:t>
              <w:br/>
              <w:t>EUR 1 = RUB</w:t>
              <w:br/>
              <w:t>85.8563)</w:t>
            </w:r>
          </w:p>
        </w:tc>
        <w:tc>
          <w:tcPr>
            <w:tcW w:w="66" w:type="dxa"/>
            <w:tcBorders/>
            <w:shd w:fill="auto" w:val="clear"/>
            <w:vAlign w:val="bottom"/>
          </w:tcPr>
          <w:p>
            <w:pPr>
              <w:pStyle w:val="TableContents"/>
              <w:spacing w:before="0" w:after="283"/>
              <w:rPr/>
            </w:pPr>
            <w:r>
              <w:rPr/>
              <w:t> </w:t>
            </w:r>
          </w:p>
        </w:tc>
      </w:tr>
      <w:tr>
        <w:trPr/>
        <w:tc>
          <w:tcPr>
            <w:tcW w:w="2563" w:type="dxa"/>
            <w:tcBorders/>
            <w:shd w:fill="auto" w:val="clear"/>
          </w:tcPr>
          <w:p>
            <w:pPr>
              <w:pStyle w:val="TableContents"/>
              <w:spacing w:before="0" w:after="0"/>
              <w:rPr>
                <w:rFonts w:ascii="Times New Roman" w:hAnsi="Times New Roman"/>
                <w:sz w:val="20"/>
              </w:rPr>
            </w:pPr>
            <w:r>
              <w:rPr>
                <w:rFonts w:ascii="Times New Roman" w:hAnsi="Times New Roman"/>
                <w:sz w:val="20"/>
              </w:rPr>
              <w:t>ELQ Investors VIII</w:t>
            </w:r>
          </w:p>
        </w:tc>
        <w:tc>
          <w:tcPr>
            <w:tcW w:w="257" w:type="dxa"/>
            <w:tcBorders/>
            <w:shd w:fill="auto" w:val="clear"/>
            <w:vAlign w:val="bottom"/>
          </w:tcPr>
          <w:p>
            <w:pPr>
              <w:pStyle w:val="TableContents"/>
              <w:spacing w:before="0" w:after="283"/>
              <w:rPr/>
            </w:pPr>
            <w:r>
              <w:rPr/>
              <w:t>  </w:t>
            </w:r>
          </w:p>
        </w:tc>
        <w:tc>
          <w:tcPr>
            <w:tcW w:w="205" w:type="dxa"/>
            <w:tcBorders/>
            <w:shd w:fill="auto" w:val="clear"/>
            <w:vAlign w:val="bottom"/>
          </w:tcPr>
          <w:p>
            <w:pPr>
              <w:pStyle w:val="TableContents"/>
              <w:spacing w:before="0" w:after="283"/>
              <w:rPr/>
            </w:pPr>
            <w:r>
              <w:rPr/>
              <w:t> </w:t>
            </w:r>
          </w:p>
        </w:tc>
        <w:tc>
          <w:tcPr>
            <w:tcW w:w="1292" w:type="dxa"/>
            <w:tcBorders/>
            <w:shd w:fill="auto" w:val="clear"/>
            <w:vAlign w:val="bottom"/>
          </w:tcPr>
          <w:p>
            <w:pPr>
              <w:pStyle w:val="TableContents"/>
              <w:spacing w:before="0" w:after="283"/>
              <w:jc w:val="right"/>
              <w:rPr/>
            </w:pPr>
            <w:r>
              <w:rPr/>
              <w:t>40</w:t>
            </w:r>
          </w:p>
        </w:tc>
        <w:tc>
          <w:tcPr>
            <w:tcW w:w="275" w:type="dxa"/>
            <w:tcBorders/>
            <w:shd w:fill="auto" w:val="clear"/>
            <w:vAlign w:val="bottom"/>
          </w:tcPr>
          <w:p>
            <w:pPr>
              <w:pStyle w:val="TableContents"/>
              <w:spacing w:before="0" w:after="283"/>
              <w:rPr/>
            </w:pPr>
            <w:r>
              <w:rPr/>
              <w:t>% </w:t>
            </w:r>
          </w:p>
        </w:tc>
        <w:tc>
          <w:tcPr>
            <w:tcW w:w="20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785" w:type="dxa"/>
            <w:tcBorders/>
            <w:shd w:fill="auto" w:val="clear"/>
            <w:vAlign w:val="bottom"/>
          </w:tcPr>
          <w:p>
            <w:pPr>
              <w:pStyle w:val="TableContents"/>
              <w:spacing w:before="0" w:after="283"/>
              <w:jc w:val="right"/>
              <w:rPr/>
            </w:pPr>
            <w:r>
              <w:rPr/>
              <w:t>1,369,149,737.84</w:t>
            </w:r>
          </w:p>
        </w:tc>
        <w:tc>
          <w:tcPr>
            <w:tcW w:w="60" w:type="dxa"/>
            <w:tcBorders/>
            <w:shd w:fill="auto" w:val="clear"/>
            <w:vAlign w:val="bottom"/>
          </w:tcPr>
          <w:p>
            <w:pPr>
              <w:pStyle w:val="TableContents"/>
              <w:spacing w:before="0" w:after="283"/>
              <w:rPr/>
            </w:pPr>
            <w:r>
              <w:rPr/>
              <w:t> </w:t>
            </w:r>
          </w:p>
        </w:tc>
        <w:tc>
          <w:tcPr>
            <w:tcW w:w="25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88" w:type="dxa"/>
            <w:tcBorders/>
            <w:shd w:fill="auto" w:val="clear"/>
            <w:vAlign w:val="bottom"/>
          </w:tcPr>
          <w:p>
            <w:pPr>
              <w:pStyle w:val="TableContents"/>
              <w:spacing w:before="0" w:after="283"/>
              <w:jc w:val="right"/>
              <w:rPr/>
            </w:pPr>
            <w:r>
              <w:rPr/>
              <w:t>15,946,992.10</w:t>
            </w:r>
          </w:p>
        </w:tc>
        <w:tc>
          <w:tcPr>
            <w:tcW w:w="66" w:type="dxa"/>
            <w:tcBorders/>
            <w:shd w:fill="auto" w:val="clear"/>
            <w:vAlign w:val="bottom"/>
          </w:tcPr>
          <w:p>
            <w:pPr>
              <w:pStyle w:val="TableContents"/>
              <w:spacing w:before="0" w:after="283"/>
              <w:rPr/>
            </w:pPr>
            <w:r>
              <w:rPr/>
              <w:t> </w:t>
            </w:r>
          </w:p>
        </w:tc>
      </w:tr>
      <w:tr>
        <w:trPr/>
        <w:tc>
          <w:tcPr>
            <w:tcW w:w="2563" w:type="dxa"/>
            <w:tcBorders/>
            <w:shd w:fill="auto" w:val="clear"/>
          </w:tcPr>
          <w:p>
            <w:pPr>
              <w:pStyle w:val="TableContents"/>
              <w:spacing w:before="0" w:after="0"/>
              <w:rPr>
                <w:rFonts w:ascii="Times New Roman" w:hAnsi="Times New Roman"/>
                <w:sz w:val="20"/>
              </w:rPr>
            </w:pPr>
            <w:r>
              <w:rPr>
                <w:rFonts w:ascii="Times New Roman" w:hAnsi="Times New Roman"/>
                <w:sz w:val="20"/>
              </w:rPr>
              <w:t>Highworld</w:t>
            </w:r>
          </w:p>
        </w:tc>
        <w:tc>
          <w:tcPr>
            <w:tcW w:w="257" w:type="dxa"/>
            <w:tcBorders/>
            <w:shd w:fill="auto" w:val="clear"/>
            <w:vAlign w:val="bottom"/>
          </w:tcPr>
          <w:p>
            <w:pPr>
              <w:pStyle w:val="TableContents"/>
              <w:spacing w:before="0" w:after="283"/>
              <w:rPr/>
            </w:pPr>
            <w:r>
              <w:rPr/>
              <w:t>  </w:t>
            </w:r>
          </w:p>
        </w:tc>
        <w:tc>
          <w:tcPr>
            <w:tcW w:w="205" w:type="dxa"/>
            <w:tcBorders/>
            <w:shd w:fill="auto" w:val="clear"/>
            <w:vAlign w:val="bottom"/>
          </w:tcPr>
          <w:p>
            <w:pPr>
              <w:pStyle w:val="TableContents"/>
              <w:spacing w:before="0" w:after="283"/>
              <w:rPr/>
            </w:pPr>
            <w:r>
              <w:rPr/>
              <w:t> </w:t>
            </w:r>
          </w:p>
        </w:tc>
        <w:tc>
          <w:tcPr>
            <w:tcW w:w="1292" w:type="dxa"/>
            <w:tcBorders/>
            <w:shd w:fill="auto" w:val="clear"/>
            <w:vAlign w:val="bottom"/>
          </w:tcPr>
          <w:p>
            <w:pPr>
              <w:pStyle w:val="TableContents"/>
              <w:spacing w:before="0" w:after="283"/>
              <w:jc w:val="right"/>
              <w:rPr/>
            </w:pPr>
            <w:r>
              <w:rPr/>
              <w:t>60</w:t>
            </w:r>
          </w:p>
        </w:tc>
        <w:tc>
          <w:tcPr>
            <w:tcW w:w="275" w:type="dxa"/>
            <w:tcBorders/>
            <w:shd w:fill="auto" w:val="clear"/>
            <w:vAlign w:val="bottom"/>
          </w:tcPr>
          <w:p>
            <w:pPr>
              <w:pStyle w:val="TableContents"/>
              <w:spacing w:before="0" w:after="283"/>
              <w:rPr/>
            </w:pPr>
            <w:r>
              <w:rPr/>
              <w:t>% </w:t>
            </w:r>
          </w:p>
        </w:tc>
        <w:tc>
          <w:tcPr>
            <w:tcW w:w="20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785" w:type="dxa"/>
            <w:tcBorders/>
            <w:shd w:fill="auto" w:val="clear"/>
            <w:vAlign w:val="bottom"/>
          </w:tcPr>
          <w:p>
            <w:pPr>
              <w:pStyle w:val="TableContents"/>
              <w:spacing w:before="0" w:after="283"/>
              <w:jc w:val="right"/>
              <w:rPr/>
            </w:pPr>
            <w:r>
              <w:rPr/>
              <w:t>2,053,724,606.75</w:t>
            </w:r>
          </w:p>
        </w:tc>
        <w:tc>
          <w:tcPr>
            <w:tcW w:w="60" w:type="dxa"/>
            <w:tcBorders/>
            <w:shd w:fill="auto" w:val="clear"/>
            <w:vAlign w:val="bottom"/>
          </w:tcPr>
          <w:p>
            <w:pPr>
              <w:pStyle w:val="TableContents"/>
              <w:spacing w:before="0" w:after="283"/>
              <w:rPr/>
            </w:pPr>
            <w:r>
              <w:rPr/>
              <w:t> </w:t>
            </w:r>
          </w:p>
        </w:tc>
        <w:tc>
          <w:tcPr>
            <w:tcW w:w="25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88" w:type="dxa"/>
            <w:tcBorders/>
            <w:shd w:fill="auto" w:val="clear"/>
            <w:vAlign w:val="bottom"/>
          </w:tcPr>
          <w:p>
            <w:pPr>
              <w:pStyle w:val="TableContents"/>
              <w:spacing w:before="0" w:after="283"/>
              <w:jc w:val="right"/>
              <w:rPr/>
            </w:pPr>
            <w:r>
              <w:rPr/>
              <w:t>23,920,488.15</w:t>
            </w:r>
          </w:p>
        </w:tc>
        <w:tc>
          <w:tcPr>
            <w:tcW w:w="66" w:type="dxa"/>
            <w:tcBorders/>
            <w:shd w:fill="auto" w:val="clear"/>
            <w:vAlign w:val="bottom"/>
          </w:tcPr>
          <w:p>
            <w:pPr>
              <w:pStyle w:val="TableContents"/>
              <w:spacing w:before="0" w:after="283"/>
              <w:rPr/>
            </w:pPr>
            <w:r>
              <w:rPr/>
              <w:t> </w:t>
            </w:r>
          </w:p>
        </w:tc>
      </w:tr>
      <w:tr>
        <w:trPr/>
        <w:tc>
          <w:tcPr>
            <w:tcW w:w="2563" w:type="dxa"/>
            <w:tcBorders/>
            <w:shd w:fill="auto" w:val="clear"/>
          </w:tcPr>
          <w:p>
            <w:pPr>
              <w:pStyle w:val="TableContents"/>
              <w:spacing w:before="0" w:after="0"/>
              <w:rPr>
                <w:rFonts w:ascii="Times New Roman" w:hAnsi="Times New Roman"/>
                <w:sz w:val="20"/>
              </w:rPr>
            </w:pPr>
            <w:r>
              <w:rPr>
                <w:rFonts w:ascii="Times New Roman" w:hAnsi="Times New Roman"/>
                <w:sz w:val="20"/>
              </w:rPr>
              <w:t>TOTAL</w:t>
            </w:r>
          </w:p>
        </w:tc>
        <w:tc>
          <w:tcPr>
            <w:tcW w:w="257" w:type="dxa"/>
            <w:tcBorders/>
            <w:shd w:fill="auto" w:val="clear"/>
            <w:vAlign w:val="bottom"/>
          </w:tcPr>
          <w:p>
            <w:pPr>
              <w:pStyle w:val="TableContents"/>
              <w:spacing w:before="0" w:after="283"/>
              <w:rPr/>
            </w:pPr>
            <w:r>
              <w:rPr/>
              <w:t>  </w:t>
            </w:r>
          </w:p>
        </w:tc>
        <w:tc>
          <w:tcPr>
            <w:tcW w:w="205" w:type="dxa"/>
            <w:tcBorders/>
            <w:shd w:fill="auto" w:val="clear"/>
            <w:vAlign w:val="bottom"/>
          </w:tcPr>
          <w:p>
            <w:pPr>
              <w:pStyle w:val="TableContents"/>
              <w:spacing w:before="0" w:after="283"/>
              <w:rPr/>
            </w:pPr>
            <w:r>
              <w:rPr/>
              <w:t> </w:t>
            </w:r>
          </w:p>
        </w:tc>
        <w:tc>
          <w:tcPr>
            <w:tcW w:w="1292" w:type="dxa"/>
            <w:tcBorders/>
            <w:shd w:fill="auto" w:val="clear"/>
            <w:vAlign w:val="bottom"/>
          </w:tcPr>
          <w:p>
            <w:pPr>
              <w:pStyle w:val="TableContents"/>
              <w:spacing w:before="0" w:after="283"/>
              <w:jc w:val="right"/>
              <w:rPr/>
            </w:pPr>
            <w:r>
              <w:rPr/>
              <w:t>100</w:t>
            </w:r>
          </w:p>
        </w:tc>
        <w:tc>
          <w:tcPr>
            <w:tcW w:w="275" w:type="dxa"/>
            <w:tcBorders/>
            <w:shd w:fill="auto" w:val="clear"/>
            <w:vAlign w:val="bottom"/>
          </w:tcPr>
          <w:p>
            <w:pPr>
              <w:pStyle w:val="TableContents"/>
              <w:spacing w:before="0" w:after="283"/>
              <w:rPr/>
            </w:pPr>
            <w:r>
              <w:rPr/>
              <w:t>% </w:t>
            </w:r>
          </w:p>
        </w:tc>
        <w:tc>
          <w:tcPr>
            <w:tcW w:w="20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785" w:type="dxa"/>
            <w:tcBorders/>
            <w:shd w:fill="auto" w:val="clear"/>
            <w:vAlign w:val="bottom"/>
          </w:tcPr>
          <w:p>
            <w:pPr>
              <w:pStyle w:val="TableContents"/>
              <w:spacing w:before="0" w:after="283"/>
              <w:jc w:val="right"/>
              <w:rPr/>
            </w:pPr>
            <w:r>
              <w:rPr/>
              <w:t>3,422,874,344.59</w:t>
            </w:r>
          </w:p>
        </w:tc>
        <w:tc>
          <w:tcPr>
            <w:tcW w:w="60" w:type="dxa"/>
            <w:tcBorders/>
            <w:shd w:fill="auto" w:val="clear"/>
            <w:vAlign w:val="bottom"/>
          </w:tcPr>
          <w:p>
            <w:pPr>
              <w:pStyle w:val="TableContents"/>
              <w:spacing w:before="0" w:after="283"/>
              <w:rPr/>
            </w:pPr>
            <w:r>
              <w:rPr/>
              <w:t> </w:t>
            </w:r>
          </w:p>
        </w:tc>
        <w:tc>
          <w:tcPr>
            <w:tcW w:w="25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88" w:type="dxa"/>
            <w:tcBorders/>
            <w:shd w:fill="auto" w:val="clear"/>
            <w:vAlign w:val="bottom"/>
          </w:tcPr>
          <w:p>
            <w:pPr>
              <w:pStyle w:val="TableContents"/>
              <w:spacing w:before="0" w:after="283"/>
              <w:jc w:val="right"/>
              <w:rPr/>
            </w:pPr>
            <w:r>
              <w:rPr/>
              <w:t>39,867,480.25</w:t>
            </w:r>
          </w:p>
        </w:tc>
        <w:tc>
          <w:tcPr>
            <w:tcW w:w="66" w:type="dxa"/>
            <w:tcBorders/>
            <w:shd w:fill="auto" w:val="clear"/>
            <w:vAlign w:val="bottom"/>
          </w:tcPr>
          <w:p>
            <w:pPr>
              <w:pStyle w:val="TableContents"/>
              <w:spacing w:before="0" w:after="283"/>
              <w:rPr/>
            </w:pPr>
            <w:r>
              <w:rPr/>
              <w:t> </w:t>
            </w:r>
          </w:p>
        </w:tc>
      </w:tr>
    </w:tbl>
    <w:p>
      <w:pPr>
        <w:pStyle w:val="TextBody"/>
        <w:spacing w:before="120" w:after="0"/>
        <w:rPr>
          <w:rFonts w:ascii="Times New Roman" w:hAnsi="Times New Roman"/>
          <w:sz w:val="20"/>
        </w:rPr>
      </w:pPr>
      <w:r>
        <w:rPr>
          <w:rFonts w:ascii="Times New Roman" w:hAnsi="Times New Roman"/>
          <w:sz w:val="20"/>
        </w:rPr>
        <w:t xml:space="preserve">(ii) such reduction of the share premium account shall take place not later than on June 30, 2018; </w:t>
      </w:r>
    </w:p>
    <w:p>
      <w:pPr>
        <w:pStyle w:val="TextBody"/>
        <w:spacing w:before="120" w:after="0"/>
        <w:rPr>
          <w:rFonts w:ascii="Times New Roman" w:hAnsi="Times New Roman"/>
          <w:sz w:val="20"/>
        </w:rPr>
      </w:pPr>
      <w:r>
        <w:rPr>
          <w:rFonts w:ascii="Times New Roman" w:hAnsi="Times New Roman"/>
          <w:sz w:val="20"/>
        </w:rPr>
        <w:t xml:space="preserve">(iii) obligations of Zemenik Trading to allocate the Total Distribution Amount to its shareholders as share premium which is in excess of the wants of Zemenik Trading shall be set off against the obligations of the shareholders to repay the loans which have been granted by Zemenik Trading as the Permitted Payments; and </w:t>
      </w:r>
    </w:p>
    <w:p>
      <w:pPr>
        <w:pStyle w:val="TextBody"/>
        <w:spacing w:before="120" w:after="0"/>
        <w:rPr>
          <w:rFonts w:ascii="Times New Roman" w:hAnsi="Times New Roman"/>
          <w:sz w:val="20"/>
        </w:rPr>
      </w:pPr>
      <w:r>
        <w:rPr>
          <w:rFonts w:ascii="Times New Roman" w:hAnsi="Times New Roman"/>
          <w:sz w:val="20"/>
        </w:rPr>
        <w:t xml:space="preserve">(iv) such reduction of the share premium account shall not result in negative own capital of Zemenik Trading.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w:t>
            </w:r>
          </w:p>
        </w:tc>
        <w:tc>
          <w:tcPr>
            <w:tcW w:w="9695" w:type="dxa"/>
            <w:tcBorders/>
            <w:shd w:fill="auto" w:val="clear"/>
          </w:tcPr>
          <w:p>
            <w:pPr>
              <w:pStyle w:val="TableContents"/>
              <w:spacing w:before="0" w:after="283"/>
              <w:jc w:val="left"/>
              <w:rPr/>
            </w:pPr>
            <w:r>
              <w:rPr/>
              <w:t xml:space="preserve">All documents to be provided to the Facility Agent in compliance with Clause 2.1 above shall be provided with apostille or notarized translation into Russian if applicable.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2.3</w:t>
            </w:r>
          </w:p>
        </w:tc>
        <w:tc>
          <w:tcPr>
            <w:tcW w:w="9696" w:type="dxa"/>
            <w:tcBorders/>
            <w:shd w:fill="auto" w:val="clear"/>
          </w:tcPr>
          <w:p>
            <w:pPr>
              <w:pStyle w:val="TableContents"/>
              <w:spacing w:before="0" w:after="283"/>
              <w:jc w:val="left"/>
              <w:rPr/>
            </w:pPr>
            <w:r>
              <w:rPr/>
              <w:t xml:space="preserve">Failure to comply or improper compliance by the Borrower with any condition of provision of consent specified in Clause 2.1 above shall be an Event of Default for the purposes of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2.4</w:t>
            </w:r>
          </w:p>
        </w:tc>
        <w:tc>
          <w:tcPr>
            <w:tcW w:w="9696" w:type="dxa"/>
            <w:tcBorders/>
            <w:shd w:fill="auto" w:val="clear"/>
          </w:tcPr>
          <w:p>
            <w:pPr>
              <w:pStyle w:val="TableContents"/>
              <w:spacing w:before="0" w:after="283"/>
              <w:jc w:val="left"/>
              <w:rPr/>
            </w:pPr>
            <w:r>
              <w:rPr/>
              <w:t xml:space="preserve">The Parties agreed that the consents stipulated by Clause 2.1 above shall be deemed provided on the Effective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w:t>
            </w:r>
          </w:p>
        </w:tc>
        <w:tc>
          <w:tcPr>
            <w:tcW w:w="9695" w:type="dxa"/>
            <w:tcBorders/>
            <w:shd w:fill="auto" w:val="clear"/>
          </w:tcPr>
          <w:p>
            <w:pPr>
              <w:pStyle w:val="TableContents"/>
              <w:spacing w:before="0" w:after="283"/>
              <w:jc w:val="left"/>
              <w:rPr/>
            </w:pPr>
            <w:r>
              <w:rPr/>
              <w:t xml:space="preserve">The Parties agreed that if the Effective Date does not occur before the Final Effective Date (inclusively), the effect of Clause 2.1 above shall be automatically terminated on the date following the Final Effective Date and the respective consents shall not be given.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3.</w:t>
            </w:r>
          </w:p>
        </w:tc>
        <w:tc>
          <w:tcPr>
            <w:tcW w:w="9697" w:type="dxa"/>
            <w:tcBorders/>
            <w:shd w:fill="auto" w:val="clear"/>
          </w:tcPr>
          <w:p>
            <w:pPr>
              <w:pStyle w:val="TableContents"/>
              <w:spacing w:before="0" w:after="283"/>
              <w:jc w:val="left"/>
              <w:rPr/>
            </w:pPr>
            <w:r>
              <w:rPr>
                <w:b/>
              </w:rPr>
              <w:t>AMENDMENTS</w:t>
            </w:r>
            <w:r>
              <w:rPr/>
              <w:t xml:space="preserve"> </w:t>
            </w:r>
            <w:r>
              <w:rPr>
                <w:b/>
              </w:rPr>
              <w:t>TO THE FACILITY AGREEMENT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w:t>
            </w:r>
          </w:p>
        </w:tc>
        <w:tc>
          <w:tcPr>
            <w:tcW w:w="9695" w:type="dxa"/>
            <w:tcBorders/>
            <w:shd w:fill="auto" w:val="clear"/>
          </w:tcPr>
          <w:p>
            <w:pPr>
              <w:pStyle w:val="TableContents"/>
              <w:spacing w:before="0" w:after="283"/>
              <w:jc w:val="left"/>
              <w:rPr/>
            </w:pPr>
            <w:r>
              <w:rPr/>
              <w:t xml:space="preserve">Provided that the Effective Date occurs, the Parties agreed to amend the Facility Agreement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5" w:type="dxa"/>
            <w:tcBorders/>
            <w:shd w:fill="auto" w:val="clear"/>
          </w:tcPr>
          <w:p>
            <w:pPr>
              <w:pStyle w:val="TableContents"/>
              <w:spacing w:before="0" w:after="283"/>
              <w:jc w:val="left"/>
              <w:rPr/>
            </w:pPr>
            <w:r>
              <w:rPr/>
              <w:t>to exclude sub-Clause (d) (</w:t>
            </w:r>
            <w:r>
              <w:rPr>
                <w:i/>
              </w:rPr>
              <w:t>Deed of Pledge of Zemenik Trading</w:t>
            </w:r>
            <w:r>
              <w:rPr/>
              <w:t>) from the definition of the term “Deed of Pledge” in Clause 1.1 (</w:t>
            </w:r>
            <w:r>
              <w:rPr>
                <w:i/>
              </w:rPr>
              <w:t>Terms</w:t>
            </w:r>
            <w:r>
              <w:rPr/>
              <w:t xml:space="preserve">) of the Facility Agreement and to read sub-Clause (e) as sub-Clause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to change the definition of the term “Deed of Pledge of Zemenik Trading” in Clause 1.1 (</w:t>
            </w:r>
            <w:r>
              <w:rPr>
                <w:i/>
              </w:rPr>
              <w:t>Terms</w:t>
            </w:r>
            <w:r>
              <w:rPr/>
              <w:t xml:space="preserve">) of the Facility Agreement by adding at the end of the definition: </w:t>
            </w:r>
          </w:p>
        </w:tc>
      </w:tr>
    </w:tbl>
    <w:p>
      <w:pPr>
        <w:pStyle w:val="TextBody"/>
        <w:spacing w:before="120" w:after="0"/>
        <w:rPr/>
      </w:pPr>
      <w:r>
        <w:rPr/>
        <w:t>“</w:t>
      </w:r>
      <w:r>
        <w:rPr>
          <w:rFonts w:ascii="Times New Roman" w:hAnsi="Times New Roman"/>
          <w:sz w:val="20"/>
        </w:rPr>
        <w:t xml:space="preserve">terminated as the result of conclusion between the parties of the respective deed of pledge termination on the date of Amendment Agreement No. 4”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7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5" w:type="dxa"/>
            <w:tcBorders/>
            <w:shd w:fill="auto" w:val="clear"/>
          </w:tcPr>
          <w:p>
            <w:pPr>
              <w:pStyle w:val="TableContents"/>
              <w:spacing w:before="0" w:after="283"/>
              <w:jc w:val="left"/>
              <w:rPr/>
            </w:pPr>
            <w:r>
              <w:rPr/>
              <w:t>to supplement Clause 1.1 (</w:t>
            </w:r>
            <w:r>
              <w:rPr>
                <w:i/>
              </w:rPr>
              <w:t>Terms</w:t>
            </w:r>
            <w:r>
              <w:rPr/>
              <w:t xml:space="preserve">) of the Facility Agreement with the term “Unlimited Guarantee” (after the definition of the term “Undrawn Facility Limit”) as follows: </w:t>
            </w:r>
          </w:p>
        </w:tc>
      </w:tr>
    </w:tbl>
    <w:p>
      <w:pPr>
        <w:pStyle w:val="TextBody"/>
        <w:spacing w:before="120" w:after="0"/>
        <w:rPr/>
      </w:pPr>
      <w:r>
        <w:rPr/>
        <w:t>“</w:t>
      </w:r>
      <w:r>
        <w:rPr>
          <w:rFonts w:ascii="Times New Roman" w:hAnsi="Times New Roman"/>
          <w:b/>
          <w:sz w:val="20"/>
        </w:rPr>
        <w:t>Unlimited Guarantee</w:t>
      </w:r>
      <w:r>
        <w:rPr>
          <w:rFonts w:ascii="Times New Roman" w:hAnsi="Times New Roman"/>
          <w:sz w:val="20"/>
        </w:rPr>
        <w:t xml:space="preserve"> shall have the meaning assigned to this term in Amendment Agreement No. 4.”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to supplement Clause 1.1 (</w:t>
            </w:r>
            <w:r>
              <w:rPr>
                <w:i/>
              </w:rPr>
              <w:t>Terms</w:t>
            </w:r>
            <w:r>
              <w:rPr/>
              <w:t xml:space="preserve">) of the Facility Agreement with the term “Amendment Agreement No. 4” (after the definition of the term “Amendment Agreement No. 3”) as follows: </w:t>
            </w:r>
          </w:p>
        </w:tc>
      </w:tr>
    </w:tbl>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 xml:space="preserve">4 </w:t>
      </w:r>
      <w:r>
        <w:rPr>
          <w:rFonts w:ascii="Times New Roman" w:hAnsi="Times New Roman"/>
          <w:sz w:val="20"/>
        </w:rPr>
        <w:t xml:space="preserve">shall mean amendment agreement No. 4 hereto dated December </w:t>
      </w:r>
      <w:r>
        <w:rPr>
          <w:rFonts w:ascii="Times New Roman" w:hAnsi="Times New Roman"/>
          <w:sz w:val="20"/>
          <w:u w:val="single"/>
        </w:rPr>
        <w:t>29</w:t>
      </w:r>
      <w:r>
        <w:rPr>
          <w:rFonts w:ascii="Times New Roman" w:hAnsi="Times New Roman"/>
          <w:sz w:val="20"/>
        </w:rPr>
        <w:t xml:space="preserve">, 2017.”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5" w:type="dxa"/>
            <w:tcBorders/>
            <w:shd w:fill="auto" w:val="clear"/>
          </w:tcPr>
          <w:p>
            <w:pPr>
              <w:pStyle w:val="TableContents"/>
              <w:spacing w:before="0" w:after="283"/>
              <w:jc w:val="left"/>
              <w:rPr/>
            </w:pPr>
            <w:r>
              <w:rPr/>
              <w:t>to amend paragraph (A) of sub-Clause (i) of the definition of “Financial Debt” in Clause 1.1 (</w:t>
            </w:r>
            <w:r>
              <w:rPr>
                <w:i/>
              </w:rPr>
              <w:t>Terms</w:t>
            </w:r>
            <w:r>
              <w:rPr/>
              <w:t xml:space="preserve">) of the Facility Agreement by adding at the end of the paragraph: </w:t>
            </w:r>
          </w:p>
        </w:tc>
      </w:tr>
    </w:tbl>
    <w:p>
      <w:pPr>
        <w:pStyle w:val="TextBody"/>
        <w:spacing w:before="120" w:after="0"/>
        <w:rPr/>
      </w:pPr>
      <w:r>
        <w:rPr/>
        <w:t>“</w:t>
      </w:r>
      <w:r>
        <w:rPr>
          <w:rFonts w:ascii="Times New Roman" w:hAnsi="Times New Roman"/>
          <w:sz w:val="20"/>
        </w:rPr>
        <w:t xml:space="preserve">, except for the Unlimited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8"/>
        <w:gridCol w:w="9189"/>
      </w:tblGrid>
      <w:tr>
        <w:trPr/>
        <w:tc>
          <w:tcPr>
            <w:tcW w:w="507"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(f)</w:t>
            </w:r>
          </w:p>
        </w:tc>
        <w:tc>
          <w:tcPr>
            <w:tcW w:w="9189" w:type="dxa"/>
            <w:tcBorders/>
            <w:shd w:fill="auto" w:val="clear"/>
          </w:tcPr>
          <w:p>
            <w:pPr>
              <w:pStyle w:val="TableContents"/>
              <w:spacing w:before="0" w:after="283"/>
              <w:jc w:val="left"/>
              <w:rPr/>
            </w:pPr>
            <w:r>
              <w:rPr/>
              <w:t>to read sub-Clause (b) of Clause 8.2 (</w:t>
            </w:r>
            <w:r>
              <w:rPr>
                <w:i/>
              </w:rPr>
              <w:t>Change of Control</w:t>
            </w:r>
            <w:r>
              <w:rPr/>
              <w:t xml:space="preserve">) of the Facility Agreement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w:t>
            </w:r>
            <w:r>
              <w:rPr/>
              <w:t>(b)</w:t>
            </w:r>
          </w:p>
        </w:tc>
        <w:tc>
          <w:tcPr>
            <w:tcW w:w="9186" w:type="dxa"/>
            <w:tcBorders/>
            <w:shd w:fill="auto" w:val="clear"/>
          </w:tcPr>
          <w:p>
            <w:pPr>
              <w:pStyle w:val="TableContents"/>
              <w:spacing w:before="0" w:after="283"/>
              <w:jc w:val="left"/>
              <w:rPr/>
            </w:pPr>
            <w:r>
              <w:rPr/>
              <w:t>For the purposes of sub-Clause (a) above and Clause 8.4 (</w:t>
            </w:r>
            <w:r>
              <w:rPr>
                <w:i/>
              </w:rPr>
              <w:t>Outstanding Facility Prepayment Fee</w:t>
            </w:r>
            <w:r>
              <w:rPr/>
              <w:t>), “</w:t>
            </w:r>
            <w:r>
              <w:rPr>
                <w:b/>
              </w:rPr>
              <w:t>Change of Control</w:t>
            </w:r>
            <w:r>
              <w:rPr/>
              <w:t xml:space="preserve">” shall mean (except for the changes permitted in compliance with the Finance Documents, including as the result of Permitted Payment or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09"/>
        <w:gridCol w:w="8576"/>
      </w:tblGrid>
      <w:tr>
        <w:trPr/>
        <w:tc>
          <w:tcPr>
            <w:tcW w:w="1019"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that the Beneficiaries lost the right which they had due to their direct or indirect participation in the charter capital of Zemenik Trading, on the basis of a written agreement, by virtue of law or otherwise, to exercise the voting right (or control exercise of the voting right) based on the share in the charter capital of Zemenik Trading at the level of more than 50% (Fifty percent) of the voting shares of Zemenik Trading;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1"/>
        <w:gridCol w:w="8573"/>
      </w:tblGrid>
      <w:tr>
        <w:trPr/>
        <w:tc>
          <w:tcPr>
            <w:tcW w:w="1020"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3" w:type="dxa"/>
            <w:tcBorders/>
            <w:shd w:fill="auto" w:val="clear"/>
          </w:tcPr>
          <w:p>
            <w:pPr>
              <w:pStyle w:val="TableContents"/>
              <w:spacing w:before="0" w:after="283"/>
              <w:jc w:val="left"/>
              <w:rPr/>
            </w:pPr>
            <w:r>
              <w:rPr/>
              <w:t xml:space="preserve">that the Beneficiaries stopped to jointly, directly or indirectly, own the share in the charter capital of Zemenik Trading at the level of more than 50% (Fifty percent) of the voting shares of Zemenik Trading;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that the Beneficiaries lost the right to appoint or dismiss (including by means of substitution) from their office the majority of the members of the managing bodies of Zemenik Trading. </w:t>
            </w:r>
          </w:p>
        </w:tc>
      </w:tr>
    </w:tbl>
    <w:p>
      <w:pPr>
        <w:pStyle w:val="TextBody"/>
        <w:spacing w:before="120" w:after="0"/>
        <w:rPr>
          <w:rFonts w:ascii="Times New Roman" w:hAnsi="Times New Roman"/>
          <w:sz w:val="20"/>
        </w:rPr>
      </w:pPr>
      <w:r>
        <w:rPr>
          <w:rFonts w:ascii="Times New Roman" w:hAnsi="Times New Roman"/>
          <w:sz w:val="20"/>
        </w:rPr>
        <w:t>For the purposes of this sub-Clause (b) “</w:t>
      </w:r>
      <w:r>
        <w:rPr>
          <w:rFonts w:ascii="Times New Roman" w:hAnsi="Times New Roman"/>
          <w:b/>
          <w:sz w:val="20"/>
        </w:rPr>
        <w:t>Beneficiary</w:t>
      </w:r>
      <w:r>
        <w:rPr>
          <w:rFonts w:ascii="Times New Roman" w:hAnsi="Times New Roman"/>
          <w:sz w:val="20"/>
        </w:rPr>
        <w:t xml:space="preserve">” shall mean: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Elbrus Capital Fund II, L.P. (registration number 63023, registered address: 190 Elgin Avenue, KY1-9005 George Town, Grand Cayman, Cayman Islands)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Elbrus Capital Fund II B, L.P. (registration number 68103, registered address: 190 Elgin Avenue, KY1-9005 George Town, Grand Cayman, Cayman Islands);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(iv)</w:t>
            </w:r>
          </w:p>
        </w:tc>
        <w:tc>
          <w:tcPr>
            <w:tcW w:w="8574" w:type="dxa"/>
            <w:tcBorders/>
            <w:shd w:fill="auto" w:val="clear"/>
          </w:tcPr>
          <w:p>
            <w:pPr>
              <w:pStyle w:val="TableContents"/>
              <w:spacing w:before="0" w:after="283"/>
              <w:jc w:val="left"/>
              <w:rPr/>
            </w:pPr>
            <w:r>
              <w:rPr/>
              <w:t xml:space="preserve">Goldman Sachs Group, Inc. (registration number 2923466, registered address: 1209 Orange Street, Wilmington, Delaware 19801, United States of America).”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(g)</w:t>
            </w:r>
          </w:p>
        </w:tc>
        <w:tc>
          <w:tcPr>
            <w:tcW w:w="9187" w:type="dxa"/>
            <w:tcBorders/>
            <w:shd w:fill="auto" w:val="clear"/>
          </w:tcPr>
          <w:p>
            <w:pPr>
              <w:pStyle w:val="TableContents"/>
              <w:spacing w:before="0" w:after="283"/>
              <w:jc w:val="left"/>
              <w:rPr/>
            </w:pPr>
            <w:r>
              <w:rPr/>
              <w:t>to amend sub-Clause (b) of Clause 21.5 (</w:t>
            </w:r>
            <w:r>
              <w:rPr>
                <w:i/>
              </w:rPr>
              <w:t>Breach of Obligations to Third Parties</w:t>
            </w:r>
            <w:r>
              <w:rPr/>
              <w:t xml:space="preserve">) of the Facility Agreement by inserting the following wording at the end of the abovementioned sub-Clause: </w:t>
            </w:r>
          </w:p>
        </w:tc>
      </w:tr>
    </w:tbl>
    <w:p>
      <w:pPr>
        <w:pStyle w:val="TextBody"/>
        <w:spacing w:before="120" w:after="0"/>
        <w:rPr/>
      </w:pPr>
      <w:r>
        <w:rPr/>
        <w:t>“</w:t>
      </w:r>
      <w:r>
        <w:rPr>
          <w:rFonts w:ascii="Times New Roman" w:hAnsi="Times New Roman"/>
          <w:sz w:val="20"/>
        </w:rPr>
        <w:t xml:space="preserve">or a claim under the Unlimited Guarantee is brought against Zemenik Trading.”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3.2</w:t>
            </w:r>
          </w:p>
        </w:tc>
        <w:tc>
          <w:tcPr>
            <w:tcW w:w="9696" w:type="dxa"/>
            <w:tcBorders/>
            <w:shd w:fill="auto" w:val="clear"/>
          </w:tcPr>
          <w:p>
            <w:pPr>
              <w:pStyle w:val="TableContents"/>
              <w:spacing w:before="0" w:after="283"/>
              <w:jc w:val="left"/>
              <w:rPr/>
            </w:pPr>
            <w:r>
              <w:rPr/>
              <w:t xml:space="preserve">The Parties agreed that the amendments and supplements stipulated by Clause 3.1 above shall be deemed effective from the Effective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3.3</w:t>
            </w:r>
          </w:p>
        </w:tc>
        <w:tc>
          <w:tcPr>
            <w:tcW w:w="9695" w:type="dxa"/>
            <w:tcBorders/>
            <w:shd w:fill="auto" w:val="clear"/>
          </w:tcPr>
          <w:p>
            <w:pPr>
              <w:pStyle w:val="TableContents"/>
              <w:spacing w:before="0" w:after="283"/>
              <w:jc w:val="left"/>
              <w:rPr/>
            </w:pPr>
            <w:r>
              <w:rPr/>
              <w:t xml:space="preserve">The Parties agreed that if the Effective Date does not occur before the Final Effective Date (inclusively), the effect of Clause 3.1 above shall be automatically terminated on the date following the Final Effective Date and the respective amendments and supplements shall not be effective.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8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3.4</w:t>
            </w:r>
          </w:p>
        </w:tc>
        <w:tc>
          <w:tcPr>
            <w:tcW w:w="9696" w:type="dxa"/>
            <w:tcBorders/>
            <w:shd w:fill="auto" w:val="clear"/>
          </w:tcPr>
          <w:p>
            <w:pPr>
              <w:pStyle w:val="TableContents"/>
              <w:spacing w:before="0" w:after="283"/>
              <w:jc w:val="left"/>
              <w:rPr/>
            </w:pPr>
            <w:r>
              <w:rPr/>
              <w:t xml:space="preserve">For the avoidance of doubt, for the purposes of calculation of time periods stipulated in the Facility Agreement, the Parties hereby agree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510"/>
        <w:gridCol w:w="8878"/>
      </w:tblGrid>
      <w:tr>
        <w:trPr/>
        <w:tc>
          <w:tcPr>
            <w:tcW w:w="816"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878" w:type="dxa"/>
            <w:tcBorders/>
            <w:shd w:fill="auto" w:val="clear"/>
          </w:tcPr>
          <w:p>
            <w:pPr>
              <w:pStyle w:val="TableContents"/>
              <w:spacing w:before="0" w:after="283"/>
              <w:jc w:val="left"/>
              <w:rPr/>
            </w:pPr>
            <w:r>
              <w:rPr/>
              <w:t xml:space="preserve">the Final Repayment Date for the Tranche C and 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507"/>
        <w:gridCol w:w="8883"/>
      </w:tblGrid>
      <w:tr>
        <w:trPr/>
        <w:tc>
          <w:tcPr>
            <w:tcW w:w="814" w:type="dxa"/>
            <w:tcBorders/>
            <w:shd w:fill="auto" w:val="clear"/>
            <w:vAlign w:val="center"/>
          </w:tcPr>
          <w:p>
            <w:pPr>
              <w:pStyle w:val="TableContents"/>
              <w:spacing w:before="0" w:after="283"/>
              <w:rPr/>
            </w:pPr>
            <w:r>
              <w:rPr/>
              <w:t> </w:t>
            </w:r>
          </w:p>
        </w:tc>
        <w:tc>
          <w:tcPr>
            <w:tcW w:w="507" w:type="dxa"/>
            <w:tcBorders/>
            <w:shd w:fill="auto" w:val="clear"/>
          </w:tcPr>
          <w:p>
            <w:pPr>
              <w:pStyle w:val="TableContents"/>
              <w:spacing w:before="0" w:after="283"/>
              <w:jc w:val="left"/>
              <w:rPr/>
            </w:pPr>
            <w:r>
              <w:rPr/>
              <w:t>b)</w:t>
            </w:r>
          </w:p>
        </w:tc>
        <w:tc>
          <w:tcPr>
            <w:tcW w:w="8883" w:type="dxa"/>
            <w:tcBorders/>
            <w:shd w:fill="auto" w:val="clear"/>
          </w:tcPr>
          <w:p>
            <w:pPr>
              <w:pStyle w:val="TableContents"/>
              <w:spacing w:before="0" w:after="283"/>
              <w:jc w:val="left"/>
              <w:rPr/>
            </w:pPr>
            <w:r>
              <w:rPr/>
              <w:t xml:space="preserve">the date falling 60 months after the date of the Amendment Agreement No.3 to the Facility Agreement </w:t>
            </w:r>
          </w:p>
        </w:tc>
      </w:tr>
    </w:tbl>
    <w:p>
      <w:pPr>
        <w:pStyle w:val="TextBody"/>
        <w:spacing w:before="120" w:after="0"/>
        <w:rPr>
          <w:rFonts w:ascii="Times New Roman" w:hAnsi="Times New Roman"/>
          <w:sz w:val="20"/>
        </w:rPr>
      </w:pPr>
      <w:r>
        <w:rPr>
          <w:rFonts w:ascii="Times New Roman" w:hAnsi="Times New Roman"/>
          <w:sz w:val="20"/>
        </w:rPr>
        <w:t xml:space="preserve">occur on the same date, with such date being 5 October 2022.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4.</w:t>
            </w:r>
          </w:p>
        </w:tc>
        <w:tc>
          <w:tcPr>
            <w:tcW w:w="9697" w:type="dxa"/>
            <w:tcBorders/>
            <w:shd w:fill="auto" w:val="clear"/>
          </w:tcPr>
          <w:p>
            <w:pPr>
              <w:pStyle w:val="TableContents"/>
              <w:spacing w:before="0" w:after="283"/>
              <w:jc w:val="left"/>
              <w:rPr/>
            </w:pPr>
            <w:r>
              <w:rPr>
                <w:b/>
              </w:rPr>
              <w:t>AMENDMENTS TO AMENDMENT AGREEMENT NO.</w:t>
            </w:r>
            <w:r>
              <w:rPr/>
              <w:t> </w:t>
            </w:r>
            <w:r>
              <w:rPr>
                <w:b/>
              </w:rPr>
              <w:t>2</w:t>
            </w:r>
            <w:r>
              <w:rPr/>
              <w:t xml:space="preserve"> </w:t>
            </w:r>
          </w:p>
        </w:tc>
      </w:tr>
    </w:tbl>
    <w:p>
      <w:pPr>
        <w:pStyle w:val="TextBody"/>
        <w:spacing w:before="120" w:after="0"/>
        <w:rPr>
          <w:rFonts w:ascii="Times New Roman" w:hAnsi="Times New Roman"/>
          <w:sz w:val="20"/>
        </w:rPr>
      </w:pPr>
      <w:r>
        <w:rPr>
          <w:rFonts w:ascii="Times New Roman" w:hAnsi="Times New Roman"/>
          <w:sz w:val="20"/>
        </w:rPr>
        <w:t>The Parties agreed to excluded paragraphs (c) and (d) of sub-Clause 3.1 of Clause 3 (</w:t>
      </w:r>
      <w:r>
        <w:rPr>
          <w:rFonts w:ascii="Times New Roman" w:hAnsi="Times New Roman"/>
          <w:i/>
          <w:sz w:val="20"/>
        </w:rPr>
        <w:t>Consent to Reorganization</w:t>
      </w:r>
      <w:r>
        <w:rPr>
          <w:rFonts w:ascii="Times New Roman" w:hAnsi="Times New Roman"/>
          <w:sz w:val="20"/>
        </w:rPr>
        <w:t xml:space="preserve">) of Amendment Agreement No. 2 from the date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pPr>
            <w:r>
              <w:rPr/>
              <w:t>5.</w:t>
            </w:r>
          </w:p>
        </w:tc>
        <w:tc>
          <w:tcPr>
            <w:tcW w:w="9698"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The binding nature of consents, amendments and supplements stipulated by Clause 2 (</w:t>
            </w:r>
            <w:r>
              <w:rPr>
                <w:i/>
              </w:rPr>
              <w:t>Consents</w:t>
            </w:r>
            <w:r>
              <w:rPr/>
              <w:t>) and Clause 3 (</w:t>
            </w:r>
            <w:r>
              <w:rPr>
                <w:i/>
              </w:rPr>
              <w:t>Amendments to the Facility Agreement</w:t>
            </w:r>
            <w:r>
              <w:rPr/>
              <w:t xml:space="preserve">) shall be conditional (as stipulated by Article 3271 of the Civil Code) upon provision by the Borrower to the Facility Agent of the documents and information set forth in Appendix </w:t>
            </w:r>
            <w:r>
              <w:rPr/>
              <w:drawing>
                <wp:inline distT="0" distB="0" distL="0" distR="0">
                  <wp:extent cx="885825" cy="1714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link="rId13"/>
                          <a:stretch>
                            <a:fillRect/>
                          </a:stretch>
                        </pic:blipFill>
                        <pic:spPr bwMode="auto">
                          <a:xfrm>
                            <a:off x="0" y="0"/>
                            <a:ext cx="885825" cy="171450"/>
                          </a:xfrm>
                          <a:prstGeom prst="rect">
                            <a:avLst/>
                          </a:prstGeom>
                          <a:noFill/>
                          <a:ln w="9525">
                            <a:noFill/>
                            <a:miter lim="800000"/>
                            <a:headEnd/>
                            <a:tailEnd/>
                          </a:ln>
                        </pic:spPr>
                      </pic:pic>
                    </a:graphicData>
                  </a:graphic>
                </wp:inline>
              </w:drawing>
            </w:r>
            <w:r>
              <w:rPr/>
              <w:t xml:space="preserve"> 1 (</w:t>
            </w:r>
            <w:r>
              <w:rPr>
                <w:i/>
              </w:rPr>
              <w:t>Conditions Precedent</w:t>
            </w:r>
            <w:r>
              <w:rPr/>
              <w:t xml:space="preserve">), in the form satisfactory for the Facility Agent, while the corporate approvals and powers of attorney shall be mandatory provided in the form of original or notarized copy. A date on which the Facility Agent confirmed to the Lenders and the Borrower that it received such documents, information and confirmations shall be the </w:t>
            </w:r>
            <w:r>
              <w:rPr>
                <w:b/>
              </w:rPr>
              <w:t>Effective Date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4" w:type="dxa"/>
            <w:tcBorders/>
            <w:shd w:fill="auto" w:val="clear"/>
          </w:tcPr>
          <w:p>
            <w:pPr>
              <w:pStyle w:val="TableContents"/>
              <w:spacing w:before="0" w:after="283"/>
              <w:jc w:val="left"/>
              <w:rPr/>
            </w:pPr>
            <w:r>
              <w:rPr/>
              <w:t>Amendments and supplements introduced into the Facility Agreement and Amendment Agreement No. 2 in compliance with this Agreement shall be limited to the amendments and supplements set forth in Clause 3 (</w:t>
            </w:r>
            <w:r>
              <w:rPr>
                <w:i/>
              </w:rPr>
              <w:t>Amendments</w:t>
            </w:r>
            <w:r>
              <w:rPr/>
              <w:t xml:space="preserve"> </w:t>
            </w:r>
            <w:r>
              <w:rPr>
                <w:i/>
              </w:rPr>
              <w:t>to the Facility Agreement</w:t>
            </w:r>
            <w:r>
              <w:rPr/>
              <w:t>) and Clause 4 (</w:t>
            </w:r>
            <w:r>
              <w:rPr>
                <w:i/>
              </w:rPr>
              <w:t>Amendments to Amendment Agreement No.</w:t>
            </w:r>
            <w:r>
              <w:rPr/>
              <w:t> </w:t>
            </w:r>
            <w:r>
              <w:rPr>
                <w:i/>
              </w:rPr>
              <w:t>2</w:t>
            </w:r>
            <w:r>
              <w:rPr/>
              <w:t>), respectively. Any other provisions of the Facility Agreement (except for those specified in Clause 3 (</w:t>
            </w:r>
            <w:r>
              <w:rPr>
                <w:i/>
              </w:rPr>
              <w:t>Amendments</w:t>
            </w:r>
            <w:r>
              <w:rPr/>
              <w:t xml:space="preserve"> </w:t>
            </w:r>
            <w:r>
              <w:rPr>
                <w:i/>
              </w:rPr>
              <w:t>to the Facility Agreement</w:t>
            </w:r>
            <w:r>
              <w:rPr/>
              <w:t>) and Clause 4 (</w:t>
            </w:r>
            <w:r>
              <w:rPr>
                <w:i/>
              </w:rPr>
              <w:t>Amendments to Amendment Agreement No.</w:t>
            </w:r>
            <w:r>
              <w:rPr/>
              <w:t> </w:t>
            </w:r>
            <w:r>
              <w:rPr>
                <w:i/>
              </w:rPr>
              <w:t>2</w:t>
            </w:r>
            <w:r>
              <w:rPr/>
              <w:t xml:space="preserve">)) shall not be amended and supplemented by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6" w:type="dxa"/>
            <w:tcBorders/>
            <w:shd w:fill="auto" w:val="clear"/>
          </w:tcPr>
          <w:p>
            <w:pPr>
              <w:pStyle w:val="TableContents"/>
              <w:spacing w:before="0" w:after="283"/>
              <w:jc w:val="left"/>
              <w:rPr/>
            </w:pPr>
            <w:r>
              <w:rPr/>
              <w:t xml:space="preserve">Nothing in this Agreement shall affect the rights of Finance Parties or shall be considered as waiver of rights in respect of Default on which the Borrower failed to notify before the date of this Agreement or which occurs after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(d)</w:t>
            </w:r>
          </w:p>
        </w:tc>
        <w:tc>
          <w:tcPr>
            <w:tcW w:w="9185" w:type="dxa"/>
            <w:tcBorders/>
            <w:shd w:fill="auto" w:val="clear"/>
          </w:tcPr>
          <w:p>
            <w:pPr>
              <w:pStyle w:val="TableContents"/>
              <w:spacing w:before="0" w:after="283"/>
              <w:jc w:val="left"/>
              <w:rPr/>
            </w:pPr>
            <w:r>
              <w:rPr/>
              <w:t>This Agreement shall not release the Borrower from any obligations stipulated by the Facility Agreement except for the cases directly envisaged by Clause 2 (</w:t>
            </w:r>
            <w:r>
              <w:rPr>
                <w:i/>
              </w:rPr>
              <w:t>Consents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6.</w:t>
            </w:r>
          </w:p>
        </w:tc>
        <w:tc>
          <w:tcPr>
            <w:tcW w:w="9696" w:type="dxa"/>
            <w:tcBorders/>
            <w:shd w:fill="auto" w:val="clear"/>
          </w:tcPr>
          <w:p>
            <w:pPr>
              <w:pStyle w:val="TableContents"/>
              <w:spacing w:before="0" w:after="283"/>
              <w:jc w:val="left"/>
              <w:rPr/>
            </w:pPr>
            <w:r>
              <w:rPr>
                <w:b/>
              </w:rPr>
              <w:t>ADDITIONAL UNDERTAKINGS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6.1. If the Placement does not take place before December 30, 2018, the Borrower undertakes, by March 31, 2019: </w:t>
      </w:r>
    </w:p>
    <w:p>
      <w:pPr>
        <w:pStyle w:val="TextBody"/>
        <w:spacing w:before="120" w:after="0"/>
        <w:rPr>
          <w:rFonts w:ascii="Times New Roman" w:hAnsi="Times New Roman"/>
          <w:sz w:val="20"/>
        </w:rPr>
      </w:pPr>
      <w:r>
        <w:rPr>
          <w:rFonts w:ascii="Times New Roman" w:hAnsi="Times New Roman"/>
          <w:sz w:val="20"/>
        </w:rPr>
        <w:t xml:space="preserve">(a) to provide for execution of the deed of pledge of 100% (One hundred percent) of shares of Zemenik Trading (subject to splitting or additional issue of shares, if applicable) in favor of the Facility Agent in the form and contents similar to the Deeds of Pledge of Zemenik Trading; and </w:t>
      </w:r>
    </w:p>
    <w:p>
      <w:pPr>
        <w:pStyle w:val="TextBody"/>
        <w:spacing w:before="120" w:after="0"/>
        <w:rPr>
          <w:rFonts w:ascii="Times New Roman" w:hAnsi="Times New Roman"/>
          <w:sz w:val="20"/>
        </w:rPr>
      </w:pPr>
      <w:r>
        <w:rPr>
          <w:rFonts w:ascii="Times New Roman" w:hAnsi="Times New Roman"/>
          <w:sz w:val="20"/>
        </w:rPr>
        <w:t xml:space="preserve">(b) to provide for submission by Zemenik Trading to the Facility Agent of evidence of termination of the Unlimited Guarantee or a written confirmation in the form acceptable for the Facility Agent that the Unlimited Guarantee was not issued.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9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7.</w:t>
            </w:r>
          </w:p>
        </w:tc>
        <w:tc>
          <w:tcPr>
            <w:tcW w:w="9697" w:type="dxa"/>
            <w:tcBorders/>
            <w:shd w:fill="auto" w:val="clear"/>
          </w:tcPr>
          <w:p>
            <w:pPr>
              <w:pStyle w:val="TableContents"/>
              <w:spacing w:before="0" w:after="283"/>
              <w:jc w:val="left"/>
              <w:rPr/>
            </w:pPr>
            <w:r>
              <w:rPr>
                <w:b/>
              </w:rPr>
              <w:t>FEE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7.1. The Borrower shall, not later than on the Final Effective Date, pay to the Facility Agent (for payment to the Lenders) the fee for issue of consents and introduction of amendments into the Facility Agreement as stipulated by this Agreement in the amount of USD 300,000. </w:t>
      </w:r>
    </w:p>
    <w:p>
      <w:pPr>
        <w:pStyle w:val="TextBody"/>
        <w:spacing w:before="120" w:after="0"/>
        <w:rPr>
          <w:rFonts w:ascii="Times New Roman" w:hAnsi="Times New Roman"/>
          <w:sz w:val="20"/>
        </w:rPr>
      </w:pPr>
      <w:r>
        <w:rPr>
          <w:rFonts w:ascii="Times New Roman" w:hAnsi="Times New Roman"/>
          <w:sz w:val="20"/>
        </w:rPr>
        <w:t xml:space="preserve">7.2. The fee set forth in Clause 7.1 above shall not be refunded to the Borrower.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8.</w:t>
            </w:r>
          </w:p>
        </w:tc>
        <w:tc>
          <w:tcPr>
            <w:tcW w:w="9695"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The Borrower shall make representations to each Finance Party on the circumstances stated in Clause 16 (</w:t>
            </w:r>
            <w:r>
              <w:rPr>
                <w:i/>
              </w:rPr>
              <w:t>Representations on Circumstances</w:t>
            </w:r>
            <w:r>
              <w:rPr/>
              <w:t xml:space="preserve">) of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The representations on circumstances specified in sub-Clause (a) above shall be made by the Borrower on the date of this Agreement with reference to the circumstances existing on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References to the representations on circumstances made in compliance with sub-Clause (a) above to the Facility Agreement and the Finance Documents shall include the references to this Agreement as well.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9.</w:t>
            </w:r>
          </w:p>
        </w:tc>
        <w:tc>
          <w:tcPr>
            <w:tcW w:w="9695" w:type="dxa"/>
            <w:tcBorders/>
            <w:shd w:fill="auto" w:val="clear"/>
          </w:tcPr>
          <w:p>
            <w:pPr>
              <w:pStyle w:val="TableContents"/>
              <w:spacing w:before="0" w:after="283"/>
              <w:jc w:val="left"/>
              <w:rPr/>
            </w:pPr>
            <w:r>
              <w:rPr>
                <w:b/>
              </w:rPr>
              <w:t>SUBSEQUENT CONDITIONS</w:t>
            </w:r>
            <w:r>
              <w:rPr/>
              <w:t xml:space="preserve"> </w:t>
            </w:r>
          </w:p>
        </w:tc>
      </w:tr>
    </w:tbl>
    <w:p>
      <w:pPr>
        <w:pStyle w:val="TextBody"/>
        <w:spacing w:before="120" w:after="0"/>
        <w:rPr>
          <w:rFonts w:ascii="Times New Roman" w:hAnsi="Times New Roman"/>
          <w:sz w:val="20"/>
        </w:rPr>
      </w:pPr>
      <w:r>
        <w:rPr>
          <w:rFonts w:ascii="Times New Roman" w:hAnsi="Times New Roman"/>
          <w:sz w:val="20"/>
        </w:rPr>
        <w:t>The Borrower shall, within 60 (Sixty) days from the date of this Agreement, provide to the Facility Agent with the notarized translations into Russian of the documents listed in Appendix 1(</w:t>
      </w:r>
      <w:r>
        <w:rPr>
          <w:rFonts w:ascii="Times New Roman" w:hAnsi="Times New Roman"/>
          <w:i/>
          <w:sz w:val="20"/>
        </w:rPr>
        <w:t>Conditions Precedent</w:t>
      </w:r>
      <w:r>
        <w:rPr>
          <w:rFonts w:ascii="Times New Roman" w:hAnsi="Times New Roman"/>
          <w:sz w:val="20"/>
        </w:rPr>
        <w:t xml:space="preserve">) which have been executed in a foreign language and provided with apostille.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10.</w:t>
            </w:r>
          </w:p>
        </w:tc>
        <w:tc>
          <w:tcPr>
            <w:tcW w:w="9695" w:type="dxa"/>
            <w:tcBorders/>
            <w:shd w:fill="auto" w:val="clear"/>
          </w:tcPr>
          <w:p>
            <w:pPr>
              <w:pStyle w:val="TableContents"/>
              <w:spacing w:before="0" w:after="283"/>
              <w:jc w:val="left"/>
              <w:rPr/>
            </w:pPr>
            <w:r>
              <w:rPr>
                <w:b/>
              </w:rPr>
              <w:t>GOVERNING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in compliance with the legislation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11.</w:t>
            </w:r>
          </w:p>
        </w:tc>
        <w:tc>
          <w:tcPr>
            <w:tcW w:w="9695" w:type="dxa"/>
            <w:tcBorders/>
            <w:shd w:fill="auto" w:val="clear"/>
          </w:tcPr>
          <w:p>
            <w:pPr>
              <w:pStyle w:val="TableContents"/>
              <w:spacing w:before="0" w:after="283"/>
              <w:jc w:val="left"/>
              <w:rPr/>
            </w:pPr>
            <w:r>
              <w:rPr>
                <w:b/>
              </w:rPr>
              <w:t>DISPUTE RESOLUTION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Any dispute in connection with this Agreement, including that related to construction of its provisions, its existence, validity or termination, shall be subject to extra-judicial settlement by one of the Parties sending the respective claim (demand) to the another Party. If the Party does not receive a response to the claim (demand) sent and the dispute is not settled within 10 (Ten) Business Days from the date of receipt of the respective claim (Demand) by the other Party, such dispute may be transferred for consideration to court in compliance with 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Subject to the provisions of Clause (a) above, in case of any dispute in connection with this Agreement, including that related to construction of its provisions, its existence, validity or termination, such dispute shall be settled by the Arbitration Court of Moscow.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12.</w:t>
            </w:r>
          </w:p>
        </w:tc>
        <w:tc>
          <w:tcPr>
            <w:tcW w:w="9696"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shall be signed by the Parties in 3 (Three) original copies being of equal legal force in the form of one document. </w:t>
      </w:r>
    </w:p>
    <w:p>
      <w:pPr>
        <w:pStyle w:val="TextBody"/>
        <w:spacing w:before="240" w:after="0"/>
        <w:rPr>
          <w:rFonts w:ascii="Times New Roman" w:hAnsi="Times New Roman"/>
          <w:sz w:val="20"/>
        </w:rPr>
      </w:pPr>
      <w:r>
        <w:rPr>
          <w:rFonts w:ascii="Times New Roman" w:hAnsi="Times New Roman"/>
          <w:sz w:val="20"/>
        </w:rPr>
        <w:t xml:space="preserve">This Agreement is concluded on the date first written above.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10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240" w:after="0"/>
        <w:jc w:val="center"/>
        <w:rPr>
          <w:rFonts w:ascii="Times New Roman" w:hAnsi="Times New Roman"/>
          <w:b/>
          <w:sz w:val="20"/>
        </w:rPr>
      </w:pPr>
      <w:r>
        <w:rPr>
          <w:rFonts w:ascii="Times New Roman" w:hAnsi="Times New Roman"/>
          <w:b/>
          <w:sz w:val="20"/>
        </w:rPr>
        <w:t xml:space="preserve">CONDITIONS PRECEDENT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1.</w:t>
            </w:r>
          </w:p>
        </w:tc>
        <w:tc>
          <w:tcPr>
            <w:tcW w:w="9697" w:type="dxa"/>
            <w:tcBorders/>
            <w:shd w:fill="auto" w:val="clear"/>
          </w:tcPr>
          <w:p>
            <w:pPr>
              <w:pStyle w:val="TableContents"/>
              <w:spacing w:before="0" w:after="283"/>
              <w:jc w:val="left"/>
              <w:rPr/>
            </w:pPr>
            <w:r>
              <w:rPr>
                <w:b/>
              </w:rPr>
              <w:t>New Finance Documents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1.1</w:t>
            </w:r>
          </w:p>
        </w:tc>
        <w:tc>
          <w:tcPr>
            <w:tcW w:w="9695" w:type="dxa"/>
            <w:tcBorders/>
            <w:shd w:fill="auto" w:val="clear"/>
          </w:tcPr>
          <w:p>
            <w:pPr>
              <w:pStyle w:val="TableContents"/>
              <w:spacing w:before="0" w:after="283"/>
              <w:jc w:val="left"/>
              <w:rPr/>
            </w:pPr>
            <w:r>
              <w:rPr/>
              <w:t xml:space="preserve">This Agreement duly executed by each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1.2</w:t>
            </w:r>
          </w:p>
        </w:tc>
        <w:tc>
          <w:tcPr>
            <w:tcW w:w="9694" w:type="dxa"/>
            <w:tcBorders/>
            <w:shd w:fill="auto" w:val="clear"/>
          </w:tcPr>
          <w:p>
            <w:pPr>
              <w:pStyle w:val="TableContents"/>
              <w:spacing w:before="0" w:after="283"/>
              <w:jc w:val="left"/>
              <w:rPr/>
            </w:pPr>
            <w:r>
              <w:rPr/>
              <w:t xml:space="preserve">Supplementary Agreement to Deed on Issue of Independent Guarantee duly executed between the Borrower, the Facility Agent and Zemenik Trading.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1.3</w:t>
            </w:r>
          </w:p>
        </w:tc>
        <w:tc>
          <w:tcPr>
            <w:tcW w:w="9696" w:type="dxa"/>
            <w:tcBorders/>
            <w:shd w:fill="auto" w:val="clear"/>
          </w:tcPr>
          <w:p>
            <w:pPr>
              <w:pStyle w:val="TableContents"/>
              <w:spacing w:before="0" w:after="283"/>
              <w:jc w:val="left"/>
              <w:rPr/>
            </w:pPr>
            <w:r>
              <w:rPr/>
              <w:t xml:space="preserve">A letter of consent to the Deed of Pledge of the Borrower and the Independent Guarantee of Zemenik Trading in the form acceptable to the Facility Agent duly executed by Zemenik Trading.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1.4</w:t>
            </w:r>
          </w:p>
        </w:tc>
        <w:tc>
          <w:tcPr>
            <w:tcW w:w="9696" w:type="dxa"/>
            <w:tcBorders/>
            <w:shd w:fill="auto" w:val="clear"/>
          </w:tcPr>
          <w:p>
            <w:pPr>
              <w:pStyle w:val="TableContents"/>
              <w:spacing w:before="0" w:after="283"/>
              <w:jc w:val="left"/>
              <w:rPr/>
            </w:pPr>
            <w:r>
              <w:rPr/>
              <w:t xml:space="preserve">A letter of consent to the Deed of Pledge of Headhunter and the Independent Guarantee of HeadHunter FSU in the form acceptable to the Facility Agent duly executed by HeadHunter FSU.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1.5</w:t>
            </w:r>
          </w:p>
        </w:tc>
        <w:tc>
          <w:tcPr>
            <w:tcW w:w="9694" w:type="dxa"/>
            <w:tcBorders/>
            <w:shd w:fill="auto" w:val="clear"/>
          </w:tcPr>
          <w:p>
            <w:pPr>
              <w:pStyle w:val="TableContents"/>
              <w:spacing w:before="0" w:after="283"/>
              <w:jc w:val="left"/>
              <w:rPr/>
            </w:pPr>
            <w:r>
              <w:rPr/>
              <w:t xml:space="preserve">A letter of consent to the Independent Guarantee of HeadHunter in the form acceptable to the Facility Agent duly executed by HeadHunter.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1.6</w:t>
            </w:r>
          </w:p>
        </w:tc>
        <w:tc>
          <w:tcPr>
            <w:tcW w:w="9695" w:type="dxa"/>
            <w:tcBorders/>
            <w:shd w:fill="auto" w:val="clear"/>
          </w:tcPr>
          <w:p>
            <w:pPr>
              <w:pStyle w:val="TableContents"/>
              <w:spacing w:before="0" w:after="283"/>
              <w:jc w:val="left"/>
              <w:rPr/>
            </w:pPr>
            <w:r>
              <w:rPr/>
              <w:t xml:space="preserve">A letter of confirmation in respect of obligations of the Borrower under the Deed of Pledge of HeadHunter FSU duly executed by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1.7</w:t>
            </w:r>
          </w:p>
        </w:tc>
        <w:tc>
          <w:tcPr>
            <w:tcW w:w="9695" w:type="dxa"/>
            <w:tcBorders/>
            <w:shd w:fill="auto" w:val="clear"/>
          </w:tcPr>
          <w:p>
            <w:pPr>
              <w:pStyle w:val="TableContents"/>
              <w:spacing w:before="0" w:after="283"/>
              <w:jc w:val="left"/>
              <w:rPr/>
            </w:pPr>
            <w:r>
              <w:rPr/>
              <w:t xml:space="preserve">A termination agreement in respect of Deed of Pledge of Zemenik Trading executed by Highworld.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1.8</w:t>
            </w:r>
          </w:p>
        </w:tc>
        <w:tc>
          <w:tcPr>
            <w:tcW w:w="9695" w:type="dxa"/>
            <w:tcBorders/>
            <w:shd w:fill="auto" w:val="clear"/>
          </w:tcPr>
          <w:p>
            <w:pPr>
              <w:pStyle w:val="TableContents"/>
              <w:spacing w:before="0" w:after="283"/>
              <w:jc w:val="left"/>
              <w:rPr/>
            </w:pPr>
            <w:r>
              <w:rPr/>
              <w:t xml:space="preserve">A termination agreement in respect of Deed of Pledge of Zemenik Trading executed by ELQ Investors VIII.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w:t>
            </w:r>
          </w:p>
        </w:tc>
        <w:tc>
          <w:tcPr>
            <w:tcW w:w="9695" w:type="dxa"/>
            <w:tcBorders/>
            <w:shd w:fill="auto" w:val="clear"/>
          </w:tcPr>
          <w:p>
            <w:pPr>
              <w:pStyle w:val="TableContents"/>
              <w:spacing w:before="0" w:after="283"/>
              <w:jc w:val="left"/>
              <w:rPr/>
            </w:pPr>
            <w:r>
              <w:rPr>
                <w:b/>
              </w:rPr>
              <w:t>Necessary Corporate Documents in respect of the Borrower and Headhunter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w:t>
            </w:r>
          </w:p>
        </w:tc>
        <w:tc>
          <w:tcPr>
            <w:tcW w:w="9695" w:type="dxa"/>
            <w:tcBorders/>
            <w:shd w:fill="auto" w:val="clear"/>
          </w:tcPr>
          <w:p>
            <w:pPr>
              <w:pStyle w:val="TableContents"/>
              <w:spacing w:before="0" w:after="283"/>
              <w:jc w:val="left"/>
              <w:rPr/>
            </w:pPr>
            <w:r>
              <w:rPr/>
              <w:t xml:space="preserve">Notarized copy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w:t>
            </w:r>
          </w:p>
        </w:tc>
        <w:tc>
          <w:tcPr>
            <w:tcW w:w="9185" w:type="dxa"/>
            <w:tcBorders/>
            <w:shd w:fill="auto" w:val="clear"/>
          </w:tcPr>
          <w:p>
            <w:pPr>
              <w:pStyle w:val="TableContents"/>
              <w:spacing w:before="0" w:after="283"/>
              <w:jc w:val="left"/>
              <w:rPr/>
            </w:pPr>
            <w:r>
              <w:rPr/>
              <w:t xml:space="preserve">duly registered charter of the Debtor and valid amendments and supplements thereto with the mark of the competent tax authority (including the respective lists of entry or registration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w:t>
            </w:r>
          </w:p>
        </w:tc>
        <w:tc>
          <w:tcPr>
            <w:tcW w:w="9185" w:type="dxa"/>
            <w:tcBorders/>
            <w:shd w:fill="auto" w:val="clear"/>
          </w:tcPr>
          <w:p>
            <w:pPr>
              <w:pStyle w:val="TableContents"/>
              <w:spacing w:before="0" w:after="283"/>
              <w:jc w:val="left"/>
              <w:rPr/>
            </w:pPr>
            <w:r>
              <w:rPr/>
              <w:t xml:space="preserve">certificate on state registration of the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(iii)</w:t>
            </w:r>
          </w:p>
        </w:tc>
        <w:tc>
          <w:tcPr>
            <w:tcW w:w="9185" w:type="dxa"/>
            <w:tcBorders/>
            <w:shd w:fill="auto" w:val="clear"/>
          </w:tcPr>
          <w:p>
            <w:pPr>
              <w:pStyle w:val="TableContents"/>
              <w:spacing w:before="0" w:after="283"/>
              <w:jc w:val="left"/>
              <w:rPr/>
            </w:pPr>
            <w:r>
              <w:rPr/>
              <w:t xml:space="preserve">certificate on registration of the Debtor with the tax authority where the company is located.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2.2</w:t>
            </w:r>
          </w:p>
        </w:tc>
        <w:tc>
          <w:tcPr>
            <w:tcW w:w="9695" w:type="dxa"/>
            <w:tcBorders/>
            <w:shd w:fill="auto" w:val="clear"/>
          </w:tcPr>
          <w:p>
            <w:pPr>
              <w:pStyle w:val="TableContents"/>
              <w:spacing w:before="0" w:after="283"/>
              <w:jc w:val="left"/>
              <w:rPr/>
            </w:pPr>
            <w:r>
              <w:rPr/>
              <w:t xml:space="preserve">Up-to-date extract from the Unified Register of Legal Entities in respect of the Debtor issued by the competent tax authority containing information as of the date not earlier than 7 (Seven) days before the date of this Agreement (including in the form of an electronic document with protected digital signature of the competent tax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2.3</w:t>
            </w:r>
          </w:p>
        </w:tc>
        <w:tc>
          <w:tcPr>
            <w:tcW w:w="9695" w:type="dxa"/>
            <w:tcBorders/>
            <w:shd w:fill="auto" w:val="clear"/>
          </w:tcPr>
          <w:p>
            <w:pPr>
              <w:pStyle w:val="TableContents"/>
              <w:spacing w:before="0" w:after="283"/>
              <w:jc w:val="left"/>
              <w:rPr/>
            </w:pPr>
            <w:r>
              <w:rPr/>
              <w:t xml:space="preserve">Certificate as of the date not earlier than 14 (Fourteen) days before the date of this Agreement issued by the tax authority with which the Debtor is registered on absence of outstanding liabilities to the state budget and other extra-budgetary funds or, if there are such outstanding liabilities, on availability of repayment schedule agreed upon with the respective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2.4</w:t>
            </w:r>
          </w:p>
        </w:tc>
        <w:tc>
          <w:tcPr>
            <w:tcW w:w="9696" w:type="dxa"/>
            <w:tcBorders/>
            <w:shd w:fill="auto" w:val="clear"/>
          </w:tcPr>
          <w:p>
            <w:pPr>
              <w:pStyle w:val="TableContents"/>
              <w:spacing w:before="0" w:after="283"/>
              <w:jc w:val="left"/>
              <w:rPr/>
            </w:pPr>
            <w:r>
              <w:rPr/>
              <w:t xml:space="preserve">Notarized or, if applicable, apostilled copy of the resolution of the authorized management body of the Debtor on approval of conditions of the New Finance Documents to which the relevant Debtor is a party and transactions contemplated thereby and any related transactions, including (in the respective cases) on approval of the transaction as a major transaction and/or an interested-party transaction (as these terms are defined in the legislation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w:t>
            </w:r>
          </w:p>
        </w:tc>
        <w:tc>
          <w:tcPr>
            <w:tcW w:w="9695" w:type="dxa"/>
            <w:tcBorders/>
            <w:shd w:fill="auto" w:val="clear"/>
          </w:tcPr>
          <w:p>
            <w:pPr>
              <w:pStyle w:val="TableContents"/>
              <w:spacing w:before="0" w:after="283"/>
              <w:jc w:val="left"/>
              <w:rPr/>
            </w:pPr>
            <w:r>
              <w:rPr/>
              <w:t xml:space="preserve">Certified copies of documents on appointment of the sole executive body or other authorized signatories stipulated by the charter of the Debtor.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11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2.6</w:t>
            </w:r>
          </w:p>
        </w:tc>
        <w:tc>
          <w:tcPr>
            <w:tcW w:w="9695" w:type="dxa"/>
            <w:tcBorders/>
            <w:shd w:fill="auto" w:val="clear"/>
          </w:tcPr>
          <w:p>
            <w:pPr>
              <w:pStyle w:val="TableContents"/>
              <w:spacing w:before="0" w:after="283"/>
              <w:jc w:val="left"/>
              <w:rPr/>
            </w:pPr>
            <w:r>
              <w:rPr/>
              <w:t xml:space="preserve">Notarized or, if applicable, apostilled copy of the power of attorney which grants to the authorized persons of each Debtor the powers necessary to sign the New Finance Documents to which it is a party or, where applicable, to sign or send any documents or notifications in connection with the New Finance Documents to which the relevant Debtor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2.7</w:t>
            </w:r>
          </w:p>
        </w:tc>
        <w:tc>
          <w:tcPr>
            <w:tcW w:w="9695" w:type="dxa"/>
            <w:tcBorders/>
            <w:shd w:fill="auto" w:val="clear"/>
          </w:tcPr>
          <w:p>
            <w:pPr>
              <w:pStyle w:val="TableContents"/>
              <w:spacing w:before="0" w:after="283"/>
              <w:jc w:val="left"/>
              <w:rPr/>
            </w:pPr>
            <w:r>
              <w:rPr/>
              <w:t xml:space="preserve">Cards with sample signatures of each person authorized to sign on behalf of each Debtor the New Finance Documents to which it is a party or to sign or send any documents or notifications in connection with and Finance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2.8</w:t>
            </w:r>
          </w:p>
        </w:tc>
        <w:tc>
          <w:tcPr>
            <w:tcW w:w="9694" w:type="dxa"/>
            <w:tcBorders/>
            <w:shd w:fill="auto" w:val="clear"/>
          </w:tcPr>
          <w:p>
            <w:pPr>
              <w:pStyle w:val="TableContents"/>
              <w:spacing w:before="0" w:after="283"/>
              <w:jc w:val="left"/>
              <w:rPr/>
            </w:pPr>
            <w:r>
              <w:rPr/>
              <w:t xml:space="preserve">A document signed by the authorized representative of the Debtor proving, inter alia,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8"/>
        <w:gridCol w:w="9189"/>
      </w:tblGrid>
      <w:tr>
        <w:trPr/>
        <w:tc>
          <w:tcPr>
            <w:tcW w:w="507"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w:t>
            </w:r>
          </w:p>
        </w:tc>
        <w:tc>
          <w:tcPr>
            <w:tcW w:w="9189" w:type="dxa"/>
            <w:tcBorders/>
            <w:shd w:fill="auto" w:val="clear"/>
          </w:tcPr>
          <w:p>
            <w:pPr>
              <w:pStyle w:val="TableContents"/>
              <w:spacing w:before="0" w:after="283"/>
              <w:jc w:val="left"/>
              <w:rPr/>
            </w:pPr>
            <w:r>
              <w:rPr/>
              <w:t xml:space="preserve">each document (original or copy) provided by each Debtor or on its behalf in compliance with this Appendix 1 is true, contains complete and up-to-date information, have full legal effect, was not amended, canceled, withdrawn or terminated and that as of the date not earlier than the date of this Agreement no new documents were issued in connection with the matters covered in the respective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8" w:type="dxa"/>
            <w:tcBorders/>
            <w:shd w:fill="auto" w:val="clear"/>
          </w:tcPr>
          <w:p>
            <w:pPr>
              <w:pStyle w:val="TableContents"/>
              <w:spacing w:before="0" w:after="283"/>
              <w:jc w:val="left"/>
              <w:rPr/>
            </w:pPr>
            <w:r>
              <w:rPr/>
              <w:t xml:space="preserve">all corporate approvals required in compliance with the applicable law in respect of the New Finance Documents to which the relevant Debtor is party and transactions contemplated thereby, including approval of such transactions as major transactions and/or interested-party transactions were obtained by the relevant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(iii)</w:t>
            </w:r>
          </w:p>
        </w:tc>
        <w:tc>
          <w:tcPr>
            <w:tcW w:w="9184" w:type="dxa"/>
            <w:tcBorders/>
            <w:shd w:fill="auto" w:val="clear"/>
          </w:tcPr>
          <w:p>
            <w:pPr>
              <w:pStyle w:val="TableContents"/>
              <w:spacing w:before="0" w:after="283"/>
              <w:jc w:val="left"/>
              <w:rPr/>
            </w:pPr>
            <w:r>
              <w:rPr/>
              <w:t xml:space="preserve">the total value of transactions contemplated by the New Finance Documents to which the relevant Debtor is party exceeds 50 (Fifty) percent of the book value of assets of the relevant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(iv)</w:t>
            </w:r>
          </w:p>
        </w:tc>
        <w:tc>
          <w:tcPr>
            <w:tcW w:w="9187" w:type="dxa"/>
            <w:tcBorders/>
            <w:shd w:fill="auto" w:val="clear"/>
          </w:tcPr>
          <w:p>
            <w:pPr>
              <w:pStyle w:val="TableContents"/>
              <w:spacing w:before="0" w:after="283"/>
              <w:jc w:val="left"/>
              <w:rPr/>
            </w:pPr>
            <w:r>
              <w:rPr/>
              <w:t xml:space="preserve">with respect to the Borrower—the Law on Regulated Procurement does not apply to conclusion of Finance Documents by the Borrower to which it is a party (while such confirmation should not apply to application of the Law on Regulated Purchases to any Finance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w:t>
            </w:r>
          </w:p>
        </w:tc>
        <w:tc>
          <w:tcPr>
            <w:tcW w:w="9696" w:type="dxa"/>
            <w:tcBorders/>
            <w:shd w:fill="auto" w:val="clear"/>
          </w:tcPr>
          <w:p>
            <w:pPr>
              <w:pStyle w:val="TableContents"/>
              <w:spacing w:before="0" w:after="283"/>
              <w:jc w:val="left"/>
              <w:rPr/>
            </w:pPr>
            <w:r>
              <w:rPr>
                <w:b/>
              </w:rPr>
              <w:t>Necessary Corporate Documents in respect of Zemenik Trading and HeadHunter FSU</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w:t>
            </w:r>
          </w:p>
        </w:tc>
        <w:tc>
          <w:tcPr>
            <w:tcW w:w="9695" w:type="dxa"/>
            <w:tcBorders/>
            <w:shd w:fill="auto" w:val="clear"/>
          </w:tcPr>
          <w:p>
            <w:pPr>
              <w:pStyle w:val="TableContents"/>
              <w:spacing w:before="0" w:after="283"/>
              <w:jc w:val="left"/>
              <w:rPr/>
            </w:pPr>
            <w:r>
              <w:rPr/>
              <w:t xml:space="preserve">Apostilled copy of the certificate of incorporation issued by the Registrar of Companies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3.2</w:t>
            </w:r>
          </w:p>
        </w:tc>
        <w:tc>
          <w:tcPr>
            <w:tcW w:w="9694" w:type="dxa"/>
            <w:tcBorders/>
            <w:shd w:fill="auto" w:val="clear"/>
          </w:tcPr>
          <w:p>
            <w:pPr>
              <w:pStyle w:val="TableContents"/>
              <w:spacing w:before="0" w:after="283"/>
              <w:jc w:val="left"/>
              <w:rPr/>
            </w:pPr>
            <w:r>
              <w:rPr/>
              <w:t xml:space="preserve">Apostilled copy of the memorandum of incorporation and articles of association (with all amendments and supplements) in Greek (with the stamp of the Registrar of Companies) and English.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3.3</w:t>
            </w:r>
          </w:p>
        </w:tc>
        <w:tc>
          <w:tcPr>
            <w:tcW w:w="9696" w:type="dxa"/>
            <w:tcBorders/>
            <w:shd w:fill="auto" w:val="clear"/>
          </w:tcPr>
          <w:p>
            <w:pPr>
              <w:pStyle w:val="TableContents"/>
              <w:spacing w:before="0" w:after="283"/>
              <w:jc w:val="left"/>
              <w:rPr/>
            </w:pPr>
            <w:r>
              <w:rPr/>
              <w:t xml:space="preserve">Apostilled original of the certificate on the address of the registered office issued by the Registrar of Companies of Cyprus and dated not earlier than 15 (Fifteen) days before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3.4</w:t>
            </w:r>
          </w:p>
        </w:tc>
        <w:tc>
          <w:tcPr>
            <w:tcW w:w="9696" w:type="dxa"/>
            <w:tcBorders/>
            <w:shd w:fill="auto" w:val="clear"/>
          </w:tcPr>
          <w:p>
            <w:pPr>
              <w:pStyle w:val="TableContents"/>
              <w:spacing w:before="0" w:after="283"/>
              <w:jc w:val="left"/>
              <w:rPr/>
            </w:pPr>
            <w:r>
              <w:rPr/>
              <w:t xml:space="preserve">Apostilled original of the certificate on directors and secretary issued by the Registrar of Companies of Cyprus and dated not earlier than 15 (Fifteen) days before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3.5</w:t>
            </w:r>
          </w:p>
        </w:tc>
        <w:tc>
          <w:tcPr>
            <w:tcW w:w="9695" w:type="dxa"/>
            <w:tcBorders/>
            <w:shd w:fill="auto" w:val="clear"/>
          </w:tcPr>
          <w:p>
            <w:pPr>
              <w:pStyle w:val="TableContents"/>
              <w:spacing w:before="0" w:after="283"/>
              <w:jc w:val="left"/>
              <w:rPr/>
            </w:pPr>
            <w:r>
              <w:rPr/>
              <w:t xml:space="preserve">Apostilled original of the certificate on shareholders issued by the Registrar of Companies of Cyprus and dated not earlier than 15 (Fifteen) days before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3.6</w:t>
            </w:r>
          </w:p>
        </w:tc>
        <w:tc>
          <w:tcPr>
            <w:tcW w:w="9696" w:type="dxa"/>
            <w:tcBorders/>
            <w:shd w:fill="auto" w:val="clear"/>
          </w:tcPr>
          <w:p>
            <w:pPr>
              <w:pStyle w:val="TableContents"/>
              <w:spacing w:before="0" w:after="283"/>
              <w:jc w:val="left"/>
              <w:rPr/>
            </w:pPr>
            <w:r>
              <w:rPr/>
              <w:t xml:space="preserve">Certified copy of the register of directors and secretaries dated not earlier than 1 (One) day before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3.7</w:t>
            </w:r>
          </w:p>
        </w:tc>
        <w:tc>
          <w:tcPr>
            <w:tcW w:w="9696" w:type="dxa"/>
            <w:tcBorders/>
            <w:shd w:fill="auto" w:val="clear"/>
          </w:tcPr>
          <w:p>
            <w:pPr>
              <w:pStyle w:val="TableContents"/>
              <w:spacing w:before="0" w:after="283"/>
              <w:jc w:val="left"/>
              <w:rPr/>
            </w:pPr>
            <w:r>
              <w:rPr/>
              <w:t xml:space="preserve">Certified copy of the register of participants dated not earlier than 1 (One) day before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3.8</w:t>
            </w:r>
          </w:p>
        </w:tc>
        <w:tc>
          <w:tcPr>
            <w:tcW w:w="9696" w:type="dxa"/>
            <w:tcBorders/>
            <w:shd w:fill="auto" w:val="clear"/>
          </w:tcPr>
          <w:p>
            <w:pPr>
              <w:pStyle w:val="TableContents"/>
              <w:spacing w:before="0" w:after="283"/>
              <w:jc w:val="left"/>
              <w:rPr/>
            </w:pPr>
            <w:r>
              <w:rPr/>
              <w:t xml:space="preserve">Certified copy of the register of mortgage and other pledges dated not earlier than 1 (One) day before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3.9</w:t>
            </w:r>
          </w:p>
        </w:tc>
        <w:tc>
          <w:tcPr>
            <w:tcW w:w="9695" w:type="dxa"/>
            <w:tcBorders/>
            <w:shd w:fill="auto" w:val="clear"/>
          </w:tcPr>
          <w:p>
            <w:pPr>
              <w:pStyle w:val="TableContents"/>
              <w:spacing w:before="0" w:after="283"/>
              <w:jc w:val="left"/>
              <w:rPr/>
            </w:pPr>
            <w:r>
              <w:rPr/>
              <w:t xml:space="preserve">Original incumbency certificate which is acceptable to the Facility Agent in for and essence together with all documents provided in compliance with such incumbency certificate.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12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3.10</w:t>
            </w:r>
          </w:p>
        </w:tc>
        <w:tc>
          <w:tcPr>
            <w:tcW w:w="9695" w:type="dxa"/>
            <w:tcBorders/>
            <w:shd w:fill="auto" w:val="clear"/>
          </w:tcPr>
          <w:p>
            <w:pPr>
              <w:pStyle w:val="TableContents"/>
              <w:spacing w:before="0" w:after="283"/>
              <w:jc w:val="left"/>
              <w:rPr/>
            </w:pPr>
            <w:r>
              <w:rPr/>
              <w:t xml:space="preserve">Notarized or, if applicable, apostilled copy of the resolution of the board of directors and shareholders or any other authorized body as stipulated by the constitutive documents of each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8"/>
        <w:gridCol w:w="9189"/>
      </w:tblGrid>
      <w:tr>
        <w:trPr/>
        <w:tc>
          <w:tcPr>
            <w:tcW w:w="507"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w:t>
            </w:r>
          </w:p>
        </w:tc>
        <w:tc>
          <w:tcPr>
            <w:tcW w:w="9189" w:type="dxa"/>
            <w:tcBorders/>
            <w:shd w:fill="auto" w:val="clear"/>
          </w:tcPr>
          <w:p>
            <w:pPr>
              <w:pStyle w:val="TableContents"/>
              <w:spacing w:before="0" w:after="283"/>
              <w:jc w:val="left"/>
              <w:rPr/>
            </w:pPr>
            <w:r>
              <w:rPr/>
              <w:t xml:space="preserve">on approval of the conditions of the New Finance Documents to which the respective Debtor is a party and transactions contemplated thereby and that the respective Debtor shall sign the New Finance Documents to which the respective Debtor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508"/>
        <w:gridCol w:w="9189"/>
      </w:tblGrid>
      <w:tr>
        <w:trPr/>
        <w:tc>
          <w:tcPr>
            <w:tcW w:w="507"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9189" w:type="dxa"/>
            <w:tcBorders/>
            <w:shd w:fill="auto" w:val="clear"/>
          </w:tcPr>
          <w:p>
            <w:pPr>
              <w:pStyle w:val="TableContents"/>
              <w:spacing w:before="0" w:after="283"/>
              <w:jc w:val="left"/>
              <w:rPr/>
            </w:pPr>
            <w:r>
              <w:rPr/>
              <w:t xml:space="preserve">on granting to the respective person or respective persons the powers necessary to sign the New Finance Documents to which the respective Debtor is a party on behalf of the respective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(iii)</w:t>
            </w:r>
          </w:p>
        </w:tc>
        <w:tc>
          <w:tcPr>
            <w:tcW w:w="9184" w:type="dxa"/>
            <w:tcBorders/>
            <w:shd w:fill="auto" w:val="clear"/>
          </w:tcPr>
          <w:p>
            <w:pPr>
              <w:pStyle w:val="TableContents"/>
              <w:spacing w:before="0" w:after="283"/>
              <w:jc w:val="left"/>
              <w:rPr/>
            </w:pPr>
            <w:r>
              <w:rPr/>
              <w:t xml:space="preserve">on granting to the respective person or respective persons the powers necessary to sign on behalf of the respective Debtor all documents and notifications to be signed by the respective Debtor in compliance or in connection with the Finance Documents to which the respective Debtor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3.11</w:t>
            </w:r>
          </w:p>
        </w:tc>
        <w:tc>
          <w:tcPr>
            <w:tcW w:w="9694" w:type="dxa"/>
            <w:tcBorders/>
            <w:shd w:fill="auto" w:val="clear"/>
          </w:tcPr>
          <w:p>
            <w:pPr>
              <w:pStyle w:val="TableContents"/>
              <w:spacing w:before="0" w:after="283"/>
              <w:jc w:val="left"/>
              <w:rPr/>
            </w:pPr>
            <w:r>
              <w:rPr/>
              <w:t xml:space="preserve">Notarized or, if applicable, apostilled copy of the power of attorney which grants to the authorized persons of the respective Debtor the powers necessary to sign the New Finance Documents to which the respective Debtor is a party or, in the respective cases, to sign or send any documents or notifications in connection with the New Finance Documents to which the respective Debtor is a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3.12</w:t>
            </w:r>
          </w:p>
        </w:tc>
        <w:tc>
          <w:tcPr>
            <w:tcW w:w="9695" w:type="dxa"/>
            <w:tcBorders/>
            <w:shd w:fill="auto" w:val="clear"/>
          </w:tcPr>
          <w:p>
            <w:pPr>
              <w:pStyle w:val="TableContents"/>
              <w:spacing w:before="0" w:after="283"/>
              <w:jc w:val="left"/>
              <w:rPr/>
            </w:pPr>
            <w:r>
              <w:rPr/>
              <w:t xml:space="preserve">Original sample signature of each person entitled under the resolution mentioned in sub-Clause (ii) of Clause 4.10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3.13</w:t>
            </w:r>
          </w:p>
        </w:tc>
        <w:tc>
          <w:tcPr>
            <w:tcW w:w="9695" w:type="dxa"/>
            <w:tcBorders/>
            <w:shd w:fill="auto" w:val="clear"/>
          </w:tcPr>
          <w:p>
            <w:pPr>
              <w:pStyle w:val="TableContents"/>
              <w:spacing w:before="0" w:after="283"/>
              <w:jc w:val="left"/>
              <w:rPr/>
            </w:pPr>
            <w:r>
              <w:rPr/>
              <w:t xml:space="preserve">Original document signed by the authorized representative of the respective Debtor proving that each document (original or copy) provided by each of the respective Debtor or on behalf of the respective Debtor in compliance with this Appendix </w:t>
            </w:r>
            <w:r>
              <w:rPr/>
              <w:drawing>
                <wp:inline distT="0" distB="0" distL="0" distR="0">
                  <wp:extent cx="1000125" cy="1809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link="rId14"/>
                          <a:stretch>
                            <a:fillRect/>
                          </a:stretch>
                        </pic:blipFill>
                        <pic:spPr bwMode="auto">
                          <a:xfrm>
                            <a:off x="0" y="0"/>
                            <a:ext cx="1000125" cy="180975"/>
                          </a:xfrm>
                          <a:prstGeom prst="rect">
                            <a:avLst/>
                          </a:prstGeom>
                          <a:noFill/>
                          <a:ln w="9525">
                            <a:noFill/>
                            <a:miter lim="800000"/>
                            <a:headEnd/>
                            <a:tailEnd/>
                          </a:ln>
                        </pic:spPr>
                      </pic:pic>
                    </a:graphicData>
                  </a:graphic>
                </wp:inline>
              </w:drawing>
            </w:r>
            <w:r>
              <w:rPr/>
              <w:t xml:space="preserve"> 1 is true, contains complete and up-to-date information, have full legal effect, was not amended, canceled, withdrawn or terminated and that as of the date not earlier than the date of this Agreement no new documents were issued in connection with the matters covered in the respective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4.</w:t>
            </w:r>
          </w:p>
        </w:tc>
        <w:tc>
          <w:tcPr>
            <w:tcW w:w="9697" w:type="dxa"/>
            <w:tcBorders/>
            <w:shd w:fill="auto" w:val="clear"/>
          </w:tcPr>
          <w:p>
            <w:pPr>
              <w:pStyle w:val="TableContents"/>
              <w:spacing w:before="0" w:after="283"/>
              <w:jc w:val="left"/>
              <w:rPr/>
            </w:pPr>
            <w:r>
              <w:rPr>
                <w:b/>
              </w:rPr>
              <w:t>Other Documents and Evidence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4.1</w:t>
            </w:r>
          </w:p>
        </w:tc>
        <w:tc>
          <w:tcPr>
            <w:tcW w:w="9695" w:type="dxa"/>
            <w:tcBorders/>
            <w:shd w:fill="auto" w:val="clear"/>
          </w:tcPr>
          <w:p>
            <w:pPr>
              <w:pStyle w:val="TableContents"/>
              <w:spacing w:before="0" w:after="283"/>
              <w:jc w:val="left"/>
              <w:rPr/>
            </w:pPr>
            <w:r>
              <w:rPr/>
              <w:t xml:space="preserve">Evidence that all fees (including the fee stipulated by Clause 7.1 of this Agreement) and expenses due and payable by the Debtors under any Finance Documents were or will be 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4.2</w:t>
            </w:r>
          </w:p>
        </w:tc>
        <w:tc>
          <w:tcPr>
            <w:tcW w:w="9696" w:type="dxa"/>
            <w:tcBorders/>
            <w:shd w:fill="auto" w:val="clear"/>
          </w:tcPr>
          <w:p>
            <w:pPr>
              <w:pStyle w:val="TableContents"/>
              <w:spacing w:before="0" w:after="283"/>
              <w:jc w:val="left"/>
              <w:rPr/>
            </w:pPr>
            <w:r>
              <w:rPr/>
              <w:t xml:space="preserve">Any other permits or other documents, opinions or representations on the necessity or expediency of which in connection with conclusion and execution of any Finance Documents and transactions contemplated thereby or to secure legal force of any Finance Documents and their enforceability the Facility Agent has informed each of the Debtors.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4.3</w:t>
            </w:r>
          </w:p>
        </w:tc>
        <w:tc>
          <w:tcPr>
            <w:tcW w:w="9695" w:type="dxa"/>
            <w:tcBorders/>
            <w:shd w:fill="auto" w:val="clear"/>
          </w:tcPr>
          <w:p>
            <w:pPr>
              <w:pStyle w:val="TableContents"/>
              <w:spacing w:before="0" w:after="283"/>
              <w:jc w:val="left"/>
              <w:rPr/>
            </w:pPr>
            <w:r>
              <w:rPr/>
              <w:t xml:space="preserve">Confirmation of payment of the fee of legal advisors (Herbert Smith Freehills CIS LLP and Alexandros Economou).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5.</w:t>
            </w:r>
          </w:p>
        </w:tc>
        <w:tc>
          <w:tcPr>
            <w:tcW w:w="9695" w:type="dxa"/>
            <w:tcBorders/>
            <w:shd w:fill="auto" w:val="clear"/>
          </w:tcPr>
          <w:p>
            <w:pPr>
              <w:pStyle w:val="TableContents"/>
              <w:spacing w:before="0" w:after="283"/>
              <w:jc w:val="left"/>
              <w:rPr/>
            </w:pPr>
            <w:r>
              <w:rPr>
                <w:b/>
              </w:rPr>
              <w:t>Legal Opinions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following legal opinions: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t xml:space="preserve">legal opinion prepared by Herbert Smith Freehills CIS LLP, a legal advisor of the Facility Agent on Russian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legal opinion prepared by Alexandros Economou, a legal advisor of the Facility Agent on Cyprus law, </w:t>
            </w:r>
          </w:p>
        </w:tc>
      </w:tr>
    </w:tbl>
    <w:p>
      <w:pPr>
        <w:pStyle w:val="TextBody"/>
        <w:spacing w:before="120" w:after="0"/>
        <w:rPr>
          <w:rFonts w:ascii="Times New Roman" w:hAnsi="Times New Roman"/>
          <w:sz w:val="20"/>
        </w:rPr>
      </w:pPr>
      <w:r>
        <w:rPr>
          <w:rFonts w:ascii="Times New Roman" w:hAnsi="Times New Roman"/>
          <w:sz w:val="20"/>
        </w:rPr>
        <w:t xml:space="preserve">each made in the form acceptable for the Facility Agent, before signing this Agreement and addressed to the Finance Parties in such capacity as of the date of the respective opinion.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13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OF THE PARTIES </w:t>
      </w:r>
    </w:p>
    <w:p>
      <w:pPr>
        <w:pStyle w:val="TextBody"/>
        <w:spacing w:before="240" w:after="0"/>
        <w:rPr>
          <w:rFonts w:ascii="Times New Roman" w:hAnsi="Times New Roman"/>
          <w:b/>
          <w:sz w:val="20"/>
        </w:rPr>
      </w:pPr>
      <w:r>
        <w:rPr>
          <w:rFonts w:ascii="Times New Roman" w:hAnsi="Times New Roman"/>
          <w:b/>
          <w:sz w:val="20"/>
        </w:rPr>
        <w:t xml:space="preserve">Borrower </w:t>
      </w:r>
    </w:p>
    <w:p>
      <w:pPr>
        <w:pStyle w:val="TextBody"/>
        <w:spacing w:before="240" w:after="0"/>
        <w:rPr>
          <w:rFonts w:ascii="Times New Roman" w:hAnsi="Times New Roman"/>
          <w:b/>
          <w:sz w:val="20"/>
        </w:rPr>
      </w:pPr>
      <w:r>
        <w:rPr>
          <w:rFonts w:ascii="Times New Roman" w:hAnsi="Times New Roman"/>
          <w:b/>
          <w:sz w:val="20"/>
        </w:rPr>
        <w:t xml:space="preserve">ZEMENIK LIMITED LIABILITY COMPANY </w:t>
      </w:r>
    </w:p>
    <w:p>
      <w:pPr>
        <w:pStyle w:val="TextBody"/>
        <w:spacing w:before="240" w:after="0"/>
        <w:rPr>
          <w:rFonts w:ascii="Times New Roman" w:hAnsi="Times New Roman"/>
          <w:sz w:val="20"/>
        </w:rPr>
      </w:pPr>
      <w:r>
        <w:rPr>
          <w:rFonts w:ascii="Times New Roman" w:hAnsi="Times New Roman"/>
          <w:sz w:val="20"/>
        </w:rPr>
        <w:t xml:space="preserve">Signature: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50"/>
        <w:gridCol w:w="208"/>
        <w:gridCol w:w="9147"/>
      </w:tblGrid>
      <w:tr>
        <w:trPr/>
        <w:tc>
          <w:tcPr>
            <w:tcW w:w="850" w:type="dxa"/>
            <w:tcBorders/>
            <w:shd w:fill="auto" w:val="clear"/>
            <w:vAlign w:val="center"/>
          </w:tcPr>
          <w:p>
            <w:pPr>
              <w:pStyle w:val="TableContents"/>
              <w:spacing w:before="0" w:after="283"/>
              <w:rPr>
                <w:sz w:val="4"/>
                <w:szCs w:val="4"/>
              </w:rPr>
            </w:pPr>
            <w:r>
              <w:rPr>
                <w:sz w:val="4"/>
                <w:szCs w:val="4"/>
              </w:rPr>
            </w:r>
          </w:p>
        </w:tc>
        <w:tc>
          <w:tcPr>
            <w:tcW w:w="208" w:type="dxa"/>
            <w:tcBorders/>
            <w:shd w:fill="auto" w:val="clear"/>
            <w:vAlign w:val="bottom"/>
          </w:tcPr>
          <w:p>
            <w:pPr>
              <w:pStyle w:val="TableContents"/>
              <w:spacing w:before="0" w:after="283"/>
              <w:rPr>
                <w:sz w:val="4"/>
                <w:szCs w:val="4"/>
              </w:rPr>
            </w:pPr>
            <w:r>
              <w:rPr>
                <w:sz w:val="4"/>
                <w:szCs w:val="4"/>
              </w:rPr>
            </w:r>
          </w:p>
        </w:tc>
        <w:tc>
          <w:tcPr>
            <w:tcW w:w="9147" w:type="dxa"/>
            <w:tcBorders/>
            <w:shd w:fill="auto" w:val="clear"/>
            <w:vAlign w:val="center"/>
          </w:tcPr>
          <w:p>
            <w:pPr>
              <w:pStyle w:val="TableContents"/>
              <w:spacing w:before="0" w:after="283"/>
              <w:rPr>
                <w:sz w:val="4"/>
                <w:szCs w:val="4"/>
              </w:rPr>
            </w:pPr>
            <w:r>
              <w:rPr>
                <w:sz w:val="4"/>
                <w:szCs w:val="4"/>
              </w:rPr>
            </w:r>
          </w:p>
        </w:tc>
      </w:tr>
      <w:tr>
        <w:trPr/>
        <w:tc>
          <w:tcPr>
            <w:tcW w:w="85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Full Name:</w:t>
            </w:r>
          </w:p>
        </w:tc>
        <w:tc>
          <w:tcPr>
            <w:tcW w:w="208" w:type="dxa"/>
            <w:tcBorders/>
            <w:shd w:fill="auto" w:val="clear"/>
            <w:vAlign w:val="bottom"/>
          </w:tcPr>
          <w:p>
            <w:pPr>
              <w:pStyle w:val="TableContents"/>
              <w:spacing w:before="0" w:after="283"/>
              <w:rPr/>
            </w:pPr>
            <w:r>
              <w:rPr/>
              <w:t>  </w:t>
            </w:r>
          </w:p>
        </w:tc>
        <w:tc>
          <w:tcPr>
            <w:tcW w:w="9147"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Karen E. Agayan</w:t>
            </w:r>
          </w:p>
        </w:tc>
      </w:tr>
      <w:tr>
        <w:trPr>
          <w:trHeight w:val="240" w:hRule="atLeast"/>
        </w:trPr>
        <w:tc>
          <w:tcPr>
            <w:tcW w:w="850" w:type="dxa"/>
            <w:tcBorders/>
            <w:shd w:fill="auto" w:val="clear"/>
            <w:vAlign w:val="center"/>
          </w:tcPr>
          <w:p>
            <w:pPr>
              <w:pStyle w:val="TableContents"/>
              <w:spacing w:before="0" w:after="283"/>
              <w:rPr>
                <w:sz w:val="4"/>
                <w:szCs w:val="4"/>
              </w:rPr>
            </w:pPr>
            <w:r>
              <w:rPr>
                <w:sz w:val="4"/>
                <w:szCs w:val="4"/>
              </w:rPr>
            </w:r>
          </w:p>
        </w:tc>
        <w:tc>
          <w:tcPr>
            <w:tcW w:w="9355" w:type="dxa"/>
            <w:gridSpan w:val="2"/>
            <w:tcBorders/>
            <w:shd w:fill="auto" w:val="clear"/>
            <w:vAlign w:val="center"/>
          </w:tcPr>
          <w:p>
            <w:pPr>
              <w:pStyle w:val="TableContents"/>
              <w:spacing w:before="0" w:after="283"/>
              <w:rPr>
                <w:sz w:val="4"/>
                <w:szCs w:val="4"/>
              </w:rPr>
            </w:pPr>
            <w:r>
              <w:rPr>
                <w:sz w:val="4"/>
                <w:szCs w:val="4"/>
              </w:rPr>
            </w:r>
          </w:p>
        </w:tc>
      </w:tr>
      <w:tr>
        <w:trPr/>
        <w:tc>
          <w:tcPr>
            <w:tcW w:w="85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Position:</w:t>
            </w:r>
          </w:p>
        </w:tc>
        <w:tc>
          <w:tcPr>
            <w:tcW w:w="208" w:type="dxa"/>
            <w:tcBorders/>
            <w:shd w:fill="auto" w:val="clear"/>
            <w:vAlign w:val="bottom"/>
          </w:tcPr>
          <w:p>
            <w:pPr>
              <w:pStyle w:val="TableContents"/>
              <w:spacing w:before="0" w:after="283"/>
              <w:rPr/>
            </w:pPr>
            <w:r>
              <w:rPr/>
              <w:t>  </w:t>
            </w:r>
          </w:p>
        </w:tc>
        <w:tc>
          <w:tcPr>
            <w:tcW w:w="9147"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Director General</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14 </w:t>
      </w:r>
      <w:r>
        <w:br w:type="page"/>
      </w:r>
    </w:p>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1655"/>
        <w:gridCol w:w="315"/>
        <w:gridCol w:w="8235"/>
      </w:tblGrid>
      <w:tr>
        <w:trPr/>
        <w:tc>
          <w:tcPr>
            <w:tcW w:w="1655" w:type="dxa"/>
            <w:tcBorders/>
            <w:shd w:fill="auto" w:val="clear"/>
            <w:vAlign w:val="center"/>
          </w:tcPr>
          <w:p>
            <w:pPr>
              <w:pStyle w:val="TableContents"/>
              <w:spacing w:before="0" w:after="283"/>
              <w:rPr>
                <w:sz w:val="4"/>
                <w:szCs w:val="4"/>
              </w:rPr>
            </w:pPr>
            <w:r>
              <w:rPr>
                <w:sz w:val="4"/>
                <w:szCs w:val="4"/>
              </w:rPr>
            </w:r>
          </w:p>
        </w:tc>
        <w:tc>
          <w:tcPr>
            <w:tcW w:w="315" w:type="dxa"/>
            <w:tcBorders/>
            <w:shd w:fill="auto" w:val="clear"/>
            <w:vAlign w:val="bottom"/>
          </w:tcPr>
          <w:p>
            <w:pPr>
              <w:pStyle w:val="TableContents"/>
              <w:spacing w:before="0" w:after="283"/>
              <w:rPr>
                <w:sz w:val="4"/>
                <w:szCs w:val="4"/>
              </w:rPr>
            </w:pPr>
            <w:r>
              <w:rPr>
                <w:sz w:val="4"/>
                <w:szCs w:val="4"/>
              </w:rPr>
            </w:r>
          </w:p>
        </w:tc>
        <w:tc>
          <w:tcPr>
            <w:tcW w:w="8235" w:type="dxa"/>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b/>
              </w:rPr>
            </w:pPr>
            <w:r>
              <w:rPr>
                <w:b/>
              </w:rPr>
              <w:t>Arranger</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sz w:val="4"/>
                <w:szCs w:val="4"/>
              </w:rPr>
            </w:pPr>
            <w:r>
              <w:rPr>
                <w:sz w:val="4"/>
                <w:szCs w:val="4"/>
              </w:rPr>
            </w:r>
          </w:p>
        </w:tc>
      </w:tr>
      <w:tr>
        <w:trPr>
          <w:trHeight w:val="240" w:hRule="atLeast"/>
        </w:trPr>
        <w:tc>
          <w:tcPr>
            <w:tcW w:w="10205" w:type="dxa"/>
            <w:gridSpan w:val="3"/>
            <w:tcBorders/>
            <w:shd w:fill="auto" w:val="clear"/>
            <w:vAlign w:val="center"/>
          </w:tcPr>
          <w:p>
            <w:pPr>
              <w:pStyle w:val="TableContents"/>
              <w:spacing w:before="0" w:after="283"/>
              <w:rPr>
                <w:sz w:val="4"/>
                <w:szCs w:val="4"/>
              </w:rPr>
            </w:pPr>
            <w:r>
              <w:rPr>
                <w:sz w:val="4"/>
                <w:szCs w:val="4"/>
              </w:rPr>
            </w:r>
          </w:p>
        </w:tc>
      </w:tr>
      <w:tr>
        <w:trPr/>
        <w:tc>
          <w:tcPr>
            <w:tcW w:w="10205" w:type="dxa"/>
            <w:gridSpan w:val="3"/>
            <w:tcBorders/>
            <w:shd w:fill="auto" w:val="clear"/>
          </w:tcPr>
          <w:p>
            <w:pPr>
              <w:pStyle w:val="TableContents"/>
              <w:spacing w:before="0" w:after="283"/>
              <w:rPr>
                <w:b/>
              </w:rPr>
            </w:pPr>
            <w:r>
              <w:rPr>
                <w:b/>
              </w:rPr>
              <w:t>VTB BANK (PUBLIC JOINT-STOCK COMPANY)</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Signature:</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sz w:val="4"/>
                <w:szCs w:val="4"/>
              </w:rPr>
            </w:pPr>
            <w:r>
              <w:rPr>
                <w:sz w:val="4"/>
                <w:szCs w:val="4"/>
              </w:rPr>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Full Name:</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pPr>
            <w:r>
              <w:rPr/>
              <w:t>Vitaly N. Buzoverya</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Position:</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pPr>
            <w:r>
              <w:rPr/>
              <w:t>Representative by proxy</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b/>
              </w:rPr>
            </w:pPr>
            <w:r>
              <w:rPr>
                <w:b/>
              </w:rPr>
              <w:t>Facility Agent</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sz w:val="4"/>
                <w:szCs w:val="4"/>
              </w:rPr>
            </w:pPr>
            <w:r>
              <w:rPr>
                <w:sz w:val="4"/>
                <w:szCs w:val="4"/>
              </w:rPr>
            </w:r>
          </w:p>
        </w:tc>
      </w:tr>
      <w:tr>
        <w:trPr>
          <w:trHeight w:val="240" w:hRule="atLeast"/>
        </w:trPr>
        <w:tc>
          <w:tcPr>
            <w:tcW w:w="10205" w:type="dxa"/>
            <w:gridSpan w:val="3"/>
            <w:tcBorders/>
            <w:shd w:fill="auto" w:val="clear"/>
            <w:vAlign w:val="center"/>
          </w:tcPr>
          <w:p>
            <w:pPr>
              <w:pStyle w:val="TableContents"/>
              <w:spacing w:before="0" w:after="283"/>
              <w:rPr>
                <w:sz w:val="4"/>
                <w:szCs w:val="4"/>
              </w:rPr>
            </w:pPr>
            <w:r>
              <w:rPr>
                <w:sz w:val="4"/>
                <w:szCs w:val="4"/>
              </w:rPr>
            </w:r>
          </w:p>
        </w:tc>
      </w:tr>
      <w:tr>
        <w:trPr/>
        <w:tc>
          <w:tcPr>
            <w:tcW w:w="10205" w:type="dxa"/>
            <w:gridSpan w:val="3"/>
            <w:tcBorders/>
            <w:shd w:fill="auto" w:val="clear"/>
          </w:tcPr>
          <w:p>
            <w:pPr>
              <w:pStyle w:val="TableContents"/>
              <w:spacing w:before="0" w:after="283"/>
              <w:rPr>
                <w:b/>
              </w:rPr>
            </w:pPr>
            <w:r>
              <w:rPr>
                <w:b/>
              </w:rPr>
              <w:t>VTB BANK (PUBLIC JOINT-STOCK COMPANY)</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Signature:</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sz w:val="4"/>
                <w:szCs w:val="4"/>
              </w:rPr>
            </w:pPr>
            <w:r>
              <w:rPr>
                <w:sz w:val="4"/>
                <w:szCs w:val="4"/>
              </w:rPr>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Full Name:</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pPr>
            <w:r>
              <w:rPr/>
              <w:t>Vitaly N. Buzoverya</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Position:</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pPr>
            <w:r>
              <w:rPr/>
              <w:t>Representative by proxy</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b/>
              </w:rPr>
            </w:pPr>
            <w:r>
              <w:rPr>
                <w:b/>
              </w:rPr>
              <w:t>Original Lender</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sz w:val="4"/>
                <w:szCs w:val="4"/>
              </w:rPr>
            </w:pPr>
            <w:r>
              <w:rPr>
                <w:sz w:val="4"/>
                <w:szCs w:val="4"/>
              </w:rPr>
            </w:r>
          </w:p>
        </w:tc>
      </w:tr>
      <w:tr>
        <w:trPr>
          <w:trHeight w:val="240" w:hRule="atLeast"/>
        </w:trPr>
        <w:tc>
          <w:tcPr>
            <w:tcW w:w="10205" w:type="dxa"/>
            <w:gridSpan w:val="3"/>
            <w:tcBorders/>
            <w:shd w:fill="auto" w:val="clear"/>
            <w:vAlign w:val="center"/>
          </w:tcPr>
          <w:p>
            <w:pPr>
              <w:pStyle w:val="TableContents"/>
              <w:spacing w:before="0" w:after="283"/>
              <w:rPr>
                <w:sz w:val="4"/>
                <w:szCs w:val="4"/>
              </w:rPr>
            </w:pPr>
            <w:r>
              <w:rPr>
                <w:sz w:val="4"/>
                <w:szCs w:val="4"/>
              </w:rPr>
            </w:r>
          </w:p>
        </w:tc>
      </w:tr>
      <w:tr>
        <w:trPr/>
        <w:tc>
          <w:tcPr>
            <w:tcW w:w="10205" w:type="dxa"/>
            <w:gridSpan w:val="3"/>
            <w:tcBorders/>
            <w:shd w:fill="auto" w:val="clear"/>
          </w:tcPr>
          <w:p>
            <w:pPr>
              <w:pStyle w:val="TableContents"/>
              <w:spacing w:before="0" w:after="283"/>
              <w:rPr>
                <w:b/>
              </w:rPr>
            </w:pPr>
            <w:r>
              <w:rPr>
                <w:b/>
              </w:rPr>
              <w:t>VTB BANK (PUBLIC JOINT-STOCK COMPANY)</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Signature:</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sz w:val="4"/>
                <w:szCs w:val="4"/>
              </w:rPr>
            </w:pPr>
            <w:r>
              <w:rPr>
                <w:sz w:val="4"/>
                <w:szCs w:val="4"/>
              </w:rPr>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Full Name:</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pPr>
            <w:r>
              <w:rPr/>
              <w:t>Vitaly N. Buzoverya</w:t>
            </w:r>
          </w:p>
        </w:tc>
      </w:tr>
      <w:tr>
        <w:trPr>
          <w:trHeight w:val="240" w:hRule="atLeast"/>
        </w:trPr>
        <w:tc>
          <w:tcPr>
            <w:tcW w:w="1655" w:type="dxa"/>
            <w:tcBorders/>
            <w:shd w:fill="auto" w:val="clear"/>
            <w:vAlign w:val="center"/>
          </w:tcPr>
          <w:p>
            <w:pPr>
              <w:pStyle w:val="TableContents"/>
              <w:spacing w:before="0" w:after="283"/>
              <w:rPr>
                <w:sz w:val="4"/>
                <w:szCs w:val="4"/>
              </w:rPr>
            </w:pPr>
            <w:r>
              <w:rPr>
                <w:sz w:val="4"/>
                <w:szCs w:val="4"/>
              </w:rPr>
            </w:r>
          </w:p>
        </w:tc>
        <w:tc>
          <w:tcPr>
            <w:tcW w:w="8550" w:type="dxa"/>
            <w:gridSpan w:val="2"/>
            <w:tcBorders/>
            <w:shd w:fill="auto" w:val="clear"/>
            <w:vAlign w:val="center"/>
          </w:tcPr>
          <w:p>
            <w:pPr>
              <w:pStyle w:val="TableContents"/>
              <w:spacing w:before="0" w:after="283"/>
              <w:rPr>
                <w:sz w:val="4"/>
                <w:szCs w:val="4"/>
              </w:rPr>
            </w:pPr>
            <w:r>
              <w:rPr>
                <w:sz w:val="4"/>
                <w:szCs w:val="4"/>
              </w:rPr>
            </w:r>
          </w:p>
        </w:tc>
      </w:tr>
      <w:tr>
        <w:trPr/>
        <w:tc>
          <w:tcPr>
            <w:tcW w:w="1655" w:type="dxa"/>
            <w:tcBorders/>
            <w:shd w:fill="auto" w:val="clear"/>
          </w:tcPr>
          <w:p>
            <w:pPr>
              <w:pStyle w:val="TableContents"/>
              <w:spacing w:before="0" w:after="283"/>
              <w:rPr/>
            </w:pPr>
            <w:r>
              <w:rPr/>
              <w:t>Position:</w:t>
            </w:r>
          </w:p>
        </w:tc>
        <w:tc>
          <w:tcPr>
            <w:tcW w:w="315" w:type="dxa"/>
            <w:tcBorders/>
            <w:shd w:fill="auto" w:val="clear"/>
            <w:vAlign w:val="bottom"/>
          </w:tcPr>
          <w:p>
            <w:pPr>
              <w:pStyle w:val="TableContents"/>
              <w:spacing w:before="0" w:after="283"/>
              <w:rPr/>
            </w:pPr>
            <w:r>
              <w:rPr/>
              <w:t>  </w:t>
            </w:r>
          </w:p>
        </w:tc>
        <w:tc>
          <w:tcPr>
            <w:tcW w:w="8235" w:type="dxa"/>
            <w:tcBorders/>
            <w:shd w:fill="auto" w:val="clear"/>
          </w:tcPr>
          <w:p>
            <w:pPr>
              <w:pStyle w:val="TableContents"/>
              <w:spacing w:before="0" w:after="283"/>
              <w:rPr/>
            </w:pPr>
            <w:r>
              <w:rPr/>
              <w:t>Representative by proxy</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15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HERBERT </w:t>
      </w:r>
    </w:p>
    <w:p>
      <w:pPr>
        <w:pStyle w:val="TextBody"/>
        <w:spacing w:before="0" w:after="0"/>
        <w:rPr>
          <w:rFonts w:ascii="Times New Roman" w:hAnsi="Times New Roman"/>
          <w:sz w:val="20"/>
        </w:rPr>
      </w:pPr>
      <w:r>
        <w:rPr>
          <w:rFonts w:ascii="Times New Roman" w:hAnsi="Times New Roman"/>
          <w:sz w:val="20"/>
        </w:rPr>
        <w:t xml:space="preserve">SMITH </w:t>
      </w:r>
    </w:p>
    <w:p>
      <w:pPr>
        <w:pStyle w:val="TextBody"/>
        <w:spacing w:before="0" w:after="0"/>
        <w:rPr>
          <w:rFonts w:ascii="Times New Roman" w:hAnsi="Times New Roman"/>
          <w:sz w:val="20"/>
        </w:rPr>
      </w:pPr>
      <w:r>
        <w:rPr>
          <w:rFonts w:ascii="Times New Roman" w:hAnsi="Times New Roman"/>
          <w:sz w:val="20"/>
        </w:rPr>
        <w:t xml:space="preserve">FREEHILLS </w:t>
      </w:r>
    </w:p>
    <w:p>
      <w:pPr>
        <w:pStyle w:val="TextBody"/>
        <w:spacing w:before="240" w:after="0"/>
        <w:jc w:val="center"/>
        <w:rPr>
          <w:rFonts w:ascii="Times New Roman" w:hAnsi="Times New Roman"/>
          <w:sz w:val="20"/>
        </w:rPr>
      </w:pPr>
      <w:r>
        <w:rPr>
          <w:rFonts w:ascii="Times New Roman" w:hAnsi="Times New Roman"/>
          <w:sz w:val="20"/>
        </w:rPr>
        <w:t xml:space="preserve">77 A B 5271477 </w:t>
      </w:r>
    </w:p>
    <w:p>
      <w:pPr>
        <w:pStyle w:val="TextBody"/>
        <w:spacing w:before="240" w:after="0"/>
        <w:jc w:val="center"/>
        <w:rPr>
          <w:rFonts w:ascii="Times New Roman" w:hAnsi="Times New Roman"/>
          <w:b/>
          <w:sz w:val="20"/>
        </w:rPr>
      </w:pPr>
      <w:r>
        <w:rPr>
          <w:rFonts w:ascii="Times New Roman" w:hAnsi="Times New Roman"/>
          <w:b/>
          <w:sz w:val="20"/>
        </w:rPr>
        <w:t xml:space="preserve">October 5, 2017 </w:t>
      </w:r>
    </w:p>
    <w:p>
      <w:pPr>
        <w:pStyle w:val="TextBody"/>
        <w:spacing w:before="24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sz w:val="20"/>
        </w:rPr>
      </w:pPr>
      <w:r>
        <w:rPr>
          <w:rFonts w:ascii="Times New Roman" w:hAnsi="Times New Roman"/>
          <w:sz w:val="20"/>
        </w:rPr>
        <w:t xml:space="preserve">as the Pledgor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jc w:val="center"/>
        <w:rPr>
          <w:rFonts w:ascii="Times New Roman" w:hAnsi="Times New Roman"/>
          <w:sz w:val="20"/>
        </w:rPr>
      </w:pPr>
      <w:r>
        <w:rPr>
          <w:rFonts w:ascii="Times New Roman" w:hAnsi="Times New Roman"/>
          <w:sz w:val="20"/>
        </w:rPr>
        <w:t xml:space="preserve">as the Pledgee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120" w:after="0"/>
        <w:jc w:val="center"/>
        <w:rPr>
          <w:rFonts w:ascii="Times New Roman" w:hAnsi="Times New Roman"/>
          <w:b/>
          <w:sz w:val="20"/>
        </w:rPr>
      </w:pPr>
      <w:r>
        <w:rPr>
          <w:rFonts w:ascii="Times New Roman" w:hAnsi="Times New Roman"/>
          <w:b/>
          <w:sz w:val="20"/>
        </w:rPr>
        <w:t xml:space="preserve">AMENDMENT AGREEMENT No. 1 </w:t>
      </w:r>
    </w:p>
    <w:p>
      <w:pPr>
        <w:pStyle w:val="TextBody"/>
        <w:spacing w:before="0" w:after="0"/>
        <w:jc w:val="center"/>
        <w:rPr>
          <w:rFonts w:ascii="Times New Roman" w:hAnsi="Times New Roman"/>
          <w:b/>
          <w:sz w:val="20"/>
        </w:rPr>
      </w:pPr>
      <w:r>
        <w:rPr>
          <w:rFonts w:ascii="Times New Roman" w:hAnsi="Times New Roman"/>
          <w:b/>
          <w:sz w:val="20"/>
        </w:rPr>
        <w:t xml:space="preserve">to the Agreement of Pledge of a Participatory Interest in the Authorized Capital </w:t>
      </w:r>
    </w:p>
    <w:p>
      <w:pPr>
        <w:pStyle w:val="TextBody"/>
        <w:spacing w:before="0" w:after="0"/>
        <w:jc w:val="center"/>
        <w:rPr>
          <w:rFonts w:ascii="Times New Roman" w:hAnsi="Times New Roman"/>
          <w:b/>
          <w:sz w:val="20"/>
        </w:rPr>
      </w:pPr>
      <w:r>
        <w:rPr>
          <w:rFonts w:ascii="Times New Roman" w:hAnsi="Times New Roman"/>
          <w:b/>
          <w:sz w:val="20"/>
        </w:rPr>
        <w:t xml:space="preserve">Zemenik LLC dated May 26,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12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26"/>
        <w:gridCol w:w="108"/>
        <w:gridCol w:w="9463"/>
        <w:gridCol w:w="125"/>
        <w:gridCol w:w="60"/>
        <w:gridCol w:w="260"/>
        <w:gridCol w:w="63"/>
      </w:tblGrid>
      <w:tr>
        <w:trPr/>
        <w:tc>
          <w:tcPr>
            <w:tcW w:w="126" w:type="dxa"/>
            <w:tcBorders/>
            <w:shd w:fill="auto" w:val="clear"/>
            <w:vAlign w:val="center"/>
          </w:tcPr>
          <w:p>
            <w:pPr>
              <w:pStyle w:val="TableContents"/>
              <w:spacing w:before="0" w:after="283"/>
              <w:rPr>
                <w:sz w:val="4"/>
                <w:szCs w:val="4"/>
              </w:rPr>
            </w:pPr>
            <w:r>
              <w:rPr>
                <w:sz w:val="4"/>
                <w:szCs w:val="4"/>
              </w:rPr>
            </w:r>
          </w:p>
        </w:tc>
        <w:tc>
          <w:tcPr>
            <w:tcW w:w="108" w:type="dxa"/>
            <w:tcBorders/>
            <w:shd w:fill="auto" w:val="clear"/>
            <w:vAlign w:val="bottom"/>
          </w:tcPr>
          <w:p>
            <w:pPr>
              <w:pStyle w:val="TableContents"/>
              <w:spacing w:before="0" w:after="283"/>
              <w:rPr>
                <w:sz w:val="4"/>
                <w:szCs w:val="4"/>
              </w:rPr>
            </w:pPr>
            <w:r>
              <w:rPr>
                <w:sz w:val="4"/>
                <w:szCs w:val="4"/>
              </w:rPr>
            </w:r>
          </w:p>
        </w:tc>
        <w:tc>
          <w:tcPr>
            <w:tcW w:w="9463" w:type="dxa"/>
            <w:tcBorders/>
            <w:shd w:fill="auto" w:val="clear"/>
            <w:vAlign w:val="center"/>
          </w:tcPr>
          <w:p>
            <w:pPr>
              <w:pStyle w:val="TableContents"/>
              <w:spacing w:before="0" w:after="283"/>
              <w:rPr>
                <w:sz w:val="4"/>
                <w:szCs w:val="4"/>
              </w:rPr>
            </w:pPr>
            <w:r>
              <w:rPr>
                <w:sz w:val="4"/>
                <w:szCs w:val="4"/>
              </w:rPr>
            </w:r>
          </w:p>
        </w:tc>
        <w:tc>
          <w:tcPr>
            <w:tcW w:w="125"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260"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1.</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DEFINITIONS</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28</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2.</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AMENDMENTS</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29</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3.</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LIMITATIONS</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29</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4.</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REPRESENTATIONS</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29</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5.</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FURTHER TERMS AND CONDITIONS</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30</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6.</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APPLICABLE LAW</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30</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7.</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DISPUTE SETTLEMENT</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30</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8.</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EXECUTION</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30</w:t>
            </w:r>
          </w:p>
        </w:tc>
        <w:tc>
          <w:tcPr>
            <w:tcW w:w="63" w:type="dxa"/>
            <w:tcBorders/>
            <w:shd w:fill="auto" w:val="clear"/>
            <w:vAlign w:val="bottom"/>
          </w:tcPr>
          <w:p>
            <w:pPr>
              <w:pStyle w:val="TableContents"/>
              <w:spacing w:before="0" w:after="283"/>
              <w:rPr/>
            </w:pPr>
            <w:r>
              <w:rPr/>
              <w:t> </w:t>
            </w:r>
          </w:p>
        </w:tc>
      </w:tr>
      <w:tr>
        <w:trPr>
          <w:trHeight w:val="120" w:hRule="atLeast"/>
        </w:trPr>
        <w:tc>
          <w:tcPr>
            <w:tcW w:w="126" w:type="dxa"/>
            <w:tcBorders/>
            <w:shd w:fill="auto" w:val="clear"/>
            <w:vAlign w:val="center"/>
          </w:tcPr>
          <w:p>
            <w:pPr>
              <w:pStyle w:val="TableContents"/>
              <w:spacing w:before="0" w:after="283"/>
              <w:rPr>
                <w:sz w:val="4"/>
                <w:szCs w:val="4"/>
              </w:rPr>
            </w:pPr>
            <w:r>
              <w:rPr>
                <w:sz w:val="4"/>
                <w:szCs w:val="4"/>
              </w:rPr>
            </w:r>
          </w:p>
        </w:tc>
        <w:tc>
          <w:tcPr>
            <w:tcW w:w="9571" w:type="dxa"/>
            <w:gridSpan w:val="2"/>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126" w:type="dxa"/>
            <w:tcBorders/>
            <w:shd w:fill="auto" w:val="clear"/>
          </w:tcPr>
          <w:p>
            <w:pPr>
              <w:pStyle w:val="TableContents"/>
              <w:spacing w:before="0" w:after="0"/>
              <w:rPr>
                <w:rFonts w:ascii="Times New Roman" w:hAnsi="Times New Roman"/>
                <w:b/>
                <w:sz w:val="20"/>
              </w:rPr>
            </w:pPr>
            <w:r>
              <w:rPr>
                <w:rFonts w:ascii="Times New Roman" w:hAnsi="Times New Roman"/>
                <w:b/>
                <w:sz w:val="20"/>
              </w:rPr>
              <w:t>9.</w:t>
            </w:r>
          </w:p>
        </w:tc>
        <w:tc>
          <w:tcPr>
            <w:tcW w:w="108" w:type="dxa"/>
            <w:tcBorders/>
            <w:shd w:fill="auto" w:val="clear"/>
            <w:vAlign w:val="bottom"/>
          </w:tcPr>
          <w:p>
            <w:pPr>
              <w:pStyle w:val="TableContents"/>
              <w:spacing w:before="0" w:after="283"/>
              <w:rPr/>
            </w:pPr>
            <w:r>
              <w:rPr/>
              <w:t> </w:t>
            </w:r>
          </w:p>
        </w:tc>
        <w:tc>
          <w:tcPr>
            <w:tcW w:w="9463" w:type="dxa"/>
            <w:tcBorders/>
            <w:shd w:fill="auto" w:val="clear"/>
            <w:vAlign w:val="bottom"/>
          </w:tcPr>
          <w:p>
            <w:pPr>
              <w:pStyle w:val="TableContents"/>
              <w:spacing w:before="0" w:after="283"/>
              <w:rPr>
                <w:b/>
              </w:rPr>
            </w:pPr>
            <w:r>
              <w:rPr>
                <w:b/>
              </w:rPr>
              <w:t>FINAL PROVISIONS</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30</w:t>
            </w:r>
          </w:p>
        </w:tc>
        <w:tc>
          <w:tcPr>
            <w:tcW w:w="63" w:type="dxa"/>
            <w:tcBorders/>
            <w:shd w:fill="auto" w:val="clear"/>
            <w:vAlign w:val="bottom"/>
          </w:tcPr>
          <w:p>
            <w:pPr>
              <w:pStyle w:val="TableContents"/>
              <w:spacing w:before="0" w:after="283"/>
              <w:rPr/>
            </w:pPr>
            <w:r>
              <w:rPr/>
              <w:t> </w:t>
            </w:r>
          </w:p>
        </w:tc>
      </w:tr>
      <w:tr>
        <w:trPr>
          <w:trHeight w:val="120" w:hRule="atLeast"/>
        </w:trPr>
        <w:tc>
          <w:tcPr>
            <w:tcW w:w="9697" w:type="dxa"/>
            <w:gridSpan w:val="3"/>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9697"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APPENDIX 1</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32</w:t>
            </w:r>
          </w:p>
        </w:tc>
        <w:tc>
          <w:tcPr>
            <w:tcW w:w="63" w:type="dxa"/>
            <w:tcBorders/>
            <w:shd w:fill="auto" w:val="clear"/>
            <w:vAlign w:val="bottom"/>
          </w:tcPr>
          <w:p>
            <w:pPr>
              <w:pStyle w:val="TableContents"/>
              <w:spacing w:before="0" w:after="283"/>
              <w:rPr/>
            </w:pPr>
            <w:r>
              <w:rPr/>
              <w:t> </w:t>
            </w:r>
          </w:p>
        </w:tc>
      </w:tr>
      <w:tr>
        <w:trPr>
          <w:trHeight w:val="120" w:hRule="atLeast"/>
        </w:trPr>
        <w:tc>
          <w:tcPr>
            <w:tcW w:w="9697" w:type="dxa"/>
            <w:gridSpan w:val="3"/>
            <w:tcBorders/>
            <w:shd w:fill="auto" w:val="clear"/>
            <w:vAlign w:val="center"/>
          </w:tcPr>
          <w:p>
            <w:pPr>
              <w:pStyle w:val="TableContents"/>
              <w:spacing w:before="0" w:after="283"/>
              <w:rPr>
                <w:sz w:val="4"/>
                <w:szCs w:val="4"/>
              </w:rPr>
            </w:pPr>
            <w:r>
              <w:rPr>
                <w:sz w:val="4"/>
                <w:szCs w:val="4"/>
              </w:rPr>
            </w:r>
          </w:p>
        </w:tc>
        <w:tc>
          <w:tcPr>
            <w:tcW w:w="508" w:type="dxa"/>
            <w:gridSpan w:val="4"/>
            <w:tcBorders/>
            <w:shd w:fill="auto" w:val="clear"/>
            <w:vAlign w:val="center"/>
          </w:tcPr>
          <w:p>
            <w:pPr>
              <w:pStyle w:val="TableContents"/>
              <w:spacing w:before="0" w:after="283"/>
              <w:rPr>
                <w:sz w:val="4"/>
                <w:szCs w:val="4"/>
              </w:rPr>
            </w:pPr>
            <w:r>
              <w:rPr>
                <w:sz w:val="4"/>
                <w:szCs w:val="4"/>
              </w:rPr>
            </w:r>
          </w:p>
        </w:tc>
      </w:tr>
      <w:tr>
        <w:trPr/>
        <w:tc>
          <w:tcPr>
            <w:tcW w:w="9697"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REVISED PARTICIPATORY INTEREST PLEDGE AGREEMENT</w:t>
            </w:r>
          </w:p>
        </w:tc>
        <w:tc>
          <w:tcPr>
            <w:tcW w:w="125"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32</w:t>
            </w:r>
          </w:p>
        </w:tc>
        <w:tc>
          <w:tcPr>
            <w:tcW w:w="63" w:type="dxa"/>
            <w:tcBorders/>
            <w:shd w:fill="auto" w:val="clear"/>
            <w:vAlign w:val="bottom"/>
          </w:tcPr>
          <w:p>
            <w:pPr>
              <w:pStyle w:val="TableContents"/>
              <w:spacing w:before="0" w:after="283"/>
              <w:rPr/>
            </w:pPr>
            <w:r>
              <w:rPr/>
              <w:t> </w:t>
            </w:r>
          </w:p>
        </w:tc>
      </w:tr>
    </w:tbl>
    <w:p>
      <w:pPr>
        <w:pStyle w:val="TextBody"/>
        <w:spacing w:before="0" w:after="0"/>
        <w:rPr/>
      </w:pPr>
      <w:r>
        <w:rPr/>
        <w:t>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AMENDMENT AGREEMENT No.</w:t>
      </w:r>
      <w:r>
        <w:rPr>
          <w:rFonts w:ascii="Times New Roman" w:hAnsi="Times New Roman"/>
          <w:sz w:val="20"/>
        </w:rPr>
        <w:t> </w:t>
      </w:r>
      <w:r>
        <w:rPr>
          <w:rFonts w:ascii="Times New Roman" w:hAnsi="Times New Roman"/>
          <w:b/>
          <w:sz w:val="20"/>
        </w:rPr>
        <w:t>1 OF THE AGREEMENT OF PLEDGE OF A PARTICIPATORY INTEREST IN THE AUTHORIZED CAPITAL OF ZEMENIK LLC (the “Agreement”)</w:t>
      </w:r>
      <w:r>
        <w:rPr>
          <w:rFonts w:ascii="Times New Roman" w:hAnsi="Times New Roman"/>
          <w:sz w:val="20"/>
        </w:rPr>
        <w:t xml:space="preserve"> was executed on the fifth of October, the year two thousand seventeen,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ZEMENIK TRADING LIMITED,</w:t>
            </w:r>
            <w:r>
              <w:rPr/>
              <w:t xml:space="preserve"> registration number HE 332806, address (location) of the legal entity: 42 Dositheou, Strovolos 2028, Nicosia, Cyprus, represented by Karen Eduardovich Agayan, born on 04.14.1981, passport No. 45 13 062783, issued by the Department of the Administration of the Federal Migration Services of Russia for Moscow for Konkovo District on February 26, 2013, subdivision code 770-117, registration address: 91, Profsoyuznaya St., apt. 43, Moscow, acting under the Power of Attorney dated September 28, 2017, certified by G. Demetriou, a notary of Nicosia, Cyprus, apostille No. 210695/17 dated September 28, 2017, as a pledgor (the “</w:t>
            </w:r>
            <w:r>
              <w:rPr>
                <w:b/>
              </w:rPr>
              <w:t>Pledgor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 xml:space="preserve">BANK VTB (PUBLIC JOINT-STOCK COMPANY), </w:t>
            </w:r>
            <w:r>
              <w:rPr/>
              <w:t xml:space="preserve">a public joint-stock company incorporated under the laws of the Russian Federation, registered in the Unified State Register of Legal Entities (EGRUL) under number (Primary State Registration Number (OGRN)): 1027739609391, with its office at the address: 29, B. Morskaya St., Saint Petersburg, Russia, 190000,represented by Vitaly Nikolaevich Buzoverya, the Head of the Credit Department and the Senior Vice President, a citizen of Russia, born on 07.29.1974, passport No. 46 02 772136, issued by the Department of the Interior of Zhukovsky Town of Moscow Region on July 2, 2002, subdivision code 502-005, registration address: 11, Dzerzhinskogo St., apt. 83, Zhukovsky, acting under Power of Attorney No. 350000/21 </w:t>
            </w:r>
            <w:r>
              <w:rPr/>
              <w:drawing>
                <wp:inline distT="0" distB="0" distL="0" distR="0">
                  <wp:extent cx="123825" cy="1333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link="rId15"/>
                          <a:stretch>
                            <a:fillRect/>
                          </a:stretch>
                        </pic:blipFill>
                        <pic:spPr bwMode="auto">
                          <a:xfrm>
                            <a:off x="0" y="0"/>
                            <a:ext cx="123825" cy="133350"/>
                          </a:xfrm>
                          <a:prstGeom prst="rect">
                            <a:avLst/>
                          </a:prstGeom>
                          <a:noFill/>
                          <a:ln w="9525">
                            <a:noFill/>
                            <a:miter lim="800000"/>
                            <a:headEnd/>
                            <a:tailEnd/>
                          </a:ln>
                        </pic:spPr>
                      </pic:pic>
                    </a:graphicData>
                  </a:graphic>
                </wp:inline>
              </w:drawing>
            </w:r>
            <w:r>
              <w:rPr/>
              <w:t xml:space="preserve"> dated January 13, 2017, certified by R. V. Ryabov, a notary of Moscow, and registered in the register under number 1-3, as a pledgee </w:t>
            </w:r>
            <w:r>
              <w:rPr>
                <w:b/>
              </w:rPr>
              <w:t>(the “Pledgee”).</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The Pledgee and the Pledgor have entered into the Agreement of Pledge of a Participatory Interest in the Authorized Capital of Zemenik LLC dated May 26, 2016, certified by R. V. Ryabov, a notary of Moscow, number in the register being 2-501, (the “</w:t>
            </w:r>
            <w:r>
              <w:rPr>
                <w:b/>
              </w:rPr>
              <w:t>Participatory Interest Pledge Agreement</w:t>
            </w:r>
            <w:r>
              <w:rPr/>
              <w:t xml:space="preserve">”) under which the Pledgor pledged to the Pledgee 100 (one hundred) percent participatory interest in the authorized capital of the Company as a security for fulfillment of the Company’s obligations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According to Amendment Agreement No. 3 of the Loan Agreement dated October 5, 2017, (hereinafter referred to as “</w:t>
            </w:r>
            <w:r>
              <w:rPr>
                <w:b/>
              </w:rPr>
              <w:t>Amendment Agreement No.</w:t>
            </w:r>
            <w:r>
              <w:rPr/>
              <w:t> </w:t>
            </w:r>
            <w:r>
              <w:rPr>
                <w:b/>
              </w:rPr>
              <w:t>3</w:t>
            </w:r>
            <w:r>
              <w:rPr/>
              <w:t xml:space="preserve">”) concluded between, inter alia, the Company as the Borrower and the Pledgee as the Arranger, a credit agent and an original lender, the Company and the Pledgee agreed to amend the Loan Agreement, inter alia, to increase the loan amount up to RUB 7,000,000,000 (seven billion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Parties hereby agree to make such amendments to the Participatory Interest Pledge Agreement as specified herein to ensure the fulfillment of the Company’s obligations under the Loan Agreement as amended by Amendment Agreement No. 3. </w:t>
            </w:r>
          </w:p>
        </w:tc>
      </w:tr>
    </w:tbl>
    <w:p>
      <w:pPr>
        <w:pStyle w:val="TextBody"/>
        <w:spacing w:before="240" w:after="0"/>
        <w:rPr>
          <w:rFonts w:ascii="Times New Roman" w:hAnsi="Times New Roman"/>
          <w:sz w:val="20"/>
        </w:rPr>
      </w:pPr>
      <w:r>
        <w:rPr>
          <w:rFonts w:ascii="Times New Roman" w:hAnsi="Times New Roman"/>
          <w:b/>
          <w:sz w:val="20"/>
        </w:rPr>
        <w:t xml:space="preserve">THE PARTIES HAVE AGREED </w:t>
      </w:r>
      <w:r>
        <w:rPr>
          <w:rFonts w:ascii="Times New Roman" w:hAnsi="Times New Roman"/>
          <w:sz w:val="20"/>
        </w:rPr>
        <w:t xml:space="preserve">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Agreement: </w:t>
      </w:r>
    </w:p>
    <w:p>
      <w:pPr>
        <w:pStyle w:val="TextBody"/>
        <w:spacing w:before="120" w:after="0"/>
        <w:rPr/>
      </w:pPr>
      <w:r>
        <w:rPr/>
        <w:t>“</w:t>
      </w:r>
      <w:r>
        <w:rPr>
          <w:rFonts w:ascii="Times New Roman" w:hAnsi="Times New Roman"/>
          <w:b/>
          <w:sz w:val="20"/>
        </w:rPr>
        <w:t xml:space="preserve">Effective Date” </w:t>
      </w:r>
      <w:r>
        <w:rPr>
          <w:rFonts w:ascii="Times New Roman" w:hAnsi="Times New Roman"/>
          <w:sz w:val="20"/>
        </w:rPr>
        <w:t xml:space="preserve">means the effective date of Amendment Agreement No. 3.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Revised Participatory Interest Pledge Agreement”</w:t>
      </w:r>
      <w:r>
        <w:rPr>
          <w:rFonts w:ascii="Times New Roman" w:hAnsi="Times New Roman"/>
          <w:sz w:val="20"/>
        </w:rPr>
        <w:t xml:space="preserve"> means the Participatory Interest Pledge Agreement as amended according to this Agreement in the form provided in Appendix 1 </w:t>
      </w:r>
      <w:r>
        <w:rPr>
          <w:rFonts w:ascii="Times New Roman" w:hAnsi="Times New Roman"/>
          <w:i/>
          <w:sz w:val="20"/>
        </w:rPr>
        <w:t xml:space="preserve">(the </w:t>
      </w:r>
      <w:r>
        <w:rPr>
          <w:rFonts w:ascii="Times New Roman" w:hAnsi="Times New Roman"/>
          <w:sz w:val="20"/>
        </w:rPr>
        <w:t>“</w:t>
      </w:r>
      <w:r>
        <w:rPr>
          <w:rFonts w:ascii="Times New Roman" w:hAnsi="Times New Roman"/>
          <w:i/>
          <w:sz w:val="20"/>
        </w:rPr>
        <w:t>Revised Participatory Interest Pledge Agreement</w:t>
      </w:r>
      <w:r>
        <w:rPr>
          <w:rFonts w:ascii="Times New Roman" w:hAnsi="Times New Roman"/>
          <w:sz w:val="20"/>
        </w:rPr>
        <w:t>”</w:t>
      </w:r>
      <w:r>
        <w:rPr>
          <w:rFonts w:ascii="Times New Roman" w:hAnsi="Times New Roman"/>
          <w:i/>
          <w:sz w:val="20"/>
        </w:rPr>
        <w:t>).</w:t>
      </w:r>
      <w:r>
        <w:rPr>
          <w:rFonts w:ascii="Times New Roman" w:hAnsi="Times New Roman"/>
          <w:sz w:val="20"/>
        </w:rPr>
        <w:t xml:space="preserve">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has the meaning specified in Clause (B) of the Preamble. </w:t>
      </w:r>
    </w:p>
    <w:p>
      <w:pPr>
        <w:pStyle w:val="TextBody"/>
        <w:spacing w:before="120" w:after="0"/>
        <w:rPr/>
      </w:pPr>
      <w:r>
        <w:rPr/>
        <w:t>“</w:t>
      </w:r>
      <w:r>
        <w:rPr>
          <w:rFonts w:ascii="Times New Roman" w:hAnsi="Times New Roman"/>
          <w:b/>
          <w:sz w:val="20"/>
        </w:rPr>
        <w:t xml:space="preserve">Party” </w:t>
      </w:r>
      <w:r>
        <w:rPr>
          <w:rFonts w:ascii="Times New Roman" w:hAnsi="Times New Roman"/>
          <w:sz w:val="20"/>
        </w:rPr>
        <w:t xml:space="preserve">means a party hereto.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the context requires otherwise, any capitalized terms used in the Loan Agreement and the Participatory Interest Pledge Agreement which are not defined herein have the same meaning as in the Loan Agreement and the Participatory Interest Pledge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1.3.</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provisions of Article 1.2 </w:t>
      </w:r>
      <w:r>
        <w:rPr>
          <w:rFonts w:ascii="Times New Roman" w:hAnsi="Times New Roman"/>
          <w:i/>
          <w:sz w:val="20"/>
        </w:rPr>
        <w:t>(Interpretation)</w:t>
      </w:r>
      <w:r>
        <w:rPr>
          <w:rFonts w:ascii="Times New Roman" w:hAnsi="Times New Roman"/>
          <w:sz w:val="20"/>
        </w:rPr>
        <w:t xml:space="preserve"> of the Loan Agreement shall apply to this Agreement as if they are written in this Agreement; any references to Articles, Clauses and Appendices shall be deemed references to Articles, Clauses and Appendices hereof, unless the context requires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is a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Parties agree that since the Effective Date the Participatory Interest Pledge Agreement shall be amended to be read in the wording specified in Appendix 1 </w:t>
      </w:r>
      <w:r>
        <w:rPr>
          <w:rFonts w:ascii="Times New Roman" w:hAnsi="Times New Roman"/>
          <w:i/>
          <w:sz w:val="20"/>
        </w:rPr>
        <w:t xml:space="preserve">(the </w:t>
      </w:r>
      <w:r>
        <w:rPr>
          <w:rFonts w:ascii="Times New Roman" w:hAnsi="Times New Roman"/>
          <w:sz w:val="20"/>
        </w:rPr>
        <w:t>“</w:t>
      </w:r>
      <w:r>
        <w:rPr>
          <w:rFonts w:ascii="Times New Roman" w:hAnsi="Times New Roman"/>
          <w:i/>
          <w:sz w:val="20"/>
        </w:rPr>
        <w:t xml:space="preserve">Revised Participatory Interest Pledge Agreement); </w:t>
      </w:r>
      <w:r>
        <w:rPr>
          <w:rFonts w:ascii="Times New Roman" w:hAnsi="Times New Roman"/>
          <w:sz w:val="20"/>
        </w:rPr>
        <w:t xml:space="preserve">and the rights and obligations of the Parties under the Participatory Interest Pledge Agreement shall be governed and construed under the terms and conditions of the Revised Participatory Interest Pledge Agreement since the Effective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mandatory nature of amendments provided for by Article 2 (Amendments) is established by the coming of Amendment Agreement No. 3 into force (as provided for by Article 3271 of the Civil Code). A date on which the Credit Agent will confirm to the Company the receipt of documents, information and approvals necessary for coming of Amendment Agreement No. 3 into force is the “</w:t>
            </w:r>
            <w:r>
              <w:rPr>
                <w:b/>
              </w:rPr>
              <w:t>Effective Date”.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Any amendments to the Participatory Interest Pledge Agreement hereunder shall be limited to the amendments specified in Article 2 </w:t>
            </w:r>
            <w:r>
              <w:rPr>
                <w:i/>
              </w:rPr>
              <w:t xml:space="preserve">(Amendments). </w:t>
            </w:r>
            <w:r>
              <w:rPr/>
              <w:t xml:space="preserve">No other provisions of the Participatory Interest Pledge Agreement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Agreement shall not release the Pledgor from any obligations provided for by the Participatory Interest Pledge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4.</w:t>
            </w:r>
          </w:p>
        </w:tc>
        <w:tc>
          <w:tcPr>
            <w:tcW w:w="9391"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Pledgor shall submit the Pledgee representations of circumstances specified in Article 5 </w:t>
            </w:r>
            <w:r>
              <w:rPr>
                <w:i/>
              </w:rPr>
              <w:t>(Representations of Circumstances of the Pledgor) of the</w:t>
            </w:r>
            <w:r>
              <w:rPr/>
              <w:t xml:space="preserve"> Participatory Interest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Any representations of circumstances specified in Clause (a) above shall be provided by the Pledgor on the date of this Agreement with a reference to the circumstances existing on the date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references to the Participatory Interest Pledge Agreement in such representations on circumstances as provided according to Clause (a) above shall be deemed as including, inter alia, references 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5.</w:t>
            </w:r>
          </w:p>
        </w:tc>
        <w:tc>
          <w:tcPr>
            <w:tcW w:w="9392" w:type="dxa"/>
            <w:tcBorders/>
            <w:shd w:fill="auto" w:val="clear"/>
          </w:tcPr>
          <w:p>
            <w:pPr>
              <w:pStyle w:val="TableContents"/>
              <w:spacing w:before="0" w:after="283"/>
              <w:jc w:val="left"/>
              <w:rPr/>
            </w:pPr>
            <w:r>
              <w:rPr>
                <w:b/>
              </w:rPr>
              <w:t>FURTHER TERMS AND CONDITIONS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respect of this Agreement, the Pledgor shall submit: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within 5 (five) Business Days after signing hereof, a copy of the Pledgor’s register of pledges showing the amended information on the terms and conditions of pledge according to Article 99 of the Companies Act of the Republic of Cyprus, Cap. 113;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within 10 (ten) Business Days after signing hereof, a proof of the fact that an application on change of information on pledge has been filed to the Registrar of Companies of Cyprus according to Article 90 of Companies Act of the Republic of Cyprus, Cap. 113;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within 30 (thirty) Business Days after signing hereof, a proof of registration of change of information on pledge issued by the Registrar of Companies of Cyprus according to Article 93 of Companies Act of the Republic of Cyprus, Cap. 113.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7.</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any dispute arises in connection with this Agreement, including, but not limited to, any dispute concerning its provisions, existence, validity or termination, such dispute shall be settled by the Moscow Arbitrazh Court.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is executed in three counterparts, one to be kept in the files of Roman Vasilyevich Ryabov, a notary of Moscow, at the address: 9, Krasnoproletarskaya St., Moscow, one for the Pledgee, and one for the Pledgor.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w:t>
            </w:r>
          </w:p>
        </w:tc>
        <w:tc>
          <w:tcPr>
            <w:tcW w:w="9389" w:type="dxa"/>
            <w:tcBorders/>
            <w:shd w:fill="auto" w:val="clear"/>
          </w:tcPr>
          <w:p>
            <w:pPr>
              <w:pStyle w:val="TableContents"/>
              <w:spacing w:before="0" w:after="283"/>
              <w:jc w:val="left"/>
              <w:rPr/>
            </w:pPr>
            <w:r>
              <w:rPr>
                <w:b/>
              </w:rPr>
              <w:t>FINAL PROVISIONS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has been read to the Parties out loud prior to its signing, the Parties that signed this Agreement confirm that the contents hereof is fully clear to the Parties. All remarks of the Parties have been taken into account in this Agreement, the Parties do not have any other proposals concerning the contents hereof. The contents of Articles 334–358, 450 and 452 of the Civil Code have been explained to the Parties by the notary. </w:t>
      </w:r>
    </w:p>
    <w:p>
      <w:pPr>
        <w:pStyle w:val="TextBody"/>
        <w:spacing w:before="120" w:after="0"/>
        <w:rPr>
          <w:rFonts w:ascii="Times New Roman" w:hAnsi="Times New Roman"/>
          <w:sz w:val="20"/>
        </w:rPr>
      </w:pPr>
      <w:r>
        <w:rPr>
          <w:rFonts w:ascii="Times New Roman" w:hAnsi="Times New Roman"/>
          <w:sz w:val="20"/>
        </w:rPr>
        <w:t xml:space="preserve">This Agreement has been entered into on the date stated at the beginning of this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REVISED PARTICIPATORY INTEREST PLEDGE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AGREEMENT OF PLEDGE OF A PARTICIPATORY </w:t>
      </w:r>
    </w:p>
    <w:p>
      <w:pPr>
        <w:pStyle w:val="TextBody"/>
        <w:spacing w:before="0" w:after="0"/>
        <w:jc w:val="center"/>
        <w:rPr>
          <w:rFonts w:ascii="Times New Roman" w:hAnsi="Times New Roman"/>
          <w:b/>
          <w:sz w:val="20"/>
        </w:rPr>
      </w:pPr>
      <w:r>
        <w:rPr>
          <w:rFonts w:ascii="Times New Roman" w:hAnsi="Times New Roman"/>
          <w:b/>
          <w:sz w:val="20"/>
        </w:rPr>
        <w:t xml:space="preserve">INTEREST IN THE AUTHORIZED CAPITAL OF </w:t>
      </w:r>
    </w:p>
    <w:p>
      <w:pPr>
        <w:pStyle w:val="TextBody"/>
        <w:spacing w:before="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240" w:after="0"/>
        <w:jc w:val="center"/>
        <w:rPr>
          <w:rFonts w:ascii="Times New Roman" w:hAnsi="Times New Roman"/>
          <w:b/>
          <w:sz w:val="20"/>
        </w:rPr>
      </w:pPr>
      <w:r>
        <w:rPr>
          <w:rFonts w:ascii="Times New Roman" w:hAnsi="Times New Roman"/>
          <w:b/>
          <w:sz w:val="20"/>
        </w:rPr>
        <w:t xml:space="preserve">Moscow </w:t>
      </w:r>
    </w:p>
    <w:p>
      <w:pPr>
        <w:pStyle w:val="TextBody"/>
        <w:spacing w:before="240" w:after="0"/>
        <w:jc w:val="center"/>
        <w:rPr>
          <w:rFonts w:ascii="Times New Roman" w:hAnsi="Times New Roman"/>
          <w:b/>
          <w:sz w:val="20"/>
        </w:rPr>
      </w:pPr>
      <w:r>
        <w:rPr>
          <w:rFonts w:ascii="Times New Roman" w:hAnsi="Times New Roman"/>
          <w:b/>
          <w:sz w:val="20"/>
        </w:rPr>
        <w:t xml:space="preserve">The Twenty-Sixth of May Twenty Sixteen </w:t>
      </w:r>
    </w:p>
    <w:p>
      <w:pPr>
        <w:pStyle w:val="TextBody"/>
        <w:spacing w:before="240" w:after="0"/>
        <w:jc w:val="center"/>
        <w:rPr>
          <w:rFonts w:ascii="Times New Roman" w:hAnsi="Times New Roman"/>
          <w:b/>
          <w:sz w:val="20"/>
        </w:rPr>
      </w:pPr>
      <w:r>
        <w:rPr>
          <w:rFonts w:ascii="Times New Roman" w:hAnsi="Times New Roman"/>
          <w:b/>
          <w:sz w:val="20"/>
        </w:rPr>
        <w:t xml:space="preserve">(as amended by Amendment Agreement No. 1 dated October 5, 2017) </w:t>
      </w:r>
    </w:p>
    <w:p>
      <w:pPr>
        <w:pStyle w:val="TextBody"/>
        <w:spacing w:before="240" w:after="0"/>
        <w:rPr>
          <w:rFonts w:ascii="Times New Roman" w:hAnsi="Times New Roman"/>
          <w:sz w:val="20"/>
        </w:rPr>
      </w:pPr>
      <w:r>
        <w:rPr>
          <w:rFonts w:ascii="Times New Roman" w:hAnsi="Times New Roman"/>
          <w:b/>
          <w:sz w:val="20"/>
        </w:rPr>
        <w:t xml:space="preserve">BANK VTB (PUBLIC JOINT-STOCK COMPANY) (SHORT NAME: BANK VTB (PJSC)) </w:t>
      </w:r>
      <w:r>
        <w:rPr>
          <w:rFonts w:ascii="Times New Roman" w:hAnsi="Times New Roman"/>
          <w:sz w:val="20"/>
        </w:rPr>
        <w:t xml:space="preserve">(OGRN 1027739609391, INN 7702070139), General License for Banking Operations No. 1000, registered at its establishment by the Central Bank of the Russian Federation on October 17, 1990, No. 1000, entered into the Unified State Register of Legal Entities on November 22, 2002, (certificate of making an entry in the Unified State Register of Legal Entities concerning a legal entity being registered prior to July 01, 2002, series 77 No. 005374791, issued by Interdistrict Inspectorate of the Ministry of the Russian Federation for Taxes and Levies No. 39 for Moscow on November 22, 2002), located at: 29, Bolshaya Morskaya St., Saint Petersburg, the Russian Federation, 190000), represented by </w:t>
      </w:r>
      <w:r>
        <w:rPr>
          <w:rFonts w:ascii="Times New Roman" w:hAnsi="Times New Roman"/>
          <w:b/>
          <w:sz w:val="20"/>
        </w:rPr>
        <w:t>Vitaly Nikolaevich Buzoverya</w:t>
      </w:r>
      <w:r>
        <w:rPr>
          <w:rFonts w:ascii="Times New Roman" w:hAnsi="Times New Roman"/>
          <w:sz w:val="20"/>
        </w:rPr>
        <w:t xml:space="preserve">, acting under Power of Attorney No. 350000/25 </w:t>
      </w:r>
      <w:r>
        <w:rPr>
          <w:rFonts w:ascii="Times New Roman" w:hAnsi="Times New Roman"/>
          <w:sz w:val="20"/>
        </w:rPr>
        <w:drawing>
          <wp:inline distT="0" distB="0" distL="0" distR="0">
            <wp:extent cx="718820" cy="35941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link="rId16"/>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certified on January 14, 2016, under register number 2-25, hereinafter referred to as the “</w:t>
      </w:r>
      <w:r>
        <w:rPr>
          <w:rFonts w:ascii="Times New Roman" w:hAnsi="Times New Roman"/>
          <w:b/>
          <w:sz w:val="20"/>
        </w:rPr>
        <w:t>Pledgee”</w:t>
      </w:r>
      <w:r>
        <w:rPr>
          <w:rFonts w:ascii="Times New Roman" w:hAnsi="Times New Roman"/>
          <w:sz w:val="20"/>
        </w:rPr>
        <w:t xml:space="preserve">, on the one hand, and </w:t>
      </w:r>
    </w:p>
    <w:p>
      <w:pPr>
        <w:pStyle w:val="TextBody"/>
        <w:spacing w:before="240" w:after="0"/>
        <w:rPr>
          <w:rFonts w:ascii="Times New Roman" w:hAnsi="Times New Roman"/>
          <w:sz w:val="20"/>
        </w:rPr>
      </w:pPr>
      <w:r>
        <w:rPr>
          <w:rFonts w:ascii="Times New Roman" w:hAnsi="Times New Roman"/>
          <w:b/>
          <w:sz w:val="20"/>
        </w:rPr>
        <w:t>ZEMENIK TRADING LIMITED,</w:t>
      </w:r>
      <w:r>
        <w:rPr>
          <w:rFonts w:ascii="Times New Roman" w:hAnsi="Times New Roman"/>
          <w:sz w:val="20"/>
        </w:rPr>
        <w:t xml:space="preserve"> registration number HE 332806, address (location) of the legal entity: 42 Dositheou, Strovolos 2028, Nicosia, Cyprus, represented by </w:t>
      </w:r>
      <w:r>
        <w:rPr>
          <w:rFonts w:ascii="Times New Roman" w:hAnsi="Times New Roman"/>
          <w:b/>
          <w:sz w:val="20"/>
        </w:rPr>
        <w:t>Yana Vladimirovna Cheremukhina</w:t>
      </w:r>
      <w:r>
        <w:rPr>
          <w:rFonts w:ascii="Times New Roman" w:hAnsi="Times New Roman"/>
          <w:sz w:val="20"/>
        </w:rPr>
        <w:t>, acting under the Power of Attorney dated May 12, 2016, hereinafter referred to as the “</w:t>
      </w:r>
      <w:r>
        <w:rPr>
          <w:rFonts w:ascii="Times New Roman" w:hAnsi="Times New Roman"/>
          <w:b/>
          <w:sz w:val="20"/>
        </w:rPr>
        <w:t>Pledgor</w:t>
      </w:r>
      <w:r>
        <w:rPr>
          <w:rFonts w:ascii="Times New Roman" w:hAnsi="Times New Roman"/>
          <w:sz w:val="20"/>
        </w:rPr>
        <w:t>”, on the other hand, collectively referred to as the “</w:t>
      </w:r>
      <w:r>
        <w:rPr>
          <w:rFonts w:ascii="Times New Roman" w:hAnsi="Times New Roman"/>
          <w:b/>
          <w:sz w:val="20"/>
        </w:rPr>
        <w:t>Parties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for a due, timely and complete fulfillment of all current and future Company’s obligations under the Loan Agreement (as defined hereinafter), have entered into this agreement as follows: </w:t>
      </w:r>
    </w:p>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According to the Syndicated Loan Agreement in the wording specified in Amendment Agreement No. 3 (the “</w:t>
            </w:r>
            <w:r>
              <w:rPr>
                <w:b/>
              </w:rPr>
              <w:t>Loan Agreement”</w:t>
            </w:r>
            <w:r>
              <w:rPr/>
              <w:t xml:space="preserve">) executed on May 16, 2016, between the Pledgee as an organizer, a credit agent and an original lender and the Company as a borrower, the Pledgee agreed to grant the Company funds in Rubles in an amount not exceeding RUB 7,000,000,000 (7 billion Rubles)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One of the preconditions for granting of the Loan to the Company under the Loan Agreement is execution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This Agreement is a Financial Document as defined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Pledgor is aware of the terms and conditions of the Loan Agreement and other Financial Documents. </w:t>
            </w:r>
          </w:p>
        </w:tc>
      </w:tr>
    </w:tbl>
    <w:p>
      <w:pPr>
        <w:pStyle w:val="TextBody"/>
        <w:spacing w:before="240" w:after="0"/>
        <w:rPr>
          <w:rFonts w:ascii="Times New Roman" w:hAnsi="Times New Roman"/>
          <w:sz w:val="20"/>
        </w:rPr>
      </w:pPr>
      <w:r>
        <w:rPr>
          <w:rFonts w:ascii="Times New Roman" w:hAnsi="Times New Roman"/>
          <w:b/>
          <w:sz w:val="20"/>
        </w:rPr>
        <w:t xml:space="preserve">IN VIEW OF THE FOREGOING, </w:t>
      </w:r>
      <w:r>
        <w:rPr>
          <w:rFonts w:ascii="Times New Roman" w:hAnsi="Times New Roman"/>
          <w:sz w:val="20"/>
        </w:rPr>
        <w:t xml:space="preserve">the Parties have agreed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w:t>
            </w:r>
          </w:p>
        </w:tc>
        <w:tc>
          <w:tcPr>
            <w:tcW w:w="9390" w:type="dxa"/>
            <w:tcBorders/>
            <w:shd w:fill="auto" w:val="clear"/>
          </w:tcPr>
          <w:p>
            <w:pPr>
              <w:pStyle w:val="TableContents"/>
              <w:spacing w:before="0" w:after="283"/>
              <w:jc w:val="left"/>
              <w:rPr/>
            </w:pPr>
            <w:r>
              <w:rPr>
                <w:b/>
              </w:rPr>
              <w:t>TERMS AND 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For the purposes of this Agreement: </w:t>
      </w:r>
    </w:p>
    <w:p>
      <w:pPr>
        <w:pStyle w:val="TextBody"/>
        <w:spacing w:before="120" w:after="0"/>
        <w:rPr/>
      </w:pPr>
      <w:r>
        <w:rPr/>
        <w:t>“</w:t>
      </w:r>
      <w:r>
        <w:rPr>
          <w:rFonts w:ascii="Times New Roman" w:hAnsi="Times New Roman"/>
          <w:b/>
          <w:sz w:val="20"/>
        </w:rPr>
        <w:t>Civil Code”</w:t>
      </w:r>
      <w:r>
        <w:rPr>
          <w:rFonts w:ascii="Times New Roman" w:hAnsi="Times New Roman"/>
          <w:sz w:val="20"/>
        </w:rPr>
        <w:t xml:space="preserve"> means collectively: (a) “Civil Code of the Russian Federation (Part I)” No. 51- </w:t>
      </w:r>
      <w:r>
        <w:rPr>
          <w:rFonts w:ascii="Times New Roman" w:hAnsi="Times New Roman"/>
          <w:sz w:val="20"/>
        </w:rPr>
        <w:drawing>
          <wp:inline distT="0" distB="0" distL="0" distR="0">
            <wp:extent cx="718820" cy="35941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link="rId17"/>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November 30, 1994, (as amended); (b) “Civil Code of the Russian Federation (Part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II)” No. 14- </w:t>
      </w:r>
      <w:r>
        <w:rPr>
          <w:rFonts w:ascii="Times New Roman" w:hAnsi="Times New Roman"/>
          <w:sz w:val="20"/>
        </w:rPr>
        <w:drawing>
          <wp:inline distT="0" distB="0" distL="0" distR="0">
            <wp:extent cx="718820" cy="35941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link="rId18"/>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January 26, 1996, (as amended); (c) “Civil Code of the Russian Federation (Part III)” No. 146- </w:t>
      </w:r>
      <w:r>
        <w:rPr>
          <w:rFonts w:ascii="Times New Roman" w:hAnsi="Times New Roman"/>
          <w:sz w:val="20"/>
        </w:rPr>
        <w:drawing>
          <wp:inline distT="0" distB="0" distL="0" distR="0">
            <wp:extent cx="718820" cy="35941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link="rId19"/>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November 26, 2001, (as amended) and (d) “Civil Code of the Russian Federation (Part IV)” No. 230- </w:t>
      </w:r>
      <w:r>
        <w:rPr>
          <w:rFonts w:ascii="Times New Roman" w:hAnsi="Times New Roman"/>
          <w:sz w:val="20"/>
        </w:rPr>
        <w:drawing>
          <wp:inline distT="0" distB="0" distL="0" distR="0">
            <wp:extent cx="718820" cy="35941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link="rId20"/>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December 18, 2006, (as amended). </w:t>
      </w:r>
    </w:p>
    <w:p>
      <w:pPr>
        <w:pStyle w:val="TextBody"/>
        <w:spacing w:before="120" w:after="0"/>
        <w:rPr/>
      </w:pPr>
      <w:r>
        <w:rPr/>
        <w:t>“</w:t>
      </w:r>
      <w:r>
        <w:rPr>
          <w:rFonts w:ascii="Times New Roman" w:hAnsi="Times New Roman"/>
          <w:b/>
          <w:sz w:val="20"/>
        </w:rPr>
        <w:t>Agreement”</w:t>
      </w:r>
      <w:r>
        <w:rPr>
          <w:rFonts w:ascii="Times New Roman" w:hAnsi="Times New Roman"/>
          <w:sz w:val="20"/>
        </w:rPr>
        <w:t xml:space="preserve"> means this Agreement of Pledge of a Participatory Interest in the Authorized Capital. </w:t>
      </w:r>
    </w:p>
    <w:p>
      <w:pPr>
        <w:pStyle w:val="TextBody"/>
        <w:spacing w:before="120" w:after="0"/>
        <w:rPr/>
      </w:pPr>
      <w:r>
        <w:rPr/>
        <w:t>“</w:t>
      </w:r>
      <w:r>
        <w:rPr>
          <w:rFonts w:ascii="Times New Roman" w:hAnsi="Times New Roman"/>
          <w:b/>
          <w:sz w:val="20"/>
        </w:rPr>
        <w:t>EGRUL”</w:t>
      </w:r>
      <w:r>
        <w:rPr>
          <w:rFonts w:ascii="Times New Roman" w:hAnsi="Times New Roman"/>
          <w:sz w:val="20"/>
        </w:rPr>
        <w:t xml:space="preserve"> means the Unified State Register of Legal Entities. </w:t>
      </w:r>
    </w:p>
    <w:p>
      <w:pPr>
        <w:pStyle w:val="TextBody"/>
        <w:spacing w:before="120" w:after="0"/>
        <w:rPr/>
      </w:pPr>
      <w:r>
        <w:rPr/>
        <w:t>“</w:t>
      </w:r>
      <w:r>
        <w:rPr>
          <w:rFonts w:ascii="Times New Roman" w:hAnsi="Times New Roman"/>
          <w:b/>
          <w:sz w:val="20"/>
        </w:rPr>
        <w:t>Law on Regulated Procurement”</w:t>
      </w:r>
      <w:r>
        <w:rPr>
          <w:rFonts w:ascii="Times New Roman" w:hAnsi="Times New Roman"/>
          <w:sz w:val="20"/>
        </w:rPr>
        <w:t xml:space="preserve"> means Federal Law of the Russian Federation No. 223- </w:t>
      </w:r>
      <w:r>
        <w:rPr>
          <w:rFonts w:ascii="Times New Roman" w:hAnsi="Times New Roman"/>
          <w:sz w:val="20"/>
        </w:rPr>
        <w:drawing>
          <wp:inline distT="0" distB="0" distL="0" distR="0">
            <wp:extent cx="718820" cy="35941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link="rId21"/>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July 18, 2011, “On Procurement of Goods, Works, Services by Separate Types of Legal Entities”. </w:t>
      </w:r>
    </w:p>
    <w:p>
      <w:pPr>
        <w:pStyle w:val="TextBody"/>
        <w:spacing w:before="120" w:after="0"/>
        <w:rPr/>
      </w:pPr>
      <w:r>
        <w:rPr/>
        <w:t>“</w:t>
      </w:r>
      <w:r>
        <w:rPr>
          <w:rFonts w:ascii="Times New Roman" w:hAnsi="Times New Roman"/>
          <w:b/>
          <w:sz w:val="20"/>
        </w:rPr>
        <w:t>Loan”</w:t>
      </w:r>
      <w:r>
        <w:rPr>
          <w:rFonts w:ascii="Times New Roman" w:hAnsi="Times New Roman"/>
          <w:sz w:val="20"/>
        </w:rPr>
        <w:t xml:space="preserve"> means funds within the Aggregate Loan Limit granted by the Lenders to the Company under the Loan Agreement as Tranche A, Tranche B, Tranche C, and Tranche D. </w:t>
      </w:r>
    </w:p>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has the meaning specified in Clause (A) of the Preamble to this Agreement.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Zemenik Limited Liability Company, Taxpayer Identification Number (INN): 7714373561, Primary State Registration Number (OGRN): 1167746153860, state registration date: February 11, 2016, name of the registration authority: Interdistrict Inspectorate of the Federal Tax Services No. 46 for Moscow, certificate of state registration of the legal entity: series 77 No. 017705664, Tax Registration Reason Code (KPP): 771401001, location of the legal entity: 4 Akademika Ilyushina St., bld. 1, office 54, Moscow, the Russian Federation. </w:t>
      </w:r>
    </w:p>
    <w:p>
      <w:pPr>
        <w:pStyle w:val="TextBody"/>
        <w:spacing w:before="120" w:after="0"/>
        <w:rPr/>
      </w:pPr>
      <w:r>
        <w:rPr/>
        <w:t>“</w:t>
      </w:r>
      <w:r>
        <w:rPr>
          <w:rFonts w:ascii="Times New Roman" w:hAnsi="Times New Roman"/>
          <w:b/>
          <w:sz w:val="20"/>
        </w:rPr>
        <w:t>Obligations”</w:t>
      </w:r>
      <w:r>
        <w:rPr>
          <w:rFonts w:ascii="Times New Roman" w:hAnsi="Times New Roman"/>
          <w:sz w:val="20"/>
        </w:rPr>
        <w:t xml:space="preserve"> means all Company’s current and future obligations under the Loan Agreement, including, but not limited to those specified in Clause 2.3 hereof. </w:t>
      </w:r>
    </w:p>
    <w:p>
      <w:pPr>
        <w:pStyle w:val="TextBody"/>
        <w:spacing w:before="120" w:after="0"/>
        <w:rPr/>
      </w:pPr>
      <w:r>
        <w:rPr/>
        <w:t>“</w:t>
      </w:r>
      <w:r>
        <w:rPr>
          <w:rFonts w:ascii="Times New Roman" w:hAnsi="Times New Roman"/>
          <w:b/>
          <w:sz w:val="20"/>
        </w:rPr>
        <w:t>Appraiser’s Report”</w:t>
      </w:r>
      <w:r>
        <w:rPr>
          <w:rFonts w:ascii="Times New Roman" w:hAnsi="Times New Roman"/>
          <w:sz w:val="20"/>
        </w:rPr>
        <w:t xml:space="preserve"> means such report on the market value of the Collateral as prepared by an independent appraiser appointed under Article 4 (</w:t>
      </w:r>
      <w:r>
        <w:rPr>
          <w:rFonts w:ascii="Times New Roman" w:hAnsi="Times New Roman"/>
          <w:i/>
          <w:sz w:val="20"/>
        </w:rPr>
        <w:t>Conditions of and Procedure for Enforcement of the Collateral</w:t>
      </w:r>
      <w:r>
        <w:rPr>
          <w:rFonts w:ascii="Times New Roman" w:hAnsi="Times New Roman"/>
          <w:sz w:val="20"/>
        </w:rPr>
        <w:t xml:space="preserve">) hereof for determining a disposal price of the Collateral in the enforcement cases provided for hereby. </w:t>
      </w:r>
    </w:p>
    <w:p>
      <w:pPr>
        <w:pStyle w:val="TextBody"/>
        <w:spacing w:before="120" w:after="0"/>
        <w:rPr/>
      </w:pPr>
      <w:r>
        <w:rPr/>
        <w:t>“</w:t>
      </w:r>
      <w:r>
        <w:rPr>
          <w:rFonts w:ascii="Times New Roman" w:hAnsi="Times New Roman"/>
          <w:b/>
          <w:sz w:val="20"/>
        </w:rPr>
        <w:t>Collateral”</w:t>
      </w:r>
      <w:r>
        <w:rPr>
          <w:rFonts w:ascii="Times New Roman" w:hAnsi="Times New Roman"/>
          <w:sz w:val="20"/>
        </w:rPr>
        <w:t xml:space="preserve"> means such participatory interest in the authorized capital of the Company which belongs to the Pledgor and which is specified in Clause 2.1 hereof. </w:t>
      </w:r>
    </w:p>
    <w:p>
      <w:pPr>
        <w:pStyle w:val="TextBody"/>
        <w:spacing w:before="120" w:after="0"/>
        <w:rPr/>
      </w:pPr>
      <w:r>
        <w:rPr/>
        <w:t>“</w:t>
      </w:r>
      <w:r>
        <w:rPr>
          <w:rFonts w:ascii="Times New Roman" w:hAnsi="Times New Roman"/>
          <w:b/>
          <w:sz w:val="20"/>
        </w:rPr>
        <w:t>Ruble”</w:t>
      </w:r>
      <w:r>
        <w:rPr>
          <w:rFonts w:ascii="Times New Roman" w:hAnsi="Times New Roman"/>
          <w:sz w:val="20"/>
        </w:rPr>
        <w:t xml:space="preserve"> means a legal tender of the Russian Federation.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to the Loan Agreement dated October 5, 2017. </w:t>
      </w:r>
    </w:p>
    <w:p>
      <w:pPr>
        <w:pStyle w:val="TextBody"/>
        <w:spacing w:before="120" w:after="0"/>
        <w:rPr/>
      </w:pPr>
      <w:r>
        <w:rPr/>
        <w:t>“</w:t>
      </w:r>
      <w:r>
        <w:rPr>
          <w:rFonts w:ascii="Times New Roman" w:hAnsi="Times New Roman"/>
          <w:b/>
          <w:sz w:val="20"/>
        </w:rPr>
        <w:t>Party/Parties”</w:t>
      </w:r>
      <w:r>
        <w:rPr>
          <w:rFonts w:ascii="Times New Roman" w:hAnsi="Times New Roman"/>
          <w:sz w:val="20"/>
        </w:rPr>
        <w:t xml:space="preserve"> means the Pledgor and the Pledgee, together or separately, depending on the context. </w:t>
      </w:r>
    </w:p>
    <w:p>
      <w:pPr>
        <w:pStyle w:val="TextBody"/>
        <w:spacing w:before="120" w:after="0"/>
        <w:rPr/>
      </w:pPr>
      <w:r>
        <w:rPr/>
        <w:t>“</w:t>
      </w:r>
      <w:r>
        <w:rPr>
          <w:rFonts w:ascii="Times New Roman" w:hAnsi="Times New Roman"/>
          <w:b/>
          <w:sz w:val="20"/>
        </w:rPr>
        <w:t>Notice”</w:t>
      </w:r>
      <w:r>
        <w:rPr>
          <w:rFonts w:ascii="Times New Roman" w:hAnsi="Times New Roman"/>
          <w:sz w:val="20"/>
        </w:rPr>
        <w:t xml:space="preserve"> means such notice of an extra-judicial enforcement of the Collateral as sent to the Pledgor and the Company. </w:t>
      </w:r>
    </w:p>
    <w:p>
      <w:pPr>
        <w:pStyle w:val="TextBody"/>
        <w:spacing w:before="120" w:after="0"/>
        <w:rPr>
          <w:rFonts w:ascii="Times New Roman" w:hAnsi="Times New Roman"/>
          <w:sz w:val="20"/>
        </w:rPr>
      </w:pPr>
      <w:r>
        <w:rPr>
          <w:rFonts w:ascii="Times New Roman" w:hAnsi="Times New Roman"/>
          <w:sz w:val="20"/>
        </w:rPr>
        <w:t xml:space="preserve">Other concepts and terms used in this Agreement have the same meanings as in the Loan Agreement, unless otherwise expressly follows from the context of this Agreement.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w:t>
            </w:r>
          </w:p>
        </w:tc>
        <w:tc>
          <w:tcPr>
            <w:tcW w:w="9389" w:type="dxa"/>
            <w:tcBorders/>
            <w:shd w:fill="auto" w:val="clear"/>
          </w:tcPr>
          <w:p>
            <w:pPr>
              <w:pStyle w:val="TableContents"/>
              <w:spacing w:before="0" w:after="283"/>
              <w:jc w:val="left"/>
              <w:rPr/>
            </w:pPr>
            <w:r>
              <w:rPr>
                <w:b/>
              </w:rPr>
              <w:t>COLLATERAL AND A SECURED OBLIGATION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w:t>
            </w:r>
          </w:p>
        </w:tc>
        <w:tc>
          <w:tcPr>
            <w:tcW w:w="9388" w:type="dxa"/>
            <w:tcBorders/>
            <w:shd w:fill="auto" w:val="clear"/>
          </w:tcPr>
          <w:p>
            <w:pPr>
              <w:pStyle w:val="TableContents"/>
              <w:spacing w:before="0" w:after="283"/>
              <w:jc w:val="left"/>
              <w:rPr/>
            </w:pPr>
            <w:r>
              <w:rPr/>
              <w:t xml:space="preserve">In order to secure a due, timely and complete fulfillment of the Obligations, the Pledgor pledges to the Pledgee a 100 percent (One hundred percent) participatory interest in the authorized capital of the Company, with a par value of RUB 10,000 (Ten thousand Rubles) as an original pledge (not a subsequent one) granting the Pledgee a preemptive right of satisfaction of Pledgee’s claims against any claims of other persons (except as provided by laws) in respect of any Obligations under Clause 2.3 hereof by means of a received disposal cost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2.2.</w:t>
            </w:r>
          </w:p>
        </w:tc>
        <w:tc>
          <w:tcPr>
            <w:tcW w:w="9388" w:type="dxa"/>
            <w:tcBorders/>
            <w:shd w:fill="auto" w:val="clear"/>
          </w:tcPr>
          <w:p>
            <w:pPr>
              <w:pStyle w:val="TableContents"/>
              <w:spacing w:before="0" w:after="283"/>
              <w:jc w:val="left"/>
              <w:rPr/>
            </w:pPr>
            <w:r>
              <w:rPr/>
              <w:t>The Parties evaluate the Collateral’s price to be RUB 10,000 (Ten thousand Rubles). The cost of the Collateral agreed in this Clause 2.2 is not deemed to be an initial sale price in case of enforcement. The initial sale cost of the Collateral is estimated under Article 4 (</w:t>
            </w:r>
            <w:r>
              <w:rPr>
                <w:i/>
              </w:rPr>
              <w:t>Conditions of and Procedure for Enforcement of the Collateral</w:t>
            </w:r>
            <w:r>
              <w:rPr/>
              <w:t xml:space="preserve">)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w:t>
            </w:r>
          </w:p>
        </w:tc>
        <w:tc>
          <w:tcPr>
            <w:tcW w:w="9389" w:type="dxa"/>
            <w:tcBorders/>
            <w:shd w:fill="auto" w:val="clear"/>
          </w:tcPr>
          <w:p>
            <w:pPr>
              <w:pStyle w:val="TableContents"/>
              <w:spacing w:before="0" w:after="283"/>
              <w:jc w:val="left"/>
              <w:rPr/>
            </w:pPr>
            <w:r>
              <w:rPr/>
              <w:t xml:space="preserve">The Pledgor shall hereby be liable to the Pledgee for a due, timely and complete fulfillment of the Obligations, including,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2.3.1.</w:t>
            </w:r>
          </w:p>
        </w:tc>
        <w:tc>
          <w:tcPr>
            <w:tcW w:w="9389" w:type="dxa"/>
            <w:tcBorders/>
            <w:shd w:fill="auto" w:val="clear"/>
          </w:tcPr>
          <w:p>
            <w:pPr>
              <w:pStyle w:val="TableContents"/>
              <w:spacing w:before="0" w:after="283"/>
              <w:jc w:val="left"/>
              <w:rPr/>
            </w:pPr>
            <w:r>
              <w:rPr/>
              <w:t xml:space="preserve">payment of an aggregate principal of the Loan of RUB 7,000,000,000 (Seven billion)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2.3.2.</w:t>
            </w:r>
          </w:p>
        </w:tc>
        <w:tc>
          <w:tcPr>
            <w:tcW w:w="9388" w:type="dxa"/>
            <w:tcBorders/>
            <w:shd w:fill="auto" w:val="clear"/>
          </w:tcPr>
          <w:p>
            <w:pPr>
              <w:pStyle w:val="TableContents"/>
              <w:spacing w:before="0" w:after="283"/>
              <w:jc w:val="left"/>
              <w:rPr/>
            </w:pPr>
            <w:r>
              <w:rPr/>
              <w:t xml:space="preserve">payment of interest according to Article 9 </w:t>
            </w:r>
            <w:r>
              <w:rPr>
                <w:i/>
              </w:rPr>
              <w:t xml:space="preserve">(Interest) </w:t>
            </w:r>
            <w:r>
              <w:rPr/>
              <w:t xml:space="preserve">of the Loan Agreement due on each Interest Payment Date according to the provisions of Article 9.3 </w:t>
            </w:r>
            <w:r>
              <w:rPr>
                <w:i/>
              </w:rPr>
              <w:t xml:space="preserve">(Interest Payment) </w:t>
            </w:r>
            <w:r>
              <w:rPr/>
              <w:t xml:space="preserve">of the Loan Agreement. An interest rate for the Outstanding Loan for each Interest Period is an annual interest rate equal to an amount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5"/>
        <w:gridCol w:w="8473"/>
      </w:tblGrid>
      <w:tr>
        <w:trPr/>
        <w:tc>
          <w:tcPr>
            <w:tcW w:w="816"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3"/>
        <w:gridCol w:w="7556"/>
      </w:tblGrid>
      <w:tr>
        <w:trPr/>
        <w:tc>
          <w:tcPr>
            <w:tcW w:w="173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9"/>
        <w:gridCol w:w="6634"/>
      </w:tblGrid>
      <w:tr>
        <w:trPr/>
        <w:tc>
          <w:tcPr>
            <w:tcW w:w="2651"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6634" w:type="dxa"/>
            <w:tcBorders/>
            <w:shd w:fill="auto" w:val="clear"/>
          </w:tcPr>
          <w:p>
            <w:pPr>
              <w:pStyle w:val="TableContents"/>
              <w:spacing w:before="0" w:after="283"/>
              <w:jc w:val="left"/>
              <w:rPr/>
            </w:pPr>
            <w:r>
              <w:rPr/>
              <w:t xml:space="preserve">2.5 (two point five) percent per annum in any cases specified in Article 9.2 </w:t>
            </w:r>
            <w:r>
              <w:rPr>
                <w:i/>
              </w:rPr>
              <w:t>(Margin Adjustment)</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2.3.3.</w:t>
            </w:r>
          </w:p>
        </w:tc>
        <w:tc>
          <w:tcPr>
            <w:tcW w:w="9389" w:type="dxa"/>
            <w:tcBorders/>
            <w:shd w:fill="auto" w:val="clear"/>
          </w:tcPr>
          <w:p>
            <w:pPr>
              <w:pStyle w:val="TableContents"/>
              <w:spacing w:before="0" w:after="283"/>
              <w:jc w:val="left"/>
              <w:rPr/>
            </w:pPr>
            <w:r>
              <w:rPr/>
              <w:t xml:space="preserve">payment of a penalty according to Article 9.4 </w:t>
            </w:r>
            <w:r>
              <w:rPr>
                <w:i/>
              </w:rPr>
              <w:t xml:space="preserve">(Penalty) </w:t>
            </w:r>
            <w:r>
              <w:rPr/>
              <w:t xml:space="preserve">of the Loan Agreement due if the Company fails to timely fulfill an obligation of payment of any amount due under the Financial Document; such penalty being 2/365 interest rate established under Article 9.1 </w:t>
            </w:r>
            <w:r>
              <w:rPr>
                <w:i/>
              </w:rPr>
              <w:t xml:space="preserve">(Interest Calculation) </w:t>
            </w:r>
            <w:r>
              <w:rPr/>
              <w:t xml:space="preserve">of the Loan Agreement taking into account the provisions of Article 9.2 </w:t>
            </w:r>
            <w:r>
              <w:rPr>
                <w:i/>
              </w:rPr>
              <w:t xml:space="preserve">(Margin Adjustment) </w:t>
            </w:r>
            <w:r>
              <w:rPr/>
              <w:t xml:space="preserve">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2.3.4.</w:t>
            </w:r>
          </w:p>
        </w:tc>
        <w:tc>
          <w:tcPr>
            <w:tcW w:w="9389" w:type="dxa"/>
            <w:tcBorders/>
            <w:shd w:fill="auto" w:val="clear"/>
          </w:tcPr>
          <w:p>
            <w:pPr>
              <w:pStyle w:val="TableContents"/>
              <w:spacing w:before="0" w:after="283"/>
              <w:jc w:val="left"/>
              <w:rPr/>
            </w:pPr>
            <w:r>
              <w:rPr/>
              <w:t xml:space="preserve">payment of reimbursement for funds available for granting the Loan under Article 11.1 </w:t>
            </w:r>
            <w:r>
              <w:rPr>
                <w:i/>
              </w:rPr>
              <w:t>(Fee for the Obligation under the 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w:t>
            </w:r>
          </w:p>
        </w:tc>
      </w:tr>
    </w:tbl>
    <w:p>
      <w:pPr>
        <w:pStyle w:val="TextBody"/>
        <w:spacing w:before="120" w:after="0"/>
        <w:rPr>
          <w:rFonts w:ascii="Times New Roman" w:hAnsi="Times New Roman"/>
          <w:sz w:val="20"/>
        </w:rPr>
      </w:pPr>
      <w:r>
        <w:rPr>
          <w:rFonts w:ascii="Times New Roman" w:hAnsi="Times New Roman"/>
          <w:sz w:val="20"/>
        </w:rPr>
        <w:t xml:space="preserve">such consideration being accrued for the Disbursement Period of Tranche A and the Disbursement Period of Tranche B, respectively, and paid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in respect of the Unused Loan Limited of Tranche B, on the last Business Day of each calendar month within the Disbursement Period of Tranche B or on the last day of the Disbursement Period of Tranche B, whichever occurs first. </w:t>
            </w:r>
          </w:p>
        </w:tc>
      </w:tr>
    </w:tbl>
    <w:p>
      <w:pPr>
        <w:pStyle w:val="TextBody"/>
        <w:spacing w:before="120" w:after="0"/>
        <w:rPr>
          <w:rFonts w:ascii="Times New Roman" w:hAnsi="Times New Roman"/>
          <w:sz w:val="20"/>
        </w:rPr>
      </w:pPr>
      <w:r>
        <w:rPr>
          <w:rFonts w:ascii="Times New Roman" w:hAnsi="Times New Roman"/>
          <w:sz w:val="20"/>
        </w:rPr>
        <w:t xml:space="preserve">A fee for the obligation of granting of the Loan shall not apply to the Unused Loan Limit in terms of Tranche B and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2.3.5.</w:t>
            </w:r>
          </w:p>
        </w:tc>
        <w:tc>
          <w:tcPr>
            <w:tcW w:w="9389" w:type="dxa"/>
            <w:tcBorders/>
            <w:shd w:fill="auto" w:val="clear"/>
          </w:tcPr>
          <w:p>
            <w:pPr>
              <w:pStyle w:val="TableContents"/>
              <w:spacing w:before="0" w:after="283"/>
              <w:jc w:val="left"/>
              <w:rPr/>
            </w:pPr>
            <w:r>
              <w:rPr/>
              <w:t xml:space="preserve">payment of a Lenders’ consideration for granting the Loan under Article 11.2 </w:t>
            </w:r>
            <w:r>
              <w:rPr>
                <w:i/>
              </w:rPr>
              <w:t xml:space="preserve">(Loan Extension Fee) </w:t>
            </w:r>
            <w:r>
              <w:rPr/>
              <w:t xml:space="preserve">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0.25 (zero point two five) percent of Tranche D </w:t>
            </w:r>
          </w:p>
        </w:tc>
      </w:tr>
    </w:tbl>
    <w:p>
      <w:pPr>
        <w:pStyle w:val="TextBody"/>
        <w:spacing w:before="120" w:after="0"/>
        <w:rPr>
          <w:rFonts w:ascii="Times New Roman" w:hAnsi="Times New Roman"/>
          <w:sz w:val="20"/>
        </w:rPr>
      </w:pPr>
      <w:r>
        <w:rPr>
          <w:rFonts w:ascii="Times New Roman" w:hAnsi="Times New Roman"/>
          <w:sz w:val="20"/>
        </w:rPr>
        <w:t xml:space="preserve">prior to the Disbursement Date of a respective Tranche.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2.3.6.</w:t>
            </w:r>
          </w:p>
        </w:tc>
        <w:tc>
          <w:tcPr>
            <w:tcW w:w="9389" w:type="dxa"/>
            <w:tcBorders/>
            <w:shd w:fill="auto" w:val="clear"/>
          </w:tcPr>
          <w:p>
            <w:pPr>
              <w:pStyle w:val="TableContents"/>
              <w:spacing w:before="0" w:after="283"/>
              <w:jc w:val="left"/>
              <w:rPr/>
            </w:pPr>
            <w:r>
              <w:rPr/>
              <w:t xml:space="preserve">reimbursement to the Parties to the Financing for any costs or losses to be reimbursed under Articles 14.1 </w:t>
            </w:r>
            <w:r>
              <w:rPr>
                <w:i/>
              </w:rPr>
              <w:t>(Reimbursement for Currency Costs),</w:t>
            </w:r>
            <w:r>
              <w:rPr/>
              <w:t xml:space="preserve"> 14.3 </w:t>
            </w:r>
            <w:r>
              <w:rPr>
                <w:i/>
              </w:rPr>
              <w:t>(Reimbursement for Costs of the Credit Agent)</w:t>
            </w:r>
            <w:r>
              <w:rPr/>
              <w:t xml:space="preserve"> and 14.4 (Transaction-Related Costs), 14.5 </w:t>
            </w:r>
            <w:r>
              <w:rPr>
                <w:i/>
              </w:rPr>
              <w:t xml:space="preserve">(Amendment Costs) </w:t>
            </w:r>
            <w:r>
              <w:rPr/>
              <w:t xml:space="preserve">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2.3.7.</w:t>
            </w:r>
          </w:p>
        </w:tc>
        <w:tc>
          <w:tcPr>
            <w:tcW w:w="9389"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incurred by a Party to the Financing because of a mandatory performance of any Financial Document or protection of its rights under the Financial Documents, including, but not limited to any cases of seizure, maintenance, preparation for sale, sale or other enforcement of the Collateral and its sale hereunder or a judicial protection of rights of the Lenders under the Loan Agreement and (or)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2.3.8.</w:t>
            </w:r>
          </w:p>
        </w:tc>
        <w:tc>
          <w:tcPr>
            <w:tcW w:w="9388" w:type="dxa"/>
            <w:tcBorders/>
            <w:shd w:fill="auto" w:val="clear"/>
          </w:tcPr>
          <w:p>
            <w:pPr>
              <w:pStyle w:val="TableContents"/>
              <w:spacing w:before="0" w:after="283"/>
              <w:jc w:val="left"/>
              <w:rPr/>
            </w:pPr>
            <w:r>
              <w:rPr/>
              <w:t xml:space="preserve">reimbursement to the Parties to the Financing for any expenses under Article 14.2 </w:t>
            </w:r>
            <w:r>
              <w:rPr>
                <w:i/>
              </w:rPr>
              <w:t xml:space="preserve">(Reimbursement for Other Costs) </w:t>
            </w:r>
            <w:r>
              <w:rPr/>
              <w:t xml:space="preserve">of the Loan Agreement incurred by a Party to the Financing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occurrence of the Event of Default;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impossibility to grant the Loan to the Company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Company’s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2.3.9.</w:t>
            </w:r>
          </w:p>
        </w:tc>
        <w:tc>
          <w:tcPr>
            <w:tcW w:w="9389"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2.3.10.</w:t>
            </w:r>
          </w:p>
        </w:tc>
        <w:tc>
          <w:tcPr>
            <w:tcW w:w="9388" w:type="dxa"/>
            <w:tcBorders/>
            <w:shd w:fill="auto" w:val="clear"/>
          </w:tcPr>
          <w:p>
            <w:pPr>
              <w:pStyle w:val="TableContents"/>
              <w:spacing w:before="0" w:after="283"/>
              <w:jc w:val="left"/>
              <w:rPr/>
            </w:pPr>
            <w:r>
              <w:rPr/>
              <w:t xml:space="preserve">full return of any funds obtained by the Company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2.4.</w:t>
            </w:r>
          </w:p>
        </w:tc>
        <w:tc>
          <w:tcPr>
            <w:tcW w:w="9390" w:type="dxa"/>
            <w:tcBorders/>
            <w:shd w:fill="auto" w:val="clear"/>
          </w:tcPr>
          <w:p>
            <w:pPr>
              <w:pStyle w:val="TableContents"/>
              <w:spacing w:before="0" w:after="283"/>
              <w:jc w:val="left"/>
              <w:rPr/>
            </w:pPr>
            <w:r>
              <w:rPr/>
              <w:t xml:space="preserve">The Pledgor’s ownership of the Collateral and the authorities to dispose of it shall be proved 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Sale and Purchase Agreement for a Participatory Interest in the Authorized Capital of the Company dated April 6, 2016, between K. E. Agayan as a seller and the Pledgor as a buyer;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the extract from the EGRUL w/o No. issued on May 26, 2016.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2.5.</w:t>
            </w:r>
          </w:p>
        </w:tc>
        <w:tc>
          <w:tcPr>
            <w:tcW w:w="9389" w:type="dxa"/>
            <w:tcBorders/>
            <w:shd w:fill="auto" w:val="clear"/>
          </w:tcPr>
          <w:p>
            <w:pPr>
              <w:pStyle w:val="TableContents"/>
              <w:spacing w:before="0" w:after="283"/>
              <w:jc w:val="left"/>
              <w:rPr/>
            </w:pPr>
            <w:r>
              <w:rPr/>
              <w:t xml:space="preserve">The pledge right arises for the Pledgee since the state registration with an authority performing state registration of legal entities.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2.6.</w:t>
            </w:r>
          </w:p>
        </w:tc>
        <w:tc>
          <w:tcPr>
            <w:tcW w:w="9390" w:type="dxa"/>
            <w:tcBorders/>
            <w:shd w:fill="auto" w:val="clear"/>
          </w:tcPr>
          <w:p>
            <w:pPr>
              <w:pStyle w:val="TableContents"/>
              <w:spacing w:before="0" w:after="283"/>
              <w:jc w:val="left"/>
              <w:rPr/>
            </w:pPr>
            <w:r>
              <w:rPr/>
              <w:t xml:space="preserve">The pledge arising hereunder fully secures the Obligations as they are by the time of satisfaction, including interest, penalty, reimbursement for losses (except for lost profit) caused by a delay in fulfillment, as well as reimbursement for all costs of the Pledgee necessary for foreclosure.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2.7.</w:t>
            </w:r>
          </w:p>
        </w:tc>
        <w:tc>
          <w:tcPr>
            <w:tcW w:w="9389" w:type="dxa"/>
            <w:tcBorders/>
            <w:shd w:fill="auto" w:val="clear"/>
          </w:tcPr>
          <w:p>
            <w:pPr>
              <w:pStyle w:val="TableContents"/>
              <w:spacing w:before="0" w:after="283"/>
              <w:jc w:val="left"/>
              <w:rPr/>
            </w:pPr>
            <w:r>
              <w:rPr/>
              <w:t xml:space="preserve">Until the pledge of the Collateral is expired or terminated, the rights of the member of the Company (including the rights to vote at the general meeting of members of the Company and to participate in the management of the Company) shall be exercised by the Pledgor, unless the Company receives a Pledgee’s written notice sent in any Event of Default provided for by Article 21 </w:t>
            </w:r>
            <w:r>
              <w:rPr>
                <w:i/>
              </w:rPr>
              <w:t>(Events of Default)</w:t>
            </w:r>
            <w:r>
              <w:rPr/>
              <w:t xml:space="preserve"> of the Loan Agreement (including failure of the Pledgor to fulfill any obligations provided for hereby) (except for any cases of provision by the Credit Agent of waivers of the Lenders to exercise their rights under the Loan Agreement in any Events of Default under the terms and conditions of the Loan Agreement). Since the receipt of such notice by the Company (until the Credit Agent revokes it, if applicable), member’s rights (all or any specified in the notice) shall be exercised by the Pledgee. Such notice shall also be sent to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2.8.</w:t>
            </w:r>
          </w:p>
        </w:tc>
        <w:tc>
          <w:tcPr>
            <w:tcW w:w="9388" w:type="dxa"/>
            <w:tcBorders/>
            <w:shd w:fill="auto" w:val="clear"/>
          </w:tcPr>
          <w:p>
            <w:pPr>
              <w:pStyle w:val="TableContents"/>
              <w:spacing w:before="0" w:after="283"/>
              <w:jc w:val="left"/>
              <w:rPr/>
            </w:pPr>
            <w:r>
              <w:rPr/>
              <w:t xml:space="preserve">The Collateral shall not be subject to insurance.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2.9.</w:t>
            </w:r>
          </w:p>
        </w:tc>
        <w:tc>
          <w:tcPr>
            <w:tcW w:w="9390" w:type="dxa"/>
            <w:tcBorders/>
            <w:shd w:fill="auto" w:val="clear"/>
          </w:tcPr>
          <w:p>
            <w:pPr>
              <w:pStyle w:val="TableContents"/>
              <w:spacing w:before="0" w:after="283"/>
              <w:jc w:val="left"/>
              <w:rPr/>
            </w:pPr>
            <w:r>
              <w:rPr/>
              <w:t xml:space="preserve">The pledge shall remain in force if the Collateral passes to any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2.10.</w:t>
            </w:r>
          </w:p>
        </w:tc>
        <w:tc>
          <w:tcPr>
            <w:tcW w:w="9389" w:type="dxa"/>
            <w:tcBorders/>
            <w:shd w:fill="auto" w:val="clear"/>
          </w:tcPr>
          <w:p>
            <w:pPr>
              <w:pStyle w:val="TableContents"/>
              <w:spacing w:before="0" w:after="283"/>
              <w:jc w:val="left"/>
              <w:rPr/>
            </w:pPr>
            <w:r>
              <w:rPr/>
              <w:t xml:space="preserve">A subsequent pledge agreement may be concluded by the Pledgor with any third party provided that the following terms and conditions are met: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 subsequent pledge agreement shall provide for the same Collateral enforcement procedure and the same methods of disposal of the pledged property as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 subsequent pledge agreement shall provide for a prohibition against filing any claims by a subsequent pledgee to the debtor in terms of early fulfillment of the obligation secured by the subsequent pledge if the Pledgee enforces the pledged property;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if a subsequent pledgee enforces the Collateral and the Pledgee also files a claim to enforce the pledged property, the Pledgee shall be entitled to choose the Collateral enforcement manner and a method of disposal of the pledged property. An appraiser, a tender organizer and a disposal price must be determined under the terms and conditions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2.11.</w:t>
            </w:r>
          </w:p>
        </w:tc>
        <w:tc>
          <w:tcPr>
            <w:tcW w:w="9388" w:type="dxa"/>
            <w:tcBorders/>
            <w:shd w:fill="auto" w:val="clear"/>
          </w:tcPr>
          <w:p>
            <w:pPr>
              <w:pStyle w:val="TableContents"/>
              <w:spacing w:before="0" w:after="283"/>
              <w:jc w:val="left"/>
              <w:rPr/>
            </w:pPr>
            <w:r>
              <w:rPr/>
              <w:t xml:space="preserve">If the Obligations are partially fulfilled, the pledge of the Collateral shall remain in its original volume until the Obligations are fulfilled completely.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2.12.</w:t>
            </w:r>
          </w:p>
        </w:tc>
        <w:tc>
          <w:tcPr>
            <w:tcW w:w="9389" w:type="dxa"/>
            <w:tcBorders/>
            <w:shd w:fill="auto" w:val="clear"/>
          </w:tcPr>
          <w:p>
            <w:pPr>
              <w:pStyle w:val="TableContents"/>
              <w:spacing w:before="0" w:after="283"/>
              <w:jc w:val="left"/>
              <w:rPr/>
            </w:pPr>
            <w:r>
              <w:rPr/>
              <w:t xml:space="preserve">If there are any adjustments of the authorized capital of the Company in the manner established by the laws of the Russian Federation, provided that the provisions of the Loan Agreement and this Agreement are fulfilled, the Pledgor and the Pledgee shall, within 15 (Fifteen) Business Days from the date of state registration of such changes amending the Articles of Association of the Company, enter into a supplementary agreement hereto, as well as take any necessary actions for securing of the Pledgee’s pledge right for the Pledgor’s participatory interest in the adjusted authorized capital of the Company if the conclusion of such supplementary agreement and (or) taking of such actions for securing of the pledge right are required by law; the Pledgee shall always retain a participatory interest of the size as specified in Clause 2.1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3.</w:t>
            </w:r>
          </w:p>
        </w:tc>
        <w:tc>
          <w:tcPr>
            <w:tcW w:w="9388" w:type="dxa"/>
            <w:tcBorders/>
            <w:shd w:fill="auto" w:val="clear"/>
          </w:tcPr>
          <w:p>
            <w:pPr>
              <w:pStyle w:val="TableContents"/>
              <w:spacing w:before="0" w:after="283"/>
              <w:jc w:val="left"/>
              <w:rPr/>
            </w:pPr>
            <w:r>
              <w:rPr>
                <w:b/>
              </w:rPr>
              <w:t>PLEDGOR’S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shall: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t xml:space="preserve">Execute the pledge according to the laws of the Russian Federation. </w:t>
            </w:r>
          </w:p>
        </w:tc>
      </w:tr>
    </w:tbl>
    <w:p>
      <w:pPr>
        <w:pStyle w:val="TextBody"/>
        <w:spacing w:before="120" w:after="0"/>
        <w:rPr>
          <w:rFonts w:ascii="Times New Roman" w:hAnsi="Times New Roman"/>
          <w:sz w:val="20"/>
        </w:rPr>
      </w:pPr>
      <w:r>
        <w:rPr>
          <w:rFonts w:ascii="Times New Roman" w:hAnsi="Times New Roman"/>
          <w:sz w:val="20"/>
        </w:rPr>
        <w:t xml:space="preserve">Within 11 (Eleven) Business Days from the signing hereof, provide the Pledgee acting as the Credit Agent under the Loan Agreement with an original extract from the EGRUL proving: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registration of the pledge created hereunder in the EGRUL;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existence of Encumbrance of the Collateral created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3.2.</w:t>
            </w:r>
          </w:p>
        </w:tc>
        <w:tc>
          <w:tcPr>
            <w:tcW w:w="9390" w:type="dxa"/>
            <w:tcBorders/>
            <w:shd w:fill="auto" w:val="clear"/>
          </w:tcPr>
          <w:p>
            <w:pPr>
              <w:pStyle w:val="TableContents"/>
              <w:spacing w:before="0" w:after="283"/>
              <w:jc w:val="left"/>
              <w:rPr/>
            </w:pPr>
            <w:r>
              <w:rPr/>
              <w:t xml:space="preserve">Execute the pledge according to the laws of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3.2.1.</w:t>
            </w:r>
          </w:p>
        </w:tc>
        <w:tc>
          <w:tcPr>
            <w:tcW w:w="9389" w:type="dxa"/>
            <w:tcBorders/>
            <w:shd w:fill="auto" w:val="clear"/>
          </w:tcPr>
          <w:p>
            <w:pPr>
              <w:pStyle w:val="TableContents"/>
              <w:spacing w:before="0" w:after="283"/>
              <w:jc w:val="left"/>
              <w:rPr/>
            </w:pPr>
            <w:r>
              <w:rPr/>
              <w:t xml:space="preserve">The Pledgor shall, within 10 (Ten) Business Days from the date of this Agreement, provide the Pledgee acting as the Credit Agent under the Loan Agreement with a certified copy of the register of mortgages and other pledges of the Pledgor; such register shall prove making an entry on this Agreement under Clause 99(1) of Companies Act, Cap. 113, as amended.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3.2.2.</w:t>
            </w:r>
          </w:p>
        </w:tc>
        <w:tc>
          <w:tcPr>
            <w:tcW w:w="9389" w:type="dxa"/>
            <w:tcBorders/>
            <w:shd w:fill="auto" w:val="clear"/>
          </w:tcPr>
          <w:p>
            <w:pPr>
              <w:pStyle w:val="TableContents"/>
              <w:spacing w:before="0" w:after="283"/>
              <w:jc w:val="left"/>
              <w:rPr/>
            </w:pPr>
            <w:r>
              <w:rPr/>
              <w:t xml:space="preserve">Within 15 (Fifteen) Business Days from the date of this Agreement, the Pledgor shall provide the Pledgee acting as the Credit Agent under the Loan Agreement with an original pledge registration certificate issued by the Registrar of Companies in Cyprus proving that this Agreement has been registered within due time limits by the Registrar of Companies in Cyprus under Clause 90 of Companies Act, Cap. 113, as amended.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3.3.</w:t>
            </w:r>
          </w:p>
        </w:tc>
        <w:tc>
          <w:tcPr>
            <w:tcW w:w="9390" w:type="dxa"/>
            <w:tcBorders/>
            <w:shd w:fill="auto" w:val="clear"/>
          </w:tcPr>
          <w:p>
            <w:pPr>
              <w:pStyle w:val="TableContents"/>
              <w:spacing w:before="0" w:after="283"/>
              <w:jc w:val="left"/>
              <w:rPr/>
            </w:pPr>
            <w:r>
              <w:rPr/>
              <w:t xml:space="preserve">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3.3.1.</w:t>
            </w:r>
          </w:p>
        </w:tc>
        <w:tc>
          <w:tcPr>
            <w:tcW w:w="9389" w:type="dxa"/>
            <w:tcBorders/>
            <w:shd w:fill="auto" w:val="clear"/>
          </w:tcPr>
          <w:p>
            <w:pPr>
              <w:pStyle w:val="TableContents"/>
              <w:spacing w:before="0" w:after="283"/>
              <w:jc w:val="left"/>
              <w:rPr/>
            </w:pPr>
            <w:r>
              <w:rPr/>
              <w:t xml:space="preserve">The Pledgor shall not dispose of the Collateral or replace the Collateral without the prior written consent of the Pledgee acting as the Credit Agent under the Loan Agreement, inter alia, shall not pledge or otherwise encumber the Collateral, except if the provisions of Clause 2.10 above are fulfilled;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3.3.2.</w:t>
            </w:r>
          </w:p>
        </w:tc>
        <w:tc>
          <w:tcPr>
            <w:tcW w:w="9389" w:type="dxa"/>
            <w:tcBorders/>
            <w:shd w:fill="auto" w:val="clear"/>
          </w:tcPr>
          <w:p>
            <w:pPr>
              <w:pStyle w:val="TableContents"/>
              <w:spacing w:before="0" w:after="283"/>
              <w:jc w:val="left"/>
              <w:rPr/>
            </w:pPr>
            <w:r>
              <w:rPr/>
              <w:t xml:space="preserve">The Pledgor shall not take any actions contradicting any terms or conditions of this Agreement which will or may lead to the loss of the Collateral or decrease in its cost;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3.3.3.</w:t>
            </w:r>
          </w:p>
        </w:tc>
        <w:tc>
          <w:tcPr>
            <w:tcW w:w="9389" w:type="dxa"/>
            <w:tcBorders/>
            <w:shd w:fill="auto" w:val="clear"/>
          </w:tcPr>
          <w:p>
            <w:pPr>
              <w:pStyle w:val="TableContents"/>
              <w:spacing w:before="0" w:after="283"/>
              <w:jc w:val="left"/>
              <w:rPr/>
            </w:pPr>
            <w:r>
              <w:rPr/>
              <w:t xml:space="preserve">The Pledgor shall immediately notify the Pledgee if there arises a possibility to lose the title to the Collateral; shall notify the Pledgee of any actions of third parties against the Collateral and/or their claim on the Collateral, of any such Encumbrance imposed on the Collateral which violates any terms and conditions hereof, as well as of occurrence of any other circumstances related to the Collateral which may have a negative impact on the Pledgor’s ability to fulfill its obligations hereunder or have any material negative impact on the status and priority of the Pledgee’s rights hereunder; shall bear any necessary costs for settlement of any arising conflicts for protection of the Collateral; shall claim the Collateral from any third party’s illegal possession under the laws of the Russian Federation; shall immediately notify the Pledgor in writing of any information received by the Pledgor from third parties and related to any offer or a binding resolution (order, decree, judgment, instruction, etc.) of a governmental or local authority concerning any transfer of the Collateral to any third party (irrespective of a transfer method) or related to any offer of transfer of any rights to the Collateral or a part thereof to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3.3.4.</w:t>
            </w:r>
          </w:p>
        </w:tc>
        <w:tc>
          <w:tcPr>
            <w:tcW w:w="9389" w:type="dxa"/>
            <w:tcBorders/>
            <w:shd w:fill="auto" w:val="clear"/>
          </w:tcPr>
          <w:p>
            <w:pPr>
              <w:pStyle w:val="TableContents"/>
              <w:spacing w:before="0" w:after="283"/>
              <w:jc w:val="left"/>
              <w:rPr/>
            </w:pPr>
            <w:r>
              <w:rPr/>
              <w:t xml:space="preserve">If the Collateral is lost, the Pledgor shall, within 60 (Sixty) days from the loss of the Collateral, offer the Lenders any respective property to replace the lost Collateral, and the Pledgor shall, within 120 (One hundred and twenty) days from the date of agreement of the property which will replace the Collateral with the Pledgee acting as the Credit Agent under the Loan Agreement, provide an equal property (whose composition is agreed with the Lenders) instead of the lost Collateral and (or) extend this Agreement to any other property whose composition is agreed with the Lenders for the market price of such property to be not less than the market price of the lost property;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3.3.5.</w:t>
            </w:r>
          </w:p>
        </w:tc>
        <w:tc>
          <w:tcPr>
            <w:tcW w:w="9389" w:type="dxa"/>
            <w:tcBorders/>
            <w:shd w:fill="auto" w:val="clear"/>
          </w:tcPr>
          <w:p>
            <w:pPr>
              <w:pStyle w:val="TableContents"/>
              <w:spacing w:before="0" w:after="283"/>
              <w:jc w:val="left"/>
              <w:rPr/>
            </w:pPr>
            <w:r>
              <w:rPr/>
              <w:t xml:space="preserve">If the whole Collateral or any part thereof is withdrawn by any authority or with the help thereof, inter alia, in the process of requisition, confiscation or nationalization of the Collateral, or if there is any other action or omission of an authority which will influence the use or the cost of the Collateral, the Pledgor shall take all necessary measures for reservation and protection of the rights and interests of the Pledgee in respect of the Collateral affected by such event, including filing of claims for damages, and faithfully assist the Pledgee in carrying out actions that the Pledgee may deem necessary in connection with any of the events described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3.3.6.</w:t>
            </w:r>
          </w:p>
        </w:tc>
        <w:tc>
          <w:tcPr>
            <w:tcW w:w="9389" w:type="dxa"/>
            <w:tcBorders/>
            <w:shd w:fill="auto" w:val="clear"/>
          </w:tcPr>
          <w:p>
            <w:pPr>
              <w:pStyle w:val="TableContents"/>
              <w:spacing w:before="0" w:after="283"/>
              <w:jc w:val="left"/>
              <w:rPr/>
            </w:pPr>
            <w:r>
              <w:rPr/>
              <w:t xml:space="preserve">In case of a dispute with any third parties regarding the Collateral, the Pledgor shall fulfill its procedural obligations in good faith, including presentation of evidence proving that the Collateral belongs to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3.4.</w:t>
            </w:r>
          </w:p>
        </w:tc>
        <w:tc>
          <w:tcPr>
            <w:tcW w:w="9390" w:type="dxa"/>
            <w:tcBorders/>
            <w:shd w:fill="auto" w:val="clear"/>
          </w:tcPr>
          <w:p>
            <w:pPr>
              <w:pStyle w:val="TableContents"/>
              <w:spacing w:before="0" w:after="283"/>
              <w:jc w:val="left"/>
              <w:rPr/>
            </w:pPr>
            <w:r>
              <w:rPr/>
              <w:t xml:space="preserve">Prohibition Against Reorganization and Reduction of the Authorized Capital of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without the prior written consent of the Pledgee acting as the Credit Agent under the Loan Agreement, carry out any reorganization or reduction of its authorized capital, except for the Permitted Redemption if such Permitted Redemption results in the fact that the pledge hereunder will cover all 100 (one hundred) percent of participatory interest in the authorized capital of the Company.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3.5.</w:t>
            </w:r>
          </w:p>
        </w:tc>
        <w:tc>
          <w:tcPr>
            <w:tcW w:w="9389" w:type="dxa"/>
            <w:tcBorders/>
            <w:shd w:fill="auto" w:val="clear"/>
          </w:tcPr>
          <w:p>
            <w:pPr>
              <w:pStyle w:val="TableContents"/>
              <w:spacing w:before="0" w:after="283"/>
              <w:jc w:val="left"/>
              <w:rPr/>
            </w:pPr>
            <w:r>
              <w:rPr/>
              <w:t xml:space="preserve">Prohibition Against Increase of the Authorized Capital of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increase the authorized capital without the prior written consent of the Pledgee acting as the Credit Agent under the Loan Agreement. Such consent is not required if the pledge hereunder covers all 100 (one hundred) percent of participatory interest in the authorized capital of the Company, including a participatory interest resulting from such increase of the authorized capital, since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such increase of the authorized capital. Besides, the Pledgor undertakes, at its own expense, at the request of the Pledgee, to enter into, ensure notarization of and state registration of such supplementary agreement to this Agreement as satisfies the Pledgee and specifies a new amount of the Company’s authorized capital, 100% of which is pledged in favor of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3.6.</w:t>
            </w:r>
          </w:p>
        </w:tc>
        <w:tc>
          <w:tcPr>
            <w:tcW w:w="9388" w:type="dxa"/>
            <w:tcBorders/>
            <w:shd w:fill="auto" w:val="clear"/>
          </w:tcPr>
          <w:p>
            <w:pPr>
              <w:pStyle w:val="TableContents"/>
              <w:spacing w:before="0" w:after="283"/>
              <w:jc w:val="left"/>
              <w:rPr/>
            </w:pPr>
            <w:r>
              <w:rPr/>
              <w:t xml:space="preserve">Prohibition Against any Amendments to the Constituent Documents of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amend its constituent documents, including those related to changes in the legal form or name of the Company without the prior written consent of the Pledgee acting as the Credit Agent under the Loan Agreement, except for any technical changes and cases where any amendments are required by the applicable laws.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3.7.</w:t>
            </w:r>
          </w:p>
        </w:tc>
        <w:tc>
          <w:tcPr>
            <w:tcW w:w="9388" w:type="dxa"/>
            <w:tcBorders/>
            <w:shd w:fill="auto" w:val="clear"/>
          </w:tcPr>
          <w:p>
            <w:pPr>
              <w:pStyle w:val="TableContents"/>
              <w:spacing w:before="0" w:after="283"/>
              <w:jc w:val="left"/>
              <w:rPr/>
            </w:pPr>
            <w:r>
              <w:rPr/>
              <w:t xml:space="preserve">Restrictions on Payment of Dividends by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declare or pay dividends, except for the Permitted Disbursements, without the prior written consent of the Pledgee acting as the Credit Agent under the Loan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3.8.</w:t>
            </w:r>
          </w:p>
        </w:tc>
        <w:tc>
          <w:tcPr>
            <w:tcW w:w="9389" w:type="dxa"/>
            <w:tcBorders/>
            <w:shd w:fill="auto" w:val="clear"/>
          </w:tcPr>
          <w:p>
            <w:pPr>
              <w:pStyle w:val="TableContents"/>
              <w:spacing w:before="0" w:after="283"/>
              <w:jc w:val="left"/>
              <w:rPr/>
            </w:pPr>
            <w:r>
              <w:rPr/>
              <w:t xml:space="preserve">Information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3.8.1.</w:t>
            </w:r>
          </w:p>
        </w:tc>
        <w:tc>
          <w:tcPr>
            <w:tcW w:w="9389" w:type="dxa"/>
            <w:tcBorders/>
            <w:shd w:fill="auto" w:val="clear"/>
          </w:tcPr>
          <w:p>
            <w:pPr>
              <w:pStyle w:val="TableContents"/>
              <w:spacing w:before="0" w:after="283"/>
              <w:jc w:val="left"/>
              <w:rPr/>
            </w:pPr>
            <w:r>
              <w:rPr/>
              <w:t xml:space="preserve">In case of any such changes in information about the Pledgor within the validity term of this Agreement as may affect the proper fulfillment of any obligations hereunder by the Pledgor, the Pledgor shall notify the Pledgee acting as the Credit Agent under the Loan Agreement, of such changes within 7 (Seven) Business Days from the date of state registration of such changes;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3.8.2.</w:t>
            </w:r>
          </w:p>
        </w:tc>
        <w:tc>
          <w:tcPr>
            <w:tcW w:w="9389" w:type="dxa"/>
            <w:tcBorders/>
            <w:shd w:fill="auto" w:val="clear"/>
          </w:tcPr>
          <w:p>
            <w:pPr>
              <w:pStyle w:val="TableContents"/>
              <w:spacing w:before="0" w:after="283"/>
              <w:jc w:val="left"/>
              <w:rPr/>
            </w:pPr>
            <w:r>
              <w:rPr/>
              <w:t xml:space="preserve">The Pledgor shall notify the Pledgee acting as the Credit Agent under the Loan Agreement in writing of changing the location or postal address of the Pledgor within 20 (Twenty) days from the date of such change.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3.8.3.</w:t>
            </w:r>
          </w:p>
        </w:tc>
        <w:tc>
          <w:tcPr>
            <w:tcW w:w="9388" w:type="dxa"/>
            <w:tcBorders/>
            <w:shd w:fill="auto" w:val="clear"/>
          </w:tcPr>
          <w:p>
            <w:pPr>
              <w:pStyle w:val="TableContents"/>
              <w:spacing w:before="0" w:after="283"/>
              <w:jc w:val="left"/>
              <w:rPr/>
            </w:pPr>
            <w:r>
              <w:rPr/>
              <w:t xml:space="preserve">The Pledgor shall notify the Pledgee acting as the Credit Agent under the Loan Agreement in writing of any resolution of the authorized management body of the Pledgor to liquidate and (or) reorganize the Pledgor, immediately after the adoption of such resolution.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3.9.</w:t>
            </w:r>
          </w:p>
        </w:tc>
        <w:tc>
          <w:tcPr>
            <w:tcW w:w="9389" w:type="dxa"/>
            <w:tcBorders/>
            <w:shd w:fill="auto" w:val="clear"/>
          </w:tcPr>
          <w:p>
            <w:pPr>
              <w:pStyle w:val="TableContents"/>
              <w:spacing w:before="0" w:after="283"/>
              <w:jc w:val="left"/>
              <w:rPr/>
            </w:pPr>
            <w:r>
              <w:rPr/>
              <w:t xml:space="preserve">Enforcement. </w:t>
            </w:r>
          </w:p>
        </w:tc>
      </w:tr>
    </w:tbl>
    <w:p>
      <w:pPr>
        <w:pStyle w:val="TextBody"/>
        <w:spacing w:before="120" w:after="0"/>
        <w:rPr>
          <w:rFonts w:ascii="Times New Roman" w:hAnsi="Times New Roman"/>
          <w:sz w:val="20"/>
        </w:rPr>
      </w:pPr>
      <w:r>
        <w:rPr>
          <w:rFonts w:ascii="Times New Roman" w:hAnsi="Times New Roman"/>
          <w:sz w:val="20"/>
        </w:rPr>
        <w:t xml:space="preserve">The Pledgor shall, within 3 (Three) Business Days from the receipt of the Notice sent by the Pledgee (unless another period is specified in the Notice), ensure signing of documents and perform all other actions necessary for an extra-judicial foreclosure and disposal of the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3.10.</w:t>
            </w:r>
          </w:p>
        </w:tc>
        <w:tc>
          <w:tcPr>
            <w:tcW w:w="9390" w:type="dxa"/>
            <w:tcBorders/>
            <w:shd w:fill="auto" w:val="clear"/>
          </w:tcPr>
          <w:p>
            <w:pPr>
              <w:pStyle w:val="TableContents"/>
              <w:spacing w:before="0" w:after="283"/>
              <w:jc w:val="left"/>
              <w:rPr/>
            </w:pPr>
            <w:r>
              <w:rPr/>
              <w:t xml:space="preserve">Permissions and Corporate Approvals. </w:t>
            </w:r>
          </w:p>
        </w:tc>
      </w:tr>
    </w:tbl>
    <w:p>
      <w:pPr>
        <w:pStyle w:val="TextBody"/>
        <w:spacing w:before="120" w:after="0"/>
        <w:rPr>
          <w:rFonts w:ascii="Times New Roman" w:hAnsi="Times New Roman"/>
          <w:sz w:val="20"/>
        </w:rPr>
      </w:pPr>
      <w:r>
        <w:rPr>
          <w:rFonts w:ascii="Times New Roman" w:hAnsi="Times New Roman"/>
          <w:sz w:val="20"/>
        </w:rPr>
        <w:t xml:space="preserve">The Pledgor shall timely obtain, maintain and comply with the terms and conditions of any permits, consents and corporate approvals required by the applicable law to fulfill its obligations under this Agreement and to ensure that this Agreement can be used as evidence in arbitration proceedings and in courts of the Russian Federation, including arbitration courts, as well as to provide the Pledgee acting as the Credit Agent under the Loan Agreement with certified copies of such documents.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3.11.</w:t>
            </w:r>
          </w:p>
        </w:tc>
        <w:tc>
          <w:tcPr>
            <w:tcW w:w="9388" w:type="dxa"/>
            <w:tcBorders/>
            <w:shd w:fill="auto" w:val="clear"/>
          </w:tcPr>
          <w:p>
            <w:pPr>
              <w:pStyle w:val="TableContents"/>
              <w:spacing w:before="0" w:after="283"/>
              <w:jc w:val="left"/>
              <w:rPr/>
            </w:pPr>
            <w:r>
              <w:rPr/>
              <w:t xml:space="preserve">Additional General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3.11.1.</w:t>
            </w:r>
          </w:p>
        </w:tc>
        <w:tc>
          <w:tcPr>
            <w:tcW w:w="9389" w:type="dxa"/>
            <w:tcBorders/>
            <w:shd w:fill="auto" w:val="clear"/>
          </w:tcPr>
          <w:p>
            <w:pPr>
              <w:pStyle w:val="TableContents"/>
              <w:spacing w:before="0" w:after="283"/>
              <w:jc w:val="left"/>
              <w:rPr/>
            </w:pPr>
            <w:r>
              <w:rPr/>
              <w:t xml:space="preserve">The Pledgor shall ensure that it takes all necessary actions and signs any documents within the scope of its authorities (including submission of documents and registration) for creation, execution, implementation, protection and reservation of security hereunder which is provided to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3.11.2.</w:t>
            </w:r>
          </w:p>
        </w:tc>
        <w:tc>
          <w:tcPr>
            <w:tcW w:w="9388" w:type="dxa"/>
            <w:tcBorders/>
            <w:shd w:fill="auto" w:val="clear"/>
          </w:tcPr>
          <w:p>
            <w:pPr>
              <w:pStyle w:val="TableContents"/>
              <w:spacing w:before="0" w:after="283"/>
              <w:jc w:val="left"/>
              <w:rPr/>
            </w:pPr>
            <w:r>
              <w:rPr/>
              <w:t xml:space="preserve">The Pledgor shall assist the Pledgee in exercising control over the Pledgor’s fulfillment of the terms and conditions of this Agreement, assist the Pledgee in carrying out inspections of documents on the existence and condition of the Collateral. The Pledgor shall provide such documents within: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10 (Ten) Business Days from the date of receipt of the relevant request if the Pledgor or the Company has relevant documents or they can be obtained by the Pledgor or the Company within the specified period;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within a reasonable time if the Pledgor and the Company do not have relevant documents and they cannot be obtained by the Pledgor or the Company within the specified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3.11.3.</w:t>
            </w:r>
          </w:p>
        </w:tc>
        <w:tc>
          <w:tcPr>
            <w:tcW w:w="9389" w:type="dxa"/>
            <w:tcBorders/>
            <w:shd w:fill="auto" w:val="clear"/>
          </w:tcPr>
          <w:p>
            <w:pPr>
              <w:pStyle w:val="TableContents"/>
              <w:spacing w:before="0" w:after="283"/>
              <w:jc w:val="left"/>
              <w:rPr/>
            </w:pPr>
            <w:r>
              <w:rPr/>
              <w:t xml:space="preserve">The Pledgor shall not disclose the contents of this Agreement and any information relating to the performance hereof to third parties, except for the cases described in Article 28.2 </w:t>
            </w:r>
            <w:r>
              <w:rPr>
                <w:i/>
              </w:rPr>
              <w:t xml:space="preserve">(Disclosure of Confidential Information) </w:t>
            </w:r>
            <w:r>
              <w:rPr/>
              <w:t xml:space="preserve">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4.</w:t>
            </w:r>
          </w:p>
        </w:tc>
        <w:tc>
          <w:tcPr>
            <w:tcW w:w="9392" w:type="dxa"/>
            <w:tcBorders/>
            <w:shd w:fill="auto" w:val="clear"/>
          </w:tcPr>
          <w:p>
            <w:pPr>
              <w:pStyle w:val="TableContents"/>
              <w:spacing w:before="0" w:after="283"/>
              <w:jc w:val="left"/>
              <w:rPr/>
            </w:pPr>
            <w:r>
              <w:rPr>
                <w:b/>
              </w:rPr>
              <w:t>CONDITIONS OF AND PROCEDURE FOR ENFORCEMENT OF THE COLLATERAL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4.1.</w:t>
            </w:r>
          </w:p>
        </w:tc>
        <w:tc>
          <w:tcPr>
            <w:tcW w:w="9390" w:type="dxa"/>
            <w:tcBorders/>
            <w:shd w:fill="auto" w:val="clear"/>
          </w:tcPr>
          <w:p>
            <w:pPr>
              <w:pStyle w:val="TableContents"/>
              <w:spacing w:before="0" w:after="283"/>
              <w:jc w:val="left"/>
              <w:rPr/>
            </w:pPr>
            <w:r>
              <w:rPr/>
              <w:t xml:space="preserve">In case of failure to fulfill or improper fulfillment (including a one-time event) of any of the Obligations taking into account the restrictions established by the Loan Agreement, the occurrence of any Event of Default as provided for in Article 21 </w:t>
            </w:r>
            <w:r>
              <w:rPr>
                <w:i/>
              </w:rPr>
              <w:t xml:space="preserve">(Events of Default) </w:t>
            </w:r>
            <w:r>
              <w:rPr/>
              <w:t xml:space="preserve">of the Loan Agreement (except for any cases of provision by the Credit Agent of waivers of the Lenders to exercise their rights under the Loan Agreement in any relevant Event of Default under the terms and conditions of the Loan Agreement), as well as in other cases provided for by law, the Pledgee is entitled to enforce the Collateral at its discretion judicially or extra-judicially.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4.2.</w:t>
            </w:r>
          </w:p>
        </w:tc>
        <w:tc>
          <w:tcPr>
            <w:tcW w:w="9389" w:type="dxa"/>
            <w:tcBorders/>
            <w:shd w:fill="auto" w:val="clear"/>
          </w:tcPr>
          <w:p>
            <w:pPr>
              <w:pStyle w:val="TableContents"/>
              <w:spacing w:before="0" w:after="283"/>
              <w:jc w:val="left"/>
              <w:rPr/>
            </w:pPr>
            <w:r>
              <w:rPr/>
              <w:t xml:space="preserve">In case of enforcement of the Collateral in a judicial or extra-judicial procedure, it is disposed at the discretion of the Pledgee, inter alia, in any sequence: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4.2.1.</w:t>
            </w:r>
          </w:p>
        </w:tc>
        <w:tc>
          <w:tcPr>
            <w:tcW w:w="9389" w:type="dxa"/>
            <w:tcBorders/>
            <w:shd w:fill="auto" w:val="clear"/>
          </w:tcPr>
          <w:p>
            <w:pPr>
              <w:pStyle w:val="TableContents"/>
              <w:spacing w:before="0" w:after="283"/>
              <w:jc w:val="left"/>
              <w:rPr/>
            </w:pPr>
            <w:r>
              <w:rPr/>
              <w:t xml:space="preserve">when enforced in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by sale of the Collateral at public tenders;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by retaining of the Collateral by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by sale of the Collateral by the Pledgee to any third party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4.2.2.</w:t>
            </w:r>
          </w:p>
        </w:tc>
        <w:tc>
          <w:tcPr>
            <w:tcW w:w="9389" w:type="dxa"/>
            <w:tcBorders/>
            <w:shd w:fill="auto" w:val="clear"/>
          </w:tcPr>
          <w:p>
            <w:pPr>
              <w:pStyle w:val="TableContents"/>
              <w:spacing w:before="0" w:after="283"/>
              <w:jc w:val="left"/>
              <w:rPr/>
            </w:pPr>
            <w:r>
              <w:rPr/>
              <w:t xml:space="preserve">when enforced extra-judicially: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by sale of the Collateral by the Pledgee to any third party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by retaining of the Collateral by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by sale of the Collateral at open tenders conducted by a tender organizer acting under an agreement with the Pledgee.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4.3.</w:t>
            </w:r>
          </w:p>
        </w:tc>
        <w:tc>
          <w:tcPr>
            <w:tcW w:w="9389" w:type="dxa"/>
            <w:tcBorders/>
            <w:shd w:fill="auto" w:val="clear"/>
          </w:tcPr>
          <w:p>
            <w:pPr>
              <w:pStyle w:val="TableContents"/>
              <w:spacing w:before="0" w:after="283"/>
              <w:jc w:val="left"/>
              <w:rPr/>
            </w:pPr>
            <w:r>
              <w:rPr/>
              <w:t xml:space="preserve">Such extra-judicial procedure for enforcement of the Collateral as provided for in this Agreement is not a pre-judicial dispute settlement procedure. When applying to a court, the Pledgee is not obliged to provide evidence that it has taken (or not taken) actions to enforce the Collateral in an extra-judicial manner established by this Agreement. The beginning of an extra-judicial enforcement of the Collateral does not prevent the Pledgee against filing a claim in court to enforce the Collateral at any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4.4.</w:t>
            </w:r>
          </w:p>
        </w:tc>
        <w:tc>
          <w:tcPr>
            <w:tcW w:w="9388" w:type="dxa"/>
            <w:tcBorders/>
            <w:shd w:fill="auto" w:val="clear"/>
          </w:tcPr>
          <w:p>
            <w:pPr>
              <w:pStyle w:val="TableContents"/>
              <w:spacing w:before="0" w:after="283"/>
              <w:jc w:val="left"/>
              <w:rPr/>
            </w:pPr>
            <w:r>
              <w:rPr/>
              <w:t xml:space="preserve">The Pledgee may, at its own discretion, foreclose both the entire Collateral and part of the participatory interest forming the Collateral, while retaining the opportunity later to enforce the remaining part of the participatory interest forming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4.5.</w:t>
            </w:r>
          </w:p>
        </w:tc>
        <w:tc>
          <w:tcPr>
            <w:tcW w:w="9388" w:type="dxa"/>
            <w:tcBorders/>
            <w:shd w:fill="auto" w:val="clear"/>
          </w:tcPr>
          <w:p>
            <w:pPr>
              <w:pStyle w:val="TableContents"/>
              <w:spacing w:before="0" w:after="283"/>
              <w:jc w:val="left"/>
              <w:rPr/>
            </w:pPr>
            <w:r>
              <w:rPr/>
              <w:t xml:space="preserve">If the Collateral is enforced extra-judicially, as specified in Clause 4.2.2 above, the Collateral shall be disposed not earlier than 8 (Eight) Business Days after the receipt by the Pledgor of the Notice sent to its address under Clause 8.3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4.6.</w:t>
            </w:r>
          </w:p>
        </w:tc>
        <w:tc>
          <w:tcPr>
            <w:tcW w:w="9388" w:type="dxa"/>
            <w:tcBorders/>
            <w:shd w:fill="auto" w:val="clear"/>
          </w:tcPr>
          <w:p>
            <w:pPr>
              <w:pStyle w:val="TableContents"/>
              <w:spacing w:before="0" w:after="283"/>
              <w:jc w:val="left"/>
              <w:rPr/>
            </w:pPr>
            <w:r>
              <w:rPr/>
              <w:t xml:space="preserve">The Pledgor shall assist the Pledgee in the foreclosure and disposal of the Collateral and timely submit all necessary documents which shall be duly executed. </w:t>
            </w:r>
          </w:p>
        </w:tc>
      </w:tr>
    </w:tbl>
    <w:p>
      <w:pPr>
        <w:pStyle w:val="TextBody"/>
        <w:spacing w:before="120" w:after="0"/>
        <w:rPr>
          <w:rFonts w:ascii="Times New Roman" w:hAnsi="Times New Roman"/>
          <w:sz w:val="20"/>
        </w:rPr>
      </w:pPr>
      <w:r>
        <w:rPr>
          <w:rFonts w:ascii="Times New Roman" w:hAnsi="Times New Roman"/>
          <w:sz w:val="20"/>
        </w:rPr>
        <w:t xml:space="preserve">If the Pledgor does not, within a period specified in the Notification, provide the Pledgee with the documents related to the Collateral against an acceptance certificate for disposal of the Collateral in an extra-judicial enforcement, the Pledgor shall bear any additional costs associated with the foreclosure of the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4.7.</w:t>
            </w:r>
          </w:p>
        </w:tc>
        <w:tc>
          <w:tcPr>
            <w:tcW w:w="9389" w:type="dxa"/>
            <w:tcBorders/>
            <w:shd w:fill="auto" w:val="clear"/>
          </w:tcPr>
          <w:p>
            <w:pPr>
              <w:pStyle w:val="TableContents"/>
              <w:spacing w:before="0" w:after="283"/>
              <w:jc w:val="left"/>
              <w:rPr/>
            </w:pPr>
            <w:r>
              <w:rPr/>
              <w:t xml:space="preserve">In order to dispose of the Collateral, the Pledgee may, on its own behalf, make all necessary transactions which are relevant to its legal capacity, inter alia, with an organizer of public tenders, and also sign and receive all necessary documents, including, but not limited to acceptance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4.8.</w:t>
            </w:r>
          </w:p>
        </w:tc>
        <w:tc>
          <w:tcPr>
            <w:tcW w:w="9390" w:type="dxa"/>
            <w:tcBorders/>
            <w:shd w:fill="auto" w:val="clear"/>
          </w:tcPr>
          <w:p>
            <w:pPr>
              <w:pStyle w:val="TableContents"/>
              <w:spacing w:before="0" w:after="283"/>
              <w:jc w:val="left"/>
              <w:rPr/>
            </w:pPr>
            <w:r>
              <w:rPr/>
              <w:t xml:space="preserve">If the Pledgee disposes of the Collateral to any third party (third parties) judicially or extra-judicially or if the Pledgee retains the Collateral, the disposal price of the Collateral (a price at which the Pledgee may retain the Collateral) shall be determined as equal to the market cost of the Collateral established in the Appraiser’s Report.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4.9.</w:t>
            </w:r>
          </w:p>
        </w:tc>
        <w:tc>
          <w:tcPr>
            <w:tcW w:w="9388" w:type="dxa"/>
            <w:tcBorders/>
            <w:shd w:fill="auto" w:val="clear"/>
          </w:tcPr>
          <w:p>
            <w:pPr>
              <w:pStyle w:val="TableContents"/>
              <w:spacing w:before="0" w:after="283"/>
              <w:jc w:val="left"/>
              <w:rPr/>
            </w:pPr>
            <w:r>
              <w:rPr/>
              <w:t xml:space="preserve">If the Pledgee disposes of the Collateral at any tender to any third party (third parties) judicially or extra-judicially, the initial sale price of the Collateral from which the tender starts shall be determined equal to 80% of the market cost of the Collateral established in the Appraiser’s Report.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4.10.</w:t>
            </w:r>
          </w:p>
        </w:tc>
        <w:tc>
          <w:tcPr>
            <w:tcW w:w="9388" w:type="dxa"/>
            <w:tcBorders/>
            <w:shd w:fill="auto" w:val="clear"/>
          </w:tcPr>
          <w:p>
            <w:pPr>
              <w:pStyle w:val="TableContents"/>
              <w:spacing w:before="0" w:after="283"/>
              <w:jc w:val="left"/>
              <w:rPr/>
            </w:pPr>
            <w:r>
              <w:rPr/>
              <w:t xml:space="preserve">If the Collateral is enforced extra-judicially and a tender has been declared failed because less than two buyers appeared or if there was no bid at a tender, a subsequent tender shall be held by a consistent lowering of the price down from the initial sale price at the first tender. In that case, the sale price of the Collateral shall be consistently reduced by 5 (Five) percent of the initial sale price at the first tender. If the sale price is reduced by 30 (Thirty) percent of the initial sale price at the first tender, the amount of the further decrease in the sale price of the Collateral shall be set at 3 (Three) percent of the initial sale price at the first tender. In that case, such sale price of the Collateral as established at a subsequent tender conducted by successively reducing the price from the initial sale price at the first tender cannot be less than 50 (Fifty) percent of the initial sale price at the first tender.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4.11.</w:t>
            </w:r>
          </w:p>
        </w:tc>
        <w:tc>
          <w:tcPr>
            <w:tcW w:w="9390" w:type="dxa"/>
            <w:tcBorders/>
            <w:shd w:fill="auto" w:val="clear"/>
          </w:tcPr>
          <w:p>
            <w:pPr>
              <w:pStyle w:val="TableContents"/>
              <w:spacing w:before="0" w:after="283"/>
              <w:jc w:val="left"/>
              <w:rPr/>
            </w:pPr>
            <w:r>
              <w:rPr/>
              <w:t xml:space="preserve">If an independent appraiser is engaged, it shall be selected at the discretion of the Pledgee from among the following appraisers: KPMG Joint-Stock Company, Deloitte CIS Holdings Limited, PricewaterhouseCoopers LLC, and Ernst &amp; Young Global Limited. An agreement between an appraiser and the Pledgee shall be concluded on conditions acceptable to the Pledgee. The Pledgor shall bear any costs related to payment for appraiser’s services. If the Pledgee pays for appraiser’s services, the Pledgor shall reimburse for the Pledgee’s costs within 10 (Ten) Business Days from the sending a documented claim by the Pledgee to the Pledgor under Clause 8.3 below.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4.12.</w:t>
            </w:r>
          </w:p>
        </w:tc>
        <w:tc>
          <w:tcPr>
            <w:tcW w:w="9388" w:type="dxa"/>
            <w:tcBorders/>
            <w:shd w:fill="auto" w:val="clear"/>
          </w:tcPr>
          <w:p>
            <w:pPr>
              <w:pStyle w:val="TableContents"/>
              <w:spacing w:before="0" w:after="283"/>
              <w:jc w:val="left"/>
              <w:rPr/>
            </w:pPr>
            <w:r>
              <w:rPr/>
              <w:t xml:space="preserve">In case of the foreclosure and disposal of the Collateral, the Appraiser’s Report shall be prepared not less than 3 (Three) months prior to the date of sending the Notice (in case of an extra-judicial enforcement) or at least 3 (Three) months prior to the date of applying to a court (in case of a judicial enforcement).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4.13.</w:t>
            </w:r>
          </w:p>
        </w:tc>
        <w:tc>
          <w:tcPr>
            <w:tcW w:w="9390" w:type="dxa"/>
            <w:tcBorders/>
            <w:shd w:fill="auto" w:val="clear"/>
          </w:tcPr>
          <w:p>
            <w:pPr>
              <w:pStyle w:val="TableContents"/>
              <w:spacing w:before="0" w:after="283"/>
              <w:jc w:val="left"/>
              <w:rPr/>
            </w:pPr>
            <w:r>
              <w:rPr/>
              <w:t xml:space="preserve">If the Collateral is enforced by selling at a tender, a tender organizer shall be a specialized entity or another person registered in the Russian Federation, chosen by the Pledgee and acting under an agreement concluded with such tender organizer.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4.14.</w:t>
            </w:r>
          </w:p>
        </w:tc>
        <w:tc>
          <w:tcPr>
            <w:tcW w:w="9388" w:type="dxa"/>
            <w:tcBorders/>
            <w:shd w:fill="auto" w:val="clear"/>
          </w:tcPr>
          <w:p>
            <w:pPr>
              <w:pStyle w:val="TableContents"/>
              <w:spacing w:before="0" w:after="283"/>
              <w:jc w:val="left"/>
              <w:rPr/>
            </w:pPr>
            <w:r>
              <w:rPr/>
              <w:t xml:space="preserve">If the Collateral is sold to any third party (third parties) judicially or extra-judicially, the Pledgee shall, within 3 (Three) Business Days from the date of crediting of funds, i.e. a price of the sold Collateral, to a Pledgee’s account, send to the Pledgor a copy of the sale and purchase agreement certified by the Pledgee (copies of such agreements) concluded with a buyer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4.15.</w:t>
            </w:r>
          </w:p>
        </w:tc>
        <w:tc>
          <w:tcPr>
            <w:tcW w:w="9389" w:type="dxa"/>
            <w:tcBorders/>
            <w:shd w:fill="auto" w:val="clear"/>
          </w:tcPr>
          <w:p>
            <w:pPr>
              <w:pStyle w:val="TableContents"/>
              <w:spacing w:before="0" w:after="283"/>
              <w:jc w:val="left"/>
              <w:rPr/>
            </w:pPr>
            <w:r>
              <w:rPr/>
              <w:t xml:space="preserve">If an amount received from the disposal of the Collateral or a price at which the Pledgee retains the Collateral exceeds a claim amount of the Pledgee, the difference shall be returned to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4.16.</w:t>
            </w:r>
          </w:p>
        </w:tc>
        <w:tc>
          <w:tcPr>
            <w:tcW w:w="9389" w:type="dxa"/>
            <w:tcBorders/>
            <w:shd w:fill="auto" w:val="clear"/>
          </w:tcPr>
          <w:p>
            <w:pPr>
              <w:pStyle w:val="TableContents"/>
              <w:spacing w:before="0" w:after="283"/>
              <w:jc w:val="left"/>
              <w:rPr/>
            </w:pPr>
            <w:r>
              <w:rPr/>
              <w:t xml:space="preserve">If the Collateral is enforced, such difference shall be returned to the Pledgor within 10 (Ten) Business Days from the date of crediting of funds, i.e. a disposal price of the Collateral to a Pledgee’s account (from the date of acquiring of the title to the Collateral by the Pledgee if it retains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4.17.</w:t>
            </w:r>
          </w:p>
        </w:tc>
        <w:tc>
          <w:tcPr>
            <w:tcW w:w="9389" w:type="dxa"/>
            <w:tcBorders/>
            <w:shd w:fill="auto" w:val="clear"/>
          </w:tcPr>
          <w:p>
            <w:pPr>
              <w:pStyle w:val="TableContents"/>
              <w:spacing w:before="0" w:after="283"/>
              <w:jc w:val="left"/>
              <w:rPr/>
            </w:pPr>
            <w:r>
              <w:rPr/>
              <w:t xml:space="preserve">The Pledgor may cease the foreclosure of the Collateral within a period prior to its disposal (such period may not be shorter than the period specified in Clause 4.5 above) fulfilling the Obligation or the part thereof the fulfillment of which is delayed. Besides, the Pledgee shall cease the foreclosure of the Collateral if the Company or any of the Guarantors fulfills the Obligation or the part thereof the fulfillment of which is delayed within a period prior to its disposal (such period may not be shorter that the period specified in Clause 4.5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5.</w:t>
            </w:r>
          </w:p>
        </w:tc>
        <w:tc>
          <w:tcPr>
            <w:tcW w:w="9391" w:type="dxa"/>
            <w:tcBorders/>
            <w:shd w:fill="auto" w:val="clear"/>
          </w:tcPr>
          <w:p>
            <w:pPr>
              <w:pStyle w:val="TableContents"/>
              <w:spacing w:before="0" w:after="283"/>
              <w:jc w:val="left"/>
              <w:rPr/>
            </w:pPr>
            <w:r>
              <w:rPr>
                <w:b/>
              </w:rPr>
              <w:t>REPRESENTATIONS OF PLEDGOR’S CIRCUMSTANCES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concluding this Agreement, the Pledgor shall make the following representations to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w:t>
            </w:r>
          </w:p>
        </w:tc>
        <w:tc>
          <w:tcPr>
            <w:tcW w:w="9389" w:type="dxa"/>
            <w:tcBorders/>
            <w:shd w:fill="auto" w:val="clear"/>
          </w:tcPr>
          <w:p>
            <w:pPr>
              <w:pStyle w:val="TableContents"/>
              <w:spacing w:before="0" w:after="283"/>
              <w:jc w:val="left"/>
              <w:rPr/>
            </w:pPr>
            <w:r>
              <w:rPr/>
              <w:t xml:space="preserve">Status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5.1.1.</w:t>
            </w:r>
          </w:p>
        </w:tc>
        <w:tc>
          <w:tcPr>
            <w:tcW w:w="9389" w:type="dxa"/>
            <w:tcBorders/>
            <w:shd w:fill="auto" w:val="clear"/>
          </w:tcPr>
          <w:p>
            <w:pPr>
              <w:pStyle w:val="TableContents"/>
              <w:spacing w:before="0" w:after="283"/>
              <w:jc w:val="left"/>
              <w:rPr/>
            </w:pPr>
            <w:r>
              <w:rPr/>
              <w:t xml:space="preserve">The Pledgor is a legal entity duly incorporated and legally acting under the applicable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5.1.2.</w:t>
            </w:r>
          </w:p>
        </w:tc>
        <w:tc>
          <w:tcPr>
            <w:tcW w:w="9389" w:type="dxa"/>
            <w:tcBorders/>
            <w:shd w:fill="auto" w:val="clear"/>
          </w:tcPr>
          <w:p>
            <w:pPr>
              <w:pStyle w:val="TableContents"/>
              <w:spacing w:before="0" w:after="283"/>
              <w:jc w:val="left"/>
              <w:rPr/>
            </w:pPr>
            <w:r>
              <w:rPr/>
              <w:t xml:space="preserve">The Pledgor is the full owner of the property belonging to it and carries out its activities under the applicable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t xml:space="preserve">Legal Capacity and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5.2.1.</w:t>
            </w:r>
          </w:p>
        </w:tc>
        <w:tc>
          <w:tcPr>
            <w:tcW w:w="9389" w:type="dxa"/>
            <w:tcBorders/>
            <w:shd w:fill="auto" w:val="clear"/>
          </w:tcPr>
          <w:p>
            <w:pPr>
              <w:pStyle w:val="TableContents"/>
              <w:spacing w:before="0" w:after="283"/>
              <w:jc w:val="left"/>
              <w:rPr/>
            </w:pPr>
            <w:r>
              <w:rPr/>
              <w:t xml:space="preserve">The Pledgor has the legal capacity and authority to execute and perform this Agreement and the transaction envisaged hereby and has obtained all necessary approvals for execution and performance of this Agreement in the manner provided for by law and its constituent and other internal regulations, including the approval of the transaction provided for herein. A person acting on behalf of the Pledgor may enter into this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5.2.2.</w:t>
            </w:r>
          </w:p>
        </w:tc>
        <w:tc>
          <w:tcPr>
            <w:tcW w:w="9389" w:type="dxa"/>
            <w:tcBorders/>
            <w:shd w:fill="auto" w:val="clear"/>
          </w:tcPr>
          <w:p>
            <w:pPr>
              <w:pStyle w:val="TableContents"/>
              <w:spacing w:before="0" w:after="283"/>
              <w:jc w:val="left"/>
              <w:rPr/>
            </w:pPr>
            <w:r>
              <w:rPr/>
              <w:t xml:space="preserve">The pledge created hereunder does not have any signs of a transaction requiring the obtainment by the Pledgor of the consent of an anti-monopoly authority for its performance, in particular, under Federal Law of the Russian Federation No. 135- </w:t>
            </w:r>
            <w:r>
              <w:rPr/>
              <w:drawing>
                <wp:inline distT="0" distB="0" distL="0" distR="0">
                  <wp:extent cx="180975" cy="12382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link="rId22"/>
                          <a:stretch>
                            <a:fillRect/>
                          </a:stretch>
                        </pic:blipFill>
                        <pic:spPr bwMode="auto">
                          <a:xfrm>
                            <a:off x="0" y="0"/>
                            <a:ext cx="180975" cy="123825"/>
                          </a:xfrm>
                          <a:prstGeom prst="rect">
                            <a:avLst/>
                          </a:prstGeom>
                          <a:noFill/>
                          <a:ln w="9525">
                            <a:noFill/>
                            <a:miter lim="800000"/>
                            <a:headEnd/>
                            <a:tailEnd/>
                          </a:ln>
                        </pic:spPr>
                      </pic:pic>
                    </a:graphicData>
                  </a:graphic>
                </wp:inline>
              </w:drawing>
            </w:r>
            <w:r>
              <w:rPr/>
              <w:t xml:space="preserve"> dated July 26, 2006, “On Protection of Competition”;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5.3.</w:t>
            </w:r>
          </w:p>
        </w:tc>
        <w:tc>
          <w:tcPr>
            <w:tcW w:w="9388" w:type="dxa"/>
            <w:tcBorders/>
            <w:shd w:fill="auto" w:val="clear"/>
          </w:tcPr>
          <w:p>
            <w:pPr>
              <w:pStyle w:val="TableContents"/>
              <w:spacing w:before="0" w:after="283"/>
              <w:jc w:val="left"/>
              <w:rPr/>
            </w:pPr>
            <w:r>
              <w:rPr/>
              <w:t xml:space="preserve">Validity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5.3.1.</w:t>
            </w:r>
          </w:p>
        </w:tc>
        <w:tc>
          <w:tcPr>
            <w:tcW w:w="9389" w:type="dxa"/>
            <w:tcBorders/>
            <w:shd w:fill="auto" w:val="clear"/>
          </w:tcPr>
          <w:p>
            <w:pPr>
              <w:pStyle w:val="TableContents"/>
              <w:spacing w:before="0" w:after="283"/>
              <w:jc w:val="left"/>
              <w:rPr/>
            </w:pPr>
            <w:r>
              <w:rPr/>
              <w:t xml:space="preserve">This Agreement is a legitimate, valid, binding and enforceable obligation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5.3.2.</w:t>
            </w:r>
          </w:p>
        </w:tc>
        <w:tc>
          <w:tcPr>
            <w:tcW w:w="9389" w:type="dxa"/>
            <w:tcBorders/>
            <w:shd w:fill="auto" w:val="clear"/>
          </w:tcPr>
          <w:p>
            <w:pPr>
              <w:pStyle w:val="TableContents"/>
              <w:spacing w:before="0" w:after="283"/>
              <w:jc w:val="left"/>
              <w:rPr/>
            </w:pPr>
            <w:r>
              <w:rPr/>
              <w:t xml:space="preserve">This Agreement is drawn up in a form ensuring its enforceability in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5.4.</w:t>
            </w:r>
          </w:p>
        </w:tc>
        <w:tc>
          <w:tcPr>
            <w:tcW w:w="9390" w:type="dxa"/>
            <w:tcBorders/>
            <w:shd w:fill="auto" w:val="clear"/>
          </w:tcPr>
          <w:p>
            <w:pPr>
              <w:pStyle w:val="TableContents"/>
              <w:spacing w:before="0" w:after="283"/>
              <w:jc w:val="left"/>
              <w:rPr/>
            </w:pPr>
            <w:r>
              <w:rPr/>
              <w:t xml:space="preserve">Absence of Contradictions </w:t>
            </w:r>
          </w:p>
        </w:tc>
      </w:tr>
    </w:tbl>
    <w:p>
      <w:pPr>
        <w:pStyle w:val="TextBody"/>
        <w:spacing w:before="120" w:after="0"/>
        <w:rPr>
          <w:rFonts w:ascii="Times New Roman" w:hAnsi="Times New Roman"/>
          <w:sz w:val="20"/>
        </w:rPr>
      </w:pPr>
      <w:r>
        <w:rPr>
          <w:rFonts w:ascii="Times New Roman" w:hAnsi="Times New Roman"/>
          <w:sz w:val="20"/>
        </w:rPr>
        <w:t xml:space="preserve">The execution and performance of this Agreement and the transaction hereunder by the Pledgor do not contradict: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applicable law of the Russian Federation and the Republic of Cyprus or other legislation that, in the reasonable opinion of the Pledgor, is applicable;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its constituent and other internal regulations;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any resolutions of its management bodies;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any other documents or agreements that are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5.5.</w:t>
            </w:r>
          </w:p>
        </w:tc>
        <w:tc>
          <w:tcPr>
            <w:tcW w:w="9389" w:type="dxa"/>
            <w:tcBorders/>
            <w:shd w:fill="auto" w:val="clear"/>
          </w:tcPr>
          <w:p>
            <w:pPr>
              <w:pStyle w:val="TableContents"/>
              <w:spacing w:before="0" w:after="283"/>
              <w:jc w:val="left"/>
              <w:rPr/>
            </w:pPr>
            <w:r>
              <w:rPr/>
              <w:t xml:space="preserve">Title </w:t>
            </w:r>
          </w:p>
        </w:tc>
      </w:tr>
    </w:tbl>
    <w:p>
      <w:pPr>
        <w:pStyle w:val="TextBody"/>
        <w:spacing w:before="120" w:after="0"/>
        <w:rPr>
          <w:rFonts w:ascii="Times New Roman" w:hAnsi="Times New Roman"/>
          <w:sz w:val="20"/>
        </w:rPr>
      </w:pPr>
      <w:r>
        <w:rPr>
          <w:rFonts w:ascii="Times New Roman" w:hAnsi="Times New Roman"/>
          <w:sz w:val="20"/>
        </w:rPr>
        <w:t xml:space="preserve">Except for the pledge arising out of this Agreement, the Pledgor is the sole owner of the Collateral, has an uncontested and unrestricted right of ownership, free from any claims and rights of third parties, demands in respect of such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5.6.</w:t>
            </w:r>
          </w:p>
        </w:tc>
        <w:tc>
          <w:tcPr>
            <w:tcW w:w="9390" w:type="dxa"/>
            <w:tcBorders/>
            <w:shd w:fill="auto" w:val="clear"/>
          </w:tcPr>
          <w:p>
            <w:pPr>
              <w:pStyle w:val="TableContents"/>
              <w:spacing w:before="0" w:after="283"/>
              <w:jc w:val="left"/>
              <w:rPr/>
            </w:pPr>
            <w:r>
              <w:rPr/>
              <w:t xml:space="preserve">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5.6.1.</w:t>
            </w:r>
          </w:p>
        </w:tc>
        <w:tc>
          <w:tcPr>
            <w:tcW w:w="9389" w:type="dxa"/>
            <w:tcBorders/>
            <w:shd w:fill="auto" w:val="clear"/>
          </w:tcPr>
          <w:p>
            <w:pPr>
              <w:pStyle w:val="TableContents"/>
              <w:spacing w:before="0" w:after="283"/>
              <w:jc w:val="left"/>
              <w:rPr/>
            </w:pPr>
            <w:r>
              <w:rPr/>
              <w:t xml:space="preserve">A participatory interest being the Collateral has been duly recognized in the balance sheet of the Pledgor, has been fully paid in accordance with the legislation of the Russian Federation, the Articles of Association and resolutions of the Company’s management bodies, and the Pledgor has no obligations to the Company and/or third parties to pay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5.6.2.</w:t>
            </w:r>
          </w:p>
        </w:tc>
        <w:tc>
          <w:tcPr>
            <w:tcW w:w="9389" w:type="dxa"/>
            <w:tcBorders/>
            <w:shd w:fill="auto" w:val="clear"/>
          </w:tcPr>
          <w:p>
            <w:pPr>
              <w:pStyle w:val="TableContents"/>
              <w:spacing w:before="0" w:after="283"/>
              <w:jc w:val="left"/>
              <w:rPr/>
            </w:pPr>
            <w:r>
              <w:rPr/>
              <w:t xml:space="preserve">Neither the Pledgor, nor the Company provided any option for acquisition, rights of pre-emption, rights of first refusal or any other rights being the right to purchase participatory interest in the authorized capital of the Company, except for such preemptive right of members to acquire a participatory interest as provided for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5.6.3.</w:t>
            </w:r>
          </w:p>
        </w:tc>
        <w:tc>
          <w:tcPr>
            <w:tcW w:w="9389" w:type="dxa"/>
            <w:tcBorders/>
            <w:shd w:fill="auto" w:val="clear"/>
          </w:tcPr>
          <w:p>
            <w:pPr>
              <w:pStyle w:val="TableContents"/>
              <w:spacing w:before="0" w:after="283"/>
              <w:jc w:val="left"/>
              <w:rPr/>
            </w:pPr>
            <w:r>
              <w:rPr/>
              <w:t xml:space="preserve">The constituent documents of the Company do not provide for any restrictions on and prohibitions against the pledge of the Collateral under this Agreement in favor of a third party, transfer of the right to the specified Collateral upon concluding this Agreement and its enforcement, the preemptive right to purchase a participatory interest or a part thereof in the authorized capital by the Company at a price determined in the Articles of Association in advance, except as provided for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5.6.4.</w:t>
            </w:r>
          </w:p>
        </w:tc>
        <w:tc>
          <w:tcPr>
            <w:tcW w:w="9389" w:type="dxa"/>
            <w:tcBorders/>
            <w:shd w:fill="auto" w:val="clear"/>
          </w:tcPr>
          <w:p>
            <w:pPr>
              <w:pStyle w:val="TableContents"/>
              <w:spacing w:before="0" w:after="283"/>
              <w:jc w:val="left"/>
              <w:rPr/>
            </w:pPr>
            <w:r>
              <w:rPr/>
              <w:t xml:space="preserve">The Company has not concluded any agreements on exercising of rights of members with its members;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5.6.5.</w:t>
            </w:r>
          </w:p>
        </w:tc>
        <w:tc>
          <w:tcPr>
            <w:tcW w:w="9388" w:type="dxa"/>
            <w:tcBorders/>
            <w:shd w:fill="auto" w:val="clear"/>
          </w:tcPr>
          <w:p>
            <w:pPr>
              <w:pStyle w:val="TableContents"/>
              <w:spacing w:before="0" w:after="283"/>
              <w:jc w:val="left"/>
              <w:rPr/>
            </w:pPr>
            <w:r>
              <w:rPr/>
              <w:t xml:space="preserve">No court, arbitration or administrative proceedings have been initiated against the Collateral, and no investigative actions have been taken. The Collateral is not seized, restricted, prohibited, or encumbered.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5.7.</w:t>
            </w:r>
          </w:p>
        </w:tc>
        <w:tc>
          <w:tcPr>
            <w:tcW w:w="9388" w:type="dxa"/>
            <w:tcBorders/>
            <w:shd w:fill="auto" w:val="clear"/>
          </w:tcPr>
          <w:p>
            <w:pPr>
              <w:pStyle w:val="TableContents"/>
              <w:spacing w:before="0" w:after="283"/>
              <w:jc w:val="left"/>
              <w:rPr/>
            </w:pPr>
            <w:r>
              <w:rPr/>
              <w:t xml:space="preserve">Registration Requirements </w:t>
            </w:r>
          </w:p>
        </w:tc>
      </w:tr>
    </w:tbl>
    <w:p>
      <w:pPr>
        <w:pStyle w:val="TextBody"/>
        <w:spacing w:before="120" w:after="0"/>
        <w:rPr>
          <w:rFonts w:ascii="Times New Roman" w:hAnsi="Times New Roman"/>
          <w:sz w:val="20"/>
        </w:rPr>
      </w:pPr>
      <w:r>
        <w:rPr>
          <w:rFonts w:ascii="Times New Roman" w:hAnsi="Times New Roman"/>
          <w:sz w:val="20"/>
        </w:rPr>
        <w:t xml:space="preserve">It is not required to perform any notarial actions in connection with this Agreement or to register this Agreement, inter alia, with any governmental authorities or institutions of the Russian Federation and/or the Republic of Cyprus, or to pay any state or registration duties or taxes or levies in connection with this Agreement, except in connection with the provisions of Clause 3.1 and Clause 3.2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5.8.</w:t>
            </w:r>
          </w:p>
        </w:tc>
        <w:tc>
          <w:tcPr>
            <w:tcW w:w="9388" w:type="dxa"/>
            <w:tcBorders/>
            <w:shd w:fill="auto" w:val="clear"/>
          </w:tcPr>
          <w:p>
            <w:pPr>
              <w:pStyle w:val="TableContents"/>
              <w:spacing w:before="0" w:after="283"/>
              <w:jc w:val="left"/>
              <w:rPr/>
            </w:pPr>
            <w:r>
              <w:rPr/>
              <w:t xml:space="preserve">Priority of the Pledge </w:t>
            </w:r>
          </w:p>
        </w:tc>
      </w:tr>
    </w:tbl>
    <w:p>
      <w:pPr>
        <w:pStyle w:val="TextBody"/>
        <w:spacing w:before="120" w:after="0"/>
        <w:rPr>
          <w:rFonts w:ascii="Times New Roman" w:hAnsi="Times New Roman"/>
          <w:sz w:val="20"/>
        </w:rPr>
      </w:pPr>
      <w:r>
        <w:rPr>
          <w:rFonts w:ascii="Times New Roman" w:hAnsi="Times New Roman"/>
          <w:sz w:val="20"/>
        </w:rPr>
        <w:t xml:space="preserve">The pledge hereunder is security for which the Pledgee acting as the Credit Agent under the Loan Agreement has a preemptive enforcement right. Third parties do not have any rights (claims) or other rights to the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5.9.</w:t>
            </w:r>
          </w:p>
        </w:tc>
        <w:tc>
          <w:tcPr>
            <w:tcW w:w="9389" w:type="dxa"/>
            <w:tcBorders/>
            <w:shd w:fill="auto" w:val="clear"/>
          </w:tcPr>
          <w:p>
            <w:pPr>
              <w:pStyle w:val="TableContents"/>
              <w:spacing w:before="0" w:after="283"/>
              <w:jc w:val="left"/>
              <w:rPr/>
            </w:pPr>
            <w:r>
              <w:rPr/>
              <w:t xml:space="preserve">Regulated Procurement </w:t>
            </w:r>
          </w:p>
        </w:tc>
      </w:tr>
    </w:tbl>
    <w:p>
      <w:pPr>
        <w:pStyle w:val="TextBody"/>
        <w:spacing w:before="120" w:after="0"/>
        <w:rPr>
          <w:rFonts w:ascii="Times New Roman" w:hAnsi="Times New Roman"/>
          <w:sz w:val="20"/>
        </w:rPr>
      </w:pPr>
      <w:r>
        <w:rPr>
          <w:rFonts w:ascii="Times New Roman" w:hAnsi="Times New Roman"/>
          <w:sz w:val="20"/>
        </w:rPr>
        <w:t xml:space="preserve">The provisions of the Law on Regulated Procurement do not apply to the execution and performance of this Agreement by the Pledgor as of the date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6.</w:t>
            </w:r>
          </w:p>
        </w:tc>
        <w:tc>
          <w:tcPr>
            <w:tcW w:w="9391" w:type="dxa"/>
            <w:tcBorders/>
            <w:shd w:fill="auto" w:val="clear"/>
          </w:tcPr>
          <w:p>
            <w:pPr>
              <w:pStyle w:val="TableContents"/>
              <w:spacing w:before="0" w:after="283"/>
              <w:jc w:val="left"/>
              <w:rPr/>
            </w:pPr>
            <w:r>
              <w:rPr>
                <w:b/>
              </w:rPr>
              <w:t>TERM OF PROVISION OF REPRESENTATIONS OF CIRCUMSTANCES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6.1.</w:t>
            </w:r>
          </w:p>
        </w:tc>
        <w:tc>
          <w:tcPr>
            <w:tcW w:w="9390" w:type="dxa"/>
            <w:tcBorders/>
            <w:shd w:fill="auto" w:val="clear"/>
          </w:tcPr>
          <w:p>
            <w:pPr>
              <w:pStyle w:val="TableContents"/>
              <w:spacing w:before="0" w:after="283"/>
              <w:jc w:val="left"/>
              <w:rPr/>
            </w:pPr>
            <w:r>
              <w:rPr/>
              <w:t xml:space="preserve">The Pledgor shall give representations specified in Article 5 </w:t>
            </w:r>
            <w:r>
              <w:rPr>
                <w:i/>
              </w:rPr>
              <w:t>(Representations of Circumstances of the Pledgor)</w:t>
            </w:r>
            <w:r>
              <w:rPr/>
              <w:t xml:space="preserve"> hereof at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t xml:space="preserve">Except where any representations of the Pledgor shall be given on a certain date, all representations are considered to be given by the Pledgor on the date of the Disbursement Request, on each Disbursement Date and on the first day of each 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t xml:space="preserve">If any representations are provided again, they are extended to the circumstances existing at the time of their subsequent submission.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6.4.</w:t>
            </w:r>
          </w:p>
        </w:tc>
        <w:tc>
          <w:tcPr>
            <w:tcW w:w="9390" w:type="dxa"/>
            <w:tcBorders/>
            <w:shd w:fill="auto" w:val="clear"/>
          </w:tcPr>
          <w:p>
            <w:pPr>
              <w:pStyle w:val="TableContents"/>
              <w:spacing w:before="0" w:after="283"/>
              <w:jc w:val="left"/>
              <w:rPr/>
            </w:pPr>
            <w:r>
              <w:rPr/>
              <w:t xml:space="preserve">The representations contained in Clause 5.6.5 are given only as of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7.</w:t>
            </w:r>
          </w:p>
        </w:tc>
        <w:tc>
          <w:tcPr>
            <w:tcW w:w="9390" w:type="dxa"/>
            <w:tcBorders/>
            <w:shd w:fill="auto" w:val="clear"/>
          </w:tcPr>
          <w:p>
            <w:pPr>
              <w:pStyle w:val="TableContents"/>
              <w:spacing w:before="0" w:after="283"/>
              <w:jc w:val="left"/>
              <w:rPr/>
            </w:pPr>
            <w:r>
              <w:rPr>
                <w:b/>
              </w:rPr>
              <w:t>REIMBURSEMENT FOR DAMAGE AND COSTS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shall pay all taxes, levies, fees and duties payable by it in connection with the signing, registration or notarization of this Agreement or any other document relating hereto. If the Pledgee pays such taxes, levies, fees and duties (inter alia, those imposed on the Pledgee), the Pledgor shall reimburse the Pledgee for such costs within 10 (Ten) Business Days from the sending a respective notice to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8.</w:t>
            </w:r>
          </w:p>
        </w:tc>
        <w:tc>
          <w:tcPr>
            <w:tcW w:w="9389" w:type="dxa"/>
            <w:tcBorders/>
            <w:shd w:fill="auto" w:val="clear"/>
          </w:tcPr>
          <w:p>
            <w:pPr>
              <w:pStyle w:val="TableContents"/>
              <w:spacing w:before="0" w:after="283"/>
              <w:jc w:val="left"/>
              <w:rPr/>
            </w:pPr>
            <w:r>
              <w:rPr>
                <w:b/>
              </w:rPr>
              <w:t>FINAL PROVISIONS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8.1.</w:t>
            </w:r>
          </w:p>
        </w:tc>
        <w:tc>
          <w:tcPr>
            <w:tcW w:w="9390" w:type="dxa"/>
            <w:tcBorders/>
            <w:shd w:fill="auto" w:val="clear"/>
          </w:tcPr>
          <w:p>
            <w:pPr>
              <w:pStyle w:val="TableContents"/>
              <w:spacing w:before="0" w:after="283"/>
              <w:jc w:val="left"/>
              <w:rPr/>
            </w:pPr>
            <w:r>
              <w:rPr/>
              <w:t xml:space="preserve">Any messages sent by the Parties under this Agreement shall be made in writing and may be sent by courier, by mail with return receipt, by fax or by e-mail. For the purposes of this Agreement, a message transmitted using electronic means of communication shall be deemed to be in writing.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8.2.</w:t>
            </w:r>
          </w:p>
        </w:tc>
        <w:tc>
          <w:tcPr>
            <w:tcW w:w="9389" w:type="dxa"/>
            <w:tcBorders/>
            <w:shd w:fill="auto" w:val="clear"/>
          </w:tcPr>
          <w:p>
            <w:pPr>
              <w:pStyle w:val="TableContents"/>
              <w:spacing w:before="0" w:after="283"/>
              <w:jc w:val="left"/>
              <w:rPr/>
            </w:pPr>
            <w:r>
              <w:rPr/>
              <w:t xml:space="preserve">Any message or document sent by the Parties in connection with this Agreement shall be deemed to have been received (except for cases of notification in accordance with the laws of the Russian Federation in case of enforcement of the Collateral and other cases expressly provided for by the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after receiving a message in a legible form when sent by fax or by another method which allows to establish reliably that the message is from a respective Party;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upon delivery to the relevant address when sent by courier;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8471" w:type="dxa"/>
            <w:tcBorders/>
            <w:shd w:fill="auto" w:val="clear"/>
          </w:tcPr>
          <w:p>
            <w:pPr>
              <w:pStyle w:val="TableContents"/>
              <w:spacing w:before="0" w:after="283"/>
              <w:jc w:val="left"/>
              <w:rPr/>
            </w:pPr>
            <w:r>
              <w:rPr/>
              <w:t xml:space="preserve">upon delivery to the relevant address or 5 (Five) Business Days after submitting to the post office when sent by mail with return receipt,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8.3.</w:t>
            </w:r>
          </w:p>
        </w:tc>
        <w:tc>
          <w:tcPr>
            <w:tcW w:w="9389" w:type="dxa"/>
            <w:tcBorders/>
            <w:shd w:fill="auto" w:val="clear"/>
          </w:tcPr>
          <w:p>
            <w:pPr>
              <w:pStyle w:val="TableContents"/>
              <w:spacing w:before="0" w:after="283"/>
              <w:jc w:val="left"/>
              <w:rPr/>
            </w:pPr>
            <w:r>
              <w:rPr/>
              <w:t xml:space="preserve">Unless otherwise provided for below, the contact details of each Party for all messages in connection with this Agreement are data which such Party reported to the Pledgee acting as the Credit Agent under the Loan Agreement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Contact information of the Pledgor: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3981"/>
        <w:gridCol w:w="337"/>
        <w:gridCol w:w="4151"/>
      </w:tblGrid>
      <w:tr>
        <w:trPr/>
        <w:tc>
          <w:tcPr>
            <w:tcW w:w="3981" w:type="dxa"/>
            <w:tcBorders/>
            <w:shd w:fill="auto" w:val="clear"/>
            <w:vAlign w:val="center"/>
          </w:tcPr>
          <w:p>
            <w:pPr>
              <w:pStyle w:val="TableContents"/>
              <w:spacing w:before="0" w:after="283"/>
              <w:rPr>
                <w:sz w:val="4"/>
                <w:szCs w:val="4"/>
              </w:rPr>
            </w:pPr>
            <w:r>
              <w:rPr>
                <w:sz w:val="4"/>
                <w:szCs w:val="4"/>
              </w:rPr>
            </w:r>
          </w:p>
        </w:tc>
        <w:tc>
          <w:tcPr>
            <w:tcW w:w="337" w:type="dxa"/>
            <w:tcBorders/>
            <w:shd w:fill="auto" w:val="clear"/>
            <w:vAlign w:val="bottom"/>
          </w:tcPr>
          <w:p>
            <w:pPr>
              <w:pStyle w:val="TableContents"/>
              <w:spacing w:before="0" w:after="283"/>
              <w:rPr>
                <w:sz w:val="4"/>
                <w:szCs w:val="4"/>
              </w:rPr>
            </w:pPr>
            <w:r>
              <w:rPr>
                <w:sz w:val="4"/>
                <w:szCs w:val="4"/>
              </w:rPr>
            </w:r>
          </w:p>
        </w:tc>
        <w:tc>
          <w:tcPr>
            <w:tcW w:w="4151" w:type="dxa"/>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tcPr>
          <w:p>
            <w:pPr>
              <w:pStyle w:val="TableContents"/>
              <w:spacing w:before="0" w:after="283"/>
              <w:rPr/>
            </w:pPr>
            <w:r>
              <w:rPr/>
              <w:t>Zemenik Trading Limited</w:t>
            </w:r>
          </w:p>
        </w:tc>
      </w:tr>
      <w:tr>
        <w:trPr/>
        <w:tc>
          <w:tcPr>
            <w:tcW w:w="3981" w:type="dxa"/>
            <w:tcBorders/>
            <w:shd w:fill="auto" w:val="clear"/>
          </w:tcPr>
          <w:p>
            <w:pPr>
              <w:pStyle w:val="TableContents"/>
              <w:spacing w:before="0" w:after="283"/>
              <w:rPr/>
            </w:pPr>
            <w:r>
              <w:rPr/>
              <w:t>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42 Dositheou, Strovolos 2028, Nicosia, Cyprus</w:t>
            </w:r>
          </w:p>
        </w:tc>
      </w:tr>
      <w:tr>
        <w:trPr/>
        <w:tc>
          <w:tcPr>
            <w:tcW w:w="3981" w:type="dxa"/>
            <w:tcBorders/>
            <w:shd w:fill="auto" w:val="clear"/>
          </w:tcPr>
          <w:p>
            <w:pPr>
              <w:pStyle w:val="TableContents"/>
              <w:spacing w:before="0" w:after="283"/>
              <w:rPr/>
            </w:pPr>
            <w:r>
              <w:rPr/>
              <w:t>Mail 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42 Dositheou, Strovolos 2028, Nicosia, Cyprus</w:t>
            </w:r>
          </w:p>
        </w:tc>
      </w:tr>
      <w:tr>
        <w:trPr/>
        <w:tc>
          <w:tcPr>
            <w:tcW w:w="3981" w:type="dxa"/>
            <w:tcBorders/>
            <w:shd w:fill="auto" w:val="clear"/>
          </w:tcPr>
          <w:p>
            <w:pPr>
              <w:pStyle w:val="TableContents"/>
              <w:spacing w:before="0" w:after="283"/>
              <w:rPr/>
            </w:pPr>
            <w:r>
              <w:rPr/>
              <w:t>Fax:</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+35722679096</w:t>
            </w:r>
          </w:p>
        </w:tc>
      </w:tr>
      <w:tr>
        <w:trPr/>
        <w:tc>
          <w:tcPr>
            <w:tcW w:w="3981" w:type="dxa"/>
            <w:tcBorders/>
            <w:shd w:fill="auto" w:val="clear"/>
          </w:tcPr>
          <w:p>
            <w:pPr>
              <w:pStyle w:val="TableContents"/>
              <w:spacing w:before="0" w:after="283"/>
              <w:rPr/>
            </w:pPr>
            <w:r>
              <w:rPr/>
              <w:t>E-mail:</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info@fiduserve.com</w:t>
            </w:r>
          </w:p>
        </w:tc>
      </w:tr>
      <w:tr>
        <w:trPr/>
        <w:tc>
          <w:tcPr>
            <w:tcW w:w="3981" w:type="dxa"/>
            <w:tcBorders/>
            <w:shd w:fill="auto" w:val="clear"/>
          </w:tcPr>
          <w:p>
            <w:pPr>
              <w:pStyle w:val="TableContents"/>
              <w:spacing w:before="0" w:after="283"/>
              <w:rPr/>
            </w:pPr>
            <w:r>
              <w:rPr/>
              <w:t>Attn:</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The Directors / Stelios Haralambous</w:t>
            </w:r>
          </w:p>
        </w:tc>
      </w:tr>
      <w:tr>
        <w:trPr>
          <w:trHeight w:val="120" w:hRule="atLeast"/>
        </w:trPr>
        <w:tc>
          <w:tcPr>
            <w:tcW w:w="8469" w:type="dxa"/>
            <w:gridSpan w:val="3"/>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tcPr>
          <w:p>
            <w:pPr>
              <w:pStyle w:val="TableContents"/>
              <w:spacing w:before="0" w:after="283"/>
              <w:rPr/>
            </w:pPr>
            <w:r>
              <w:rPr/>
              <w:t>Contact information of the Pledgee:</w:t>
            </w:r>
          </w:p>
        </w:tc>
      </w:tr>
      <w:tr>
        <w:trPr>
          <w:trHeight w:val="120" w:hRule="atLeast"/>
        </w:trPr>
        <w:tc>
          <w:tcPr>
            <w:tcW w:w="8469" w:type="dxa"/>
            <w:gridSpan w:val="3"/>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tcPr>
          <w:p>
            <w:pPr>
              <w:pStyle w:val="TableContents"/>
              <w:spacing w:before="0" w:after="283"/>
              <w:rPr/>
            </w:pPr>
            <w:r>
              <w:rPr/>
              <w:t>Bank VTB (Public Joint-Stock Company)</w:t>
            </w:r>
          </w:p>
        </w:tc>
      </w:tr>
      <w:tr>
        <w:trPr/>
        <w:tc>
          <w:tcPr>
            <w:tcW w:w="3981" w:type="dxa"/>
            <w:tcBorders/>
            <w:shd w:fill="auto" w:val="clear"/>
          </w:tcPr>
          <w:p>
            <w:pPr>
              <w:pStyle w:val="TableContents"/>
              <w:spacing w:before="0" w:after="283"/>
              <w:rPr/>
            </w:pPr>
            <w:r>
              <w:rPr/>
              <w:t>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29, Bolshaya Morskaya St., Saint Petersburg, 190000</w:t>
            </w:r>
          </w:p>
        </w:tc>
      </w:tr>
      <w:tr>
        <w:trPr/>
        <w:tc>
          <w:tcPr>
            <w:tcW w:w="3981" w:type="dxa"/>
            <w:tcBorders/>
            <w:shd w:fill="auto" w:val="clear"/>
          </w:tcPr>
          <w:p>
            <w:pPr>
              <w:pStyle w:val="TableContents"/>
              <w:spacing w:before="0" w:after="283"/>
              <w:rPr/>
            </w:pPr>
            <w:r>
              <w:rPr/>
              <w:t>Mail 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43 Vorontsovskaya St., bld. 1, Moscow, 109147</w:t>
            </w:r>
          </w:p>
        </w:tc>
      </w:tr>
      <w:tr>
        <w:trPr/>
        <w:tc>
          <w:tcPr>
            <w:tcW w:w="3981" w:type="dxa"/>
            <w:tcBorders/>
            <w:shd w:fill="auto" w:val="clear"/>
          </w:tcPr>
          <w:p>
            <w:pPr>
              <w:pStyle w:val="TableContents"/>
              <w:spacing w:before="0" w:after="283"/>
              <w:rPr/>
            </w:pPr>
            <w:r>
              <w:rPr/>
              <w:t>Fax:</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+7 495 775-54-54</w:t>
            </w:r>
          </w:p>
        </w:tc>
      </w:tr>
      <w:tr>
        <w:trPr/>
        <w:tc>
          <w:tcPr>
            <w:tcW w:w="3981" w:type="dxa"/>
            <w:tcBorders/>
            <w:shd w:fill="auto" w:val="clear"/>
          </w:tcPr>
          <w:p>
            <w:pPr>
              <w:pStyle w:val="TableContents"/>
              <w:spacing w:before="0" w:after="283"/>
              <w:rPr/>
            </w:pPr>
            <w:r>
              <w:rPr/>
              <w:t>Telephone:</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+7 495 956-71-48</w:t>
            </w:r>
          </w:p>
        </w:tc>
      </w:tr>
      <w:tr>
        <w:trPr/>
        <w:tc>
          <w:tcPr>
            <w:tcW w:w="3981" w:type="dxa"/>
            <w:tcBorders/>
            <w:shd w:fill="auto" w:val="clear"/>
          </w:tcPr>
          <w:p>
            <w:pPr>
              <w:pStyle w:val="TableContents"/>
              <w:spacing w:before="0" w:after="283"/>
              <w:rPr/>
            </w:pPr>
            <w:r>
              <w:rPr/>
              <w:t>E-mail:</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u w:val="single"/>
              </w:rPr>
            </w:pPr>
            <w:r>
              <w:rPr>
                <w:u w:val="single"/>
              </w:rPr>
              <w:t>loanadmin@msk.vtb.ru; TM21@msk.vtb.ru</w:t>
            </w:r>
          </w:p>
        </w:tc>
      </w:tr>
      <w:tr>
        <w:trPr/>
        <w:tc>
          <w:tcPr>
            <w:tcW w:w="3981" w:type="dxa"/>
            <w:tcBorders/>
            <w:shd w:fill="auto" w:val="clear"/>
          </w:tcPr>
          <w:p>
            <w:pPr>
              <w:pStyle w:val="TableContents"/>
              <w:spacing w:before="0" w:after="283"/>
              <w:rPr/>
            </w:pPr>
            <w:r>
              <w:rPr/>
              <w:t>Attn:</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Credit Authority</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Party may change its contact details by sending a respective notice to the other Party at least 5 (Five) Business Days prior to such change.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If a Party specifies a particular division or official as a recipient of a message, such message shall not be considered to be sent if such division or official is not designated as the recipient.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8.4.</w:t>
            </w:r>
          </w:p>
        </w:tc>
        <w:tc>
          <w:tcPr>
            <w:tcW w:w="9388" w:type="dxa"/>
            <w:tcBorders/>
            <w:shd w:fill="auto" w:val="clear"/>
          </w:tcPr>
          <w:p>
            <w:pPr>
              <w:pStyle w:val="TableContents"/>
              <w:spacing w:before="0" w:after="283"/>
              <w:jc w:val="left"/>
              <w:rPr/>
            </w:pPr>
            <w:r>
              <w:rPr/>
              <w:t xml:space="preserve">The Pledgor hereby gives the Pledgee the consent to be liable for performance of the obligations under the Loan Agreement, inter alia, if the Lenders increase the interest rate unilaterally under the terms and conditions of the Loan Agreement, as well as if any amendments are made to the terms and conditions of the Loan Agreement, including, but not limited to, in case of change of any terms or other conditions of repayment of the Loan, interest rates, commissions and fees, conditions of ensuring the performance of obligations under the Loan Agreement, penalties, and shall be liable for a complete fulfillment of the obligations under the Loan Agreement in accordance with the amended terms or conditions of the Loan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8.5.</w:t>
            </w:r>
          </w:p>
        </w:tc>
        <w:tc>
          <w:tcPr>
            <w:tcW w:w="9388" w:type="dxa"/>
            <w:tcBorders/>
            <w:shd w:fill="auto" w:val="clear"/>
          </w:tcPr>
          <w:p>
            <w:pPr>
              <w:pStyle w:val="TableContents"/>
              <w:spacing w:before="0" w:after="283"/>
              <w:jc w:val="left"/>
              <w:rPr/>
            </w:pPr>
            <w:r>
              <w:rPr/>
              <w:t xml:space="preserve">If the Company’s rights and obligations under the Loan Agreement are transferred by succession to another person and/or the loan under the Loan Agreement is transferred, the Pledgor hereby expresses its consent to be liable for the new debtor under the Loan Agreement. The transfer of debt under the Loan Agreement does not result in extinction of pledge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8.6.</w:t>
            </w:r>
          </w:p>
        </w:tc>
        <w:tc>
          <w:tcPr>
            <w:tcW w:w="9388" w:type="dxa"/>
            <w:tcBorders/>
            <w:shd w:fill="auto" w:val="clear"/>
          </w:tcPr>
          <w:p>
            <w:pPr>
              <w:pStyle w:val="TableContents"/>
              <w:spacing w:before="0" w:after="283"/>
              <w:jc w:val="left"/>
              <w:rPr/>
            </w:pPr>
            <w:r>
              <w:rPr/>
              <w:t xml:space="preserve">The Pledgor hereby confirms that it is aware of all the terms and conditions of the Loan Agreement, inter alia, all circumstances that are the basis for filing a claim for the Company’s early performance of obligations under the Loan Agreement, and there is no excuse for the Pledgor to claim to be unaware.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8.7.</w:t>
            </w:r>
          </w:p>
        </w:tc>
        <w:tc>
          <w:tcPr>
            <w:tcW w:w="9388" w:type="dxa"/>
            <w:tcBorders/>
            <w:shd w:fill="auto" w:val="clear"/>
          </w:tcPr>
          <w:p>
            <w:pPr>
              <w:pStyle w:val="TableContents"/>
              <w:spacing w:before="0" w:after="283"/>
              <w:jc w:val="left"/>
              <w:rPr/>
            </w:pPr>
            <w:r>
              <w:rPr/>
              <w:t xml:space="preserve">The Pledgor shall not have the right to raise any objections against the Pledgee’s claims that may be raised by the Company as a borrower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8.8.</w:t>
            </w:r>
          </w:p>
        </w:tc>
        <w:tc>
          <w:tcPr>
            <w:tcW w:w="9389" w:type="dxa"/>
            <w:tcBorders/>
            <w:shd w:fill="auto" w:val="clear"/>
          </w:tcPr>
          <w:p>
            <w:pPr>
              <w:pStyle w:val="TableContents"/>
              <w:spacing w:before="0" w:after="283"/>
              <w:jc w:val="left"/>
              <w:rPr/>
            </w:pPr>
            <w:r>
              <w:rPr/>
              <w:t xml:space="preserve">The Pledgor hereby agrees that if the debt under the Loan Agreement is early claimed or enforcement hereunder occurs, the Pledgee may transfer any information directly or indirectly related to the Agreement to a third party engaged by the Pledgee at its discretion to settle the debt.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8.9.</w:t>
            </w:r>
          </w:p>
        </w:tc>
        <w:tc>
          <w:tcPr>
            <w:tcW w:w="9388" w:type="dxa"/>
            <w:tcBorders/>
            <w:shd w:fill="auto" w:val="clear"/>
          </w:tcPr>
          <w:p>
            <w:pPr>
              <w:pStyle w:val="TableContents"/>
              <w:spacing w:before="0" w:after="283"/>
              <w:jc w:val="left"/>
              <w:rPr/>
            </w:pPr>
            <w:r>
              <w:rPr/>
              <w:t xml:space="preserve">If the Lender under the Loan Agreement cedes its rights and/or transfers obligations under the Loan Agreement and other Financial Documents to another bank, another credit or financial institution, a fund, the Central Bank of the Russian Federation or a third party in accordance with Article 20.2 </w:t>
            </w:r>
            <w:r>
              <w:rPr>
                <w:i/>
              </w:rPr>
              <w:t xml:space="preserve">(Assignment of Rights and Transfer of Obligations by the Lenders) </w:t>
            </w:r>
            <w:r>
              <w:rPr/>
              <w:t>of the Loan Agreement (hereinafter referred to as the “</w:t>
            </w:r>
            <w:r>
              <w:rPr>
                <w:b/>
              </w:rPr>
              <w:t>New Lender” for the purposes of this Clause),</w:t>
            </w:r>
            <w:r>
              <w:rPr/>
              <w:t xml:space="preserve"> then such New Lender becomes the Pledgee under this Agreement provided that a respective entry is made in the EGRUL.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8.10.</w:t>
            </w:r>
          </w:p>
        </w:tc>
        <w:tc>
          <w:tcPr>
            <w:tcW w:w="9388" w:type="dxa"/>
            <w:tcBorders/>
            <w:shd w:fill="auto" w:val="clear"/>
          </w:tcPr>
          <w:p>
            <w:pPr>
              <w:pStyle w:val="TableContents"/>
              <w:spacing w:before="0" w:after="283"/>
              <w:jc w:val="left"/>
              <w:rPr/>
            </w:pPr>
            <w:r>
              <w:rPr/>
              <w:t xml:space="preserve">The Pledgee shall, within 15 (Fifteen) Business Days from the date of a complete fulfillment of the Obligations, at the request of the Pledgor, sign an application together with the Pledgor to the body carrying out the state registration of legal entities, on termination of pledge of the Collateral and perform other actions required by law for termination of pledge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8.11.</w:t>
            </w:r>
          </w:p>
        </w:tc>
        <w:tc>
          <w:tcPr>
            <w:tcW w:w="9389" w:type="dxa"/>
            <w:tcBorders/>
            <w:shd w:fill="auto" w:val="clear"/>
          </w:tcPr>
          <w:p>
            <w:pPr>
              <w:pStyle w:val="TableContents"/>
              <w:spacing w:before="0" w:after="283"/>
              <w:jc w:val="left"/>
              <w:rPr/>
            </w:pPr>
            <w:r>
              <w:rPr/>
              <w:t xml:space="preserve">Such material change in circumstances as described in Article 451 of the Civil Code cannot serve as a basis for amending or terminating this Agreement on the initiative of the Pledgor. For the avoidance of doubt, the Parties hereby confirm that this Clause 8.11 does not limit the right of the Parties to modify or terminate this Agreement on the terms and conditions stipulated herein or by agreement of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8.12.</w:t>
            </w:r>
          </w:p>
        </w:tc>
        <w:tc>
          <w:tcPr>
            <w:tcW w:w="9390" w:type="dxa"/>
            <w:tcBorders/>
            <w:shd w:fill="auto" w:val="clear"/>
          </w:tcPr>
          <w:p>
            <w:pPr>
              <w:pStyle w:val="TableContents"/>
              <w:spacing w:before="0" w:after="283"/>
              <w:jc w:val="left"/>
              <w:rPr/>
            </w:pPr>
            <w:r>
              <w:rPr/>
              <w:t xml:space="preserve">This Agreement and the rights and obligations of the Parties arising out of this Agreement shall be governed and construed by the laws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8.13.</w:t>
            </w:r>
          </w:p>
        </w:tc>
        <w:tc>
          <w:tcPr>
            <w:tcW w:w="9390" w:type="dxa"/>
            <w:tcBorders/>
            <w:shd w:fill="auto" w:val="clear"/>
          </w:tcPr>
          <w:p>
            <w:pPr>
              <w:pStyle w:val="TableContents"/>
              <w:spacing w:before="0" w:after="283"/>
              <w:jc w:val="left"/>
              <w:rPr/>
            </w:pPr>
            <w:r>
              <w:rPr/>
              <w:t xml:space="preserve">If any provision hereof becomes invalid or inconsistent with the laws of the Russian Federation due to any changes in the laws of the Russian Federation in effect at the conclusion hereof, all other provisions hereof shall remain valid.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8.14.</w:t>
            </w:r>
          </w:p>
        </w:tc>
        <w:tc>
          <w:tcPr>
            <w:tcW w:w="9389"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8.15.</w:t>
            </w:r>
          </w:p>
        </w:tc>
        <w:tc>
          <w:tcPr>
            <w:tcW w:w="9389" w:type="dxa"/>
            <w:tcBorders/>
            <w:shd w:fill="auto" w:val="clear"/>
          </w:tcPr>
          <w:p>
            <w:pPr>
              <w:pStyle w:val="TableContents"/>
              <w:spacing w:before="0" w:after="283"/>
              <w:jc w:val="left"/>
              <w:rPr/>
            </w:pPr>
            <w:r>
              <w:rPr/>
              <w:t xml:space="preserve">This Agreement shall be subject to notarization. All amendments hereto shall be in writing and notarized.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8.16.</w:t>
            </w:r>
          </w:p>
        </w:tc>
        <w:tc>
          <w:tcPr>
            <w:tcW w:w="9388" w:type="dxa"/>
            <w:tcBorders/>
            <w:shd w:fill="auto" w:val="clear"/>
          </w:tcPr>
          <w:p>
            <w:pPr>
              <w:pStyle w:val="TableContents"/>
              <w:spacing w:before="0" w:after="283"/>
              <w:jc w:val="left"/>
              <w:rPr/>
            </w:pPr>
            <w:r>
              <w:rPr/>
              <w:t xml:space="preserve">The Agreement shall come into force upon being notarized and shall be valid until the Parties have fulfilled their obligations in full.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8.17.</w:t>
            </w:r>
          </w:p>
        </w:tc>
        <w:tc>
          <w:tcPr>
            <w:tcW w:w="9389" w:type="dxa"/>
            <w:tcBorders/>
            <w:shd w:fill="auto" w:val="clear"/>
          </w:tcPr>
          <w:p>
            <w:pPr>
              <w:pStyle w:val="TableContents"/>
              <w:spacing w:before="0" w:after="283"/>
              <w:jc w:val="left"/>
              <w:rPr/>
            </w:pPr>
            <w:r>
              <w:rPr/>
              <w:t xml:space="preserve">This Agreement is made in three counterparts, one shall be kept by Roman Vasilyevich Ryabov, a notary of Moscow, at the address: 9, Krasnoproletarskaya St., Moscow, one for the Pledgee, and one for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8.18.</w:t>
            </w:r>
          </w:p>
        </w:tc>
        <w:tc>
          <w:tcPr>
            <w:tcW w:w="9389" w:type="dxa"/>
            <w:tcBorders/>
            <w:shd w:fill="auto" w:val="clear"/>
          </w:tcPr>
          <w:p>
            <w:pPr>
              <w:pStyle w:val="TableContents"/>
              <w:spacing w:before="0" w:after="283"/>
              <w:jc w:val="left"/>
              <w:rPr/>
            </w:pPr>
            <w:r>
              <w:rPr/>
              <w:t xml:space="preserve">The Parties agree that the Company shall be notified by the Pledgor of the pledge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8.19.</w:t>
            </w:r>
          </w:p>
        </w:tc>
        <w:tc>
          <w:tcPr>
            <w:tcW w:w="9388" w:type="dxa"/>
            <w:tcBorders/>
            <w:shd w:fill="auto" w:val="clear"/>
          </w:tcPr>
          <w:p>
            <w:pPr>
              <w:pStyle w:val="TableContents"/>
              <w:spacing w:before="0" w:after="283"/>
              <w:jc w:val="left"/>
              <w:rPr/>
            </w:pPr>
            <w:r>
              <w:rPr/>
              <w:t xml:space="preserve">The contents of Articles 334-358 of the Civil Code, Article 22 of Federal Law No. 14- </w:t>
            </w:r>
            <w:r>
              <w:rPr/>
              <w:drawing>
                <wp:inline distT="0" distB="0" distL="0" distR="0">
                  <wp:extent cx="180975" cy="12382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link="rId23"/>
                          <a:stretch>
                            <a:fillRect/>
                          </a:stretch>
                        </pic:blipFill>
                        <pic:spPr bwMode="auto">
                          <a:xfrm>
                            <a:off x="0" y="0"/>
                            <a:ext cx="180975" cy="123825"/>
                          </a:xfrm>
                          <a:prstGeom prst="rect">
                            <a:avLst/>
                          </a:prstGeom>
                          <a:noFill/>
                          <a:ln w="9525">
                            <a:noFill/>
                            <a:miter lim="800000"/>
                            <a:headEnd/>
                            <a:tailEnd/>
                          </a:ln>
                        </pic:spPr>
                      </pic:pic>
                    </a:graphicData>
                  </a:graphic>
                </wp:inline>
              </w:drawing>
            </w:r>
            <w:r>
              <w:rPr/>
              <w:t xml:space="preserve"> “On Limited Liability Companies” dated February 08, 1998, Articles 94.1, 94.2, 94.3, 94.4 of the Fundamental Principles of Legislation of the Russian Federation on the Notarial Services have been explained by the notary to the Parties.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OF THE PARTIES </w:t>
      </w:r>
    </w:p>
    <w:p>
      <w:pPr>
        <w:pStyle w:val="TextBody"/>
        <w:spacing w:before="120" w:after="0"/>
        <w:rPr>
          <w:rFonts w:ascii="Times New Roman" w:hAnsi="Times New Roman"/>
          <w:b/>
          <w:sz w:val="20"/>
        </w:rPr>
      </w:pPr>
      <w:r>
        <w:rPr>
          <w:rFonts w:ascii="Times New Roman" w:hAnsi="Times New Roman"/>
          <w:b/>
          <w:sz w:val="20"/>
        </w:rPr>
        <w:t xml:space="preserve">The Pledgor </w:t>
      </w:r>
    </w:p>
    <w:p>
      <w:pPr>
        <w:pStyle w:val="TextBody"/>
        <w:spacing w:before="120" w:after="0"/>
        <w:rPr>
          <w:rFonts w:ascii="Times New Roman" w:hAnsi="Times New Roman"/>
          <w:b/>
          <w:sz w:val="20"/>
        </w:rPr>
      </w:pPr>
      <w:r>
        <w:rPr>
          <w:rFonts w:ascii="Times New Roman" w:hAnsi="Times New Roman"/>
          <w:b/>
          <w:sz w:val="20"/>
        </w:rPr>
        <w:t xml:space="preserve">ZEMENIK TRADING LIMITED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3"/>
        <w:gridCol w:w="4797"/>
      </w:tblGrid>
      <w:tr>
        <w:trPr/>
        <w:tc>
          <w:tcPr>
            <w:tcW w:w="520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0"/>
              <w:rPr>
                <w:rFonts w:ascii="Times New Roman" w:hAnsi="Times New Roman"/>
                <w:sz w:val="20"/>
              </w:rPr>
            </w:pPr>
            <w:r>
              <w:rPr>
                <w:rFonts w:ascii="Times New Roman" w:hAnsi="Times New Roman"/>
                <w:sz w:val="20"/>
              </w:rPr>
              <w:t>Full name, signature:</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vAlign w:val="bottom"/>
          </w:tcPr>
          <w:p>
            <w:pPr>
              <w:pStyle w:val="TableContents"/>
              <w:spacing w:before="0" w:after="283"/>
              <w:rPr>
                <w:i/>
              </w:rPr>
            </w:pPr>
            <w:r>
              <w:rPr>
                <w:i/>
              </w:rPr>
              <w:t>Karen Eduardovich Agayan</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i/>
              </w:rPr>
            </w:pPr>
            <w:r>
              <w:rPr>
                <w:i/>
              </w:rPr>
              <w:t>/signature/</w:t>
            </w:r>
          </w:p>
        </w:tc>
      </w:tr>
    </w:tbl>
    <w:p>
      <w:pPr>
        <w:pStyle w:val="TextBody"/>
        <w:spacing w:before="240" w:after="0"/>
        <w:rPr>
          <w:rFonts w:ascii="Times New Roman" w:hAnsi="Times New Roman"/>
          <w:sz w:val="20"/>
        </w:rPr>
      </w:pPr>
      <w:r>
        <w:rPr>
          <w:rFonts w:ascii="Times New Roman" w:hAnsi="Times New Roman"/>
          <w:sz w:val="20"/>
        </w:rPr>
        <w:t xml:space="preserve">Position: Attorney-in-Fact </w:t>
      </w:r>
    </w:p>
    <w:p>
      <w:pPr>
        <w:pStyle w:val="TextBody"/>
        <w:spacing w:before="240" w:after="0"/>
        <w:rPr>
          <w:rFonts w:ascii="Times New Roman" w:hAnsi="Times New Roman"/>
          <w:b/>
          <w:sz w:val="20"/>
        </w:rPr>
      </w:pPr>
      <w:r>
        <w:rPr>
          <w:rFonts w:ascii="Times New Roman" w:hAnsi="Times New Roman"/>
          <w:b/>
          <w:sz w:val="20"/>
        </w:rPr>
        <w:t xml:space="preserve">The Pledgee </w:t>
      </w:r>
    </w:p>
    <w:p>
      <w:pPr>
        <w:pStyle w:val="TextBody"/>
        <w:spacing w:before="120" w:after="0"/>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5"/>
        <w:gridCol w:w="204"/>
        <w:gridCol w:w="4795"/>
      </w:tblGrid>
      <w:tr>
        <w:trPr/>
        <w:tc>
          <w:tcPr>
            <w:tcW w:w="5205"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4795"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vAlign w:val="bottom"/>
          </w:tcPr>
          <w:p>
            <w:pPr>
              <w:pStyle w:val="TableContents"/>
              <w:spacing w:before="0" w:after="283"/>
              <w:rPr/>
            </w:pPr>
            <w:r>
              <w:rPr/>
              <w:t>Full name, signature:</w:t>
            </w:r>
          </w:p>
        </w:tc>
        <w:tc>
          <w:tcPr>
            <w:tcW w:w="204" w:type="dxa"/>
            <w:tcBorders/>
            <w:shd w:fill="auto" w:val="clear"/>
            <w:vAlign w:val="bottom"/>
          </w:tcPr>
          <w:p>
            <w:pPr>
              <w:pStyle w:val="TableContents"/>
              <w:spacing w:before="0" w:after="283"/>
              <w:rPr/>
            </w:pPr>
            <w:r>
              <w:rPr/>
              <w:t>  </w:t>
            </w:r>
          </w:p>
        </w:tc>
        <w:tc>
          <w:tcPr>
            <w:tcW w:w="4795"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vAlign w:val="bottom"/>
          </w:tcPr>
          <w:p>
            <w:pPr>
              <w:pStyle w:val="TableContents"/>
              <w:spacing w:before="0" w:after="283"/>
              <w:rPr>
                <w:i/>
              </w:rPr>
            </w:pPr>
            <w:r>
              <w:rPr>
                <w:i/>
              </w:rPr>
              <w:t>Vitaly Nikolaevich Buzoverya</w:t>
            </w:r>
          </w:p>
        </w:tc>
        <w:tc>
          <w:tcPr>
            <w:tcW w:w="204" w:type="dxa"/>
            <w:tcBorders/>
            <w:shd w:fill="auto" w:val="clear"/>
            <w:vAlign w:val="bottom"/>
          </w:tcPr>
          <w:p>
            <w:pPr>
              <w:pStyle w:val="TableContents"/>
              <w:spacing w:before="0" w:after="283"/>
              <w:rPr/>
            </w:pPr>
            <w:r>
              <w:rPr/>
              <w:t>  </w:t>
            </w:r>
          </w:p>
        </w:tc>
        <w:tc>
          <w:tcPr>
            <w:tcW w:w="4795" w:type="dxa"/>
            <w:tcBorders/>
            <w:shd w:fill="auto" w:val="clear"/>
            <w:vAlign w:val="bottom"/>
          </w:tcPr>
          <w:p>
            <w:pPr>
              <w:pStyle w:val="TableContents"/>
              <w:spacing w:before="0" w:after="283"/>
              <w:rPr>
                <w:i/>
              </w:rPr>
            </w:pPr>
            <w:r>
              <w:rPr>
                <w:i/>
              </w:rPr>
              <w:t>/signature/</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vAlign w:val="bottom"/>
          </w:tcPr>
          <w:p>
            <w:pPr>
              <w:pStyle w:val="TableContents"/>
              <w:spacing w:before="0" w:after="283"/>
              <w:rPr/>
            </w:pPr>
            <w:r>
              <w:rPr/>
              <w:t>Position: Attorney-in-Fact</w:t>
            </w:r>
          </w:p>
        </w:tc>
        <w:tc>
          <w:tcPr>
            <w:tcW w:w="204" w:type="dxa"/>
            <w:tcBorders/>
            <w:shd w:fill="auto" w:val="clear"/>
            <w:vAlign w:val="bottom"/>
          </w:tcPr>
          <w:p>
            <w:pPr>
              <w:pStyle w:val="TableContents"/>
              <w:spacing w:before="0" w:after="283"/>
              <w:rPr/>
            </w:pPr>
            <w:r>
              <w:rPr/>
              <w:t>  </w:t>
            </w:r>
          </w:p>
        </w:tc>
        <w:tc>
          <w:tcPr>
            <w:tcW w:w="4795" w:type="dxa"/>
            <w:tcBorders/>
            <w:shd w:fill="auto" w:val="clear"/>
            <w:vAlign w:val="bottom"/>
          </w:tcPr>
          <w:p>
            <w:pPr>
              <w:pStyle w:val="TableContents"/>
              <w:spacing w:before="0" w:after="283"/>
              <w:rPr>
                <w:sz w:val="4"/>
                <w:szCs w:val="4"/>
              </w:rPr>
            </w:pPr>
            <w:r>
              <w:rPr>
                <w:sz w:val="4"/>
                <w:szCs w:val="4"/>
              </w:rPr>
            </w:r>
          </w:p>
        </w:tc>
      </w:tr>
    </w:tbl>
    <w:p>
      <w:pPr>
        <w:pStyle w:val="TextBody"/>
        <w:spacing w:before="480" w:after="0"/>
        <w:jc w:val="center"/>
        <w:rPr>
          <w:rFonts w:ascii="Times New Roman" w:hAnsi="Times New Roman"/>
          <w:b/>
          <w:sz w:val="20"/>
        </w:rPr>
      </w:pPr>
      <w:r>
        <w:rPr>
          <w:rFonts w:ascii="Times New Roman" w:hAnsi="Times New Roman"/>
          <w:b/>
          <w:sz w:val="20"/>
        </w:rPr>
        <w:t xml:space="preserve">The Russian Federation. </w:t>
      </w:r>
    </w:p>
    <w:p>
      <w:pPr>
        <w:pStyle w:val="TextBody"/>
        <w:spacing w:before="120" w:after="0"/>
        <w:jc w:val="center"/>
        <w:rPr>
          <w:rFonts w:ascii="Times New Roman" w:hAnsi="Times New Roman"/>
          <w:b/>
          <w:sz w:val="20"/>
        </w:rPr>
      </w:pPr>
      <w:r>
        <w:rPr>
          <w:rFonts w:ascii="Times New Roman" w:hAnsi="Times New Roman"/>
          <w:b/>
          <w:sz w:val="20"/>
        </w:rPr>
        <w:t xml:space="preserve">Moscow. </w:t>
      </w:r>
    </w:p>
    <w:p>
      <w:pPr>
        <w:pStyle w:val="TextBody"/>
        <w:spacing w:before="120" w:after="0"/>
        <w:jc w:val="center"/>
        <w:rPr>
          <w:rFonts w:ascii="Times New Roman" w:hAnsi="Times New Roman"/>
          <w:b/>
          <w:sz w:val="20"/>
        </w:rPr>
      </w:pPr>
      <w:r>
        <w:rPr>
          <w:rFonts w:ascii="Times New Roman" w:hAnsi="Times New Roman"/>
          <w:b/>
          <w:sz w:val="20"/>
        </w:rPr>
        <w:t xml:space="preserve">The fifth of October, the year two thousand and seventeen. </w:t>
      </w:r>
    </w:p>
    <w:p>
      <w:pPr>
        <w:pStyle w:val="TextBody"/>
        <w:spacing w:before="120" w:after="0"/>
        <w:rPr>
          <w:rFonts w:ascii="Times New Roman" w:hAnsi="Times New Roman"/>
          <w:sz w:val="20"/>
        </w:rPr>
      </w:pPr>
      <w:r>
        <w:rPr>
          <w:rFonts w:ascii="Times New Roman" w:hAnsi="Times New Roman"/>
          <w:sz w:val="20"/>
        </w:rPr>
        <w:t xml:space="preserve">This agreement is certified by me, Roman Vasilyevich Ryabov, a notary of Moscow. </w:t>
      </w:r>
    </w:p>
    <w:p>
      <w:pPr>
        <w:pStyle w:val="TextBody"/>
        <w:spacing w:before="240" w:after="0"/>
        <w:rPr>
          <w:rFonts w:ascii="Times New Roman" w:hAnsi="Times New Roman"/>
          <w:sz w:val="20"/>
        </w:rPr>
      </w:pPr>
      <w:r>
        <w:rPr>
          <w:rFonts w:ascii="Times New Roman" w:hAnsi="Times New Roman"/>
          <w:sz w:val="20"/>
        </w:rPr>
        <w:t xml:space="preserve">The content of the agreement corresponds to the will of its parties. </w:t>
      </w:r>
    </w:p>
    <w:p>
      <w:pPr>
        <w:pStyle w:val="TextBody"/>
        <w:spacing w:before="240" w:after="0"/>
        <w:rPr>
          <w:rFonts w:ascii="Times New Roman" w:hAnsi="Times New Roman"/>
          <w:sz w:val="20"/>
        </w:rPr>
      </w:pPr>
      <w:r>
        <w:rPr>
          <w:rFonts w:ascii="Times New Roman" w:hAnsi="Times New Roman"/>
          <w:sz w:val="20"/>
        </w:rPr>
        <w:t xml:space="preserve">The agreement was signed before me. </w:t>
      </w:r>
    </w:p>
    <w:p>
      <w:pPr>
        <w:pStyle w:val="TextBody"/>
        <w:spacing w:before="240" w:after="0"/>
        <w:rPr>
          <w:rFonts w:ascii="Times New Roman" w:hAnsi="Times New Roman"/>
          <w:sz w:val="20"/>
        </w:rPr>
      </w:pPr>
      <w:r>
        <w:rPr>
          <w:rFonts w:ascii="Times New Roman" w:hAnsi="Times New Roman"/>
          <w:sz w:val="20"/>
        </w:rPr>
        <w:t xml:space="preserve">The signatories are personally known to me, their capacities have been verified. </w:t>
      </w:r>
    </w:p>
    <w:p>
      <w:pPr>
        <w:pStyle w:val="TextBody"/>
        <w:spacing w:before="120" w:after="0"/>
        <w:rPr>
          <w:rFonts w:ascii="Times New Roman" w:hAnsi="Times New Roman"/>
          <w:sz w:val="20"/>
        </w:rPr>
      </w:pPr>
      <w:r>
        <w:rPr>
          <w:rFonts w:ascii="Times New Roman" w:hAnsi="Times New Roman"/>
          <w:sz w:val="20"/>
        </w:rPr>
        <w:t xml:space="preserve">The legal capacities of the legal entities and the authorities of their representatives have been verified. </w:t>
      </w:r>
    </w:p>
    <w:p>
      <w:pPr>
        <w:pStyle w:val="TextBody"/>
        <w:spacing w:before="240" w:after="0"/>
        <w:rPr>
          <w:rFonts w:ascii="Times New Roman" w:hAnsi="Times New Roman"/>
          <w:sz w:val="20"/>
        </w:rPr>
      </w:pPr>
      <w:r>
        <w:rPr>
          <w:rFonts w:ascii="Times New Roman" w:hAnsi="Times New Roman"/>
          <w:sz w:val="20"/>
        </w:rPr>
        <w:t xml:space="preserve">The title to the property has been verified. </w:t>
      </w:r>
    </w:p>
    <w:p>
      <w:pPr>
        <w:pStyle w:val="TextBody"/>
        <w:spacing w:before="240" w:after="0"/>
        <w:rPr>
          <w:rFonts w:ascii="Times New Roman" w:hAnsi="Times New Roman"/>
          <w:sz w:val="20"/>
        </w:rPr>
      </w:pPr>
      <w:r>
        <w:rPr>
          <w:rFonts w:ascii="Times New Roman" w:hAnsi="Times New Roman"/>
          <w:sz w:val="20"/>
        </w:rPr>
        <w:t xml:space="preserve">Filed in the register under No.: </w:t>
      </w:r>
      <w:r>
        <w:rPr>
          <w:rFonts w:ascii="Times New Roman" w:hAnsi="Times New Roman"/>
          <w:i/>
          <w:sz w:val="20"/>
        </w:rPr>
        <w:t>1-1170</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State fees collected (as per the tariff): </w:t>
      </w:r>
      <w:r>
        <w:rPr>
          <w:rFonts w:ascii="Times New Roman" w:hAnsi="Times New Roman"/>
          <w:i/>
          <w:sz w:val="20"/>
        </w:rPr>
        <w:t>300</w:t>
      </w:r>
      <w:r>
        <w:rPr>
          <w:rFonts w:ascii="Times New Roman" w:hAnsi="Times New Roman"/>
          <w:sz w:val="20"/>
        </w:rPr>
        <w:t xml:space="preserve"> rubles 00 kopecks </w:t>
      </w:r>
    </w:p>
    <w:p>
      <w:pPr>
        <w:pStyle w:val="TextBody"/>
        <w:spacing w:before="240" w:after="0"/>
        <w:rPr>
          <w:rFonts w:ascii="Times New Roman" w:hAnsi="Times New Roman"/>
          <w:sz w:val="20"/>
        </w:rPr>
      </w:pPr>
      <w:r>
        <w:rPr>
          <w:rFonts w:ascii="Times New Roman" w:hAnsi="Times New Roman"/>
          <w:sz w:val="20"/>
        </w:rPr>
        <w:t xml:space="preserve">Legal and technical fees paid: </w:t>
      </w:r>
      <w:r>
        <w:rPr>
          <w:rFonts w:ascii="Times New Roman" w:hAnsi="Times New Roman"/>
          <w:i/>
          <w:sz w:val="20"/>
        </w:rPr>
        <w:t xml:space="preserve">17,000 </w:t>
      </w:r>
      <w:r>
        <w:rPr>
          <w:rFonts w:ascii="Times New Roman" w:hAnsi="Times New Roman"/>
          <w:sz w:val="20"/>
        </w:rPr>
        <w:t xml:space="preserve">rubles 00 kopecks </w:t>
      </w:r>
    </w:p>
    <w:p>
      <w:pPr>
        <w:pStyle w:val="TextBody"/>
        <w:spacing w:before="240" w:after="0"/>
        <w:rPr>
          <w:rFonts w:ascii="Times New Roman" w:hAnsi="Times New Roman"/>
          <w:sz w:val="20"/>
        </w:rPr>
      </w:pPr>
      <w:r>
        <w:rPr>
          <w:rFonts w:ascii="Times New Roman" w:hAnsi="Times New Roman"/>
          <w:sz w:val="20"/>
        </w:rPr>
        <w:t xml:space="preserve">Certified at the address: 12, Presnenskaya Naberezhnaya, Moscow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468"/>
        <w:gridCol w:w="103"/>
        <w:gridCol w:w="3094"/>
        <w:gridCol w:w="120"/>
        <w:gridCol w:w="2271"/>
        <w:gridCol w:w="120"/>
        <w:gridCol w:w="2029"/>
      </w:tblGrid>
      <w:tr>
        <w:trPr/>
        <w:tc>
          <w:tcPr>
            <w:tcW w:w="2468" w:type="dxa"/>
            <w:tcBorders/>
            <w:shd w:fill="auto" w:val="clear"/>
            <w:vAlign w:val="center"/>
          </w:tcPr>
          <w:p>
            <w:pPr>
              <w:pStyle w:val="TableContents"/>
              <w:spacing w:before="0" w:after="283"/>
              <w:rPr>
                <w:sz w:val="4"/>
                <w:szCs w:val="4"/>
              </w:rPr>
            </w:pPr>
            <w:r>
              <w:rPr>
                <w:sz w:val="4"/>
                <w:szCs w:val="4"/>
              </w:rPr>
            </w:r>
          </w:p>
        </w:tc>
        <w:tc>
          <w:tcPr>
            <w:tcW w:w="103" w:type="dxa"/>
            <w:tcBorders/>
            <w:shd w:fill="auto" w:val="clear"/>
            <w:vAlign w:val="bottom"/>
          </w:tcPr>
          <w:p>
            <w:pPr>
              <w:pStyle w:val="TableContents"/>
              <w:spacing w:before="0" w:after="283"/>
              <w:rPr>
                <w:sz w:val="4"/>
                <w:szCs w:val="4"/>
              </w:rPr>
            </w:pPr>
            <w:r>
              <w:rPr>
                <w:sz w:val="4"/>
                <w:szCs w:val="4"/>
              </w:rPr>
            </w:r>
          </w:p>
        </w:tc>
        <w:tc>
          <w:tcPr>
            <w:tcW w:w="3094"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2271"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2029" w:type="dxa"/>
            <w:tcBorders/>
            <w:shd w:fill="auto" w:val="clear"/>
            <w:vAlign w:val="center"/>
          </w:tcPr>
          <w:p>
            <w:pPr>
              <w:pStyle w:val="TableContents"/>
              <w:spacing w:before="0" w:after="283"/>
              <w:rPr>
                <w:sz w:val="4"/>
                <w:szCs w:val="4"/>
              </w:rPr>
            </w:pPr>
            <w:r>
              <w:rPr>
                <w:sz w:val="4"/>
                <w:szCs w:val="4"/>
              </w:rPr>
            </w:r>
          </w:p>
        </w:tc>
      </w:tr>
      <w:tr>
        <w:trPr/>
        <w:tc>
          <w:tcPr>
            <w:tcW w:w="2468" w:type="dxa"/>
            <w:tcBorders/>
            <w:shd w:fill="auto" w:val="clear"/>
          </w:tcPr>
          <w:p>
            <w:pPr>
              <w:pStyle w:val="TableContents"/>
              <w:spacing w:before="0" w:after="283"/>
              <w:rPr/>
            </w:pPr>
            <w:r>
              <w:rPr/>
              <w:t>L.S.</w:t>
            </w:r>
          </w:p>
        </w:tc>
        <w:tc>
          <w:tcPr>
            <w:tcW w:w="103" w:type="dxa"/>
            <w:tcBorders/>
            <w:shd w:fill="auto" w:val="clear"/>
            <w:vAlign w:val="bottom"/>
          </w:tcPr>
          <w:p>
            <w:pPr>
              <w:pStyle w:val="TableContents"/>
              <w:spacing w:before="0" w:after="283"/>
              <w:rPr/>
            </w:pPr>
            <w:r>
              <w:rPr/>
              <w:t> </w:t>
            </w:r>
          </w:p>
        </w:tc>
        <w:tc>
          <w:tcPr>
            <w:tcW w:w="3094"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2271" w:type="dxa"/>
            <w:tcBorders/>
            <w:shd w:fill="auto" w:val="clear"/>
          </w:tcPr>
          <w:p>
            <w:pPr>
              <w:pStyle w:val="TableContents"/>
              <w:spacing w:before="0" w:after="283"/>
              <w:rPr>
                <w:i/>
              </w:rPr>
            </w:pPr>
            <w:r>
              <w:rPr>
                <w:i/>
              </w:rPr>
              <w:t>/signature/</w:t>
            </w:r>
          </w:p>
        </w:tc>
        <w:tc>
          <w:tcPr>
            <w:tcW w:w="120" w:type="dxa"/>
            <w:tcBorders/>
            <w:shd w:fill="auto" w:val="clear"/>
            <w:vAlign w:val="bottom"/>
          </w:tcPr>
          <w:p>
            <w:pPr>
              <w:pStyle w:val="TableContents"/>
              <w:spacing w:before="0" w:after="283"/>
              <w:rPr/>
            </w:pPr>
            <w:r>
              <w:rPr/>
              <w:t>  </w:t>
            </w:r>
          </w:p>
        </w:tc>
        <w:tc>
          <w:tcPr>
            <w:tcW w:w="2029" w:type="dxa"/>
            <w:tcBorders/>
            <w:shd w:fill="auto" w:val="clear"/>
          </w:tcPr>
          <w:p>
            <w:pPr>
              <w:pStyle w:val="TableContents"/>
              <w:spacing w:before="0" w:after="283"/>
              <w:rPr/>
            </w:pPr>
            <w:r>
              <w:rPr/>
              <w:t>R. V. Ryabov</w:t>
            </w:r>
          </w:p>
        </w:tc>
      </w:tr>
      <w:tr>
        <w:trPr/>
        <w:tc>
          <w:tcPr>
            <w:tcW w:w="2468" w:type="dxa"/>
            <w:tcBorders/>
            <w:shd w:fill="auto" w:val="clear"/>
          </w:tcPr>
          <w:p>
            <w:pPr>
              <w:pStyle w:val="TableContents"/>
              <w:spacing w:before="0" w:after="283"/>
              <w:rPr>
                <w:sz w:val="4"/>
                <w:szCs w:val="4"/>
              </w:rPr>
            </w:pPr>
            <w:r>
              <w:rPr>
                <w:sz w:val="4"/>
                <w:szCs w:val="4"/>
              </w:rPr>
            </w:r>
          </w:p>
        </w:tc>
        <w:tc>
          <w:tcPr>
            <w:tcW w:w="103" w:type="dxa"/>
            <w:tcBorders/>
            <w:shd w:fill="auto" w:val="clear"/>
            <w:vAlign w:val="bottom"/>
          </w:tcPr>
          <w:p>
            <w:pPr>
              <w:pStyle w:val="TableContents"/>
              <w:spacing w:before="0" w:after="283"/>
              <w:rPr/>
            </w:pPr>
            <w:r>
              <w:rPr/>
              <w:t> </w:t>
            </w:r>
          </w:p>
        </w:tc>
        <w:tc>
          <w:tcPr>
            <w:tcW w:w="3094" w:type="dxa"/>
            <w:tcBorders/>
            <w:shd w:fill="auto" w:val="clear"/>
          </w:tcPr>
          <w:p>
            <w:pPr>
              <w:pStyle w:val="TableContents"/>
              <w:spacing w:before="0" w:after="0"/>
              <w:jc w:val="center"/>
              <w:rPr>
                <w:rFonts w:ascii="Times New Roman" w:hAnsi="Times New Roman"/>
                <w:sz w:val="20"/>
              </w:rPr>
            </w:pPr>
            <w:r>
              <w:rPr>
                <w:rFonts w:ascii="Times New Roman" w:hAnsi="Times New Roman"/>
                <w:sz w:val="20"/>
              </w:rPr>
              <w:t>Seal:</w:t>
            </w:r>
          </w:p>
          <w:p>
            <w:pPr>
              <w:pStyle w:val="TableContents"/>
              <w:spacing w:before="0" w:after="0"/>
              <w:jc w:val="center"/>
              <w:rPr>
                <w:rFonts w:ascii="Times New Roman" w:hAnsi="Times New Roman"/>
                <w:sz w:val="20"/>
              </w:rPr>
            </w:pPr>
            <w:r>
              <w:rPr>
                <w:rFonts w:ascii="Times New Roman" w:hAnsi="Times New Roman"/>
                <w:sz w:val="20"/>
              </w:rPr>
              <w:t>[MOSCOW NOTARY R. V. RYABOV</w:t>
            </w:r>
          </w:p>
          <w:p>
            <w:pPr>
              <w:pStyle w:val="TableContents"/>
              <w:spacing w:before="0" w:after="20"/>
              <w:jc w:val="center"/>
              <w:rPr>
                <w:rFonts w:ascii="Times New Roman" w:hAnsi="Times New Roman"/>
                <w:sz w:val="20"/>
              </w:rPr>
            </w:pPr>
            <w:r>
              <w:rPr>
                <w:rFonts w:ascii="Times New Roman" w:hAnsi="Times New Roman"/>
                <w:sz w:val="20"/>
              </w:rPr>
              <w:t>INN (Taxpayer Identification Number) 770305583110]</w:t>
            </w:r>
          </w:p>
        </w:tc>
        <w:tc>
          <w:tcPr>
            <w:tcW w:w="120" w:type="dxa"/>
            <w:tcBorders/>
            <w:shd w:fill="auto" w:val="clear"/>
            <w:vAlign w:val="bottom"/>
          </w:tcPr>
          <w:p>
            <w:pPr>
              <w:pStyle w:val="TableContents"/>
              <w:spacing w:before="0" w:after="283"/>
              <w:rPr/>
            </w:pPr>
            <w:r>
              <w:rPr/>
              <w:t>  </w:t>
            </w:r>
          </w:p>
        </w:tc>
        <w:tc>
          <w:tcPr>
            <w:tcW w:w="2271"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2029"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[MOSCOW NOTARY R. V. RYABOV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w:t>
      </w:r>
    </w:p>
    <w:p>
      <w:pPr>
        <w:pStyle w:val="TextBody"/>
        <w:spacing w:before="0" w:after="0"/>
        <w:jc w:val="center"/>
        <w:rPr>
          <w:rFonts w:ascii="Times New Roman" w:hAnsi="Times New Roman"/>
          <w:sz w:val="20"/>
        </w:rPr>
      </w:pPr>
      <w:r>
        <w:rPr>
          <w:rFonts w:ascii="Times New Roman" w:hAnsi="Times New Roman"/>
          <w:sz w:val="20"/>
        </w:rPr>
        <w:t xml:space="preserve">770305583110] </w:t>
      </w:r>
    </w:p>
    <w:p>
      <w:pPr>
        <w:pStyle w:val="TextBody"/>
        <w:spacing w:before="0" w:after="0"/>
        <w:rPr/>
      </w:pPr>
      <w:r>
        <w:rPr/>
        <w:t> </w:t>
      </w:r>
    </w:p>
    <w:tbl>
      <w:tblPr>
        <w:tblW w:w="2000" w:type="pct"/>
        <w:jc w:val="right"/>
        <w:tblInd w:w="0" w:type="dxa"/>
        <w:tblBorders/>
        <w:tblCellMar>
          <w:top w:w="0" w:type="dxa"/>
          <w:left w:w="0" w:type="dxa"/>
          <w:bottom w:w="0" w:type="dxa"/>
          <w:right w:w="0" w:type="dxa"/>
        </w:tblCellMar>
      </w:tblPr>
      <w:tblGrid>
        <w:gridCol w:w="671"/>
        <w:gridCol w:w="87"/>
        <w:gridCol w:w="3324"/>
      </w:tblGrid>
      <w:tr>
        <w:trPr/>
        <w:tc>
          <w:tcPr>
            <w:tcW w:w="671" w:type="dxa"/>
            <w:tcBorders/>
            <w:shd w:fill="auto" w:val="clear"/>
            <w:vAlign w:val="center"/>
          </w:tcPr>
          <w:p>
            <w:pPr>
              <w:pStyle w:val="TableContents"/>
              <w:spacing w:before="0" w:after="283"/>
              <w:rPr>
                <w:sz w:val="4"/>
                <w:szCs w:val="4"/>
              </w:rPr>
            </w:pPr>
            <w:r>
              <w:rPr>
                <w:sz w:val="4"/>
                <w:szCs w:val="4"/>
              </w:rPr>
            </w:r>
          </w:p>
        </w:tc>
        <w:tc>
          <w:tcPr>
            <w:tcW w:w="87" w:type="dxa"/>
            <w:tcBorders/>
            <w:shd w:fill="auto" w:val="clear"/>
            <w:vAlign w:val="bottom"/>
          </w:tcPr>
          <w:p>
            <w:pPr>
              <w:pStyle w:val="TableContents"/>
              <w:spacing w:before="0" w:after="283"/>
              <w:rPr>
                <w:sz w:val="4"/>
                <w:szCs w:val="4"/>
              </w:rPr>
            </w:pPr>
            <w:r>
              <w:rPr>
                <w:sz w:val="4"/>
                <w:szCs w:val="4"/>
              </w:rPr>
            </w:r>
          </w:p>
        </w:tc>
        <w:tc>
          <w:tcPr>
            <w:tcW w:w="3324"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spacing w:before="0" w:after="283"/>
              <w:rPr/>
            </w:pPr>
            <w:r>
              <w:rPr/>
              <w:t>Stamp:</w:t>
            </w:r>
          </w:p>
        </w:tc>
      </w:tr>
      <w:tr>
        <w:trPr>
          <w:trHeight w:val="120" w:hRule="atLeast"/>
        </w:trPr>
        <w:tc>
          <w:tcPr>
            <w:tcW w:w="4082" w:type="dxa"/>
            <w:gridSpan w:val="3"/>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spacing w:before="0" w:after="283"/>
              <w:rPr/>
            </w:pPr>
            <w:r>
              <w:rPr/>
              <w:t>[Bound, numbered and sealed 26 (twenty-six) sheets]</w:t>
            </w:r>
          </w:p>
        </w:tc>
      </w:tr>
      <w:tr>
        <w:trPr>
          <w:trHeight w:val="120" w:hRule="atLeast"/>
        </w:trPr>
        <w:tc>
          <w:tcPr>
            <w:tcW w:w="671" w:type="dxa"/>
            <w:tcBorders/>
            <w:shd w:fill="auto" w:val="clear"/>
            <w:vAlign w:val="center"/>
          </w:tcPr>
          <w:p>
            <w:pPr>
              <w:pStyle w:val="TableContents"/>
              <w:spacing w:before="0" w:after="283"/>
              <w:rPr>
                <w:sz w:val="4"/>
                <w:szCs w:val="4"/>
              </w:rPr>
            </w:pPr>
            <w:r>
              <w:rPr>
                <w:sz w:val="4"/>
                <w:szCs w:val="4"/>
              </w:rPr>
            </w:r>
          </w:p>
        </w:tc>
        <w:tc>
          <w:tcPr>
            <w:tcW w:w="3411" w:type="dxa"/>
            <w:gridSpan w:val="2"/>
            <w:tcBorders/>
            <w:shd w:fill="auto" w:val="clear"/>
            <w:vAlign w:val="center"/>
          </w:tcPr>
          <w:p>
            <w:pPr>
              <w:pStyle w:val="TableContents"/>
              <w:spacing w:before="0" w:after="283"/>
              <w:rPr>
                <w:sz w:val="4"/>
                <w:szCs w:val="4"/>
              </w:rPr>
            </w:pPr>
            <w:r>
              <w:rPr>
                <w:sz w:val="4"/>
                <w:szCs w:val="4"/>
              </w:rPr>
            </w:r>
          </w:p>
        </w:tc>
      </w:tr>
      <w:tr>
        <w:trPr/>
        <w:tc>
          <w:tcPr>
            <w:tcW w:w="671" w:type="dxa"/>
            <w:tcBorders/>
            <w:shd w:fill="auto" w:val="clear"/>
          </w:tcPr>
          <w:p>
            <w:pPr>
              <w:pStyle w:val="TableContents"/>
              <w:spacing w:before="0" w:after="283"/>
              <w:rPr/>
            </w:pPr>
            <w:r>
              <w:rPr/>
              <w:t>Notary</w:t>
            </w:r>
          </w:p>
        </w:tc>
        <w:tc>
          <w:tcPr>
            <w:tcW w:w="87" w:type="dxa"/>
            <w:tcBorders/>
            <w:shd w:fill="auto" w:val="clear"/>
            <w:vAlign w:val="bottom"/>
          </w:tcPr>
          <w:p>
            <w:pPr>
              <w:pStyle w:val="TableContents"/>
              <w:spacing w:before="0" w:after="283"/>
              <w:rPr/>
            </w:pPr>
            <w:r>
              <w:rPr/>
              <w:t> </w:t>
            </w:r>
          </w:p>
        </w:tc>
        <w:tc>
          <w:tcPr>
            <w:tcW w:w="3324" w:type="dxa"/>
            <w:tcBorders/>
            <w:shd w:fill="auto" w:val="clear"/>
          </w:tcPr>
          <w:p>
            <w:pPr>
              <w:pStyle w:val="TableContents"/>
              <w:spacing w:before="0" w:after="283"/>
              <w:rPr>
                <w:u w:val="single"/>
              </w:rPr>
            </w:pPr>
            <w:r>
              <w:rPr>
                <w:u w:val="single"/>
              </w:rPr>
              <w:t>            </w:t>
            </w:r>
            <w:r>
              <w:rPr>
                <w:u w:val="single"/>
              </w:rPr>
              <w:t>/signature/                 ]</w:t>
            </w:r>
          </w:p>
        </w:tc>
      </w:tr>
    </w:tbl>
    <w:r>
      <w:br w:type="page"/>
    </w:r>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5205"/>
        <w:gridCol w:w="202"/>
        <w:gridCol w:w="4797"/>
      </w:tblGrid>
      <w:tr>
        <w:trPr/>
        <w:tc>
          <w:tcPr>
            <w:tcW w:w="5205"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0"/>
              <w:rPr>
                <w:rFonts w:ascii="Times New Roman" w:hAnsi="Times New Roman"/>
                <w:sz w:val="20"/>
              </w:rPr>
            </w:pPr>
            <w:r>
              <w:rPr>
                <w:rFonts w:ascii="Times New Roman" w:hAnsi="Times New Roman"/>
                <w:sz w:val="20"/>
              </w:rPr>
              <w:t>HERBERT</w:t>
            </w:r>
          </w:p>
          <w:p>
            <w:pPr>
              <w:pStyle w:val="TableContents"/>
              <w:spacing w:before="0" w:after="0"/>
              <w:rPr>
                <w:rFonts w:ascii="Times New Roman" w:hAnsi="Times New Roman"/>
                <w:sz w:val="20"/>
              </w:rPr>
            </w:pPr>
            <w:r>
              <w:rPr>
                <w:rFonts w:ascii="Times New Roman" w:hAnsi="Times New Roman"/>
                <w:sz w:val="20"/>
              </w:rPr>
              <w:t>SMITH</w:t>
            </w:r>
          </w:p>
          <w:p>
            <w:pPr>
              <w:pStyle w:val="TableContents"/>
              <w:spacing w:before="0" w:after="20"/>
              <w:rPr>
                <w:rFonts w:ascii="Times New Roman" w:hAnsi="Times New Roman"/>
                <w:sz w:val="20"/>
              </w:rPr>
            </w:pPr>
            <w:r>
              <w:rPr>
                <w:rFonts w:ascii="Times New Roman" w:hAnsi="Times New Roman"/>
                <w:sz w:val="20"/>
              </w:rPr>
              <w:t>FREEHILLS</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jc w:val="right"/>
              <w:rPr>
                <w:b/>
              </w:rPr>
            </w:pPr>
            <w:r>
              <w:rPr>
                <w:b/>
              </w:rPr>
              <w:t>EXECUTION COPY</w:t>
            </w:r>
          </w:p>
        </w:tc>
      </w:tr>
    </w:tbl>
    <w:p>
      <w:pPr>
        <w:pStyle w:val="TextBody"/>
        <w:spacing w:before="480" w:after="0"/>
        <w:jc w:val="center"/>
        <w:rPr>
          <w:rFonts w:ascii="Times New Roman" w:hAnsi="Times New Roman"/>
          <w:b/>
          <w:sz w:val="20"/>
        </w:rPr>
      </w:pPr>
      <w:r>
        <w:rPr>
          <w:rFonts w:ascii="Times New Roman" w:hAnsi="Times New Roman"/>
          <w:b/>
          <w:sz w:val="20"/>
        </w:rPr>
        <w:t xml:space="preserve">October </w:t>
      </w:r>
      <w:r>
        <w:rPr>
          <w:rFonts w:ascii="Times New Roman" w:hAnsi="Times New Roman"/>
          <w:b/>
          <w:sz w:val="20"/>
          <w:u w:val="single"/>
        </w:rPr>
        <w:t>5</w:t>
      </w:r>
      <w:r>
        <w:rPr>
          <w:rFonts w:ascii="Times New Roman" w:hAnsi="Times New Roman"/>
          <w:b/>
          <w:sz w:val="20"/>
        </w:rPr>
        <w:t xml:space="preserve">, 2017 </w:t>
      </w:r>
    </w:p>
    <w:p>
      <w:pPr>
        <w:pStyle w:val="TextBody"/>
        <w:spacing w:before="240" w:after="0"/>
        <w:jc w:val="center"/>
        <w:rPr>
          <w:rFonts w:ascii="Times New Roman" w:hAnsi="Times New Roman"/>
          <w:b/>
          <w:sz w:val="20"/>
        </w:rPr>
      </w:pPr>
      <w:r>
        <w:rPr>
          <w:rFonts w:ascii="Times New Roman" w:hAnsi="Times New Roman"/>
          <w:b/>
          <w:sz w:val="20"/>
        </w:rPr>
        <w:t xml:space="preserve">HEADHUNTER FSU LIMITED </w:t>
      </w:r>
    </w:p>
    <w:p>
      <w:pPr>
        <w:pStyle w:val="TextBody"/>
        <w:spacing w:before="240" w:after="0"/>
        <w:jc w:val="center"/>
        <w:rPr>
          <w:rFonts w:ascii="Times New Roman" w:hAnsi="Times New Roman"/>
          <w:sz w:val="20"/>
        </w:rPr>
      </w:pPr>
      <w:r>
        <w:rPr>
          <w:rFonts w:ascii="Times New Roman" w:hAnsi="Times New Roman"/>
          <w:sz w:val="20"/>
        </w:rPr>
        <w:t xml:space="preserve">as a guarantor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0" w:after="0"/>
        <w:jc w:val="center"/>
        <w:rPr>
          <w:rFonts w:ascii="Times New Roman" w:hAnsi="Times New Roman"/>
          <w:sz w:val="20"/>
        </w:rPr>
      </w:pPr>
      <w:r>
        <w:rPr>
          <w:rFonts w:ascii="Times New Roman" w:hAnsi="Times New Roman"/>
          <w:sz w:val="20"/>
        </w:rPr>
        <w:t xml:space="preserve">as a principal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jc w:val="center"/>
        <w:rPr>
          <w:rFonts w:ascii="Times New Roman" w:hAnsi="Times New Roman"/>
          <w:sz w:val="20"/>
        </w:rPr>
      </w:pPr>
      <w:r>
        <w:rPr>
          <w:rFonts w:ascii="Times New Roman" w:hAnsi="Times New Roman"/>
          <w:sz w:val="20"/>
        </w:rPr>
        <w:t xml:space="preserve">as a beneficiary under this Agreement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120" w:after="0"/>
        <w:jc w:val="center"/>
        <w:rPr>
          <w:rFonts w:ascii="Times New Roman" w:hAnsi="Times New Roman"/>
          <w:b/>
          <w:sz w:val="20"/>
        </w:rPr>
      </w:pPr>
      <w:r>
        <w:rPr>
          <w:rFonts w:ascii="Times New Roman" w:hAnsi="Times New Roman"/>
          <w:b/>
          <w:sz w:val="20"/>
        </w:rPr>
        <w:t xml:space="preserve">AMENDMENT AGREEMENT No. 1 </w:t>
      </w:r>
    </w:p>
    <w:p>
      <w:pPr>
        <w:pStyle w:val="TextBody"/>
        <w:spacing w:before="240" w:after="0"/>
        <w:jc w:val="center"/>
        <w:rPr>
          <w:rFonts w:ascii="Times New Roman" w:hAnsi="Times New Roman"/>
          <w:b/>
          <w:sz w:val="20"/>
        </w:rPr>
      </w:pPr>
      <w:r>
        <w:rPr>
          <w:rFonts w:ascii="Times New Roman" w:hAnsi="Times New Roman"/>
          <w:b/>
          <w:sz w:val="20"/>
        </w:rPr>
        <w:t xml:space="preserve">to the Independent Guarantee Issue Agreement dated June 1,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12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68"/>
        <w:gridCol w:w="126"/>
        <w:gridCol w:w="9482"/>
        <w:gridCol w:w="166"/>
        <w:gridCol w:w="263"/>
      </w:tblGrid>
      <w:tr>
        <w:trPr/>
        <w:tc>
          <w:tcPr>
            <w:tcW w:w="168" w:type="dxa"/>
            <w:tcBorders/>
            <w:shd w:fill="auto" w:val="clear"/>
            <w:vAlign w:val="center"/>
          </w:tcPr>
          <w:p>
            <w:pPr>
              <w:pStyle w:val="TableContents"/>
              <w:spacing w:before="0" w:after="283"/>
              <w:rPr>
                <w:sz w:val="4"/>
                <w:szCs w:val="4"/>
              </w:rPr>
            </w:pPr>
            <w:r>
              <w:rPr>
                <w:sz w:val="4"/>
                <w:szCs w:val="4"/>
              </w:rPr>
            </w:r>
          </w:p>
        </w:tc>
        <w:tc>
          <w:tcPr>
            <w:tcW w:w="126" w:type="dxa"/>
            <w:tcBorders/>
            <w:shd w:fill="auto" w:val="clear"/>
            <w:vAlign w:val="bottom"/>
          </w:tcPr>
          <w:p>
            <w:pPr>
              <w:pStyle w:val="TableContents"/>
              <w:spacing w:before="0" w:after="283"/>
              <w:rPr>
                <w:sz w:val="4"/>
                <w:szCs w:val="4"/>
              </w:rPr>
            </w:pPr>
            <w:r>
              <w:rPr>
                <w:sz w:val="4"/>
                <w:szCs w:val="4"/>
              </w:rPr>
            </w:r>
          </w:p>
        </w:tc>
        <w:tc>
          <w:tcPr>
            <w:tcW w:w="9482" w:type="dxa"/>
            <w:tcBorders/>
            <w:shd w:fill="auto" w:val="clear"/>
            <w:vAlign w:val="center"/>
          </w:tcPr>
          <w:p>
            <w:pPr>
              <w:pStyle w:val="TableContents"/>
              <w:spacing w:before="0" w:after="283"/>
              <w:rPr>
                <w:sz w:val="4"/>
                <w:szCs w:val="4"/>
              </w:rPr>
            </w:pPr>
            <w:r>
              <w:rPr>
                <w:sz w:val="4"/>
                <w:szCs w:val="4"/>
              </w:rPr>
            </w:r>
          </w:p>
        </w:tc>
        <w:tc>
          <w:tcPr>
            <w:tcW w:w="166" w:type="dxa"/>
            <w:tcBorders/>
            <w:shd w:fill="auto" w:val="clear"/>
            <w:vAlign w:val="bottom"/>
          </w:tcPr>
          <w:p>
            <w:pPr>
              <w:pStyle w:val="TableContents"/>
              <w:spacing w:before="0" w:after="283"/>
              <w:rPr>
                <w:sz w:val="4"/>
                <w:szCs w:val="4"/>
              </w:rPr>
            </w:pPr>
            <w:r>
              <w:rPr>
                <w:sz w:val="4"/>
                <w:szCs w:val="4"/>
              </w:rPr>
            </w:r>
          </w:p>
        </w:tc>
        <w:tc>
          <w:tcPr>
            <w:tcW w:w="263" w:type="dxa"/>
            <w:tcBorders/>
            <w:shd w:fill="auto" w:val="clear"/>
            <w:vAlign w:val="center"/>
          </w:tcPr>
          <w:p>
            <w:pPr>
              <w:pStyle w:val="TableContents"/>
              <w:spacing w:before="0" w:after="283"/>
              <w:rPr>
                <w:sz w:val="4"/>
                <w:szCs w:val="4"/>
              </w:rPr>
            </w:pPr>
            <w:r>
              <w:rPr>
                <w:sz w:val="4"/>
                <w:szCs w:val="4"/>
              </w:rPr>
            </w:r>
          </w:p>
        </w:tc>
      </w:tr>
      <w:tr>
        <w:trPr/>
        <w:tc>
          <w:tcPr>
            <w:tcW w:w="168" w:type="dxa"/>
            <w:tcBorders/>
            <w:shd w:fill="auto" w:val="clear"/>
          </w:tcPr>
          <w:p>
            <w:pPr>
              <w:pStyle w:val="TableContents"/>
              <w:spacing w:before="0" w:after="0"/>
              <w:rPr>
                <w:rFonts w:ascii="Times New Roman" w:hAnsi="Times New Roman"/>
                <w:b/>
                <w:sz w:val="20"/>
              </w:rPr>
            </w:pPr>
            <w:r>
              <w:rPr>
                <w:rFonts w:ascii="Times New Roman" w:hAnsi="Times New Roman"/>
                <w:b/>
                <w:sz w:val="20"/>
              </w:rPr>
              <w:t>1.</w:t>
            </w:r>
          </w:p>
        </w:tc>
        <w:tc>
          <w:tcPr>
            <w:tcW w:w="126" w:type="dxa"/>
            <w:tcBorders/>
            <w:shd w:fill="auto" w:val="clear"/>
            <w:vAlign w:val="bottom"/>
          </w:tcPr>
          <w:p>
            <w:pPr>
              <w:pStyle w:val="TableContents"/>
              <w:spacing w:before="0" w:after="283"/>
              <w:rPr/>
            </w:pPr>
            <w:r>
              <w:rPr/>
              <w:t> </w:t>
            </w:r>
          </w:p>
        </w:tc>
        <w:tc>
          <w:tcPr>
            <w:tcW w:w="9482"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DEFINITIONS</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53</w:t>
            </w:r>
          </w:p>
        </w:tc>
      </w:tr>
      <w:tr>
        <w:trPr>
          <w:trHeight w:val="120" w:hRule="atLeast"/>
        </w:trPr>
        <w:tc>
          <w:tcPr>
            <w:tcW w:w="168" w:type="dxa"/>
            <w:tcBorders/>
            <w:shd w:fill="auto" w:val="clear"/>
            <w:vAlign w:val="center"/>
          </w:tcPr>
          <w:p>
            <w:pPr>
              <w:pStyle w:val="TableContents"/>
              <w:spacing w:before="0" w:after="283"/>
              <w:rPr>
                <w:sz w:val="4"/>
                <w:szCs w:val="4"/>
              </w:rPr>
            </w:pPr>
            <w:r>
              <w:rPr>
                <w:sz w:val="4"/>
                <w:szCs w:val="4"/>
              </w:rPr>
            </w:r>
          </w:p>
        </w:tc>
        <w:tc>
          <w:tcPr>
            <w:tcW w:w="9608" w:type="dxa"/>
            <w:gridSpan w:val="2"/>
            <w:tcBorders/>
            <w:shd w:fill="auto" w:val="clear"/>
            <w:vAlign w:val="center"/>
          </w:tcPr>
          <w:p>
            <w:pPr>
              <w:pStyle w:val="TableContents"/>
              <w:spacing w:before="0" w:after="283"/>
              <w:rPr>
                <w:sz w:val="4"/>
                <w:szCs w:val="4"/>
              </w:rPr>
            </w:pPr>
            <w:r>
              <w:rPr>
                <w:sz w:val="4"/>
                <w:szCs w:val="4"/>
              </w:rPr>
            </w:r>
          </w:p>
        </w:tc>
        <w:tc>
          <w:tcPr>
            <w:tcW w:w="429" w:type="dxa"/>
            <w:gridSpan w:val="2"/>
            <w:tcBorders/>
            <w:shd w:fill="auto" w:val="clear"/>
            <w:vAlign w:val="center"/>
          </w:tcPr>
          <w:p>
            <w:pPr>
              <w:pStyle w:val="TableContents"/>
              <w:spacing w:before="0" w:after="283"/>
              <w:rPr>
                <w:sz w:val="4"/>
                <w:szCs w:val="4"/>
              </w:rPr>
            </w:pPr>
            <w:r>
              <w:rPr>
                <w:sz w:val="4"/>
                <w:szCs w:val="4"/>
              </w:rPr>
            </w:r>
          </w:p>
        </w:tc>
      </w:tr>
      <w:tr>
        <w:trPr/>
        <w:tc>
          <w:tcPr>
            <w:tcW w:w="168" w:type="dxa"/>
            <w:tcBorders/>
            <w:shd w:fill="auto" w:val="clear"/>
          </w:tcPr>
          <w:p>
            <w:pPr>
              <w:pStyle w:val="TableContents"/>
              <w:spacing w:before="0" w:after="0"/>
              <w:rPr>
                <w:rFonts w:ascii="Times New Roman" w:hAnsi="Times New Roman"/>
                <w:b/>
                <w:sz w:val="20"/>
              </w:rPr>
            </w:pPr>
            <w:r>
              <w:rPr>
                <w:rFonts w:ascii="Times New Roman" w:hAnsi="Times New Roman"/>
                <w:b/>
                <w:sz w:val="20"/>
              </w:rPr>
              <w:t>2.</w:t>
            </w:r>
          </w:p>
        </w:tc>
        <w:tc>
          <w:tcPr>
            <w:tcW w:w="126" w:type="dxa"/>
            <w:tcBorders/>
            <w:shd w:fill="auto" w:val="clear"/>
            <w:vAlign w:val="bottom"/>
          </w:tcPr>
          <w:p>
            <w:pPr>
              <w:pStyle w:val="TableContents"/>
              <w:spacing w:before="0" w:after="283"/>
              <w:rPr/>
            </w:pPr>
            <w:r>
              <w:rPr/>
              <w:t> </w:t>
            </w:r>
          </w:p>
        </w:tc>
        <w:tc>
          <w:tcPr>
            <w:tcW w:w="9482"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AMENDMENTS</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54</w:t>
            </w:r>
          </w:p>
        </w:tc>
      </w:tr>
      <w:tr>
        <w:trPr>
          <w:trHeight w:val="120" w:hRule="atLeast"/>
        </w:trPr>
        <w:tc>
          <w:tcPr>
            <w:tcW w:w="168" w:type="dxa"/>
            <w:tcBorders/>
            <w:shd w:fill="auto" w:val="clear"/>
            <w:vAlign w:val="center"/>
          </w:tcPr>
          <w:p>
            <w:pPr>
              <w:pStyle w:val="TableContents"/>
              <w:spacing w:before="0" w:after="283"/>
              <w:rPr>
                <w:sz w:val="4"/>
                <w:szCs w:val="4"/>
              </w:rPr>
            </w:pPr>
            <w:r>
              <w:rPr>
                <w:sz w:val="4"/>
                <w:szCs w:val="4"/>
              </w:rPr>
            </w:r>
          </w:p>
        </w:tc>
        <w:tc>
          <w:tcPr>
            <w:tcW w:w="9608" w:type="dxa"/>
            <w:gridSpan w:val="2"/>
            <w:tcBorders/>
            <w:shd w:fill="auto" w:val="clear"/>
            <w:vAlign w:val="center"/>
          </w:tcPr>
          <w:p>
            <w:pPr>
              <w:pStyle w:val="TableContents"/>
              <w:spacing w:before="0" w:after="283"/>
              <w:rPr>
                <w:sz w:val="4"/>
                <w:szCs w:val="4"/>
              </w:rPr>
            </w:pPr>
            <w:r>
              <w:rPr>
                <w:sz w:val="4"/>
                <w:szCs w:val="4"/>
              </w:rPr>
            </w:r>
          </w:p>
        </w:tc>
        <w:tc>
          <w:tcPr>
            <w:tcW w:w="429" w:type="dxa"/>
            <w:gridSpan w:val="2"/>
            <w:tcBorders/>
            <w:shd w:fill="auto" w:val="clear"/>
            <w:vAlign w:val="center"/>
          </w:tcPr>
          <w:p>
            <w:pPr>
              <w:pStyle w:val="TableContents"/>
              <w:spacing w:before="0" w:after="283"/>
              <w:rPr>
                <w:sz w:val="4"/>
                <w:szCs w:val="4"/>
              </w:rPr>
            </w:pPr>
            <w:r>
              <w:rPr>
                <w:sz w:val="4"/>
                <w:szCs w:val="4"/>
              </w:rPr>
            </w:r>
          </w:p>
        </w:tc>
      </w:tr>
      <w:tr>
        <w:trPr/>
        <w:tc>
          <w:tcPr>
            <w:tcW w:w="168" w:type="dxa"/>
            <w:tcBorders/>
            <w:shd w:fill="auto" w:val="clear"/>
          </w:tcPr>
          <w:p>
            <w:pPr>
              <w:pStyle w:val="TableContents"/>
              <w:spacing w:before="0" w:after="0"/>
              <w:rPr>
                <w:rFonts w:ascii="Times New Roman" w:hAnsi="Times New Roman"/>
                <w:b/>
                <w:sz w:val="20"/>
              </w:rPr>
            </w:pPr>
            <w:r>
              <w:rPr>
                <w:rFonts w:ascii="Times New Roman" w:hAnsi="Times New Roman"/>
                <w:b/>
                <w:sz w:val="20"/>
              </w:rPr>
              <w:t>3.</w:t>
            </w:r>
          </w:p>
        </w:tc>
        <w:tc>
          <w:tcPr>
            <w:tcW w:w="126" w:type="dxa"/>
            <w:tcBorders/>
            <w:shd w:fill="auto" w:val="clear"/>
            <w:vAlign w:val="bottom"/>
          </w:tcPr>
          <w:p>
            <w:pPr>
              <w:pStyle w:val="TableContents"/>
              <w:spacing w:before="0" w:after="283"/>
              <w:rPr/>
            </w:pPr>
            <w:r>
              <w:rPr/>
              <w:t> </w:t>
            </w:r>
          </w:p>
        </w:tc>
        <w:tc>
          <w:tcPr>
            <w:tcW w:w="9482"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LIMITATIONS</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54</w:t>
            </w:r>
          </w:p>
        </w:tc>
      </w:tr>
      <w:tr>
        <w:trPr>
          <w:trHeight w:val="120" w:hRule="atLeast"/>
        </w:trPr>
        <w:tc>
          <w:tcPr>
            <w:tcW w:w="168" w:type="dxa"/>
            <w:tcBorders/>
            <w:shd w:fill="auto" w:val="clear"/>
            <w:vAlign w:val="center"/>
          </w:tcPr>
          <w:p>
            <w:pPr>
              <w:pStyle w:val="TableContents"/>
              <w:spacing w:before="0" w:after="283"/>
              <w:rPr>
                <w:sz w:val="4"/>
                <w:szCs w:val="4"/>
              </w:rPr>
            </w:pPr>
            <w:r>
              <w:rPr>
                <w:sz w:val="4"/>
                <w:szCs w:val="4"/>
              </w:rPr>
            </w:r>
          </w:p>
        </w:tc>
        <w:tc>
          <w:tcPr>
            <w:tcW w:w="9608" w:type="dxa"/>
            <w:gridSpan w:val="2"/>
            <w:tcBorders/>
            <w:shd w:fill="auto" w:val="clear"/>
            <w:vAlign w:val="center"/>
          </w:tcPr>
          <w:p>
            <w:pPr>
              <w:pStyle w:val="TableContents"/>
              <w:spacing w:before="0" w:after="283"/>
              <w:rPr>
                <w:sz w:val="4"/>
                <w:szCs w:val="4"/>
              </w:rPr>
            </w:pPr>
            <w:r>
              <w:rPr>
                <w:sz w:val="4"/>
                <w:szCs w:val="4"/>
              </w:rPr>
            </w:r>
          </w:p>
        </w:tc>
        <w:tc>
          <w:tcPr>
            <w:tcW w:w="429" w:type="dxa"/>
            <w:gridSpan w:val="2"/>
            <w:tcBorders/>
            <w:shd w:fill="auto" w:val="clear"/>
            <w:vAlign w:val="center"/>
          </w:tcPr>
          <w:p>
            <w:pPr>
              <w:pStyle w:val="TableContents"/>
              <w:spacing w:before="0" w:after="283"/>
              <w:rPr>
                <w:sz w:val="4"/>
                <w:szCs w:val="4"/>
              </w:rPr>
            </w:pPr>
            <w:r>
              <w:rPr>
                <w:sz w:val="4"/>
                <w:szCs w:val="4"/>
              </w:rPr>
            </w:r>
          </w:p>
        </w:tc>
      </w:tr>
      <w:tr>
        <w:trPr/>
        <w:tc>
          <w:tcPr>
            <w:tcW w:w="168" w:type="dxa"/>
            <w:tcBorders/>
            <w:shd w:fill="auto" w:val="clear"/>
          </w:tcPr>
          <w:p>
            <w:pPr>
              <w:pStyle w:val="TableContents"/>
              <w:spacing w:before="0" w:after="0"/>
              <w:rPr>
                <w:rFonts w:ascii="Times New Roman" w:hAnsi="Times New Roman"/>
                <w:b/>
                <w:sz w:val="20"/>
              </w:rPr>
            </w:pPr>
            <w:r>
              <w:rPr>
                <w:rFonts w:ascii="Times New Roman" w:hAnsi="Times New Roman"/>
                <w:b/>
                <w:sz w:val="20"/>
              </w:rPr>
              <w:t>4.</w:t>
            </w:r>
          </w:p>
        </w:tc>
        <w:tc>
          <w:tcPr>
            <w:tcW w:w="126" w:type="dxa"/>
            <w:tcBorders/>
            <w:shd w:fill="auto" w:val="clear"/>
            <w:vAlign w:val="bottom"/>
          </w:tcPr>
          <w:p>
            <w:pPr>
              <w:pStyle w:val="TableContents"/>
              <w:spacing w:before="0" w:after="283"/>
              <w:rPr/>
            </w:pPr>
            <w:r>
              <w:rPr/>
              <w:t> </w:t>
            </w:r>
          </w:p>
        </w:tc>
        <w:tc>
          <w:tcPr>
            <w:tcW w:w="9482"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REPRESENTATIONS</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55</w:t>
            </w:r>
          </w:p>
        </w:tc>
      </w:tr>
      <w:tr>
        <w:trPr>
          <w:trHeight w:val="120" w:hRule="atLeast"/>
        </w:trPr>
        <w:tc>
          <w:tcPr>
            <w:tcW w:w="168" w:type="dxa"/>
            <w:tcBorders/>
            <w:shd w:fill="auto" w:val="clear"/>
            <w:vAlign w:val="center"/>
          </w:tcPr>
          <w:p>
            <w:pPr>
              <w:pStyle w:val="TableContents"/>
              <w:spacing w:before="0" w:after="283"/>
              <w:rPr>
                <w:sz w:val="4"/>
                <w:szCs w:val="4"/>
              </w:rPr>
            </w:pPr>
            <w:r>
              <w:rPr>
                <w:sz w:val="4"/>
                <w:szCs w:val="4"/>
              </w:rPr>
            </w:r>
          </w:p>
        </w:tc>
        <w:tc>
          <w:tcPr>
            <w:tcW w:w="9608" w:type="dxa"/>
            <w:gridSpan w:val="2"/>
            <w:tcBorders/>
            <w:shd w:fill="auto" w:val="clear"/>
            <w:vAlign w:val="center"/>
          </w:tcPr>
          <w:p>
            <w:pPr>
              <w:pStyle w:val="TableContents"/>
              <w:spacing w:before="0" w:after="283"/>
              <w:rPr>
                <w:sz w:val="4"/>
                <w:szCs w:val="4"/>
              </w:rPr>
            </w:pPr>
            <w:r>
              <w:rPr>
                <w:sz w:val="4"/>
                <w:szCs w:val="4"/>
              </w:rPr>
            </w:r>
          </w:p>
        </w:tc>
        <w:tc>
          <w:tcPr>
            <w:tcW w:w="429" w:type="dxa"/>
            <w:gridSpan w:val="2"/>
            <w:tcBorders/>
            <w:shd w:fill="auto" w:val="clear"/>
            <w:vAlign w:val="center"/>
          </w:tcPr>
          <w:p>
            <w:pPr>
              <w:pStyle w:val="TableContents"/>
              <w:spacing w:before="0" w:after="283"/>
              <w:rPr>
                <w:sz w:val="4"/>
                <w:szCs w:val="4"/>
              </w:rPr>
            </w:pPr>
            <w:r>
              <w:rPr>
                <w:sz w:val="4"/>
                <w:szCs w:val="4"/>
              </w:rPr>
            </w:r>
          </w:p>
        </w:tc>
      </w:tr>
      <w:tr>
        <w:trPr/>
        <w:tc>
          <w:tcPr>
            <w:tcW w:w="168" w:type="dxa"/>
            <w:tcBorders/>
            <w:shd w:fill="auto" w:val="clear"/>
          </w:tcPr>
          <w:p>
            <w:pPr>
              <w:pStyle w:val="TableContents"/>
              <w:spacing w:before="0" w:after="0"/>
              <w:rPr>
                <w:rFonts w:ascii="Times New Roman" w:hAnsi="Times New Roman"/>
                <w:b/>
                <w:sz w:val="20"/>
              </w:rPr>
            </w:pPr>
            <w:r>
              <w:rPr>
                <w:rFonts w:ascii="Times New Roman" w:hAnsi="Times New Roman"/>
                <w:b/>
                <w:sz w:val="20"/>
              </w:rPr>
              <w:t>5.</w:t>
            </w:r>
          </w:p>
        </w:tc>
        <w:tc>
          <w:tcPr>
            <w:tcW w:w="126" w:type="dxa"/>
            <w:tcBorders/>
            <w:shd w:fill="auto" w:val="clear"/>
            <w:vAlign w:val="bottom"/>
          </w:tcPr>
          <w:p>
            <w:pPr>
              <w:pStyle w:val="TableContents"/>
              <w:spacing w:before="0" w:after="283"/>
              <w:rPr/>
            </w:pPr>
            <w:r>
              <w:rPr/>
              <w:t> </w:t>
            </w:r>
          </w:p>
        </w:tc>
        <w:tc>
          <w:tcPr>
            <w:tcW w:w="9482"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APPLICABLE LAW</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55</w:t>
            </w:r>
          </w:p>
        </w:tc>
      </w:tr>
      <w:tr>
        <w:trPr>
          <w:trHeight w:val="120" w:hRule="atLeast"/>
        </w:trPr>
        <w:tc>
          <w:tcPr>
            <w:tcW w:w="168" w:type="dxa"/>
            <w:tcBorders/>
            <w:shd w:fill="auto" w:val="clear"/>
            <w:vAlign w:val="center"/>
          </w:tcPr>
          <w:p>
            <w:pPr>
              <w:pStyle w:val="TableContents"/>
              <w:spacing w:before="0" w:after="283"/>
              <w:rPr>
                <w:sz w:val="4"/>
                <w:szCs w:val="4"/>
              </w:rPr>
            </w:pPr>
            <w:r>
              <w:rPr>
                <w:sz w:val="4"/>
                <w:szCs w:val="4"/>
              </w:rPr>
            </w:r>
          </w:p>
        </w:tc>
        <w:tc>
          <w:tcPr>
            <w:tcW w:w="9608" w:type="dxa"/>
            <w:gridSpan w:val="2"/>
            <w:tcBorders/>
            <w:shd w:fill="auto" w:val="clear"/>
            <w:vAlign w:val="center"/>
          </w:tcPr>
          <w:p>
            <w:pPr>
              <w:pStyle w:val="TableContents"/>
              <w:spacing w:before="0" w:after="283"/>
              <w:rPr>
                <w:sz w:val="4"/>
                <w:szCs w:val="4"/>
              </w:rPr>
            </w:pPr>
            <w:r>
              <w:rPr>
                <w:sz w:val="4"/>
                <w:szCs w:val="4"/>
              </w:rPr>
            </w:r>
          </w:p>
        </w:tc>
        <w:tc>
          <w:tcPr>
            <w:tcW w:w="429" w:type="dxa"/>
            <w:gridSpan w:val="2"/>
            <w:tcBorders/>
            <w:shd w:fill="auto" w:val="clear"/>
            <w:vAlign w:val="center"/>
          </w:tcPr>
          <w:p>
            <w:pPr>
              <w:pStyle w:val="TableContents"/>
              <w:spacing w:before="0" w:after="283"/>
              <w:rPr>
                <w:sz w:val="4"/>
                <w:szCs w:val="4"/>
              </w:rPr>
            </w:pPr>
            <w:r>
              <w:rPr>
                <w:sz w:val="4"/>
                <w:szCs w:val="4"/>
              </w:rPr>
            </w:r>
          </w:p>
        </w:tc>
      </w:tr>
      <w:tr>
        <w:trPr/>
        <w:tc>
          <w:tcPr>
            <w:tcW w:w="168" w:type="dxa"/>
            <w:tcBorders/>
            <w:shd w:fill="auto" w:val="clear"/>
          </w:tcPr>
          <w:p>
            <w:pPr>
              <w:pStyle w:val="TableContents"/>
              <w:spacing w:before="0" w:after="0"/>
              <w:rPr>
                <w:rFonts w:ascii="Times New Roman" w:hAnsi="Times New Roman"/>
                <w:b/>
                <w:sz w:val="20"/>
              </w:rPr>
            </w:pPr>
            <w:r>
              <w:rPr>
                <w:rFonts w:ascii="Times New Roman" w:hAnsi="Times New Roman"/>
                <w:b/>
                <w:sz w:val="20"/>
              </w:rPr>
              <w:t>6.</w:t>
            </w:r>
          </w:p>
        </w:tc>
        <w:tc>
          <w:tcPr>
            <w:tcW w:w="126" w:type="dxa"/>
            <w:tcBorders/>
            <w:shd w:fill="auto" w:val="clear"/>
            <w:vAlign w:val="bottom"/>
          </w:tcPr>
          <w:p>
            <w:pPr>
              <w:pStyle w:val="TableContents"/>
              <w:spacing w:before="0" w:after="283"/>
              <w:rPr/>
            </w:pPr>
            <w:r>
              <w:rPr/>
              <w:t> </w:t>
            </w:r>
          </w:p>
        </w:tc>
        <w:tc>
          <w:tcPr>
            <w:tcW w:w="9482"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DISPUTE SETTLEMENT</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55</w:t>
            </w:r>
          </w:p>
        </w:tc>
      </w:tr>
      <w:tr>
        <w:trPr>
          <w:trHeight w:val="120" w:hRule="atLeast"/>
        </w:trPr>
        <w:tc>
          <w:tcPr>
            <w:tcW w:w="168" w:type="dxa"/>
            <w:tcBorders/>
            <w:shd w:fill="auto" w:val="clear"/>
            <w:vAlign w:val="center"/>
          </w:tcPr>
          <w:p>
            <w:pPr>
              <w:pStyle w:val="TableContents"/>
              <w:spacing w:before="0" w:after="283"/>
              <w:rPr>
                <w:sz w:val="4"/>
                <w:szCs w:val="4"/>
              </w:rPr>
            </w:pPr>
            <w:r>
              <w:rPr>
                <w:sz w:val="4"/>
                <w:szCs w:val="4"/>
              </w:rPr>
            </w:r>
          </w:p>
        </w:tc>
        <w:tc>
          <w:tcPr>
            <w:tcW w:w="9608" w:type="dxa"/>
            <w:gridSpan w:val="2"/>
            <w:tcBorders/>
            <w:shd w:fill="auto" w:val="clear"/>
            <w:vAlign w:val="center"/>
          </w:tcPr>
          <w:p>
            <w:pPr>
              <w:pStyle w:val="TableContents"/>
              <w:spacing w:before="0" w:after="283"/>
              <w:rPr>
                <w:sz w:val="4"/>
                <w:szCs w:val="4"/>
              </w:rPr>
            </w:pPr>
            <w:r>
              <w:rPr>
                <w:sz w:val="4"/>
                <w:szCs w:val="4"/>
              </w:rPr>
            </w:r>
          </w:p>
        </w:tc>
        <w:tc>
          <w:tcPr>
            <w:tcW w:w="429" w:type="dxa"/>
            <w:gridSpan w:val="2"/>
            <w:tcBorders/>
            <w:shd w:fill="auto" w:val="clear"/>
            <w:vAlign w:val="center"/>
          </w:tcPr>
          <w:p>
            <w:pPr>
              <w:pStyle w:val="TableContents"/>
              <w:spacing w:before="0" w:after="283"/>
              <w:rPr>
                <w:sz w:val="4"/>
                <w:szCs w:val="4"/>
              </w:rPr>
            </w:pPr>
            <w:r>
              <w:rPr>
                <w:sz w:val="4"/>
                <w:szCs w:val="4"/>
              </w:rPr>
            </w:r>
          </w:p>
        </w:tc>
      </w:tr>
      <w:tr>
        <w:trPr/>
        <w:tc>
          <w:tcPr>
            <w:tcW w:w="168" w:type="dxa"/>
            <w:tcBorders/>
            <w:shd w:fill="auto" w:val="clear"/>
          </w:tcPr>
          <w:p>
            <w:pPr>
              <w:pStyle w:val="TableContents"/>
              <w:spacing w:before="0" w:after="0"/>
              <w:rPr>
                <w:rFonts w:ascii="Times New Roman" w:hAnsi="Times New Roman"/>
                <w:b/>
                <w:sz w:val="20"/>
              </w:rPr>
            </w:pPr>
            <w:r>
              <w:rPr>
                <w:rFonts w:ascii="Times New Roman" w:hAnsi="Times New Roman"/>
                <w:b/>
                <w:sz w:val="20"/>
              </w:rPr>
              <w:t>7.</w:t>
            </w:r>
          </w:p>
        </w:tc>
        <w:tc>
          <w:tcPr>
            <w:tcW w:w="126" w:type="dxa"/>
            <w:tcBorders/>
            <w:shd w:fill="auto" w:val="clear"/>
            <w:vAlign w:val="bottom"/>
          </w:tcPr>
          <w:p>
            <w:pPr>
              <w:pStyle w:val="TableContents"/>
              <w:spacing w:before="0" w:after="283"/>
              <w:rPr/>
            </w:pPr>
            <w:r>
              <w:rPr/>
              <w:t> </w:t>
            </w:r>
          </w:p>
        </w:tc>
        <w:tc>
          <w:tcPr>
            <w:tcW w:w="9482"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EXECUTION</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55</w:t>
            </w:r>
          </w:p>
        </w:tc>
      </w:tr>
      <w:tr>
        <w:trPr>
          <w:trHeight w:val="120" w:hRule="atLeast"/>
        </w:trPr>
        <w:tc>
          <w:tcPr>
            <w:tcW w:w="9776" w:type="dxa"/>
            <w:gridSpan w:val="3"/>
            <w:tcBorders/>
            <w:shd w:fill="auto" w:val="clear"/>
            <w:vAlign w:val="center"/>
          </w:tcPr>
          <w:p>
            <w:pPr>
              <w:pStyle w:val="TableContents"/>
              <w:spacing w:before="0" w:after="283"/>
              <w:rPr>
                <w:sz w:val="4"/>
                <w:szCs w:val="4"/>
              </w:rPr>
            </w:pPr>
            <w:r>
              <w:rPr>
                <w:sz w:val="4"/>
                <w:szCs w:val="4"/>
              </w:rPr>
            </w:r>
          </w:p>
        </w:tc>
        <w:tc>
          <w:tcPr>
            <w:tcW w:w="429" w:type="dxa"/>
            <w:gridSpan w:val="2"/>
            <w:tcBorders/>
            <w:shd w:fill="auto" w:val="clear"/>
            <w:vAlign w:val="center"/>
          </w:tcPr>
          <w:p>
            <w:pPr>
              <w:pStyle w:val="TableContents"/>
              <w:spacing w:before="0" w:after="283"/>
              <w:rPr>
                <w:sz w:val="4"/>
                <w:szCs w:val="4"/>
              </w:rPr>
            </w:pPr>
            <w:r>
              <w:rPr>
                <w:sz w:val="4"/>
                <w:szCs w:val="4"/>
              </w:rPr>
            </w:r>
          </w:p>
        </w:tc>
      </w:tr>
      <w:tr>
        <w:trPr/>
        <w:tc>
          <w:tcPr>
            <w:tcW w:w="9776"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 xml:space="preserve">APPENDIX 1 REVISED INDEPENDENT GUARANTEE ISSUE AGREEMENT </w:t>
            </w:r>
          </w:p>
        </w:tc>
        <w:tc>
          <w:tcPr>
            <w:tcW w:w="166" w:type="dxa"/>
            <w:tcBorders/>
            <w:shd w:fill="auto" w:val="clear"/>
            <w:vAlign w:val="bottom"/>
          </w:tcPr>
          <w:p>
            <w:pPr>
              <w:pStyle w:val="TableContents"/>
              <w:spacing w:before="0" w:after="283"/>
              <w:rPr/>
            </w:pPr>
            <w:r>
              <w:rPr/>
              <w:t>  </w:t>
            </w:r>
          </w:p>
        </w:tc>
        <w:tc>
          <w:tcPr>
            <w:tcW w:w="263" w:type="dxa"/>
            <w:tcBorders/>
            <w:shd w:fill="auto" w:val="clear"/>
            <w:vAlign w:val="bottom"/>
          </w:tcPr>
          <w:p>
            <w:pPr>
              <w:pStyle w:val="TableContents"/>
              <w:spacing w:before="0" w:after="283"/>
              <w:rPr>
                <w:b/>
              </w:rPr>
            </w:pPr>
            <w:r>
              <w:rPr>
                <w:b/>
              </w:rPr>
              <w:t>56</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AMENDMENT AGREEMENT No.</w:t>
      </w:r>
      <w:r>
        <w:rPr>
          <w:rFonts w:ascii="Times New Roman" w:hAnsi="Times New Roman"/>
          <w:sz w:val="20"/>
        </w:rPr>
        <w:t> </w:t>
      </w:r>
      <w:r>
        <w:rPr>
          <w:rFonts w:ascii="Times New Roman" w:hAnsi="Times New Roman"/>
          <w:b/>
          <w:sz w:val="20"/>
        </w:rPr>
        <w:t xml:space="preserve">1 TO THE INDEPENDENT GUARANTEE ISSUE AGREEMENT </w:t>
      </w:r>
      <w:r>
        <w:rPr>
          <w:rFonts w:ascii="Times New Roman" w:hAnsi="Times New Roman"/>
          <w:sz w:val="20"/>
        </w:rPr>
        <w:t>(the “</w:t>
      </w:r>
      <w:r>
        <w:rPr>
          <w:rFonts w:ascii="Times New Roman" w:hAnsi="Times New Roman"/>
          <w:b/>
          <w:sz w:val="20"/>
        </w:rPr>
        <w:t>Agreement”</w:t>
      </w:r>
      <w:r>
        <w:rPr>
          <w:rFonts w:ascii="Times New Roman" w:hAnsi="Times New Roman"/>
          <w:sz w:val="20"/>
        </w:rPr>
        <w:t xml:space="preserve">) was executed on October </w:t>
      </w:r>
      <w:r>
        <w:rPr>
          <w:rFonts w:ascii="Times New Roman" w:hAnsi="Times New Roman"/>
          <w:sz w:val="20"/>
          <w:u w:val="single"/>
        </w:rPr>
        <w:t>5</w:t>
      </w:r>
      <w:r>
        <w:rPr>
          <w:rFonts w:ascii="Times New Roman" w:hAnsi="Times New Roman"/>
          <w:sz w:val="20"/>
        </w:rPr>
        <w:t xml:space="preserve">,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(1)</w:t>
            </w:r>
          </w:p>
        </w:tc>
        <w:tc>
          <w:tcPr>
            <w:tcW w:w="9391" w:type="dxa"/>
            <w:tcBorders/>
            <w:shd w:fill="auto" w:val="clear"/>
          </w:tcPr>
          <w:p>
            <w:pPr>
              <w:pStyle w:val="TableContents"/>
              <w:spacing w:before="0" w:after="283"/>
              <w:jc w:val="left"/>
              <w:rPr/>
            </w:pPr>
            <w:r>
              <w:rPr>
                <w:b/>
              </w:rPr>
              <w:t>HEADHUNTER FSU LIMITED</w:t>
            </w:r>
            <w:r>
              <w:rPr/>
              <w:t>, a limited liability company incorporated under the laws of the Republic of Cyprus, registration number HE 178226, address (location) of the legal entity: 42 Dositheou, Strovolos 2028, Nicosia, Cyprus, as the guarantor hereunder (the “</w:t>
            </w:r>
            <w:r>
              <w:rPr>
                <w:b/>
              </w:rPr>
              <w:t>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ZEMENIK LIMITED LIABILITY COMPANY,</w:t>
            </w:r>
            <w:r>
              <w:rPr/>
              <w:t xml:space="preserve">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the Russian Federation, 125319, as the principal hereunder and the Borrower under the Loan Agreement (the “</w:t>
            </w:r>
            <w:r>
              <w:rPr>
                <w:b/>
              </w:rPr>
              <w:t>Borrower”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w:t>
            </w:r>
          </w:p>
        </w:tc>
        <w:tc>
          <w:tcPr>
            <w:tcW w:w="9388" w:type="dxa"/>
            <w:tcBorders/>
            <w:shd w:fill="auto" w:val="clear"/>
          </w:tcPr>
          <w:p>
            <w:pPr>
              <w:pStyle w:val="TableContents"/>
              <w:spacing w:before="0" w:after="283"/>
              <w:jc w:val="left"/>
              <w:rPr/>
            </w:pPr>
            <w:r>
              <w:rPr>
                <w:b/>
              </w:rPr>
              <w:t>BANK VTB (PUBLIC JOINT-STOCK COMPANY)</w:t>
            </w:r>
            <w:r>
              <w:rPr/>
              <w:t>, a public joint-stock company incorporated under the laws of the Russian Federation, registered in the Unified State Register of Legal Entities (EGRUL) under number (Primary State Registration Number (OGRN)): 1027739609391, with its office at the address: 29, Bolshaya Morskaya St., Saint Petersburg, Russia, 190000, as the beneficiary hereunder and the Credit Agent, Organizer and Original Lender under the Loan Agreement (the “</w:t>
            </w:r>
            <w:r>
              <w:rPr>
                <w:b/>
              </w:rPr>
              <w:t>Original Lender</w:t>
            </w:r>
            <w:r>
              <w:rPr/>
              <w:t>” and the “</w:t>
            </w:r>
            <w:r>
              <w:rPr>
                <w:b/>
              </w:rPr>
              <w:t>Credit Agent</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The Original Lender as a credit agent, organizer and original lender and the Borrower as a borrower have entered into the Syndicated Loan Agreement dated May 16, 2016, as amended by Amendment Agreement No. 1 dated December 14, 2016, Amendment Agreement No. 2 dated June 28, 2017, and Amendment Agreement No. 3 dated October </w:t>
            </w:r>
            <w:r>
              <w:rPr>
                <w:u w:val="single"/>
              </w:rPr>
              <w:t>5</w:t>
            </w:r>
            <w:r>
              <w:rPr/>
              <w:t>, 2017, (hereinafter referred to as “</w:t>
            </w:r>
            <w:r>
              <w:rPr>
                <w:b/>
              </w:rPr>
              <w:t>Amendment Agreement No.</w:t>
            </w:r>
            <w:r>
              <w:rPr/>
              <w:t> </w:t>
            </w:r>
            <w:r>
              <w:rPr>
                <w:b/>
              </w:rPr>
              <w:t>3</w:t>
            </w:r>
            <w:r>
              <w:rPr/>
              <w:t xml:space="preserve">”) by which the Lender and the Borrower agreed to amend the Loan Agreement, inter alia, to increase a loan amount up to RUB 7,000,000,000 (seven billion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The Parties entered into the Independent Guarantee Issue Agreement dated June 1, 2016, (the “</w:t>
            </w:r>
            <w:r>
              <w:rPr>
                <w:b/>
              </w:rPr>
              <w:t>Independent Guarantee Issue Agreement</w:t>
            </w:r>
            <w:r>
              <w:rPr/>
              <w:t>”), and the Guarantor issued an independent guarantee dated June 1, 2016, in favor of the Original Lender under the Guarantee Issue Agreement (the “</w:t>
            </w:r>
            <w:r>
              <w:rPr>
                <w:b/>
              </w:rPr>
              <w:t>Guarantee”).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Guarantor hereby confirms that it is aware of all the terms and conditions of the Loan Agreement as amended by Amendment Agreement No. 3 and does not have the right to invoke the fact that it was not aware of such terms and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Parties hereby agree to make such amendments to the Independent Guarantee Issue Agreement and to the Guarantee as specified herein to ensure the fulfillment of the Borrower’s obligations under the Loan Agreement as amended by Amendment Agreement No. 3. </w:t>
            </w:r>
          </w:p>
        </w:tc>
      </w:tr>
    </w:tbl>
    <w:p>
      <w:pPr>
        <w:pStyle w:val="TextBody"/>
        <w:spacing w:before="240" w:after="0"/>
        <w:rPr>
          <w:rFonts w:ascii="Times New Roman" w:hAnsi="Times New Roman"/>
          <w:sz w:val="20"/>
        </w:rPr>
      </w:pPr>
      <w:r>
        <w:rPr>
          <w:rFonts w:ascii="Times New Roman" w:hAnsi="Times New Roman"/>
          <w:b/>
          <w:sz w:val="20"/>
        </w:rPr>
        <w:t>THE PARTIES HAVE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Agreement: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Revised Guarantee”</w:t>
      </w:r>
      <w:r>
        <w:rPr>
          <w:rFonts w:ascii="Times New Roman" w:hAnsi="Times New Roman"/>
          <w:sz w:val="20"/>
        </w:rPr>
        <w:t xml:space="preserve"> has the meaning specified in Clause 2(b) below. </w:t>
      </w:r>
    </w:p>
    <w:p>
      <w:pPr>
        <w:pStyle w:val="TextBody"/>
        <w:spacing w:before="120" w:after="0"/>
        <w:rPr/>
      </w:pPr>
      <w:r>
        <w:rPr/>
        <w:t>“</w:t>
      </w:r>
      <w:r>
        <w:rPr>
          <w:rFonts w:ascii="Times New Roman" w:hAnsi="Times New Roman"/>
          <w:b/>
          <w:sz w:val="20"/>
        </w:rPr>
        <w:t>Revised Independent Guarantee Issue Agreement”</w:t>
      </w:r>
      <w:r>
        <w:rPr>
          <w:rFonts w:ascii="Times New Roman" w:hAnsi="Times New Roman"/>
          <w:sz w:val="20"/>
        </w:rPr>
        <w:t xml:space="preserve"> means the Independent Guarantee Issue Agreement as amended hereby, in the form of Appendix 1 </w:t>
      </w:r>
      <w:r>
        <w:rPr>
          <w:rFonts w:ascii="Times New Roman" w:hAnsi="Times New Roman"/>
          <w:i/>
          <w:sz w:val="20"/>
        </w:rPr>
        <w:t>(Revised Independent Guarantee Issue Agreement)</w:t>
      </w:r>
      <w:r>
        <w:rPr>
          <w:rFonts w:ascii="Times New Roman" w:hAnsi="Times New Roman"/>
          <w:sz w:val="20"/>
        </w:rPr>
        <w:t xml:space="preserve">.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has the meaning specified in Clause (A) of the Preamble. </w:t>
      </w:r>
    </w:p>
    <w:p>
      <w:pPr>
        <w:pStyle w:val="TextBody"/>
        <w:spacing w:before="120" w:after="0"/>
        <w:rPr/>
      </w:pPr>
      <w:r>
        <w:rPr/>
        <w:t>“</w:t>
      </w:r>
      <w:r>
        <w:rPr>
          <w:rFonts w:ascii="Times New Roman" w:hAnsi="Times New Roman"/>
          <w:b/>
          <w:sz w:val="20"/>
        </w:rPr>
        <w:t>Party”</w:t>
      </w:r>
      <w:r>
        <w:rPr>
          <w:rFonts w:ascii="Times New Roman" w:hAnsi="Times New Roman"/>
          <w:sz w:val="20"/>
        </w:rPr>
        <w:t xml:space="preserve"> means a party hereto.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the context requires otherwise, any capitalized terms used in the Loan Agreement and the Independent Guarantee Issue Agreement which are not defined herein have the same meaning as in the Loan Agreement and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1.3.</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120" w:after="0"/>
        <w:rPr>
          <w:rFonts w:ascii="Times New Roman" w:hAnsi="Times New Roman"/>
          <w:sz w:val="20"/>
        </w:rPr>
      </w:pPr>
      <w:r>
        <w:rPr>
          <w:rFonts w:ascii="Times New Roman" w:hAnsi="Times New Roman"/>
          <w:sz w:val="20"/>
        </w:rPr>
        <w:t>The provisions of Article 1.2 (</w:t>
      </w:r>
      <w:r>
        <w:rPr>
          <w:rFonts w:ascii="Times New Roman" w:hAnsi="Times New Roman"/>
          <w:i/>
          <w:sz w:val="20"/>
        </w:rPr>
        <w:t>Interpretation</w:t>
      </w:r>
      <w:r>
        <w:rPr>
          <w:rFonts w:ascii="Times New Roman" w:hAnsi="Times New Roman"/>
          <w:sz w:val="20"/>
        </w:rPr>
        <w:t xml:space="preserve">) of the Loan Agreement shall apply to this Agreement as if they are written in this Agreement; any references to Articles, Clauses and Appendices shall be deemed references to Articles, Clauses and Appendices hereof, unless the context requires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is a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Parties agree that the Independent Guarantee Issue Agreement shall be amended as specified in Appendix 1 (</w:t>
            </w:r>
            <w:r>
              <w:rPr>
                <w:i/>
              </w:rPr>
              <w:t>Revised Independent Guarantee Issue Agreement</w:t>
            </w:r>
            <w:r>
              <w:rPr/>
              <w:t xml:space="preserve">) since the date of this Agreement; the rights and obligations of the Parties under the Independent Guarantee Issue Agreement shall be governed and construed under the Revised Independent Guarantee Issue Agreement since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The Guarantor shall amend the Guarantee to reflect changes in the Secured Obligations and other amendments that are made to the Independent Guarantee Issue Agreement in accordance with Clause (a) above (taking into account such amendments, hereinafter referred to as the “</w:t>
            </w:r>
            <w:r>
              <w:rPr>
                <w:b/>
              </w:rPr>
              <w:t>Revised Guarantee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amendments to the Independent Guarantee Issue Agreement hereunder shall be limited to the amendments specified in Article 2 </w:t>
            </w:r>
            <w:r>
              <w:rPr>
                <w:i/>
              </w:rPr>
              <w:t>(Amendments)</w:t>
            </w:r>
            <w:r>
              <w:rPr/>
              <w:t>. No other provisions of the Independent Guarantee Issue Agreement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hereby agrees to be liable for the obligations of the Borrower arising out of the Loan Agreement, for the avoidance of doubt, inter alia, taking into account the amendments introduced by Amendment Agreement No. 3, and confirms that the Guarantee is valid, has full legal force, and the Guarantor continues its due fulfillment of the obligations under the Revised Guarantee in accordance with its terms and conditions, as well as with the terms and conditions of the Revised Independent Guarantee Issue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Agreement does not relieve the Guarantor of any obligations under the Independent Guarantee Issue Agreement or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4.</w:t>
            </w:r>
          </w:p>
        </w:tc>
        <w:tc>
          <w:tcPr>
            <w:tcW w:w="9391"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The Guarantor grants the Original Lender the representations of circumstances set forth in Article 3 (</w:t>
            </w:r>
            <w:r>
              <w:rPr>
                <w:i/>
              </w:rPr>
              <w:t>Representations of Circumstances of the Guarantor</w:t>
            </w:r>
            <w:r>
              <w:rPr/>
              <w:t xml:space="preserve">) of the Independent Guarantee Issue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Any representations of circumstances specified in Clause (a) above shall be provided by the Guarantor on the date of this Agreement with a reference to the circumstances existing on the date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references to the Independent Guarantee Issue Agreement in such representations of circumstances as provided according to Clause (a) above shall be deemed as including, inter alia, references 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6.</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inter alia, concerning its provisions, existence, validity or termination, arises in connection with this Agreement,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has been made in 3 (three) counterparts of equal legal effect, all of which together shall constitute one and the same instrument, one counterpart for each Party. </w:t>
      </w:r>
    </w:p>
    <w:p>
      <w:pPr>
        <w:pStyle w:val="TextBody"/>
        <w:spacing w:before="120" w:after="0"/>
        <w:rPr>
          <w:rFonts w:ascii="Times New Roman" w:hAnsi="Times New Roman"/>
          <w:sz w:val="20"/>
        </w:rPr>
      </w:pPr>
      <w:r>
        <w:rPr>
          <w:rFonts w:ascii="Times New Roman" w:hAnsi="Times New Roman"/>
          <w:sz w:val="20"/>
        </w:rPr>
        <w:t xml:space="preserve">This Agreement has been entered into on the date stated at the beginning of this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REVISED INDEPENDENT GUARANTEE ISSUE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HEADHUNTER FSU LIMITED </w:t>
      </w:r>
    </w:p>
    <w:p>
      <w:pPr>
        <w:pStyle w:val="TextBody"/>
        <w:spacing w:before="240" w:after="0"/>
        <w:jc w:val="center"/>
        <w:rPr>
          <w:rFonts w:ascii="Times New Roman" w:hAnsi="Times New Roman"/>
          <w:sz w:val="20"/>
        </w:rPr>
      </w:pPr>
      <w:r>
        <w:rPr>
          <w:rFonts w:ascii="Times New Roman" w:hAnsi="Times New Roman"/>
          <w:sz w:val="20"/>
        </w:rPr>
        <w:t xml:space="preserve">as a guarantor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240" w:after="0"/>
        <w:jc w:val="center"/>
        <w:rPr>
          <w:rFonts w:ascii="Times New Roman" w:hAnsi="Times New Roman"/>
          <w:sz w:val="20"/>
        </w:rPr>
      </w:pPr>
      <w:r>
        <w:rPr>
          <w:rFonts w:ascii="Times New Roman" w:hAnsi="Times New Roman"/>
          <w:sz w:val="20"/>
        </w:rPr>
        <w:t xml:space="preserve">as a principal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240" w:after="0"/>
        <w:jc w:val="center"/>
        <w:rPr>
          <w:rFonts w:ascii="Times New Roman" w:hAnsi="Times New Roman"/>
          <w:sz w:val="20"/>
        </w:rPr>
      </w:pPr>
      <w:r>
        <w:rPr>
          <w:rFonts w:ascii="Times New Roman" w:hAnsi="Times New Roman"/>
          <w:sz w:val="20"/>
        </w:rPr>
        <w:t xml:space="preserve">as a beneficiary under this Agreement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INDEPENDENT GUARANTEE ISSUE AGREEMENT </w:t>
      </w:r>
    </w:p>
    <w:p>
      <w:pPr>
        <w:pStyle w:val="TextBody"/>
        <w:spacing w:before="240" w:after="0"/>
        <w:jc w:val="center"/>
        <w:rPr>
          <w:rFonts w:ascii="Times New Roman" w:hAnsi="Times New Roman"/>
          <w:b/>
          <w:sz w:val="20"/>
        </w:rPr>
      </w:pPr>
      <w:r>
        <w:rPr>
          <w:rFonts w:ascii="Times New Roman" w:hAnsi="Times New Roman"/>
          <w:b/>
          <w:sz w:val="20"/>
        </w:rPr>
        <w:t xml:space="preserve">dated June 1,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sz w:val="20"/>
        </w:rPr>
      </w:pPr>
      <w:r>
        <w:rPr>
          <w:rFonts w:ascii="Times New Roman" w:hAnsi="Times New Roman"/>
          <w:sz w:val="20"/>
        </w:rPr>
        <w:t xml:space="preserve">as amended by: </w:t>
      </w:r>
    </w:p>
    <w:p>
      <w:pPr>
        <w:pStyle w:val="TextBody"/>
        <w:spacing w:before="240" w:after="0"/>
        <w:jc w:val="center"/>
        <w:rPr>
          <w:rFonts w:ascii="Times New Roman" w:hAnsi="Times New Roman"/>
          <w:sz w:val="20"/>
        </w:rPr>
      </w:pPr>
      <w:r>
        <w:rPr>
          <w:rFonts w:ascii="Times New Roman" w:hAnsi="Times New Roman"/>
          <w:sz w:val="20"/>
        </w:rPr>
        <w:t xml:space="preserve">Amendment Agreement No. 1 dated October </w:t>
      </w:r>
      <w:r>
        <w:rPr>
          <w:rFonts w:ascii="Times New Roman" w:hAnsi="Times New Roman"/>
          <w:sz w:val="20"/>
          <w:u w:val="single"/>
        </w:rPr>
        <w:t>5</w:t>
      </w:r>
      <w:r>
        <w:rPr>
          <w:rFonts w:ascii="Times New Roman" w:hAnsi="Times New Roman"/>
          <w:sz w:val="20"/>
        </w:rPr>
        <w:t xml:space="preserve">, 2017 </w:t>
      </w:r>
    </w:p>
    <w:p>
      <w:pPr>
        <w:pStyle w:val="TextBody"/>
        <w:spacing w:before="24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64"/>
        <w:gridCol w:w="109"/>
        <w:gridCol w:w="9320"/>
        <w:gridCol w:w="129"/>
        <w:gridCol w:w="60"/>
        <w:gridCol w:w="260"/>
        <w:gridCol w:w="63"/>
      </w:tblGrid>
      <w:tr>
        <w:trPr/>
        <w:tc>
          <w:tcPr>
            <w:tcW w:w="264" w:type="dxa"/>
            <w:tcBorders/>
            <w:shd w:fill="auto" w:val="clear"/>
            <w:vAlign w:val="center"/>
          </w:tcPr>
          <w:p>
            <w:pPr>
              <w:pStyle w:val="TableContents"/>
              <w:spacing w:before="0" w:after="283"/>
              <w:rPr>
                <w:sz w:val="4"/>
                <w:szCs w:val="4"/>
              </w:rPr>
            </w:pPr>
            <w:r>
              <w:rPr>
                <w:sz w:val="4"/>
                <w:szCs w:val="4"/>
              </w:rPr>
            </w:r>
          </w:p>
        </w:tc>
        <w:tc>
          <w:tcPr>
            <w:tcW w:w="109" w:type="dxa"/>
            <w:tcBorders/>
            <w:shd w:fill="auto" w:val="clear"/>
            <w:vAlign w:val="bottom"/>
          </w:tcPr>
          <w:p>
            <w:pPr>
              <w:pStyle w:val="TableContents"/>
              <w:spacing w:before="0" w:after="283"/>
              <w:rPr>
                <w:sz w:val="4"/>
                <w:szCs w:val="4"/>
              </w:rPr>
            </w:pPr>
            <w:r>
              <w:rPr>
                <w:sz w:val="4"/>
                <w:szCs w:val="4"/>
              </w:rPr>
            </w:r>
          </w:p>
        </w:tc>
        <w:tc>
          <w:tcPr>
            <w:tcW w:w="9320"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260"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264" w:type="dxa"/>
            <w:tcBorders/>
            <w:shd w:fill="auto" w:val="clear"/>
          </w:tcPr>
          <w:p>
            <w:pPr>
              <w:pStyle w:val="TableContents"/>
              <w:spacing w:before="0" w:after="283"/>
              <w:rPr>
                <w:b/>
              </w:rPr>
            </w:pPr>
            <w:r>
              <w:rPr>
                <w:b/>
              </w:rPr>
              <w:t>1.</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TERMS AND DEFINITIONS</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59</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2.</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INDEPENDENT GUARANTEE AND REIMBURSEMENT OF LOSSES</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63</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3.</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REPRESENTATIONS OF GUARANTOR’S CIRCUMSTANCES</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64</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4.</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OBLIGATIONS AND LIABILITY OF THE GUARANTOR</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67</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5.</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VALIDITY TERM</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77</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6.</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PAYMENT CLAIM, PAYMENTS, TAXES AND CURRENCY</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78</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7.</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NOTICES</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80</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8.</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MISCELLANEOUS</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82</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9.</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CLAIM ASSIGNMENT AND DEBT TRANSFER</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82</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10.</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APPLICABLE LAW</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83</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11.</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DISPUTE SETTLEMENT</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83</w:t>
            </w:r>
          </w:p>
        </w:tc>
        <w:tc>
          <w:tcPr>
            <w:tcW w:w="63" w:type="dxa"/>
            <w:tcBorders/>
            <w:shd w:fill="auto" w:val="clear"/>
          </w:tcPr>
          <w:p>
            <w:pPr>
              <w:pStyle w:val="TableContents"/>
              <w:spacing w:before="0" w:after="283"/>
              <w:rPr/>
            </w:pPr>
            <w:r>
              <w:rPr/>
              <w:t> </w:t>
            </w:r>
          </w:p>
        </w:tc>
      </w:tr>
      <w:tr>
        <w:trPr/>
        <w:tc>
          <w:tcPr>
            <w:tcW w:w="264" w:type="dxa"/>
            <w:tcBorders/>
            <w:shd w:fill="auto" w:val="clear"/>
          </w:tcPr>
          <w:p>
            <w:pPr>
              <w:pStyle w:val="TableContents"/>
              <w:spacing w:before="0" w:after="283"/>
              <w:rPr>
                <w:b/>
              </w:rPr>
            </w:pPr>
            <w:r>
              <w:rPr>
                <w:b/>
              </w:rPr>
              <w:t>12.</w:t>
            </w:r>
          </w:p>
        </w:tc>
        <w:tc>
          <w:tcPr>
            <w:tcW w:w="109" w:type="dxa"/>
            <w:tcBorders/>
            <w:shd w:fill="auto" w:val="clear"/>
            <w:vAlign w:val="bottom"/>
          </w:tcPr>
          <w:p>
            <w:pPr>
              <w:pStyle w:val="TableContents"/>
              <w:spacing w:before="0" w:after="283"/>
              <w:rPr/>
            </w:pPr>
            <w:r>
              <w:rPr/>
              <w:t> </w:t>
            </w:r>
          </w:p>
        </w:tc>
        <w:tc>
          <w:tcPr>
            <w:tcW w:w="9320" w:type="dxa"/>
            <w:tcBorders/>
            <w:shd w:fill="auto" w:val="clear"/>
          </w:tcPr>
          <w:p>
            <w:pPr>
              <w:pStyle w:val="TableContents"/>
              <w:spacing w:before="0" w:after="283"/>
              <w:rPr>
                <w:b/>
              </w:rPr>
            </w:pPr>
            <w:r>
              <w:rPr>
                <w:b/>
              </w:rPr>
              <w:t>COUNTERPARTS</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83</w:t>
            </w:r>
          </w:p>
        </w:tc>
        <w:tc>
          <w:tcPr>
            <w:tcW w:w="63" w:type="dxa"/>
            <w:tcBorders/>
            <w:shd w:fill="auto" w:val="clear"/>
          </w:tcPr>
          <w:p>
            <w:pPr>
              <w:pStyle w:val="TableContents"/>
              <w:spacing w:before="0" w:after="283"/>
              <w:rPr/>
            </w:pPr>
            <w:r>
              <w:rPr/>
              <w:t> </w:t>
            </w:r>
          </w:p>
        </w:tc>
      </w:tr>
      <w:tr>
        <w:trPr/>
        <w:tc>
          <w:tcPr>
            <w:tcW w:w="9693" w:type="dxa"/>
            <w:gridSpan w:val="3"/>
            <w:tcBorders/>
            <w:shd w:fill="auto" w:val="clear"/>
          </w:tcPr>
          <w:p>
            <w:pPr>
              <w:pStyle w:val="TableContents"/>
              <w:spacing w:before="0" w:after="283"/>
              <w:rPr>
                <w:b/>
              </w:rPr>
            </w:pPr>
            <w:r>
              <w:rPr>
                <w:b/>
              </w:rPr>
              <w:t xml:space="preserve">APPENDIX 1 TERMS OF THE LOAN AGREEMENT </w:t>
            </w:r>
          </w:p>
        </w:tc>
        <w:tc>
          <w:tcPr>
            <w:tcW w:w="129" w:type="dxa"/>
            <w:tcBorders/>
            <w:shd w:fill="auto" w:val="clear"/>
            <w:vAlign w:val="bottom"/>
          </w:tcPr>
          <w:p>
            <w:pPr>
              <w:pStyle w:val="TableContents"/>
              <w:spacing w:before="0" w:after="283"/>
              <w:rPr/>
            </w:pPr>
            <w:r>
              <w:rPr/>
              <w:t>  </w:t>
            </w:r>
          </w:p>
        </w:tc>
        <w:tc>
          <w:tcPr>
            <w:tcW w:w="60" w:type="dxa"/>
            <w:tcBorders/>
            <w:shd w:fill="auto" w:val="clear"/>
          </w:tcPr>
          <w:p>
            <w:pPr>
              <w:pStyle w:val="TableContents"/>
              <w:spacing w:before="0" w:after="283"/>
              <w:rPr/>
            </w:pPr>
            <w:r>
              <w:rPr/>
              <w:t> </w:t>
            </w:r>
          </w:p>
        </w:tc>
        <w:tc>
          <w:tcPr>
            <w:tcW w:w="260" w:type="dxa"/>
            <w:tcBorders/>
            <w:shd w:fill="auto" w:val="clear"/>
          </w:tcPr>
          <w:p>
            <w:pPr>
              <w:pStyle w:val="TableContents"/>
              <w:spacing w:before="0" w:after="283"/>
              <w:jc w:val="right"/>
              <w:rPr>
                <w:b/>
              </w:rPr>
            </w:pPr>
            <w:r>
              <w:rPr>
                <w:b/>
              </w:rPr>
              <w:t>84</w:t>
            </w:r>
          </w:p>
        </w:tc>
        <w:tc>
          <w:tcPr>
            <w:tcW w:w="63" w:type="dxa"/>
            <w:tcBorders/>
            <w:shd w:fill="auto" w:val="clear"/>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INDEPENDENT GUARANTEE ISSUE AGREEMENT</w:t>
      </w:r>
      <w:r>
        <w:rPr>
          <w:rFonts w:ascii="Times New Roman" w:hAnsi="Times New Roman"/>
          <w:sz w:val="20"/>
        </w:rPr>
        <w:t xml:space="preserve"> (the “</w:t>
      </w:r>
      <w:r>
        <w:rPr>
          <w:rFonts w:ascii="Times New Roman" w:hAnsi="Times New Roman"/>
          <w:b/>
          <w:sz w:val="20"/>
        </w:rPr>
        <w:t>Agreement</w:t>
      </w:r>
      <w:r>
        <w:rPr>
          <w:rFonts w:ascii="Times New Roman" w:hAnsi="Times New Roman"/>
          <w:sz w:val="20"/>
        </w:rPr>
        <w:t xml:space="preserve">”) was executed on June 1, 2016,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(1)</w:t>
            </w:r>
          </w:p>
        </w:tc>
        <w:tc>
          <w:tcPr>
            <w:tcW w:w="9391" w:type="dxa"/>
            <w:tcBorders/>
            <w:shd w:fill="auto" w:val="clear"/>
          </w:tcPr>
          <w:p>
            <w:pPr>
              <w:pStyle w:val="TableContents"/>
              <w:spacing w:before="0" w:after="283"/>
              <w:jc w:val="left"/>
              <w:rPr/>
            </w:pPr>
            <w:r>
              <w:rPr>
                <w:b/>
              </w:rPr>
              <w:t>HEADHUNTER FSU LIMITED</w:t>
            </w:r>
            <w:r>
              <w:rPr/>
              <w:t xml:space="preserve">, a limited liability company incorporated under the laws of the Republic of Cyprus, registration number HE 178226, located at: 42 Dositheou, Strovolos 2028, Nicosia, Cyprus, represented by </w:t>
            </w:r>
            <w:r>
              <w:rPr>
                <w:b/>
              </w:rPr>
              <w:t>Aleksandr Arbuzov</w:t>
            </w:r>
            <w:r>
              <w:rPr/>
              <w:t>, acting under the Articles of Association, as the guarantor hereunder (the “</w:t>
            </w:r>
            <w:r>
              <w:rPr>
                <w:b/>
              </w:rPr>
              <w:t>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ZEMENIK LIMITED LIABILITY COMPANY,</w:t>
            </w:r>
            <w:r>
              <w:rPr/>
              <w:t xml:space="preserve">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125319, the Russian Federation, represented by </w:t>
            </w:r>
            <w:r>
              <w:rPr>
                <w:b/>
              </w:rPr>
              <w:t>Karen Eduardovich Agayan</w:t>
            </w:r>
            <w:r>
              <w:rPr/>
              <w:t>, acting under the Articles of Association, as the principal hereunder and the Borrower under the Loan Agreement (the “</w:t>
            </w:r>
            <w:r>
              <w:rPr>
                <w:b/>
              </w:rPr>
              <w:t>Borrower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w:t>
            </w:r>
          </w:p>
        </w:tc>
        <w:tc>
          <w:tcPr>
            <w:tcW w:w="9389" w:type="dxa"/>
            <w:tcBorders/>
            <w:shd w:fill="auto" w:val="clear"/>
          </w:tcPr>
          <w:p>
            <w:pPr>
              <w:pStyle w:val="TableContents"/>
              <w:spacing w:before="0" w:after="283"/>
              <w:jc w:val="left"/>
              <w:rPr/>
            </w:pPr>
            <w:r>
              <w:rPr>
                <w:b/>
              </w:rPr>
              <w:t>BANK VTB (PUBLIC JOINT-STOCK COMPANY)</w:t>
            </w:r>
            <w:r>
              <w:rPr/>
              <w:t xml:space="preserve">, a public joint-stock company incorporated under the laws of the Russian Federation, registered in the Unified State Register of Legal Entities (EGRUL) under number (Primary State Registration Number (OGRN)): 1027739609391, located at: 29, Bolshaya Morskaya St., Saint Petersburg, the Russian Federation, 190000, represented by </w:t>
            </w:r>
            <w:r>
              <w:rPr>
                <w:b/>
              </w:rPr>
              <w:t>Vitaly Nikolaevich Buzoverya</w:t>
            </w:r>
            <w:r>
              <w:rPr/>
              <w:t xml:space="preserve">, acting under Power of Attorney 350000/25- </w:t>
            </w:r>
            <w:r>
              <w:rPr/>
              <w:drawing>
                <wp:inline distT="0" distB="0" distL="0" distR="0">
                  <wp:extent cx="123825" cy="13335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link="rId24"/>
                          <a:stretch>
                            <a:fillRect/>
                          </a:stretch>
                        </pic:blipFill>
                        <pic:spPr bwMode="auto">
                          <a:xfrm>
                            <a:off x="0" y="0"/>
                            <a:ext cx="123825" cy="133350"/>
                          </a:xfrm>
                          <a:prstGeom prst="rect">
                            <a:avLst/>
                          </a:prstGeom>
                          <a:noFill/>
                          <a:ln w="9525">
                            <a:noFill/>
                            <a:miter lim="800000"/>
                            <a:headEnd/>
                            <a:tailEnd/>
                          </a:ln>
                        </pic:spPr>
                      </pic:pic>
                    </a:graphicData>
                  </a:graphic>
                </wp:inline>
              </w:drawing>
            </w:r>
            <w:r>
              <w:rPr/>
              <w:t xml:space="preserve"> , certified on January 14, 2016, under register number 2-25, as the beneficiary under this Agreement and the Credit Agent, Organizer and Original Lender under the Loan Agreement (the “</w:t>
            </w:r>
            <w:r>
              <w:rPr>
                <w:b/>
              </w:rPr>
              <w:t>Original Lender</w:t>
            </w:r>
            <w:r>
              <w:rPr/>
              <w:t>” and the “</w:t>
            </w:r>
            <w:r>
              <w:rPr>
                <w:b/>
              </w:rPr>
              <w:t>Credit Agent</w:t>
            </w:r>
            <w:r>
              <w:rPr/>
              <w:t xml:space="preserve">”) </w:t>
            </w:r>
          </w:p>
        </w:tc>
      </w:tr>
    </w:tbl>
    <w:p>
      <w:pPr>
        <w:pStyle w:val="TextBody"/>
        <w:spacing w:before="240" w:after="0"/>
        <w:rPr>
          <w:rFonts w:ascii="Times New Roman" w:hAnsi="Times New Roman"/>
          <w:sz w:val="20"/>
        </w:rPr>
      </w:pPr>
      <w:r>
        <w:rPr>
          <w:rFonts w:ascii="Times New Roman" w:hAnsi="Times New Roman"/>
          <w:b/>
          <w:sz w:val="20"/>
        </w:rPr>
        <w:t>The Guarantor, the Borrower and the Original Lender</w:t>
      </w:r>
      <w:r>
        <w:rPr>
          <w:rFonts w:ascii="Times New Roman" w:hAnsi="Times New Roman"/>
          <w:sz w:val="20"/>
        </w:rPr>
        <w:t xml:space="preserve"> shall hereinafter be referred to as the “</w:t>
      </w:r>
      <w:r>
        <w:rPr>
          <w:rFonts w:ascii="Times New Roman" w:hAnsi="Times New Roman"/>
          <w:b/>
          <w:sz w:val="20"/>
        </w:rPr>
        <w:t>Parties</w:t>
      </w:r>
      <w:r>
        <w:rPr>
          <w:rFonts w:ascii="Times New Roman" w:hAnsi="Times New Roman"/>
          <w:sz w:val="20"/>
        </w:rPr>
        <w:t>”, and individually as a “</w:t>
      </w:r>
      <w:r>
        <w:rPr>
          <w:rFonts w:ascii="Times New Roman" w:hAnsi="Times New Roman"/>
          <w:b/>
          <w:sz w:val="20"/>
        </w:rPr>
        <w:t>Party</w:t>
      </w:r>
      <w:r>
        <w:rPr>
          <w:rFonts w:ascii="Times New Roman" w:hAnsi="Times New Roman"/>
          <w:sz w:val="20"/>
        </w:rPr>
        <w:t xml:space="preserve">”. </w:t>
      </w:r>
    </w:p>
    <w:p>
      <w:pPr>
        <w:pStyle w:val="TextBody"/>
        <w:spacing w:before="24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According to the Loan Agreement, the Original Lender agrees to grant the Borrower funds in Rubles in an aggregate amount not exceeding RUB 7,000,000,000 (seven billion Rubles) on the terms and conditions stipulated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One of the preconditions for granting of the Loan to the Borrower under the Loan Agreement is execution of this Agreement and issue of the Guarantee by the Guarantor in favor of the Original Lender.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This Agreement and the Guarantee are Financial Documents as defined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(D)</w:t>
            </w:r>
          </w:p>
        </w:tc>
        <w:tc>
          <w:tcPr>
            <w:tcW w:w="9388" w:type="dxa"/>
            <w:tcBorders/>
            <w:shd w:fill="auto" w:val="clear"/>
          </w:tcPr>
          <w:p>
            <w:pPr>
              <w:pStyle w:val="TableContents"/>
              <w:spacing w:before="0" w:after="283"/>
              <w:jc w:val="left"/>
              <w:rPr/>
            </w:pPr>
            <w:r>
              <w:rPr/>
              <w:t xml:space="preserve">The Guarantor hereby confirms that it is aware of all the terms and conditions of the Loan Agreement and does not have the right to invoke the fact that it was not aware of such terms and conditions of the Loan Agreement. </w:t>
            </w:r>
          </w:p>
        </w:tc>
      </w:tr>
    </w:tbl>
    <w:p>
      <w:pPr>
        <w:pStyle w:val="TextBody"/>
        <w:spacing w:before="24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the Parties have agreed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w:t>
            </w:r>
          </w:p>
        </w:tc>
        <w:tc>
          <w:tcPr>
            <w:tcW w:w="9390" w:type="dxa"/>
            <w:tcBorders/>
            <w:shd w:fill="auto" w:val="clear"/>
          </w:tcPr>
          <w:p>
            <w:pPr>
              <w:pStyle w:val="TableContents"/>
              <w:spacing w:before="0" w:after="283"/>
              <w:jc w:val="left"/>
              <w:rPr>
                <w:b/>
              </w:rPr>
            </w:pPr>
            <w:r>
              <w:rPr>
                <w:b/>
              </w:rPr>
              <w:t xml:space="preserve">TERMS AND DEFINITIONS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All capitalized terms used in this Agreement (including the Preamble) have the meanings specified in the Loan Agreement (the definitions for the terms of the Loan Agreement are contained in Appendix 1 (</w:t>
      </w:r>
      <w:r>
        <w:rPr>
          <w:rFonts w:ascii="Times New Roman" w:hAnsi="Times New Roman"/>
          <w:i/>
          <w:sz w:val="20"/>
        </w:rPr>
        <w:t>Terms of the Loan Agreement</w:t>
      </w:r>
      <w:r>
        <w:rPr>
          <w:rFonts w:ascii="Times New Roman" w:hAnsi="Times New Roman"/>
          <w:sz w:val="20"/>
        </w:rPr>
        <w:t xml:space="preserve">)) unless the Agreement or the context requires otherwise, while: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Reimbursement for the Amounts Paid under the Guarantee</w:t>
      </w:r>
      <w:r>
        <w:rPr>
          <w:rFonts w:ascii="Times New Roman" w:hAnsi="Times New Roman"/>
          <w:sz w:val="20"/>
        </w:rPr>
        <w:t xml:space="preserve">” means reimbursement by the Borrower to the Guarantor for amounts paid by the Guarantor in connection with the performance of its obligations under the Guarantee and (or) under this Agreement, in accordance with paragraph 1 Article 379 of the Civil Code. </w:t>
      </w:r>
    </w:p>
    <w:p>
      <w:pPr>
        <w:pStyle w:val="TextBody"/>
        <w:spacing w:before="120" w:after="0"/>
        <w:rPr/>
      </w:pPr>
      <w:r>
        <w:rPr/>
        <w:t>“</w:t>
      </w:r>
      <w:r>
        <w:rPr>
          <w:rFonts w:ascii="Times New Roman" w:hAnsi="Times New Roman"/>
          <w:b/>
          <w:sz w:val="20"/>
        </w:rPr>
        <w:t>Guarantee</w:t>
      </w:r>
      <w:r>
        <w:rPr>
          <w:rFonts w:ascii="Times New Roman" w:hAnsi="Times New Roman"/>
          <w:sz w:val="20"/>
        </w:rPr>
        <w:t xml:space="preserve">” means an independent guarantee issued by the Guarantor at the request of the Borrower to the Original Lender on the Issue Date in accordance with the terms and conditions of this Agreement in the form and content as satisfactory to the Original Lender. </w:t>
      </w:r>
    </w:p>
    <w:p>
      <w:pPr>
        <w:pStyle w:val="TextBody"/>
        <w:spacing w:before="120" w:after="0"/>
        <w:rPr/>
      </w:pPr>
      <w:r>
        <w:rPr/>
        <w:t>“</w:t>
      </w:r>
      <w:r>
        <w:rPr>
          <w:rFonts w:ascii="Times New Roman" w:hAnsi="Times New Roman"/>
          <w:b/>
          <w:sz w:val="20"/>
        </w:rPr>
        <w:t>Issue Date</w:t>
      </w:r>
      <w:r>
        <w:rPr>
          <w:rFonts w:ascii="Times New Roman" w:hAnsi="Times New Roman"/>
          <w:sz w:val="20"/>
        </w:rPr>
        <w:t xml:space="preserve">” means such date of issue of the Guarantee as specified in the Guarantee. </w:t>
      </w:r>
    </w:p>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means a syndicated loan agreement concluded on May 16, 2016, between the Original Lender as the Credit Agent, Organizer and Original Lender and the Borrower as the Borrower in an aggregate amount not exceeding RUB 7,000,000,000 (seven billion Rubles) as amended by Amendment Agreement No. 1 dated December 14, 2016, and Amendment Agreement No. 2 dated June 28, 2017, and Amendment Agreement No. 3. </w:t>
      </w:r>
    </w:p>
    <w:p>
      <w:pPr>
        <w:pStyle w:val="TextBody"/>
        <w:spacing w:before="120" w:after="0"/>
        <w:rPr/>
      </w:pPr>
      <w:r>
        <w:rPr/>
        <w:t>“</w:t>
      </w:r>
      <w:r>
        <w:rPr>
          <w:rFonts w:ascii="Times New Roman" w:hAnsi="Times New Roman"/>
          <w:b/>
          <w:sz w:val="20"/>
        </w:rPr>
        <w:t>Secured Obligations</w:t>
      </w:r>
      <w:r>
        <w:rPr>
          <w:rFonts w:ascii="Times New Roman" w:hAnsi="Times New Roman"/>
          <w:sz w:val="20"/>
        </w:rPr>
        <w:t xml:space="preserve">” means all current and future pecuniary obligations of the Borrower to the Lenders under the Loan Agreement (taking into account all amendments to the Loan Agreement and all provided preliminary consents and waivers of the Lenders under the Loan Agreement), including the Borrower’s obligations regarding: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payment of an aggregate principal of the Loan not exceeding RUB 7,000,000,000 (Seven billion Rubles)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payment of interest due under Article 9 (</w:t>
            </w:r>
            <w:r>
              <w:rPr>
                <w:i/>
              </w:rPr>
              <w:t>Interest</w:t>
            </w:r>
            <w:r>
              <w:rPr/>
              <w:t xml:space="preserve">) of the Loan Agreement at an annual interest rate equal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0"/>
        <w:gridCol w:w="816"/>
        <w:gridCol w:w="5818"/>
      </w:tblGrid>
      <w:tr>
        <w:trPr/>
        <w:tc>
          <w:tcPr>
            <w:tcW w:w="3570"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w:t>
            </w:r>
          </w:p>
        </w:tc>
        <w:tc>
          <w:tcPr>
            <w:tcW w:w="5818"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5"/>
        <w:gridCol w:w="5818"/>
      </w:tblGrid>
      <w:tr>
        <w:trPr/>
        <w:tc>
          <w:tcPr>
            <w:tcW w:w="3571"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w:t>
            </w:r>
          </w:p>
        </w:tc>
        <w:tc>
          <w:tcPr>
            <w:tcW w:w="5818"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payment of a penalty according to Article 9.4 (</w:t>
            </w:r>
            <w:r>
              <w:rPr>
                <w:i/>
              </w:rPr>
              <w:t>Penalty</w:t>
            </w:r>
            <w:r>
              <w:rPr/>
              <w:t>) of the Loan Agreement due if the Borrower fails to timely fulfill an obligation of payment of any amount due under the Financial Document; such penalty being 2/365 interest rate established under Article 9.1 (</w:t>
            </w:r>
            <w:r>
              <w:rPr>
                <w:i/>
              </w:rPr>
              <w:t>Interest Calculation</w:t>
            </w:r>
            <w:r>
              <w:rPr/>
              <w:t>) of the Loan Agreement taking into account the provisions of Article 9.2 (</w:t>
            </w:r>
            <w:r>
              <w:rPr>
                <w:i/>
              </w:rPr>
              <w:t>Margin Adjustment</w:t>
            </w:r>
            <w:r>
              <w:rPr/>
              <w:t xml:space="preserve">) 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6" w:type="dxa"/>
            <w:tcBorders/>
            <w:shd w:fill="auto" w:val="clear"/>
          </w:tcPr>
          <w:p>
            <w:pPr>
              <w:pStyle w:val="TableContents"/>
              <w:spacing w:before="0" w:after="283"/>
              <w:jc w:val="left"/>
              <w:rPr/>
            </w:pPr>
            <w:r>
              <w:rPr/>
              <w:t>payment of reimbursement for funds available for granting the Loan under Article 11.1 (</w:t>
            </w:r>
            <w:r>
              <w:rPr>
                <w:i/>
              </w:rPr>
              <w:t>Fee for the Obligation under the 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w:t>
            </w:r>
          </w:p>
        </w:tc>
      </w:tr>
    </w:tbl>
    <w:p>
      <w:pPr>
        <w:pStyle w:val="TextBody"/>
        <w:spacing w:before="120" w:after="0"/>
        <w:rPr>
          <w:rFonts w:ascii="Times New Roman" w:hAnsi="Times New Roman"/>
          <w:sz w:val="20"/>
        </w:rPr>
      </w:pPr>
      <w:r>
        <w:rPr>
          <w:rFonts w:ascii="Times New Roman" w:hAnsi="Times New Roman"/>
          <w:sz w:val="20"/>
        </w:rPr>
        <w:t xml:space="preserve">such consideration being accrued for the Disbursement Period of Tranche A and the Disbursement Period of Tranche B, respectively, and paid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in respect of the Unused Loan Limit of Tranche B, on the last Business Day of each calendar month within the Disbursement Period of Tranche B or on the last day of the Disbursement Period of Tranche B, whichever occurs first. </w:t>
            </w:r>
          </w:p>
        </w:tc>
      </w:tr>
    </w:tbl>
    <w:p>
      <w:pPr>
        <w:pStyle w:val="TextBody"/>
        <w:spacing w:before="120" w:after="0"/>
        <w:rPr>
          <w:rFonts w:ascii="Times New Roman" w:hAnsi="Times New Roman"/>
          <w:sz w:val="20"/>
        </w:rPr>
      </w:pPr>
      <w:r>
        <w:rPr>
          <w:rFonts w:ascii="Times New Roman" w:hAnsi="Times New Roman"/>
          <w:sz w:val="20"/>
        </w:rPr>
        <w:t xml:space="preserve">A fee for the obligation of granting of the Loan shall not apply to the Unused Loan Limit in terms of Tranche B and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payment of a Lenders’ consideration for granting the Loan under Article 11.2 (</w:t>
            </w:r>
            <w:r>
              <w:rPr>
                <w:i/>
              </w:rPr>
              <w:t>Loan Extension Fee</w:t>
            </w:r>
            <w:r>
              <w:rPr/>
              <w:t xml:space="preserve">) 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0.25 (zero point two five) percent of Tranche D </w:t>
            </w:r>
          </w:p>
        </w:tc>
      </w:tr>
    </w:tbl>
    <w:p>
      <w:pPr>
        <w:pStyle w:val="TextBody"/>
        <w:spacing w:before="120" w:after="0"/>
        <w:rPr>
          <w:rFonts w:ascii="Times New Roman" w:hAnsi="Times New Roman"/>
          <w:sz w:val="20"/>
        </w:rPr>
      </w:pPr>
      <w:r>
        <w:rPr>
          <w:rFonts w:ascii="Times New Roman" w:hAnsi="Times New Roman"/>
          <w:sz w:val="20"/>
        </w:rPr>
        <w:t xml:space="preserve">prior to the Disbursement Date of a respective Tranche;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reimbursement to the Parties to the Financing for any costs or losses to be reimbursed under Articles 14.1 (</w:t>
            </w:r>
            <w:r>
              <w:rPr>
                <w:i/>
              </w:rPr>
              <w:t>Reimbursement for Currency Costs</w:t>
            </w:r>
            <w:r>
              <w:rPr/>
              <w:t>), 14.3 (</w:t>
            </w:r>
            <w:r>
              <w:rPr>
                <w:i/>
              </w:rPr>
              <w:t>Reimbursement for Costs of the Credit Agent</w:t>
            </w:r>
            <w:r>
              <w:rPr/>
              <w:t>) and 14.4 (</w:t>
            </w:r>
            <w:r>
              <w:rPr>
                <w:i/>
              </w:rPr>
              <w:t>Transaction-Related Costs</w:t>
            </w:r>
            <w:r>
              <w:rPr/>
              <w:t>), 14.5 (</w:t>
            </w:r>
            <w:r>
              <w:rPr>
                <w:i/>
              </w:rPr>
              <w:t>Amendment Costs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incurred by a Party to the Financing because of a mandatory performance of any Financial Document or protection of its rights under the Financial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t>reimbursement to the Parties to the Financing for any expenses under Article 14.2 (</w:t>
            </w:r>
            <w:r>
              <w:rPr>
                <w:i/>
              </w:rPr>
              <w:t>Reimbursement for Other Costs</w:t>
            </w:r>
            <w:r>
              <w:rPr/>
              <w:t xml:space="preserve">) of the Loan Agreement incurred by a Party to the Financing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occurrence of the Event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impossibility to grant the Loan to the Borrower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Borrower’s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3" w:type="dxa"/>
            <w:tcBorders/>
            <w:shd w:fill="auto" w:val="clear"/>
          </w:tcPr>
          <w:p>
            <w:pPr>
              <w:pStyle w:val="TableContents"/>
              <w:spacing w:before="0" w:after="283"/>
              <w:jc w:val="left"/>
              <w:rPr/>
            </w:pPr>
            <w:r>
              <w:rPr/>
              <w:t xml:space="preserve">full return of any funds obtained by the Borrower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120" w:after="0"/>
        <w:rPr/>
      </w:pPr>
      <w:r>
        <w:rPr/>
        <w:t>“</w:t>
      </w:r>
      <w:r>
        <w:rPr>
          <w:rFonts w:ascii="Times New Roman" w:hAnsi="Times New Roman"/>
          <w:b/>
          <w:sz w:val="20"/>
        </w:rPr>
        <w:t>Event of Default”</w:t>
      </w:r>
      <w:r>
        <w:rPr>
          <w:rFonts w:ascii="Times New Roman" w:hAnsi="Times New Roman"/>
          <w:sz w:val="20"/>
        </w:rPr>
        <w:t xml:space="preserve"> means any event or circumstance specified in Article 21 (</w:t>
      </w:r>
      <w:r>
        <w:rPr>
          <w:rFonts w:ascii="Times New Roman" w:hAnsi="Times New Roman"/>
          <w:i/>
          <w:sz w:val="20"/>
        </w:rPr>
        <w:t>Events of Default</w:t>
      </w:r>
      <w:r>
        <w:rPr>
          <w:rFonts w:ascii="Times New Roman" w:hAnsi="Times New Roman"/>
          <w:sz w:val="20"/>
        </w:rPr>
        <w:t xml:space="preserve">) of the Loan Agreement.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to the Loan Agreement dated October </w:t>
      </w:r>
      <w:r>
        <w:rPr>
          <w:rFonts w:ascii="Times New Roman" w:hAnsi="Times New Roman"/>
          <w:sz w:val="20"/>
          <w:u w:val="single"/>
        </w:rPr>
        <w:t>5</w:t>
      </w:r>
      <w:r>
        <w:rPr>
          <w:rFonts w:ascii="Times New Roman" w:hAnsi="Times New Roman"/>
          <w:sz w:val="20"/>
        </w:rPr>
        <w:t xml:space="preserve">, 2017. </w:t>
      </w:r>
    </w:p>
    <w:p>
      <w:pPr>
        <w:pStyle w:val="TextBody"/>
        <w:spacing w:before="120" w:after="0"/>
        <w:rPr/>
      </w:pPr>
      <w:r>
        <w:fldChar w:fldCharType="begin"/>
      </w:r>
      <w:r>
        <w:instrText> HYPERLINK "https://www.sec.gov/Archives/edgar/data/1721181/000119312518103463/d674579dex104.htm" \l "ex10_4674579_65" \n _blank</w:instrText>
      </w:r>
      <w:r>
        <w:fldChar w:fldCharType="separate"/>
      </w:r>
      <w:r>
        <w:rPr>
          <w:rStyle w:val="InternetLink"/>
        </w:rPr>
        <w:t>“</w:t>
      </w:r>
      <w:r>
        <w:fldChar w:fldCharType="end"/>
      </w:r>
      <w:r>
        <w:rPr>
          <w:rStyle w:val="InternetLink"/>
          <w:rFonts w:ascii="Times New Roman" w:hAnsi="Times New Roman"/>
          <w:b/>
          <w:sz w:val="20"/>
        </w:rPr>
        <w:t>Guarantee Validity Term”</w:t>
      </w:r>
      <w:r>
        <w:rPr>
          <w:rStyle w:val="InternetLink"/>
          <w:rFonts w:ascii="Times New Roman" w:hAnsi="Times New Roman"/>
          <w:sz w:val="20"/>
        </w:rPr>
        <w:t xml:space="preserve"> means a period from the Issue Date to the date specified in Article 5.1 (</w:t>
      </w:r>
      <w:r>
        <w:rPr>
          <w:rStyle w:val="InternetLink"/>
          <w:rFonts w:ascii="Times New Roman" w:hAnsi="Times New Roman"/>
          <w:i/>
          <w:sz w:val="20"/>
        </w:rPr>
        <w:t>Validity Term</w:t>
      </w:r>
      <w:r>
        <w:rPr>
          <w:rStyle w:val="InternetLink"/>
          <w:rFonts w:ascii="Times New Roman" w:hAnsi="Times New Roman"/>
          <w:sz w:val="20"/>
        </w:rPr>
        <w:t>).</w:t>
      </w:r>
      <w:r>
        <w:rPr>
          <w:rFonts w:ascii="Times New Roman" w:hAnsi="Times New Roman"/>
          <w:sz w:val="20"/>
        </w:rPr>
        <w:t xml:space="preserve"> </w:t>
      </w:r>
    </w:p>
    <w:p>
      <w:pPr>
        <w:pStyle w:val="TextBody"/>
        <w:spacing w:before="120" w:after="0"/>
        <w:rPr/>
      </w:pPr>
      <w:r>
        <w:rPr/>
        <w:t>“</w:t>
      </w:r>
      <w:r>
        <w:rPr>
          <w:rFonts w:ascii="Times New Roman" w:hAnsi="Times New Roman"/>
          <w:b/>
          <w:sz w:val="20"/>
        </w:rPr>
        <w:t>Guarantee Amount”</w:t>
      </w:r>
      <w:r>
        <w:rPr>
          <w:rFonts w:ascii="Times New Roman" w:hAnsi="Times New Roman"/>
          <w:sz w:val="20"/>
        </w:rPr>
        <w:t xml:space="preserve"> means an amount of RUB 10,300,000,000 (ten billion three hundred million Rubles). </w:t>
      </w:r>
    </w:p>
    <w:p>
      <w:pPr>
        <w:pStyle w:val="TextBody"/>
        <w:spacing w:before="120" w:after="0"/>
        <w:rPr/>
      </w:pPr>
      <w:r>
        <w:fldChar w:fldCharType="begin"/>
      </w:r>
      <w:r>
        <w:instrText> HYPERLINK "https://www.sec.gov/Archives/edgar/data/1721181/000119312518103463/d674579dex104.htm" \l "ex10_4674579_66" \n _blank</w:instrText>
      </w:r>
      <w:r>
        <w:fldChar w:fldCharType="separate"/>
      </w:r>
      <w:r>
        <w:rPr>
          <w:rStyle w:val="InternetLink"/>
        </w:rPr>
        <w:t>“</w:t>
      </w:r>
      <w:r>
        <w:fldChar w:fldCharType="end"/>
      </w:r>
      <w:r>
        <w:rPr>
          <w:rStyle w:val="InternetLink"/>
          <w:rFonts w:ascii="Times New Roman" w:hAnsi="Times New Roman"/>
          <w:b/>
          <w:sz w:val="20"/>
        </w:rPr>
        <w:t>Payment Claim”</w:t>
      </w:r>
      <w:r>
        <w:rPr>
          <w:rStyle w:val="InternetLink"/>
          <w:rFonts w:ascii="Times New Roman" w:hAnsi="Times New Roman"/>
          <w:sz w:val="20"/>
        </w:rPr>
        <w:t xml:space="preserve"> means a written notice which is sent by the Original Lender (or by the Credit Agent acting on behalf of the Lenders, after accession of rights (claims) under this Agreement and the Guarantee according to Article 9.2 (</w:t>
      </w:r>
      <w:r>
        <w:rPr>
          <w:rStyle w:val="InternetLink"/>
          <w:rFonts w:ascii="Times New Roman" w:hAnsi="Times New Roman"/>
          <w:i/>
          <w:sz w:val="20"/>
        </w:rPr>
        <w:t>Transfer Rights by the Lenders</w:t>
      </w:r>
      <w:r>
        <w:rPr>
          <w:rStyle w:val="InternetLink"/>
          <w:rFonts w:ascii="Times New Roman" w:hAnsi="Times New Roman"/>
          <w:sz w:val="20"/>
        </w:rPr>
        <w:t>)) to the Guarantor and contains: (i) an indication of a particular violation of the Secured Obligations entailing payment under the Guarantee; (ii) a claim for the Guarantor to make payments provided for by this Agreement and the Guarantee within such amount and period as specified in such notice, as well as details of the bank account to which the Guarantor shall make payment.</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this Agreement, unless the context requires otherwise: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fldChar w:fldCharType="begin"/>
            </w:r>
            <w:r>
              <w:instrText> HYPERLINK "https://www.sec.gov/Archives/edgar/data/1721181/000119312518103463/d674579dex104.htm" \l "ex10_4674579_68" \n _blank</w:instrText>
            </w:r>
            <w:r>
              <w:fldChar w:fldCharType="separate"/>
            </w:r>
            <w:r>
              <w:rPr>
                <w:rStyle w:val="InternetLink"/>
              </w:rPr>
              <w:t>(i)</w:t>
            </w:r>
            <w:r>
              <w:fldChar w:fldCharType="end"/>
            </w:r>
          </w:p>
        </w:tc>
        <w:tc>
          <w:tcPr>
            <w:tcW w:w="7553" w:type="dxa"/>
            <w:tcBorders/>
            <w:shd w:fill="auto" w:val="clear"/>
          </w:tcPr>
          <w:p>
            <w:pPr>
              <w:pStyle w:val="TableContents"/>
              <w:spacing w:before="0" w:after="283"/>
              <w:jc w:val="left"/>
              <w:rPr/>
            </w:pPr>
            <w:r>
              <w:fldChar w:fldCharType="begin"/>
            </w:r>
            <w:r>
              <w:instrText> HYPERLINK "https://www.sec.gov/Archives/edgar/data/1721181/000119312518103463/d674579dex104.htm" \l "ex10_4674579_68" \n _blank</w:instrText>
            </w:r>
            <w:r>
              <w:fldChar w:fldCharType="separate"/>
            </w:r>
            <w:r>
              <w:rPr>
                <w:rStyle w:val="InternetLink"/>
              </w:rPr>
              <w:t>until the Original Lender assigns its rights (claims) under this Agreement and the Guarantee to any person to whom it assigns its rights under the Loan Agreement pursuant to Article 9.2 (</w:t>
            </w:r>
            <w:r>
              <w:fldChar w:fldCharType="end"/>
            </w:r>
            <w:r>
              <w:rPr>
                <w:rStyle w:val="InternetLink"/>
                <w:i/>
              </w:rPr>
              <w:t>Transfer of Rights by the Lenders</w:t>
            </w:r>
            <w:r>
              <w:rPr>
                <w:rStyle w:val="InternetLink"/>
              </w:rPr>
              <w:t>), all references to the Credit Agent and the Lenders shall mean references to the Original Lender. For the avoidance of doubt, this Clause (a) does not limit the obligations of the Guarantor provided for by Clause (b) of Article 9.2;</w:t>
            </w:r>
            <w:r>
              <w:rPr/>
              <w:t xml:space="preserv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a reference to the Credit Agent, the Organizer, the Financing Party, the Original Lender, the Lender, the Borrower, the Guarantor or a Party also implies a reference to their successors by virtue of law, the Loan Agreement or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6" w:type="dxa"/>
            <w:tcBorders/>
            <w:shd w:fill="auto" w:val="clear"/>
          </w:tcPr>
          <w:p>
            <w:pPr>
              <w:pStyle w:val="TableContents"/>
              <w:spacing w:before="0" w:after="283"/>
              <w:jc w:val="left"/>
              <w:rPr/>
            </w:pPr>
            <w:r>
              <w:rPr/>
              <w:t xml:space="preserve">a document in a harmonized form means a document agreed in writing by the Credit Agent and the Guarantor or a document drawn up in a form acceptable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assets include existing or future property, income and rights of any kind;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w:t>
            </w:r>
          </w:p>
        </w:tc>
        <w:tc>
          <w:tcPr>
            <w:tcW w:w="7555" w:type="dxa"/>
            <w:tcBorders/>
            <w:shd w:fill="auto" w:val="clear"/>
          </w:tcPr>
          <w:p>
            <w:pPr>
              <w:pStyle w:val="TableContents"/>
              <w:spacing w:before="0" w:after="283"/>
              <w:jc w:val="left"/>
              <w:rPr/>
            </w:pPr>
            <w:r>
              <w:rPr/>
              <w:t xml:space="preserve">a reference to the Financial Document or another agreement, document or financial instrument implies such Financial Document or another agreement, document or financial instrument as amended from time to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(vi)</w:t>
            </w:r>
          </w:p>
        </w:tc>
        <w:tc>
          <w:tcPr>
            <w:tcW w:w="7553" w:type="dxa"/>
            <w:tcBorders/>
            <w:shd w:fill="auto" w:val="clear"/>
          </w:tcPr>
          <w:p>
            <w:pPr>
              <w:pStyle w:val="TableContents"/>
              <w:spacing w:before="0" w:after="283"/>
              <w:jc w:val="left"/>
              <w:rPr/>
            </w:pPr>
            <w:r>
              <w:rPr/>
              <w:t xml:space="preserve">a person includes any individual, legal entity, governmental authority, government or state;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(vii)</w:t>
            </w:r>
          </w:p>
        </w:tc>
        <w:tc>
          <w:tcPr>
            <w:tcW w:w="7552" w:type="dxa"/>
            <w:tcBorders/>
            <w:shd w:fill="auto" w:val="clear"/>
          </w:tcPr>
          <w:p>
            <w:pPr>
              <w:pStyle w:val="TableContents"/>
              <w:spacing w:before="0" w:after="283"/>
              <w:jc w:val="left"/>
              <w:rPr/>
            </w:pPr>
            <w:r>
              <w:rPr/>
              <w:t>“</w:t>
            </w:r>
            <w:r>
              <w:rPr/>
              <w:t xml:space="preserve">laws” means any law, ordinance, decree, order, resolution, provision, rule, commissioner orders, requirements or recommendations of any legislative or executive state, municipal, interstate or international authority, ministry, department, service, agency or committee or any judicial body, as well as standards and rules of self-regulatory organizations that are mandatory for members of such self-regulating organizations (exclusively with respect to members of such self-regulating organizations);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(viii)</w:t>
            </w:r>
          </w:p>
        </w:tc>
        <w:tc>
          <w:tcPr>
            <w:tcW w:w="7552" w:type="dxa"/>
            <w:tcBorders/>
            <w:shd w:fill="auto" w:val="clear"/>
          </w:tcPr>
          <w:p>
            <w:pPr>
              <w:pStyle w:val="TableContents"/>
              <w:spacing w:before="0" w:after="283"/>
              <w:jc w:val="left"/>
              <w:rPr/>
            </w:pPr>
            <w:r>
              <w:rPr/>
              <w:t xml:space="preserve">a reference to a legislative provision means a reference to such a provision as amended from time to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(ix)</w:t>
            </w:r>
          </w:p>
        </w:tc>
        <w:tc>
          <w:tcPr>
            <w:tcW w:w="7554" w:type="dxa"/>
            <w:tcBorders/>
            <w:shd w:fill="auto" w:val="clear"/>
          </w:tcPr>
          <w:p>
            <w:pPr>
              <w:pStyle w:val="TableContents"/>
              <w:spacing w:before="0" w:after="283"/>
              <w:jc w:val="left"/>
              <w:rPr/>
            </w:pPr>
            <w:r>
              <w:rPr/>
              <w:t xml:space="preserve">it is understood that the words “include” and “including”, as well as the expression “inter alia” are accompanied by the words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(x)</w:t>
            </w:r>
          </w:p>
        </w:tc>
        <w:tc>
          <w:tcPr>
            <w:tcW w:w="7555" w:type="dxa"/>
            <w:tcBorders/>
            <w:shd w:fill="auto" w:val="clear"/>
          </w:tcPr>
          <w:p>
            <w:pPr>
              <w:pStyle w:val="TableContents"/>
              <w:spacing w:before="0" w:after="283"/>
              <w:jc w:val="left"/>
              <w:rPr/>
            </w:pPr>
            <w:r>
              <w:rPr/>
              <w:t xml:space="preserve">Article, Sub-Clause, Clause or Appendix means a reference to an Article, Sub-Clause, Clause of this Agreement or an Appendix hereto;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(xi)</w:t>
            </w:r>
          </w:p>
        </w:tc>
        <w:tc>
          <w:tcPr>
            <w:tcW w:w="7555" w:type="dxa"/>
            <w:tcBorders/>
            <w:shd w:fill="auto" w:val="clear"/>
          </w:tcPr>
          <w:p>
            <w:pPr>
              <w:pStyle w:val="TableContents"/>
              <w:spacing w:before="0" w:after="283"/>
              <w:jc w:val="left"/>
              <w:rPr/>
            </w:pPr>
            <w:r>
              <w:rPr/>
              <w:t xml:space="preserve">an indication of time means Moscow time, unless otherwise specifically indicated in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(xii)</w:t>
            </w:r>
          </w:p>
        </w:tc>
        <w:tc>
          <w:tcPr>
            <w:tcW w:w="7551" w:type="dxa"/>
            <w:tcBorders/>
            <w:shd w:fill="auto" w:val="clear"/>
          </w:tcPr>
          <w:p>
            <w:pPr>
              <w:pStyle w:val="TableContents"/>
              <w:spacing w:before="0" w:after="283"/>
              <w:jc w:val="left"/>
              <w:rPr/>
            </w:pPr>
            <w:r>
              <w:rPr/>
              <w:t xml:space="preserve">the term “debt” includes any obligation (including, but not limited to a guarantee-based obligation) to pay or return cash, including, but not limited to any contingent transaction;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(xiii)</w:t>
            </w:r>
          </w:p>
        </w:tc>
        <w:tc>
          <w:tcPr>
            <w:tcW w:w="7553" w:type="dxa"/>
            <w:tcBorders/>
            <w:shd w:fill="auto" w:val="clear"/>
          </w:tcPr>
          <w:p>
            <w:pPr>
              <w:pStyle w:val="TableContents"/>
              <w:spacing w:before="0" w:after="283"/>
              <w:jc w:val="left"/>
              <w:rPr/>
            </w:pPr>
            <w:r>
              <w:rPr/>
              <w:t xml:space="preserve">a reference to the Lenders is a reference to all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headings in this Agreement shall not be deemed as affecting its interpretation.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w:t>
            </w:r>
          </w:p>
        </w:tc>
        <w:tc>
          <w:tcPr>
            <w:tcW w:w="9390" w:type="dxa"/>
            <w:tcBorders/>
            <w:shd w:fill="auto" w:val="clear"/>
          </w:tcPr>
          <w:p>
            <w:pPr>
              <w:pStyle w:val="TableContents"/>
              <w:spacing w:before="0" w:after="283"/>
              <w:jc w:val="left"/>
              <w:rPr/>
            </w:pPr>
            <w:r>
              <w:rPr>
                <w:b/>
              </w:rPr>
              <w:t>INDEPENDENT GUARANTEE AND REIMBURSEMENT OF LOSSES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w:t>
            </w:r>
          </w:p>
        </w:tc>
        <w:tc>
          <w:tcPr>
            <w:tcW w:w="9388" w:type="dxa"/>
            <w:tcBorders/>
            <w:shd w:fill="auto" w:val="clear"/>
          </w:tcPr>
          <w:p>
            <w:pPr>
              <w:pStyle w:val="TableContents"/>
              <w:spacing w:before="0" w:after="283"/>
              <w:jc w:val="left"/>
              <w:rPr/>
            </w:pPr>
            <w:r>
              <w:rPr>
                <w:b/>
              </w:rPr>
              <w:t>Independent Guarantee</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at the request of the Borrower, issue a Guarantee and hereby undertakes to pay such amount within the Guarantee Amount as specified in the Payment Claim to the Original Lender (or to pay such amount to the Credit Agent for distribution among the Lenders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if the Borrower fails to fulfill the Secured Obligations, regardless of the validity of the Loan Agreement, the Secured Obligations, as well as relations between the Guarantor and the Borrower, and other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2.2.</w:t>
            </w:r>
          </w:p>
        </w:tc>
        <w:tc>
          <w:tcPr>
            <w:tcW w:w="9390" w:type="dxa"/>
            <w:tcBorders/>
            <w:shd w:fill="auto" w:val="clear"/>
          </w:tcPr>
          <w:p>
            <w:pPr>
              <w:pStyle w:val="TableContents"/>
              <w:spacing w:before="0" w:after="283"/>
              <w:jc w:val="left"/>
              <w:rPr/>
            </w:pPr>
            <w:r>
              <w:rPr>
                <w:b/>
              </w:rPr>
              <w:t>Reimbursement for Losses</w:t>
            </w:r>
            <w:r>
              <w:rPr/>
              <w:t xml:space="preserve"> </w:t>
            </w:r>
          </w:p>
        </w:tc>
      </w:tr>
    </w:tbl>
    <w:p>
      <w:pPr>
        <w:pStyle w:val="TextBody"/>
        <w:spacing w:before="120" w:after="0"/>
        <w:rPr>
          <w:rFonts w:ascii="Times New Roman" w:hAnsi="Times New Roman"/>
          <w:sz w:val="20"/>
        </w:rPr>
      </w:pPr>
      <w:r>
        <w:rPr>
          <w:rFonts w:ascii="Times New Roman" w:hAnsi="Times New Roman"/>
          <w:sz w:val="20"/>
        </w:rPr>
        <w:t>In accordance with Article 4061 of the Civil Code, the Guarantor hereby undertakes an independent and primary obligation to the Lenders that if any Secured Obligation is or becomes invalid, illegal and (or) unenforceable, the Guarantor shall, at the request of the Credit Agent, unconditionally reimburse each of the Lenders for an amount of any expenses, commissions, costs and losses (except for loss of profit) that they incur (inter alia, as the Lender, Organizer and Credit Agent) as a result of non-payment of any amount which would have been payable under the Loan Agreement as of the date of such payment or performance of an obligation if such invalidity, illegality and (or) unenforceability of the Secured Obligations did not occur. Any amounts payable by the Guarantor in accordance with this Article 2.2 shall not exceed the amount that the Guarantor would have to pay under Article 2.1 (</w:t>
      </w:r>
      <w:r>
        <w:rPr>
          <w:rFonts w:ascii="Times New Roman" w:hAnsi="Times New Roman"/>
          <w:i/>
          <w:sz w:val="20"/>
        </w:rPr>
        <w:t>Independent Guarantee</w:t>
      </w:r>
      <w:r>
        <w:rPr>
          <w:rFonts w:ascii="Times New Roman" w:hAnsi="Times New Roman"/>
          <w:sz w:val="20"/>
        </w:rPr>
        <w:t xml:space="preserve">), as if the claimed amount was subject to reimbursement pursuant to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pPr>
            <w:r>
              <w:rPr>
                <w:b/>
              </w:rPr>
              <w:t>REPRESENTATIONS OF GUARANTOR’S CIRCUMSTANCES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b/>
              </w:rPr>
              <w:t>Guarantor’s Representations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submit the Original Lender the representations of circumstances specified in this Article 3. The Original Lender relies on such representations of circumstances of the Guarantor, and their credibility is of fundamental importance to the Original Lender.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b/>
              </w:rPr>
              <w:t>Status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is a legal entity duly incorporated and legally acting under the laws of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 Guarantor is the full owner of the property belonging to it and carries out its activities under the applicable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b/>
              </w:rPr>
              <w:t>Legal Capacity and Authority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has the legal capacity and authority to enter into and perform this Agreement, the Guarantee and each Financial Document to which the Guarantor is party and the transactions provided for thereby; and the Guarantor obtained all necessary approvals for the execution and performance of this Agreement, the Guarantee and each Financial Document to which the Guarantor is a party, in the manner provided for by law and the Guarantor’s constituent and other internal regulations, including approval of transactions provided for in this Agreement, the Guarantee and each Financial Document to which the Guarantor is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A person acting on behalf of the Guarantor has the authority to enter into this Agreement, the Guarantee and each Financial Document to which the Guarantor is a party.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b/>
              </w:rPr>
              <w:t>Validity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This Agreement, the Guarantee and each Financial Document to which the Guarantor is a party are a legitimate, valid, binding and enforceable obligation of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This Agreement, the Guarantee and each Financial Document to which the Guarantor is a party are drawn up in a form ensuring the enforceability thereof in the Russian Federation and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5" w:type="dxa"/>
            <w:tcBorders/>
            <w:shd w:fill="auto" w:val="clear"/>
          </w:tcPr>
          <w:p>
            <w:pPr>
              <w:pStyle w:val="TableContents"/>
              <w:spacing w:before="0" w:after="283"/>
              <w:jc w:val="left"/>
              <w:rPr/>
            </w:pPr>
            <w:r>
              <w:rPr>
                <w:b/>
              </w:rPr>
              <w:t>Absence of Contradictions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execution and performance of this Agreement, the Guarantee and each Financial Document to which the Guarantor is a party and the transactions thereunder by the Guarantor do not contradict: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any applicable laws;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its constituent and other internal regulations;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any resolutions of its management bodies;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(iv)</w:t>
            </w:r>
          </w:p>
        </w:tc>
        <w:tc>
          <w:tcPr>
            <w:tcW w:w="7553" w:type="dxa"/>
            <w:tcBorders/>
            <w:shd w:fill="auto" w:val="clear"/>
          </w:tcPr>
          <w:p>
            <w:pPr>
              <w:pStyle w:val="TableContents"/>
              <w:spacing w:before="0" w:after="283"/>
              <w:jc w:val="left"/>
              <w:rPr/>
            </w:pPr>
            <w:r>
              <w:rPr/>
              <w:t xml:space="preserve">any other documents or agreements that are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b/>
              </w:rPr>
              <w:t>Compliance with Legislation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The Guarantor’s business shall comply with the applicable laws in all aspects that the Credit Agent considers significant. The Guarantor shall timely submit tax returns and pay taxes in such terms and in such amounts as provided for by any applicable laws in all aspects that the Credit Agent considers significant.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5" w:type="dxa"/>
            <w:tcBorders/>
            <w:shd w:fill="auto" w:val="clear"/>
          </w:tcPr>
          <w:p>
            <w:pPr>
              <w:pStyle w:val="TableContents"/>
              <w:spacing w:before="0" w:after="283"/>
              <w:jc w:val="left"/>
              <w:rPr/>
            </w:pPr>
            <w:r>
              <w:rPr>
                <w:b/>
              </w:rPr>
              <w:t>Absence of Default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execution or performance of this Agreement, the Guarantee and each Financial Document to which the Guarantor is a party and the transactions thereunder does not and will not result in any Default;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There are no other events or circumstances constituting a default under any document that is binding on the Guarantor or sets limits on the disposal of its property, and which have or are reasonably likely to have the Material Negative Impact.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3" w:type="dxa"/>
            <w:tcBorders/>
            <w:shd w:fill="auto" w:val="clear"/>
          </w:tcPr>
          <w:p>
            <w:pPr>
              <w:pStyle w:val="TableContents"/>
              <w:spacing w:before="0" w:after="283"/>
              <w:jc w:val="left"/>
              <w:rPr/>
            </w:pPr>
            <w:r>
              <w:rPr>
                <w:b/>
              </w:rPr>
              <w:t>Permits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As of the date of this Agreement, the Guarantor has obtained and maintains all the permits and consents required in connection with the conclusion, performance, maintenance, enforceability of this Agreement, the Guarantee, each Financial Document, to which the Guarantor is a party, and the transactions thereunder and introduction of the above-mentioned documents and transactions as evidence in trials.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b/>
              </w:rPr>
              <w:t>Registration Requirements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It is not required to perform any notarial acts or to register this Agreement or the Guarantee, inter alia, with any government authorities or institutions of the Russian Federation and/or the Republic of Cyprus, or to pay respective duties in connection with this Agreement and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8474" w:type="dxa"/>
            <w:tcBorders/>
            <w:shd w:fill="auto" w:val="clear"/>
          </w:tcPr>
          <w:p>
            <w:pPr>
              <w:pStyle w:val="TableContents"/>
              <w:spacing w:before="0" w:after="283"/>
              <w:jc w:val="left"/>
              <w:rPr/>
            </w:pPr>
            <w:r>
              <w:rPr>
                <w:b/>
              </w:rPr>
              <w:t>Financial Statements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The most recent financial statements of the Group (and each member of the Group) provided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7"/>
        <w:gridCol w:w="6636"/>
      </w:tblGrid>
      <w:tr>
        <w:trPr/>
        <w:tc>
          <w:tcPr>
            <w:tcW w:w="265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are prepared in accordance with the Applicable Accounting Standards;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7"/>
        <w:gridCol w:w="6635"/>
      </w:tblGrid>
      <w:tr>
        <w:trPr/>
        <w:tc>
          <w:tcPr>
            <w:tcW w:w="265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in all material respects, reliably reflect its financial position (if applicable, on a consolidated basis) as of the date of the preparation thereof, </w:t>
            </w:r>
          </w:p>
        </w:tc>
      </w:tr>
    </w:tbl>
    <w:p>
      <w:pPr>
        <w:pStyle w:val="TextBody"/>
        <w:spacing w:before="120" w:after="0"/>
        <w:rPr>
          <w:rFonts w:ascii="Times New Roman" w:hAnsi="Times New Roman"/>
          <w:sz w:val="20"/>
        </w:rPr>
      </w:pPr>
      <w:r>
        <w:rPr>
          <w:rFonts w:ascii="Times New Roman" w:hAnsi="Times New Roman"/>
          <w:sz w:val="20"/>
        </w:rPr>
        <w:t xml:space="preserve">except, in each case, where otherwise indicated in such financial statements.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There have been no events that could have the Material Negative Impact since the date on which the financial statements referred to in Clause (a) above are prepared.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4" w:type="dxa"/>
            <w:tcBorders/>
            <w:shd w:fill="auto" w:val="clear"/>
          </w:tcPr>
          <w:p>
            <w:pPr>
              <w:pStyle w:val="TableContents"/>
              <w:spacing w:before="0" w:after="283"/>
              <w:jc w:val="left"/>
              <w:rPr/>
            </w:pPr>
            <w:r>
              <w:rPr>
                <w:b/>
              </w:rPr>
              <w:t>Judicial Proceedings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judicial, arbitration or administrative proceedings against the Guarantor are initiated or, to the best of the knowledge of the Guarantor, are expected to be initiated; and there are taken no investigative actions as a result of which any adverse resolutions that can have the Material Negative Impact are made or are highly likely to be made.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(k)</w:t>
            </w:r>
          </w:p>
        </w:tc>
        <w:tc>
          <w:tcPr>
            <w:tcW w:w="8471" w:type="dxa"/>
            <w:tcBorders/>
            <w:shd w:fill="auto" w:val="clear"/>
          </w:tcPr>
          <w:p>
            <w:pPr>
              <w:pStyle w:val="TableContents"/>
              <w:spacing w:before="0" w:after="283"/>
              <w:jc w:val="left"/>
              <w:rPr/>
            </w:pPr>
            <w:r>
              <w:rPr>
                <w:b/>
              </w:rPr>
              <w:t>Information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7"/>
        <w:gridCol w:w="7556"/>
      </w:tblGrid>
      <w:tr>
        <w:trPr/>
        <w:tc>
          <w:tcPr>
            <w:tcW w:w="173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All such actual information having, in the opinion of the Credit Agent, the essential value as submitted by the Guarantor to the Parties to the Financing in connection with the Financial Documents to which the Guarantor is a party is true and accurate as of the submission date or (as the case may be) on a date (if any) which is indicated as the submission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Guarantor did not conceal any information which, if disclosed, would lead to the fact that any other information specified in Sub-Clause (i) above would become unreliable or misleading to a material extent in the opinion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As of the date of this Agreement and the first Disbursement Date from the date of provision of the information specified in Clause (i) above, there were no circumstances that, if disclosed, would lead to the fact that the provided information would become unreliable or misleading to a material extent in the opinion of the Credit Agent.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(l)</w:t>
            </w:r>
          </w:p>
        </w:tc>
        <w:tc>
          <w:tcPr>
            <w:tcW w:w="8476" w:type="dxa"/>
            <w:tcBorders/>
            <w:shd w:fill="auto" w:val="clear"/>
          </w:tcPr>
          <w:p>
            <w:pPr>
              <w:pStyle w:val="TableContents"/>
              <w:spacing w:before="0" w:after="283"/>
              <w:jc w:val="left"/>
              <w:rPr/>
            </w:pPr>
            <w:r>
              <w:rPr>
                <w:b/>
              </w:rPr>
              <w:t>Loans Granted</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did not provide any loans to third parties that are not the Debtors, except for the Permitted Loans.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(m)</w:t>
            </w:r>
          </w:p>
        </w:tc>
        <w:tc>
          <w:tcPr>
            <w:tcW w:w="8470" w:type="dxa"/>
            <w:tcBorders/>
            <w:shd w:fill="auto" w:val="clear"/>
          </w:tcPr>
          <w:p>
            <w:pPr>
              <w:pStyle w:val="TableContents"/>
              <w:spacing w:before="0" w:after="283"/>
              <w:jc w:val="left"/>
              <w:rPr/>
            </w:pPr>
            <w:r>
              <w:rPr>
                <w:b/>
              </w:rPr>
              <w:t>Levies and Duties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state or registration duties or taxes or levies in connection with this Agreement and the Guarantee must be paid as of the date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(n)</w:t>
            </w:r>
          </w:p>
        </w:tc>
        <w:tc>
          <w:tcPr>
            <w:tcW w:w="8474" w:type="dxa"/>
            <w:tcBorders/>
            <w:shd w:fill="auto" w:val="clear"/>
          </w:tcPr>
          <w:p>
            <w:pPr>
              <w:pStyle w:val="TableContents"/>
              <w:spacing w:before="0" w:after="283"/>
              <w:jc w:val="left"/>
              <w:rPr/>
            </w:pPr>
            <w:r>
              <w:rPr>
                <w:b/>
              </w:rPr>
              <w:t>Regulated Procurement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provisions of the Law on Regulated Procurement are applied to the execution and performance of this Agreement, the Guarantee and the Financial Documents to which the Guarantor is a party, by the Guarantor as of the date of this Agreement. The Guarantor does not give this representation concerning application of the Law on Regulated Procurement to any Party to the Financing.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w:t>
            </w:r>
          </w:p>
        </w:tc>
        <w:tc>
          <w:tcPr>
            <w:tcW w:w="9389" w:type="dxa"/>
            <w:tcBorders/>
            <w:shd w:fill="auto" w:val="clear"/>
          </w:tcPr>
          <w:p>
            <w:pPr>
              <w:pStyle w:val="TableContents"/>
              <w:spacing w:before="0" w:after="283"/>
              <w:jc w:val="left"/>
              <w:rPr/>
            </w:pPr>
            <w:r>
              <w:rPr>
                <w:b/>
              </w:rPr>
              <w:t>Term of Provision of Representations of Guarantor’s Circumstances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The Guarantor shall submit the representations of circumstances specified in this Article 3 as of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6" w:type="dxa"/>
            <w:tcBorders/>
            <w:shd w:fill="auto" w:val="clear"/>
          </w:tcPr>
          <w:p>
            <w:pPr>
              <w:pStyle w:val="TableContents"/>
              <w:spacing w:before="0" w:after="283"/>
              <w:jc w:val="left"/>
              <w:rPr/>
            </w:pPr>
            <w:r>
              <w:rPr/>
              <w:t xml:space="preserve">Except where any Representations of Circumstances shall be submitted on a certain date, all Representations of Circumstances are considered to be submitted by the Guarantor subsequently on the date of each Disbursement Request, on each Disbursement Date and on the first day of each 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If any Representations of Circumstances are provided again, they are extended to the circumstances existing at the time of their subsequent submission.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4.</w:t>
            </w:r>
          </w:p>
        </w:tc>
        <w:tc>
          <w:tcPr>
            <w:tcW w:w="9388" w:type="dxa"/>
            <w:tcBorders/>
            <w:shd w:fill="auto" w:val="clear"/>
          </w:tcPr>
          <w:p>
            <w:pPr>
              <w:pStyle w:val="TableContents"/>
              <w:spacing w:before="0" w:after="283"/>
              <w:jc w:val="left"/>
              <w:rPr/>
            </w:pPr>
            <w:r>
              <w:rPr>
                <w:b/>
              </w:rPr>
              <w:t>OBLIGATIONS AND LIABILITY OF THE 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w:t>
            </w:r>
          </w:p>
        </w:tc>
        <w:tc>
          <w:tcPr>
            <w:tcW w:w="9388" w:type="dxa"/>
            <w:tcBorders/>
            <w:shd w:fill="auto" w:val="clear"/>
          </w:tcPr>
          <w:p>
            <w:pPr>
              <w:pStyle w:val="TableContents"/>
              <w:spacing w:before="0" w:after="283"/>
              <w:jc w:val="left"/>
              <w:rPr/>
            </w:pPr>
            <w:r>
              <w:rPr>
                <w:b/>
              </w:rPr>
              <w:t>Obligations of the Guarantor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is obliged for the entire Guarantee Validity Term in respect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b/>
              </w:rPr>
              <w:t>Financial Statements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ensure that the Borrower provides the Credit Agent with a number of certified copies of the following documents that is sufficient for all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consolidated financial statements of the Group for each fiscal year approved by the Auditors and prepared in accordance with IFRS as soon as they become available, but in any case, within 180 (one hundred and eighty) days from the end date of such fiscal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consolidated financial statements of the Group for each fiscal half a year reviewed by the Auditors and prepared in accordance with IFRS as soon as they become available, but in any case, within 120 (one hundred and twenty) days from the end date of such fiscal half a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the Group’s management statements for each quarter of the relevant fiscal year (including a profit and loss statement, a balance sheet and a cash flow statement) prepared in accordance with IFRS as soon as they become available, but in any case, within 60 (sixty) days from the end of such quarter of the relevant fiscal year; and </w:t>
            </w:r>
          </w:p>
        </w:tc>
      </w:tr>
    </w:tbl>
    <w:p>
      <w:pPr>
        <w:pStyle w:val="TextBody"/>
        <w:spacing w:before="0" w:after="0"/>
        <w:rPr/>
      </w:pPr>
      <w:r>
        <w:rPr/>
        <w: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the financial statements (including a profit and loss statement, a balance sheet and a cash flow statement) of the Borrower and Headhunter for each quarter of the relevant fiscal year prepared under RAS as soon as they become available, but in any case, within 40 (forty) days from the end date of such quarter of the relevant fiscal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b/>
              </w:rPr>
              <w:t>Requirements to the Financial Statements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ensure that each set of financial statements provided in accordance with Article 17.1 (</w:t>
      </w:r>
      <w:r>
        <w:rPr>
          <w:rFonts w:ascii="Times New Roman" w:hAnsi="Times New Roman"/>
          <w:i/>
          <w:sz w:val="20"/>
        </w:rPr>
        <w:t>Financial Statements</w:t>
      </w:r>
      <w:r>
        <w:rPr>
          <w:rFonts w:ascii="Times New Roman" w:hAnsi="Times New Roman"/>
          <w:sz w:val="20"/>
        </w:rPr>
        <w:t xml:space="preserve">) of the Loan Agreement is prepared using the same accounting principles and for the same accounting periods that applied in preparation of the last reported Group financial statements (except for a possible change in accounting for capitalization of internal development). If any Debtor notifies the Credit Agent of any changes in accounting principles or reporting periods, the Guarantor agrees to ensure that its Auditors and auditors of the relevant Debtor provide the Credit Agent with: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a description of the changes to be made in the relevant financial statements in order to reflect changes in accounting principles and reporting periods that applied in preparation of the Original Financial Statements of the Group or the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information in a form and content that meet the requirements of the Credit Agent and are sufficient to ensure that the Lenders can verify that the Borrower complies with the requirements of Article 18 (</w:t>
            </w:r>
            <w:r>
              <w:rPr>
                <w:i/>
              </w:rPr>
              <w:t>Financial Indicator Compliance Obligation</w:t>
            </w:r>
            <w:r>
              <w:rPr/>
              <w:t xml:space="preserve">) of the Loan Agreement and can adequately assess the Debtor’s financial position in accordance with the current financial statements compared to the Original Financial Statements of such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b/>
              </w:rPr>
              <w:t>Information: Other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provide the Credit Agent with: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6"/>
        <w:gridCol w:w="6636"/>
      </w:tblGrid>
      <w:tr>
        <w:trPr/>
        <w:tc>
          <w:tcPr>
            <w:tcW w:w="265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simultaneously with sending to addressees, copies of all documents sent to all Guarantor’s lenders, or in case of any circumstances that have the Material Negative Impact, copies of all documents sent to all Guarantor’s members;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immediately after it becomes aware of the following facts, but within 5 Business Days from the date on which it becomes aware of such facts, details of any judicial, commercial, arbitration or administrative proceedings, including any investigative actions which result in or are highly likely to result in making any decisions, as a result of which the Group’s expenses will exceed 2.5 (two point five) percent of the Consolidated EBITDA;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7"/>
        <w:gridCol w:w="6633"/>
      </w:tblGrid>
      <w:tr>
        <w:trPr/>
        <w:tc>
          <w:tcPr>
            <w:tcW w:w="265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6633" w:type="dxa"/>
            <w:tcBorders/>
            <w:shd w:fill="auto" w:val="clear"/>
          </w:tcPr>
          <w:p>
            <w:pPr>
              <w:pStyle w:val="TableContents"/>
              <w:spacing w:before="0" w:after="283"/>
              <w:jc w:val="left"/>
              <w:rPr/>
            </w:pPr>
            <w:r>
              <w:rPr/>
              <w:t xml:space="preserve">immediately upon its request, but within 5 (five) days from the date of the request, such additional information on the financial position and economic activities of any member of the Group that the Credit Agent may require in the interests of any Party to the Financing.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Guarantor shall notify the Credit Agent in writing of any of the following events immediately after the Guarantor becomes aware of them: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4" w:type="dxa"/>
            <w:tcBorders/>
            <w:shd w:fill="auto" w:val="clear"/>
          </w:tcPr>
          <w:p>
            <w:pPr>
              <w:pStyle w:val="TableContents"/>
              <w:spacing w:before="0" w:after="283"/>
              <w:jc w:val="left"/>
              <w:rPr/>
            </w:pPr>
            <w:r>
              <w:rPr/>
              <w:t xml:space="preserve">filing of a bankruptcy petition against the Pledgor to an arbitration court,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6"/>
        <w:gridCol w:w="6634"/>
      </w:tblGrid>
      <w:tr>
        <w:trPr/>
        <w:tc>
          <w:tcPr>
            <w:tcW w:w="265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6634" w:type="dxa"/>
            <w:tcBorders/>
            <w:shd w:fill="auto" w:val="clear"/>
          </w:tcPr>
          <w:p>
            <w:pPr>
              <w:pStyle w:val="TableContents"/>
              <w:spacing w:before="0" w:after="283"/>
              <w:jc w:val="left"/>
              <w:rPr/>
            </w:pPr>
            <w:r>
              <w:rPr/>
              <w:t xml:space="preserve">publication of a notice of the intention to apply with such petition in the manner prescribed by law;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6634" w:type="dxa"/>
            <w:tcBorders/>
            <w:shd w:fill="auto" w:val="clear"/>
          </w:tcPr>
          <w:p>
            <w:pPr>
              <w:pStyle w:val="TableContents"/>
              <w:spacing w:before="0" w:after="283"/>
              <w:jc w:val="left"/>
              <w:rPr/>
            </w:pPr>
            <w:r>
              <w:rPr/>
              <w:t xml:space="preserve">impending filing of a bankruptcy petition on the basis of a received notice from a person intending to apply.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b/>
              </w:rPr>
              <w:t>Auditors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change its Auditors without the consent of the Majority of the Lenders, except for the Auditors for the financial statements of the Group and of its members prepared in accordance with IFRS, approved or authorized pursuant to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b/>
              </w:rPr>
              <w:t>Notice of Default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notify the Credit Agent of any Default (and measures, if any, to eliminate such Default) immediately after it becomes aware of this fact if the Borrower has not notified the Credit Agent of such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At the request of the Credit Agent, the Guarantor agrees to submit to the Credit Agent an application signed by the sole executive body or an authorized representative of the Guarantor certifying that the Default has been eliminated or, if the Default continues, explaining the measures taken to eliminate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4" w:type="dxa"/>
            <w:tcBorders/>
            <w:shd w:fill="auto" w:val="clear"/>
          </w:tcPr>
          <w:p>
            <w:pPr>
              <w:pStyle w:val="TableContents"/>
              <w:spacing w:before="0" w:after="283"/>
              <w:jc w:val="left"/>
              <w:rPr/>
            </w:pPr>
            <w:r>
              <w:rPr>
                <w:b/>
              </w:rPr>
              <w:t>Client Data Verification</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provide and undertakes to ensure that each of its Subsidiaries provides the Credit Agent with information and documents for the purposes of Article 17.8 (</w:t>
      </w:r>
      <w:r>
        <w:rPr>
          <w:rFonts w:ascii="Times New Roman" w:hAnsi="Times New Roman"/>
          <w:i/>
          <w:sz w:val="20"/>
        </w:rPr>
        <w:t>Client Data Verification</w:t>
      </w:r>
      <w:r>
        <w:rPr>
          <w:rFonts w:ascii="Times New Roman" w:hAnsi="Times New Roman"/>
          <w:sz w:val="20"/>
        </w:rPr>
        <w:t xml:space="preserve">) of the Loan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b/>
              </w:rPr>
              <w:t>Permissions and Corporate Approvals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timely receive, maintain and comply with and undertakes to ensure that each of its Subsidiaries timely receives, maintains and complies with the terms and conditions of any permits, consents and corporate approvals required by any applicable law in order to fulfill its obligations under the Financial Documents to which it is a party and to enable the use of the Financial Documents as evidence in arbitration proceedings and in courts of relevant jurisdictions, including arbitration courts.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Except for obtaining of a license to work with personal data in the Republic of Azerbaijan, the Guarantor shall timely receive, maintain and comply with and undertakes to ensure that each of its Subsidiaries timely receives, maintains and complies with any permits, consents required under any applicable laws to conduct business activities of any member of the Group in the manner in which such business is carried out.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(h)</w:t>
            </w:r>
          </w:p>
        </w:tc>
        <w:tc>
          <w:tcPr>
            <w:tcW w:w="8476" w:type="dxa"/>
            <w:tcBorders/>
            <w:shd w:fill="auto" w:val="clear"/>
          </w:tcPr>
          <w:p>
            <w:pPr>
              <w:pStyle w:val="TableContents"/>
              <w:spacing w:before="0" w:after="283"/>
              <w:jc w:val="left"/>
              <w:rPr/>
            </w:pPr>
            <w:r>
              <w:rPr>
                <w:b/>
              </w:rPr>
              <w:t>Prohibition Against Encumbrance of Assets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create or allow and undertakes to ensure that each of the Subsidiaries of the Guarantor does not create or allow any Encumbrance on its assets without the prior written consent of the Credit Agent, except for: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Encumbrance of assets (except for those specified in Clause (d) below, without double counting) whose aggregate book value at any time does not exceed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Encumbrance arising under the Security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any Encumbrance arising by virtue of law in the ordinary course of business;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any Encumbrance in the form of the right to debit funds from an account with a prior acceptance by the payer or a similar debiting right if this results in debiting of such funds in an amount of not more than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8473" w:type="dxa"/>
            <w:tcBorders/>
            <w:shd w:fill="auto" w:val="clear"/>
          </w:tcPr>
          <w:p>
            <w:pPr>
              <w:pStyle w:val="TableContents"/>
              <w:spacing w:before="0" w:after="283"/>
              <w:jc w:val="left"/>
              <w:rPr/>
            </w:pPr>
            <w:r>
              <w:rPr>
                <w:b/>
              </w:rPr>
              <w:t>Asset Disposal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Borrower shall not sell, lease or otherwise dispose of any of its assets or property without the prior written consent of the Credit Agent and undertakes to ensure that any Subsidiary of the Borrower does not sell, lease or otherwise dispose of any of its assets or property without the prior written consent of the Credit Agent, except for: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disposal of assets or property in the ordinary course of business;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disposal of assets or property as part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disposal of assets or property as part of restructuring due to the right of ownership to HEADHUNTER.KZ LLP;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disposal of assets or property of the members of the Group in such aggregate book or market value (whichever is greater) obtained as a result of one or more transactions made during each consecutive 12 (twelve) months, as does not exceed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(v)</w:t>
            </w:r>
          </w:p>
        </w:tc>
        <w:tc>
          <w:tcPr>
            <w:tcW w:w="7554"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 xml:space="preserve">disposal of shares of CV Keskus OU (a company registered at: Mustamae tee 46, Tallinna linn, Harju maakond 10621, registration number: 11325768) provided that the After-disposal Debt Ratio does not exceed the Debt Ratio as of the last Settlement Date. In order to comply with the After-Disposal Debt Ratio, the Guarantor (or another member of the Group) may, prior to payment of funds (obtained from CV Keskus OU shares sale) to another member of the Group or shareholders of Zemenik Trading, allocate a part of such funds (obtained from disposal of shares of CV Keskus OU) to a partial repayment of the Outstanding Loan under Article 8.3 (Voluntary Early Repayment of the Outstanding Loan) of the Loan Agreement. The Borrower shall, within 5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2649"/>
        <w:gridCol w:w="7555"/>
      </w:tblGrid>
      <w:tr>
        <w:trPr/>
        <w:tc>
          <w:tcPr>
            <w:tcW w:w="2649" w:type="dxa"/>
            <w:tcBorders/>
            <w:shd w:fill="auto" w:val="clear"/>
            <w:vAlign w:val="center"/>
          </w:tcPr>
          <w:p>
            <w:pPr>
              <w:pStyle w:val="TableContents"/>
              <w:spacing w:before="0" w:after="283"/>
              <w:rPr/>
            </w:pPr>
            <w:r>
              <w:rPr/>
              <w:t> </w:t>
            </w:r>
          </w:p>
        </w:tc>
        <w:tc>
          <w:tcPr>
            <w:tcW w:w="7555" w:type="dxa"/>
            <w:tcBorders/>
            <w:shd w:fill="auto" w:val="clear"/>
          </w:tcPr>
          <w:p>
            <w:pPr>
              <w:pStyle w:val="TableContents"/>
              <w:spacing w:before="0" w:after="283"/>
              <w:jc w:val="left"/>
              <w:rPr/>
            </w:pPr>
            <w:r>
              <w:rPr/>
              <w:t>(five) Business Days prior to the disposal of the shares of CV Keskus OU to the Credit Agent, submit the Credit Agent a certificate proving the Borrower’s fulfillment of the terms and conditions provided for in Clause (e) Article 19.3 (</w:t>
            </w:r>
            <w:r>
              <w:rPr>
                <w:i/>
              </w:rPr>
              <w:t>Asset Disposal</w:t>
            </w:r>
            <w:r>
              <w:rPr/>
              <w:t xml:space="preserve">) of the Loan Agreement. The Borrower or another member of the Group may pay funds obtained from disposal of shares of CV Keskus OU, to the shareholders of Zemenik Trading according to the disposal results only once.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w:t>
            </w:r>
          </w:p>
        </w:tc>
        <w:tc>
          <w:tcPr>
            <w:tcW w:w="7555" w:type="dxa"/>
            <w:tcBorders/>
            <w:shd w:fill="auto" w:val="clear"/>
          </w:tcPr>
          <w:p>
            <w:pPr>
              <w:pStyle w:val="TableContents"/>
              <w:spacing w:before="0" w:after="283"/>
              <w:jc w:val="left"/>
              <w:rPr/>
            </w:pPr>
            <w:r>
              <w:rPr/>
              <w:t xml:space="preserve">disposal of shares or participatory interest in the authorized capital of a member of the Group that is not the Debtor, except for CV Keskus OU, provided that after such disposal: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8"/>
        <w:gridCol w:w="6634"/>
      </w:tblGrid>
      <w:tr>
        <w:trPr/>
        <w:tc>
          <w:tcPr>
            <w:tcW w:w="265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6634" w:type="dxa"/>
            <w:tcBorders/>
            <w:shd w:fill="auto" w:val="clear"/>
          </w:tcPr>
          <w:p>
            <w:pPr>
              <w:pStyle w:val="TableContents"/>
              <w:spacing w:before="0" w:after="283"/>
              <w:jc w:val="left"/>
              <w:rPr/>
            </w:pPr>
            <w:r>
              <w:rPr/>
              <w:t xml:space="preserve">The Debt Indicator (as defined below) does not exceed 2.0:1;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7"/>
        <w:gridCol w:w="6633"/>
      </w:tblGrid>
      <w:tr>
        <w:trPr/>
        <w:tc>
          <w:tcPr>
            <w:tcW w:w="265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6633" w:type="dxa"/>
            <w:tcBorders/>
            <w:shd w:fill="auto" w:val="clear"/>
          </w:tcPr>
          <w:p>
            <w:pPr>
              <w:pStyle w:val="TableContents"/>
              <w:spacing w:before="0" w:after="283"/>
              <w:jc w:val="left"/>
              <w:rPr/>
            </w:pPr>
            <w:r>
              <w:rPr/>
              <w:t xml:space="preserve">after payment of the Allocated Amount, the Debt Indicator does not increase in comparison with the Debt Ratio as of the last Settlement Date. </w:t>
            </w:r>
          </w:p>
        </w:tc>
      </w:tr>
    </w:tbl>
    <w:p>
      <w:pPr>
        <w:pStyle w:val="TextBody"/>
        <w:spacing w:before="120" w:after="0"/>
        <w:rPr>
          <w:rFonts w:ascii="Times New Roman" w:hAnsi="Times New Roman"/>
          <w:sz w:val="20"/>
        </w:rPr>
      </w:pPr>
      <w:r>
        <w:rPr>
          <w:rFonts w:ascii="Times New Roman" w:hAnsi="Times New Roman"/>
          <w:sz w:val="20"/>
        </w:rPr>
        <w:t xml:space="preserve">The disposal under this Clause (vi) must be carried out at arm’s length and subject to the terms and conditions provided for in Clause (f) Article 19.3 (Asset Disposal) of the Loan Agreement. </w:t>
      </w:r>
    </w:p>
    <w:p>
      <w:pPr>
        <w:pStyle w:val="TextBody"/>
        <w:spacing w:before="120" w:after="0"/>
        <w:rPr>
          <w:rFonts w:ascii="Times New Roman" w:hAnsi="Times New Roman"/>
          <w:sz w:val="20"/>
        </w:rPr>
      </w:pPr>
      <w:r>
        <w:rPr>
          <w:rFonts w:ascii="Times New Roman" w:hAnsi="Times New Roman"/>
          <w:sz w:val="20"/>
        </w:rPr>
        <w:t xml:space="preserve">A member of the Group alienating the Alienated Group Member may, without the consent of the Credit Agent, pay the Allocated Amount in an amount that does not entail a violation of the financial indicator provided for in Sub-Clauses (A) and (B) of this Clause (vi). The Allocated Amount may be paid according to the results of the sale of the Alienated Group Member only once. A seller of the Alienated Group Member may use any funds remaining after payment of the Allocated Amount in consultation with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(vii)</w:t>
            </w:r>
          </w:p>
        </w:tc>
        <w:tc>
          <w:tcPr>
            <w:tcW w:w="7552" w:type="dxa"/>
            <w:tcBorders/>
            <w:shd w:fill="auto" w:val="clear"/>
          </w:tcPr>
          <w:p>
            <w:pPr>
              <w:pStyle w:val="TableContents"/>
              <w:spacing w:before="0" w:after="283"/>
              <w:jc w:val="left"/>
              <w:rPr/>
            </w:pPr>
            <w:r>
              <w:rPr/>
              <w:t xml:space="preserve">For the purposes of Clauses (v) and (vi) above, the following definitions have the following meaning: </w:t>
            </w:r>
          </w:p>
        </w:tc>
      </w:tr>
    </w:tbl>
    <w:p>
      <w:pPr>
        <w:pStyle w:val="TextBody"/>
        <w:spacing w:before="120" w:after="0"/>
        <w:rPr/>
      </w:pPr>
      <w:r>
        <w:rPr/>
        <w:t>“</w:t>
      </w:r>
      <w:r>
        <w:rPr>
          <w:rFonts w:ascii="Times New Roman" w:hAnsi="Times New Roman"/>
          <w:b/>
          <w:sz w:val="20"/>
        </w:rPr>
        <w:t>Group Cash</w:t>
      </w:r>
      <w:r>
        <w:rPr>
          <w:rFonts w:ascii="Times New Roman" w:hAnsi="Times New Roman"/>
          <w:sz w:val="20"/>
        </w:rPr>
        <w:t xml:space="preserve">” means the Cash and Cash Equivalent belonging to the Group. </w:t>
      </w:r>
    </w:p>
    <w:p>
      <w:pPr>
        <w:pStyle w:val="TextBody"/>
        <w:spacing w:before="120" w:after="0"/>
        <w:rPr/>
      </w:pPr>
      <w:r>
        <w:rPr/>
        <w:t>“</w:t>
      </w:r>
      <w:r>
        <w:rPr>
          <w:rFonts w:ascii="Times New Roman" w:hAnsi="Times New Roman"/>
          <w:b/>
          <w:sz w:val="20"/>
        </w:rPr>
        <w:t>Cash of the Alienated Group Member</w:t>
      </w:r>
      <w:r>
        <w:rPr>
          <w:rFonts w:ascii="Times New Roman" w:hAnsi="Times New Roman"/>
          <w:sz w:val="20"/>
        </w:rPr>
        <w:t xml:space="preserve">” means the Cash and Cash Equivalent belonging to the Alienated Group Member. </w:t>
      </w:r>
    </w:p>
    <w:p>
      <w:pPr>
        <w:pStyle w:val="TextBody"/>
        <w:spacing w:before="120" w:after="0"/>
        <w:rPr/>
      </w:pPr>
      <w:r>
        <w:rPr/>
        <w:t>“</w:t>
      </w:r>
      <w:r>
        <w:rPr>
          <w:rFonts w:ascii="Times New Roman" w:hAnsi="Times New Roman"/>
          <w:b/>
          <w:sz w:val="20"/>
        </w:rPr>
        <w:t>Alienated Group Member</w:t>
      </w:r>
      <w:r>
        <w:rPr>
          <w:rFonts w:ascii="Times New Roman" w:hAnsi="Times New Roman"/>
          <w:sz w:val="20"/>
        </w:rPr>
        <w:t xml:space="preserve">” means a Group member which is not the Debtor (except for CV Keskus OU) whose shares or participatory interest in the authorized capital are to be disposed of. </w:t>
      </w:r>
    </w:p>
    <w:p>
      <w:pPr>
        <w:pStyle w:val="TextBody"/>
        <w:spacing w:before="120" w:after="0"/>
        <w:rPr/>
      </w:pPr>
      <w:r>
        <w:rPr/>
        <w:t>“</w:t>
      </w:r>
      <w:r>
        <w:rPr>
          <w:rFonts w:ascii="Times New Roman" w:hAnsi="Times New Roman"/>
          <w:b/>
          <w:sz w:val="20"/>
        </w:rPr>
        <w:t>Debt Indicator</w:t>
      </w:r>
      <w:r>
        <w:rPr>
          <w:rFonts w:ascii="Times New Roman" w:hAnsi="Times New Roman"/>
          <w:sz w:val="20"/>
        </w:rPr>
        <w:t xml:space="preserve">” means the ratio of the Net Debt to the EBITDA. </w:t>
      </w:r>
    </w:p>
    <w:p>
      <w:pPr>
        <w:pStyle w:val="TextBody"/>
        <w:spacing w:before="120" w:after="0"/>
        <w:rPr/>
      </w:pPr>
      <w:r>
        <w:rPr/>
        <w:t>“</w:t>
      </w:r>
      <w:r>
        <w:rPr>
          <w:rFonts w:ascii="Times New Roman" w:hAnsi="Times New Roman"/>
          <w:b/>
          <w:sz w:val="20"/>
        </w:rPr>
        <w:t>After-Disposal Debt Ratio</w:t>
      </w:r>
      <w:r>
        <w:rPr>
          <w:rFonts w:ascii="Times New Roman" w:hAnsi="Times New Roman"/>
          <w:sz w:val="20"/>
        </w:rPr>
        <w:t xml:space="preserve">” means an indicator calculated in case of disposal of shares or participatory interest in the authorized capital of a member of the Group (hereinafter referred to as the “Alienated Group Member”) by the following formula: </w:t>
      </w:r>
    </w:p>
    <w:p>
      <w:pPr>
        <w:pStyle w:val="TextBody"/>
        <w:spacing w:before="120" w:after="0"/>
        <w:rPr>
          <w:rFonts w:ascii="Times New Roman" w:hAnsi="Times New Roman"/>
          <w:sz w:val="20"/>
        </w:rPr>
      </w:pPr>
      <w:r>
        <w:rPr>
          <w:rFonts w:ascii="Times New Roman" w:hAnsi="Times New Roman"/>
          <w:sz w:val="20"/>
        </w:rPr>
        <w:t xml:space="preserve">After-Disposal Debt Ratio = (A - B - C)/p - 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where: </w:t>
      </w:r>
    </w:p>
    <w:p>
      <w:pPr>
        <w:pStyle w:val="TextBody"/>
        <w:spacing w:before="120" w:after="0"/>
        <w:rPr>
          <w:rFonts w:ascii="Times New Roman" w:hAnsi="Times New Roman"/>
          <w:sz w:val="20"/>
        </w:rPr>
      </w:pPr>
      <w:r>
        <w:rPr>
          <w:rFonts w:ascii="Times New Roman" w:hAnsi="Times New Roman"/>
          <w:b/>
          <w:sz w:val="20"/>
        </w:rPr>
        <w:t>A</w:t>
      </w:r>
      <w:r>
        <w:rPr>
          <w:rFonts w:ascii="Times New Roman" w:hAnsi="Times New Roman"/>
          <w:sz w:val="20"/>
        </w:rPr>
        <w:t xml:space="preserve"> means the Consolidated Net Debt as of the last Settlement Date; </w:t>
      </w:r>
    </w:p>
    <w:p>
      <w:pPr>
        <w:pStyle w:val="TextBody"/>
        <w:spacing w:before="120" w:after="0"/>
        <w:rPr>
          <w:rFonts w:ascii="Times New Roman" w:hAnsi="Times New Roman"/>
          <w:sz w:val="20"/>
        </w:rPr>
      </w:pPr>
      <w:r>
        <w:rPr>
          <w:rFonts w:ascii="Times New Roman" w:hAnsi="Times New Roman"/>
          <w:b/>
          <w:sz w:val="20"/>
        </w:rPr>
        <w:t xml:space="preserve">B </w:t>
      </w:r>
      <w:r>
        <w:rPr>
          <w:rFonts w:ascii="Times New Roman" w:hAnsi="Times New Roman"/>
          <w:sz w:val="20"/>
        </w:rPr>
        <w:t xml:space="preserve">means an amount of the part of the Outstanding Loan repaid by the Borrower in advance at the expense of funds obtained from the disposal of shares or participatory interest in the authorized capital of the Alienated Group Member; </w:t>
      </w:r>
    </w:p>
    <w:p>
      <w:pPr>
        <w:pStyle w:val="TextBody"/>
        <w:spacing w:before="120" w:after="0"/>
        <w:rPr>
          <w:rFonts w:ascii="Times New Roman" w:hAnsi="Times New Roman"/>
          <w:sz w:val="20"/>
        </w:rPr>
      </w:pPr>
      <w:r>
        <w:rPr>
          <w:rFonts w:ascii="Times New Roman" w:hAnsi="Times New Roman"/>
          <w:b/>
          <w:sz w:val="20"/>
        </w:rPr>
        <w:t>C</w:t>
      </w:r>
      <w:r>
        <w:rPr>
          <w:rFonts w:ascii="Times New Roman" w:hAnsi="Times New Roman"/>
          <w:sz w:val="20"/>
        </w:rPr>
        <w:t xml:space="preserve"> means the Loan repaid by the Borrower within a period commencing on the expiry date of the last Settlement Period and ending on the day of submission of the certificate containing the calculation of a relevant After-Disposal Debt Ratio; </w:t>
      </w:r>
    </w:p>
    <w:p>
      <w:pPr>
        <w:pStyle w:val="TextBody"/>
        <w:spacing w:before="120" w:after="0"/>
        <w:rPr>
          <w:rFonts w:ascii="Times New Roman" w:hAnsi="Times New Roman"/>
          <w:sz w:val="20"/>
        </w:rPr>
      </w:pPr>
      <w:r>
        <w:rPr>
          <w:rFonts w:ascii="Times New Roman" w:hAnsi="Times New Roman"/>
          <w:b/>
          <w:sz w:val="20"/>
        </w:rPr>
        <w:t>D</w:t>
      </w:r>
      <w:r>
        <w:rPr>
          <w:rFonts w:ascii="Times New Roman" w:hAnsi="Times New Roman"/>
          <w:sz w:val="20"/>
        </w:rPr>
        <w:t xml:space="preserve"> means such Consolidated EBITDA for the most recent Settlement Date as determined in accordance with such Group’s latest financial statements for the relevant Settlement Period as prepared in accordance with IFRS and provided to the Credit Agent under Clause (a) or (b) of Article 17.1 (Financial Statements) of the Loan Agreement (or which was to be provided to the Credit Agent under the reporting terms provided for in Clause (a) or (b) of Article 17.1 (Financial Reporting) of the Loan Agreement); and </w:t>
      </w:r>
    </w:p>
    <w:p>
      <w:pPr>
        <w:pStyle w:val="TextBody"/>
        <w:spacing w:before="120" w:after="0"/>
        <w:rPr>
          <w:rFonts w:ascii="Times New Roman" w:hAnsi="Times New Roman"/>
          <w:sz w:val="20"/>
        </w:rPr>
      </w:pPr>
      <w:r>
        <w:rPr>
          <w:rFonts w:ascii="Times New Roman" w:hAnsi="Times New Roman"/>
          <w:b/>
          <w:sz w:val="20"/>
        </w:rPr>
        <w:t xml:space="preserve">E </w:t>
      </w:r>
      <w:r>
        <w:rPr>
          <w:rFonts w:ascii="Times New Roman" w:hAnsi="Times New Roman"/>
          <w:sz w:val="20"/>
        </w:rPr>
        <w:t xml:space="preserve">means the EBITDA of the Alienated Group Member calculated on the basis of the management statements of the company of the Alienated Group Member as of the last Settlement Date using a calculation procedure similar to the calculation method of the Consolidated EBITDA. </w:t>
      </w:r>
    </w:p>
    <w:p>
      <w:pPr>
        <w:pStyle w:val="TextBody"/>
        <w:spacing w:before="120" w:after="0"/>
        <w:rPr/>
      </w:pPr>
      <w:r>
        <w:rPr/>
        <w:t>“</w:t>
      </w:r>
      <w:r>
        <w:rPr>
          <w:rFonts w:ascii="Times New Roman" w:hAnsi="Times New Roman"/>
          <w:b/>
          <w:sz w:val="20"/>
        </w:rPr>
        <w:t>Purchase Price</w:t>
      </w:r>
      <w:r>
        <w:rPr>
          <w:rFonts w:ascii="Times New Roman" w:hAnsi="Times New Roman"/>
          <w:sz w:val="20"/>
        </w:rPr>
        <w:t xml:space="preserve">” means cash that is actually received as a result of sale of the Alienated Group Member. </w:t>
      </w:r>
    </w:p>
    <w:p>
      <w:pPr>
        <w:pStyle w:val="TextBody"/>
        <w:spacing w:before="120" w:after="0"/>
        <w:rPr/>
      </w:pPr>
      <w:r>
        <w:rPr/>
        <w:t>“</w:t>
      </w:r>
      <w:r>
        <w:rPr>
          <w:rFonts w:ascii="Times New Roman" w:hAnsi="Times New Roman"/>
          <w:b/>
          <w:sz w:val="20"/>
        </w:rPr>
        <w:t>Allocated Amount</w:t>
      </w:r>
      <w:r>
        <w:rPr>
          <w:rFonts w:ascii="Times New Roman" w:hAnsi="Times New Roman"/>
          <w:sz w:val="20"/>
        </w:rPr>
        <w:t xml:space="preserve">” means a cash amount to be paid to the shareholders of Zemenik Trading as a result of disposal of the Alienated Group Member. </w:t>
      </w:r>
    </w:p>
    <w:p>
      <w:pPr>
        <w:pStyle w:val="TextBody"/>
        <w:spacing w:before="120" w:after="0"/>
        <w:rPr/>
      </w:pPr>
      <w:r>
        <w:rPr/>
        <w:t>“</w:t>
      </w:r>
      <w:r>
        <w:rPr>
          <w:rFonts w:ascii="Times New Roman" w:hAnsi="Times New Roman"/>
          <w:b/>
          <w:sz w:val="20"/>
        </w:rPr>
        <w:t>Cash Amount</w:t>
      </w:r>
      <w:r>
        <w:rPr>
          <w:rFonts w:ascii="Times New Roman" w:hAnsi="Times New Roman"/>
          <w:sz w:val="20"/>
        </w:rPr>
        <w:t xml:space="preserve">” means an amount calculated as the difference between the Group Cash, the Cash of the Alienated Group Member and the Allocated Amount, plus the Purchase Price. </w:t>
      </w:r>
    </w:p>
    <w:p>
      <w:pPr>
        <w:pStyle w:val="TextBody"/>
        <w:spacing w:before="120" w:after="0"/>
        <w:rPr/>
      </w:pPr>
      <w:r>
        <w:rPr/>
        <w:t>“</w:t>
      </w:r>
      <w:r>
        <w:rPr>
          <w:rFonts w:ascii="Times New Roman" w:hAnsi="Times New Roman"/>
          <w:b/>
          <w:sz w:val="20"/>
        </w:rPr>
        <w:t>Net Debt</w:t>
      </w:r>
      <w:r>
        <w:rPr>
          <w:rFonts w:ascii="Times New Roman" w:hAnsi="Times New Roman"/>
          <w:sz w:val="20"/>
        </w:rPr>
        <w:t xml:space="preserve">” means the difference between the Group’s Financial Indebtedness (taking into account the Group’s Financial Indebtedness to the Alienated Group Member recognized effectively after the disposal of the Alienated Group Member) and an amount of the Financial Indebtedness of the Alienated Group Member (excluding the Financial Indebtedness of the Alienated Group Member to other members of the Group) and the Cash Amount. </w:t>
      </w:r>
    </w:p>
    <w:p>
      <w:pPr>
        <w:pStyle w:val="TextBody"/>
        <w:spacing w:before="120" w:after="0"/>
        <w:rPr/>
      </w:pPr>
      <w:r>
        <w:rPr/>
        <w:t>“</w:t>
      </w:r>
      <w:r>
        <w:rPr>
          <w:rFonts w:ascii="Times New Roman" w:hAnsi="Times New Roman"/>
          <w:b/>
          <w:sz w:val="20"/>
        </w:rPr>
        <w:t>EBITDA</w:t>
      </w:r>
      <w:r>
        <w:rPr>
          <w:rFonts w:ascii="Times New Roman" w:hAnsi="Times New Roman"/>
          <w:sz w:val="20"/>
        </w:rPr>
        <w:t xml:space="preserve">” means the difference between the Consolidated EBITDA and the EBITDA of the Alienated Group Member.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18"/>
        <w:gridCol w:w="8475"/>
      </w:tblGrid>
      <w:tr>
        <w:trPr/>
        <w:tc>
          <w:tcPr>
            <w:tcW w:w="81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(j)</w:t>
            </w:r>
          </w:p>
        </w:tc>
        <w:tc>
          <w:tcPr>
            <w:tcW w:w="8475" w:type="dxa"/>
            <w:tcBorders/>
            <w:shd w:fill="auto" w:val="clear"/>
          </w:tcPr>
          <w:p>
            <w:pPr>
              <w:pStyle w:val="TableContents"/>
              <w:spacing w:before="0" w:after="283"/>
              <w:jc w:val="left"/>
              <w:rPr/>
            </w:pPr>
            <w:r>
              <w:rPr>
                <w:b/>
              </w:rPr>
              <w:t>Acquisition of Assets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purchase any assets without the prior written consent of the Credit Agent and undertakes to ensure that no Subsidiary purchases any assets without the prior written consent of the Credit Agent, except for the acquisition of assets: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in the ordinary course of business;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as part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as part of restructuring due to the right of ownership to HEADHUNTER.KZ LLP;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by a member of the Group in such total amount paid by the member of the Group due to one or more transactions made during each consecutive 12 (twelve) months, as does not exceed 7.5 (seven point five) percent of the Consolidated EBITDA;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5"/>
        <w:gridCol w:w="7555"/>
      </w:tblGrid>
      <w:tr>
        <w:trPr/>
        <w:tc>
          <w:tcPr>
            <w:tcW w:w="173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(v)</w:t>
            </w:r>
          </w:p>
        </w:tc>
        <w:tc>
          <w:tcPr>
            <w:tcW w:w="7555" w:type="dxa"/>
            <w:tcBorders/>
            <w:shd w:fill="auto" w:val="clear"/>
          </w:tcPr>
          <w:p>
            <w:pPr>
              <w:pStyle w:val="TableContents"/>
              <w:spacing w:before="0" w:after="283"/>
              <w:jc w:val="left"/>
              <w:rPr/>
            </w:pPr>
            <w:r>
              <w:rPr/>
              <w:t xml:space="preserve">purchased through the Permitted Financial Indebtedness.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(k)</w:t>
            </w:r>
          </w:p>
        </w:tc>
        <w:tc>
          <w:tcPr>
            <w:tcW w:w="8472" w:type="dxa"/>
            <w:tcBorders/>
            <w:shd w:fill="auto" w:val="clear"/>
          </w:tcPr>
          <w:p>
            <w:pPr>
              <w:pStyle w:val="TableContents"/>
              <w:spacing w:before="0" w:after="283"/>
              <w:jc w:val="left"/>
              <w:rPr/>
            </w:pPr>
            <w:r>
              <w:rPr>
                <w:b/>
              </w:rPr>
              <w:t>Arm’s Length Transactions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may conclude deals with any persons only at arm’s length and undertakes to ensure that any of its Subsidiaries concludes deals with any person only at arm’s length.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Clause (a) does not cover any transactions with the Debtors.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17"/>
        <w:gridCol w:w="8476"/>
      </w:tblGrid>
      <w:tr>
        <w:trPr/>
        <w:tc>
          <w:tcPr>
            <w:tcW w:w="81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(l)</w:t>
            </w:r>
          </w:p>
        </w:tc>
        <w:tc>
          <w:tcPr>
            <w:tcW w:w="8476" w:type="dxa"/>
            <w:tcBorders/>
            <w:shd w:fill="auto" w:val="clear"/>
          </w:tcPr>
          <w:p>
            <w:pPr>
              <w:pStyle w:val="TableContents"/>
              <w:spacing w:before="0" w:after="283"/>
              <w:jc w:val="left"/>
              <w:rPr/>
            </w:pPr>
            <w:r>
              <w:rPr>
                <w:b/>
              </w:rPr>
              <w:t>Lending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Except for the Permitted Loans, the Guarantor is not entitled to act as a lender in respect of any Financial Indebtedness without the prior written consent of the Credit Agent and undertakes to ensure that any of its Subsidiaries does not act as a lender in respect of any Financial Indebtedness without the prior written consent of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(m)</w:t>
            </w:r>
          </w:p>
        </w:tc>
        <w:tc>
          <w:tcPr>
            <w:tcW w:w="8472" w:type="dxa"/>
            <w:tcBorders/>
            <w:shd w:fill="auto" w:val="clear"/>
          </w:tcPr>
          <w:p>
            <w:pPr>
              <w:pStyle w:val="TableContents"/>
              <w:spacing w:before="0" w:after="283"/>
              <w:jc w:val="left"/>
              <w:rPr/>
            </w:pPr>
            <w:r>
              <w:rPr>
                <w:b/>
              </w:rPr>
              <w:t>Provision of Guarantees and Suretyships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is not entitled to act as a guarantor or surety for the obligations of any person without the prior written consent of the Credit Agent and undertakes to ensure that any of its Subsidiaries does not act as a guarantor or surety for the obligations of any person without the prior written consent of the Credit Agent;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 provisions of Clause (i) above do not apply when such guarantee or suretyship secures the performance of the obligations of another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created through the Permitted Financial Indebtedness;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claims under such guarantee or suretyship are subordinated to the obligations of the Guarantor under the Financial Documents pursuant to the Intercreditor Agreement, in any case without double counting.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(n)</w:t>
            </w:r>
          </w:p>
        </w:tc>
        <w:tc>
          <w:tcPr>
            <w:tcW w:w="8474" w:type="dxa"/>
            <w:tcBorders/>
            <w:shd w:fill="auto" w:val="clear"/>
          </w:tcPr>
          <w:p>
            <w:pPr>
              <w:pStyle w:val="TableContents"/>
              <w:spacing w:before="0" w:after="283"/>
              <w:jc w:val="left"/>
              <w:rPr/>
            </w:pPr>
            <w:r>
              <w:rPr>
                <w:b/>
              </w:rPr>
              <w:t>Financial Indebtedness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enter into any transactions which will result in the Financial Indebtedness for the Guarantor and shall not allow the existence of an overdue Financial Indebtedness, and undertakes to ensure that any of its Subsidiaries does not enter into any transaction which will result in the Financial Indebtedness for the Borrower’s Subsidiary and shall not allow the existence of an overdue Financial Indebtedness without the prior written consent of the Credit Agent, except for the Permitted Financial Indebtedness.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(o)</w:t>
            </w:r>
          </w:p>
        </w:tc>
        <w:tc>
          <w:tcPr>
            <w:tcW w:w="8472" w:type="dxa"/>
            <w:tcBorders/>
            <w:shd w:fill="auto" w:val="clear"/>
          </w:tcPr>
          <w:p>
            <w:pPr>
              <w:pStyle w:val="TableContents"/>
              <w:spacing w:before="0" w:after="283"/>
              <w:jc w:val="left"/>
              <w:rPr/>
            </w:pPr>
            <w:r>
              <w:rPr>
                <w:b/>
              </w:rPr>
              <w:t>Fulfillment of Subsequent Conditions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comply with and undertakes to ensure that any of its Subsidiaries complies with the terms and conditions set forth in the Loan Agreement, all related subsequent conditions specified in Part 2 of Appendix 2 (</w:t>
      </w:r>
      <w:r>
        <w:rPr>
          <w:rFonts w:ascii="Times New Roman" w:hAnsi="Times New Roman"/>
          <w:i/>
          <w:sz w:val="20"/>
        </w:rPr>
        <w:t>Requirements to the Borrower for Obtaining a Loan under Tranche A and Tranche B</w:t>
      </w:r>
      <w:r>
        <w:rPr>
          <w:rFonts w:ascii="Times New Roman" w:hAnsi="Times New Roman"/>
          <w:sz w:val="20"/>
        </w:rPr>
        <w:t xml:space="preserve">) to the Loan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(p)</w:t>
            </w:r>
          </w:p>
        </w:tc>
        <w:tc>
          <w:tcPr>
            <w:tcW w:w="8470" w:type="dxa"/>
            <w:tcBorders/>
            <w:shd w:fill="auto" w:val="clear"/>
          </w:tcPr>
          <w:p>
            <w:pPr>
              <w:pStyle w:val="TableContents"/>
              <w:spacing w:before="0" w:after="283"/>
              <w:jc w:val="left"/>
              <w:rPr/>
            </w:pPr>
            <w:r>
              <w:rPr>
                <w:b/>
              </w:rPr>
              <w:t>Net Assets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ensure that such amount of the net assets of the Borrower and Headhunter as determined under the financial statements provided pursuant to Clause 17.1 (d) of the Loan Agreement is positive at the end of each fiscal half a year during the validity term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(q)</w:t>
            </w:r>
          </w:p>
        </w:tc>
        <w:tc>
          <w:tcPr>
            <w:tcW w:w="8470" w:type="dxa"/>
            <w:tcBorders/>
            <w:shd w:fill="auto" w:val="clear"/>
          </w:tcPr>
          <w:p>
            <w:pPr>
              <w:pStyle w:val="TableContents"/>
              <w:spacing w:before="0" w:after="283"/>
              <w:jc w:val="left"/>
              <w:rPr/>
            </w:pPr>
            <w:r>
              <w:rPr>
                <w:b/>
              </w:rPr>
              <w:t>Change of Business Activity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make any significant changes in the main areas of its economic activities and undertakes to ensure that each of its Subsidiaries does not make any significant changes in the main areas of its economic activities without the prior written consent of the Credit Agent. For the avoidance of doubt, this Clause (q) does not apply to the reduction or termination of the economic activities of Headhunter as a result of the Permitted Reorganization.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(r)</w:t>
            </w:r>
          </w:p>
        </w:tc>
        <w:tc>
          <w:tcPr>
            <w:tcW w:w="8471" w:type="dxa"/>
            <w:tcBorders/>
            <w:shd w:fill="auto" w:val="clear"/>
          </w:tcPr>
          <w:p>
            <w:pPr>
              <w:pStyle w:val="TableContents"/>
              <w:spacing w:before="0" w:after="283"/>
              <w:jc w:val="left"/>
              <w:rPr/>
            </w:pPr>
            <w:r>
              <w:rPr>
                <w:b/>
              </w:rPr>
              <w:t>Existing Business Contracts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maintain the Existing Business Contracts up to the Final Redemption Date or, if it is commercially justified, conclude new contracts on similar terms at least one month before the expiration of the Existing Business Contracts.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(s)</w:t>
            </w:r>
          </w:p>
        </w:tc>
        <w:tc>
          <w:tcPr>
            <w:tcW w:w="8476" w:type="dxa"/>
            <w:tcBorders/>
            <w:shd w:fill="auto" w:val="clear"/>
          </w:tcPr>
          <w:p>
            <w:pPr>
              <w:pStyle w:val="TableContents"/>
              <w:spacing w:before="0" w:after="283"/>
              <w:jc w:val="left"/>
              <w:rPr/>
            </w:pPr>
            <w:r>
              <w:rPr>
                <w:b/>
              </w:rPr>
              <w:t>Taxation</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pay taxes and levies in a timely manner under the laws of the Republic of Cyprus (hereinafter referred to as the “</w:t>
      </w:r>
      <w:r>
        <w:rPr>
          <w:rFonts w:ascii="Times New Roman" w:hAnsi="Times New Roman"/>
          <w:b/>
          <w:sz w:val="20"/>
        </w:rPr>
        <w:t>Mandatory Payments</w:t>
      </w:r>
      <w:r>
        <w:rPr>
          <w:rFonts w:ascii="Times New Roman" w:hAnsi="Times New Roman"/>
          <w:sz w:val="20"/>
        </w:rPr>
        <w:t xml:space="preserve">”) and shall ensure that each of its Subsidiaries timely pays the Mandatory Payments in accordance with the applicable law, with the exception of: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Mandatory Payments which are contested by the Guarantor or any of its Subsidiaries in the manner prescribed by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the Mandatory Payments and costs for their contestation, for which there were created reserves recognized in the most recent financial statements submitted to the Credit Agent pursuant to Article 17.1 (</w:t>
            </w:r>
            <w:r>
              <w:rPr>
                <w:i/>
              </w:rPr>
              <w:t>Financial Statements</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a case where failure to pay such Mandatory Payments will not have the Material Negative Impact.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(t)</w:t>
            </w:r>
          </w:p>
        </w:tc>
        <w:tc>
          <w:tcPr>
            <w:tcW w:w="8474" w:type="dxa"/>
            <w:tcBorders/>
            <w:shd w:fill="auto" w:val="clear"/>
          </w:tcPr>
          <w:p>
            <w:pPr>
              <w:pStyle w:val="TableContents"/>
              <w:spacing w:before="0" w:after="283"/>
              <w:jc w:val="left"/>
              <w:rPr/>
            </w:pPr>
            <w:r>
              <w:rPr>
                <w:b/>
              </w:rPr>
              <w:t>Equal Status of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ensure that its obligations hereunder (when they are to be fulfilled) shall be deemed to be of the same class as its other existing and future unsecured payment obligations and that any of its Subsidiaries shall ensure that the Guarantor’s obligations hereunder (when they are to be fulfilled) shall be deemed to be of the same class as other existing and future unsecured payment obligations of such Subsidiary, except for any obligations, whose primary satisfaction is directly provided for by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(u)</w:t>
            </w:r>
          </w:p>
        </w:tc>
        <w:tc>
          <w:tcPr>
            <w:tcW w:w="8474" w:type="dxa"/>
            <w:tcBorders/>
            <w:shd w:fill="auto" w:val="clear"/>
          </w:tcPr>
          <w:p>
            <w:pPr>
              <w:pStyle w:val="TableContents"/>
              <w:spacing w:before="0" w:after="283"/>
              <w:jc w:val="left"/>
              <w:rPr/>
            </w:pPr>
            <w:r>
              <w:rPr>
                <w:b/>
              </w:rPr>
              <w:t>Group Structure Scheme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ensure maintaining the existing structure of the Group in accordance with the Group Structure Scheme. This obligation does not apply to any actions permitted or provided for under the Financial Documents.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(v)</w:t>
            </w:r>
          </w:p>
        </w:tc>
        <w:tc>
          <w:tcPr>
            <w:tcW w:w="8472" w:type="dxa"/>
            <w:tcBorders/>
            <w:shd w:fill="auto" w:val="clear"/>
          </w:tcPr>
          <w:p>
            <w:pPr>
              <w:pStyle w:val="TableContents"/>
              <w:spacing w:before="0" w:after="283"/>
              <w:jc w:val="left"/>
              <w:rPr/>
            </w:pPr>
            <w:r>
              <w:rPr>
                <w:b/>
              </w:rPr>
              <w:t>Access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When the Default occurs and remains uneliminated or when there are sufficient grounds for the Credit Agent to believe that the Default may occur, the Guarantor shall, at the request of the Credit Agent, provide (and ensure that each of its Subsidiaries provides) the Credit Agent and/or its auditors or other professional advisers free access to its premises, assets and primary accounting and tax accounting documents (on paper or electronic media), including issue of powers of attorney for the persons concerned, as well as organize a meeting with the Group management.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(w)</w:t>
            </w:r>
          </w:p>
        </w:tc>
        <w:tc>
          <w:tcPr>
            <w:tcW w:w="8470" w:type="dxa"/>
            <w:tcBorders/>
            <w:shd w:fill="auto" w:val="clear"/>
          </w:tcPr>
          <w:p>
            <w:pPr>
              <w:pStyle w:val="TableContents"/>
              <w:spacing w:before="0" w:after="283"/>
              <w:jc w:val="left"/>
              <w:rPr/>
            </w:pPr>
            <w:r>
              <w:rPr>
                <w:b/>
              </w:rPr>
              <w:t>Additional General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at the request of any Party to the Financing, at its own expense, take any actions and sign any documents and ensure that any of its Subsidiaries, at such Subsidiary’s own expense, takes any action and signs any documents necessary to ensure the validity and proper performance of the Financial Documents. In particular, the Guarantor shall, at its own expense, at the request of the Credit Agent, ensure: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taking all actions necessary to ensure the validity of the Borrower’s Pledge Agreement and the Headhunter’s Pledge Agreement if any Lender other than the Original Lender acquires any rights (claims) to the Borrower and (or) obligations to grant the Loan pursuant to the provisions of Article 22.2 (</w:t>
            </w:r>
            <w:r>
              <w:rPr>
                <w:i/>
              </w:rPr>
              <w:t>Assignment of Rights and Transfer of Obligations by the Lenders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entering into supplementary agreements to the Borrower’s Pledge Agreement and the Headhunter’s Pledge Agreement (on such terms and conditions as acceptable to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4.2.</w:t>
            </w:r>
          </w:p>
        </w:tc>
        <w:tc>
          <w:tcPr>
            <w:tcW w:w="9390" w:type="dxa"/>
            <w:tcBorders/>
            <w:shd w:fill="auto" w:val="clear"/>
          </w:tcPr>
          <w:p>
            <w:pPr>
              <w:pStyle w:val="TableContents"/>
              <w:spacing w:before="0" w:after="283"/>
              <w:jc w:val="left"/>
              <w:rPr/>
            </w:pPr>
            <w:r>
              <w:rPr>
                <w:b/>
              </w:rPr>
              <w:t>Irrevocability of the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Guarantor under this Agreement and the Guarantee: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are an irrevocable security according to the provisions of Article 5.1 (</w:t>
            </w:r>
            <w:r>
              <w:rPr>
                <w:i/>
              </w:rPr>
              <w:t>Validity Term</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supplement any other security and are unimpaired by any other security that is now or hereafter provided to the Lenders for all or any of the Secured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are not affected by any reorganization of the Guarantor and (or) the Borrower, including, but not limited to, any changes in the legal form of the Guarantor and/or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continue to be valid during any liquidation or insolvency (bankruptcy) procedure initiated against the Guarantor and (or) the Borrower, or during any reorganization of the Guarantor and (or) the Borrower to the extent permitted by the applicable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 xml:space="preserve">continue to be valid until terminated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4.3.</w:t>
            </w:r>
          </w:p>
        </w:tc>
        <w:tc>
          <w:tcPr>
            <w:tcW w:w="9389" w:type="dxa"/>
            <w:tcBorders/>
            <w:shd w:fill="auto" w:val="clear"/>
          </w:tcPr>
          <w:p>
            <w:pPr>
              <w:pStyle w:val="TableContents"/>
              <w:spacing w:before="0" w:after="283"/>
              <w:jc w:val="left"/>
              <w:rPr/>
            </w:pPr>
            <w:r>
              <w:rPr>
                <w:b/>
              </w:rPr>
              <w:t>Material Change in Circumstances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Such material change in circumstances as described in Article 451 of the Civil Code does not justify revoking of the Guarantee, amending or terminating this Agreement on the initiative of the Guarantor and (or) the Borrower.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4.4.</w:t>
            </w:r>
          </w:p>
        </w:tc>
        <w:tc>
          <w:tcPr>
            <w:tcW w:w="9389" w:type="dxa"/>
            <w:tcBorders/>
            <w:shd w:fill="auto" w:val="clear"/>
          </w:tcPr>
          <w:p>
            <w:pPr>
              <w:pStyle w:val="TableContents"/>
              <w:spacing w:before="0" w:after="283"/>
              <w:jc w:val="left"/>
              <w:rPr/>
            </w:pPr>
            <w:r>
              <w:rPr>
                <w:b/>
              </w:rPr>
              <w:t>Waiver of Defense against Claims of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Any dispute between the Guarantor, the Borrower and (or) any other Debtor, as well as between the Guarantor, the Borrower and (or) any other Debtor, on the one hand, and the Lenders, on the other hand, does not relieve the Guarantor from fulfilling the obligations under this Agreement and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is not entitled: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to file any such counterclaims or objections against any claims of the Lenders which the Borrower or another Debtor could submit;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to fail to fulfill any obligations under this Agreement and the Guarantee or postpone their fulfillment, referring to the existence of any dispute between the Borrower or another Debtor, on the one hand, and the Lenders, on the other hand.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4.5.</w:t>
            </w:r>
          </w:p>
        </w:tc>
        <w:tc>
          <w:tcPr>
            <w:tcW w:w="9388" w:type="dxa"/>
            <w:tcBorders/>
            <w:shd w:fill="auto" w:val="clear"/>
          </w:tcPr>
          <w:p>
            <w:pPr>
              <w:pStyle w:val="TableContents"/>
              <w:spacing w:before="0" w:after="283"/>
              <w:jc w:val="left"/>
              <w:rPr/>
            </w:pPr>
            <w:r>
              <w:rPr>
                <w:b/>
              </w:rPr>
              <w:t>Change in the Secured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hereby expresses its consent to be jointly liable with the Borrower, irrespective of whether the terms and conditions of the Loan Agreement will be amended in any way, including any amendments leading to an increase in the volume of the Secured Obligations or other adverse consequences for the Guarantor. No additional written consent of the Guarantor is required for such amendment.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4.6.</w:t>
            </w:r>
          </w:p>
        </w:tc>
        <w:tc>
          <w:tcPr>
            <w:tcW w:w="9390"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Guarantor may not revoke or amend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term or condition of this Agreement and the Guarantee may be amended by a written agreement signed by the Parties.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In case of any amendment to the terms and conditions of the Loan Agreement, the Guarantor and the Borrower shall, at the request of the Credit Agent, enter into an agreement with the Lender within a period agreed by the Parties to make relevant amendments to this Agreement and the Guarantee if, according to the current legislation (including the judicial practice then existing) such amendments are necessary for the Guarantee to remain valid and to ensure the complete fulfillment of the Secured Obligations, taking into account amendments to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4.7.</w:t>
            </w:r>
          </w:p>
        </w:tc>
        <w:tc>
          <w:tcPr>
            <w:tcW w:w="9390" w:type="dxa"/>
            <w:tcBorders/>
            <w:shd w:fill="auto" w:val="clear"/>
          </w:tcPr>
          <w:p>
            <w:pPr>
              <w:pStyle w:val="TableContents"/>
              <w:spacing w:before="0" w:after="283"/>
              <w:jc w:val="left"/>
              <w:rPr/>
            </w:pPr>
            <w:r>
              <w:rPr>
                <w:b/>
              </w:rPr>
              <w:t>Reimbursement to the 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Guarantor hereby confirms that the Lender’s claims (filed directly by the Lender or through the Credit Agent) under the Loan Agreement shall take precedence over the Guarantor’s claims with respect to the Reimbursement for the Amounts Paid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hereby undertakes: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9"/>
        <w:gridCol w:w="7554"/>
      </w:tblGrid>
      <w:tr>
        <w:trPr/>
        <w:tc>
          <w:tcPr>
            <w:tcW w:w="1731"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not to file any claims against the Borrower for the Reimbursement for the Amounts Paid under the Guarantee until the Secured Obligations are fully repaid;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until the Secured Obligations are fully repaid, to refrain from assignment or any other transfer of its claims of the Reimbursement for the Amounts Paid under the Guarantee, and from encumbrance of such claims in favor of third parties (excluding the Credit Agent and (or) the Lenders in connection with the Loan Agreement), without the prior written consent of the Credit Agent acting under the provisions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without prejudice to the other provisions of this Agreement, if the Guarantor receives the Reimbursement for the Amounts Paid under the Guarantee in violation of the terms or conditions of this Agreement, to immediately transfer the amount received by the Guarantor as a result of the Reimbursement for the Amounts Paid under the Guarantee to the Credit Agent’s Account.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In accordance with the provisions of Article 309.1 paragraph 2 of the Civil Code, after the Guarantor’s transfer of an amount received by the Guarantor as a result of the Reimbursement for the Amounts Paid under the Guarantee to the Credit Agent’s Account, the Lenders’ claim to the Borrower in the relevant part passes to the Guarantor. The Guarantor that has transferred such amount to the Credit Agent’s Account may file such claim to the Borrower only after the Secured Obligations are fully repaid.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Until the Secured Obligations are fully repaid, the Borrower undertakes to refrain from the Reimbursement for the Amounts Paid under the Guarantee, without the prior written consent of the Credit Agent acting pursuant to a resolution of the Qualified Majority of the Lenders.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5.</w:t>
            </w:r>
          </w:p>
        </w:tc>
        <w:tc>
          <w:tcPr>
            <w:tcW w:w="9390" w:type="dxa"/>
            <w:tcBorders/>
            <w:shd w:fill="auto" w:val="clear"/>
          </w:tcPr>
          <w:p>
            <w:pPr>
              <w:pStyle w:val="TableContents"/>
              <w:spacing w:before="0" w:after="283"/>
              <w:jc w:val="left"/>
              <w:rPr/>
            </w:pPr>
            <w:r>
              <w:rPr>
                <w:b/>
              </w:rPr>
              <w:t>VALIDITY TERM</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5.1.</w:t>
            </w:r>
          </w:p>
        </w:tc>
        <w:tc>
          <w:tcPr>
            <w:tcW w:w="9390" w:type="dxa"/>
            <w:tcBorders/>
            <w:shd w:fill="auto" w:val="clear"/>
          </w:tcPr>
          <w:p>
            <w:pPr>
              <w:pStyle w:val="TableContents"/>
              <w:spacing w:before="0" w:after="283"/>
              <w:jc w:val="left"/>
              <w:rPr/>
            </w:pPr>
            <w:r>
              <w:rPr>
                <w:b/>
              </w:rPr>
              <w:t>Validity Term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Guarantee is issued for a period from the Issue Date through a date that occurs after 96 months from the date of Amendment Agreement No. 3. This Agreement shall become effective on the date of its signing indicated at the beginning of this Agreement, and shall remain in force until the obligations under the Guarantee issued hereunder are completely fulfilled.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5.2.</w:t>
            </w:r>
          </w:p>
        </w:tc>
        <w:tc>
          <w:tcPr>
            <w:tcW w:w="9388" w:type="dxa"/>
            <w:tcBorders/>
            <w:shd w:fill="auto" w:val="clear"/>
          </w:tcPr>
          <w:p>
            <w:pPr>
              <w:pStyle w:val="TableContents"/>
              <w:spacing w:before="0" w:after="283"/>
              <w:jc w:val="left"/>
              <w:rPr/>
            </w:pPr>
            <w:r>
              <w:rPr>
                <w:b/>
              </w:rPr>
              <w:t>Continuing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Guarantor under this Agreement and the Guarantee are permanent and are not considered fulfilled by any partial payment or partial fulfillment of all or any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6.</w:t>
            </w:r>
          </w:p>
        </w:tc>
        <w:tc>
          <w:tcPr>
            <w:tcW w:w="9392" w:type="dxa"/>
            <w:tcBorders/>
            <w:shd w:fill="auto" w:val="clear"/>
          </w:tcPr>
          <w:p>
            <w:pPr>
              <w:pStyle w:val="TableContents"/>
              <w:spacing w:before="0" w:after="283"/>
              <w:jc w:val="left"/>
              <w:rPr/>
            </w:pPr>
            <w:r>
              <w:rPr>
                <w:b/>
              </w:rPr>
              <w:t>PAYMENT CLAIM, PAYMENTS, TAXES AND CURRENCY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6.1.</w:t>
            </w:r>
          </w:p>
        </w:tc>
        <w:tc>
          <w:tcPr>
            <w:tcW w:w="9390" w:type="dxa"/>
            <w:tcBorders/>
            <w:shd w:fill="auto" w:val="clear"/>
          </w:tcPr>
          <w:p>
            <w:pPr>
              <w:pStyle w:val="TableContents"/>
              <w:spacing w:before="0" w:after="283"/>
              <w:jc w:val="left"/>
              <w:rPr/>
            </w:pPr>
            <w:r>
              <w:rPr>
                <w:b/>
              </w:rPr>
              <w:t>Payment Claim</w:t>
            </w:r>
            <w:r>
              <w:rPr/>
              <w:t xml:space="preserve"> </w:t>
            </w:r>
          </w:p>
        </w:tc>
      </w:tr>
    </w:tbl>
    <w:p>
      <w:pPr>
        <w:pStyle w:val="TextBody"/>
        <w:spacing w:before="120" w:after="0"/>
        <w:rPr>
          <w:rFonts w:ascii="Times New Roman" w:hAnsi="Times New Roman"/>
          <w:sz w:val="20"/>
        </w:rPr>
      </w:pPr>
      <w:r>
        <w:rPr>
          <w:rFonts w:ascii="Times New Roman" w:hAnsi="Times New Roman"/>
          <w:sz w:val="20"/>
        </w:rPr>
        <w:t>If the Secured Obligations are not fulfilled, as specified in Article 2 (</w:t>
      </w:r>
      <w:r>
        <w:rPr>
          <w:rFonts w:ascii="Times New Roman" w:hAnsi="Times New Roman"/>
          <w:i/>
          <w:sz w:val="20"/>
        </w:rPr>
        <w:t>Independent Guarantee and Reimbursement of Losses</w:t>
      </w:r>
      <w:r>
        <w:rPr>
          <w:rFonts w:ascii="Times New Roman" w:hAnsi="Times New Roman"/>
          <w:sz w:val="20"/>
        </w:rPr>
        <w:t>), the Original Lender (or, after assignment under this Agreement and the Guarantee in accordance with Article 9.2 (</w:t>
      </w:r>
      <w:r>
        <w:rPr>
          <w:rFonts w:ascii="Times New Roman" w:hAnsi="Times New Roman"/>
          <w:i/>
          <w:sz w:val="20"/>
        </w:rPr>
        <w:t>Transfer of Rights by the Lenders</w:t>
      </w:r>
      <w:r>
        <w:rPr>
          <w:rFonts w:ascii="Times New Roman" w:hAnsi="Times New Roman"/>
          <w:sz w:val="20"/>
        </w:rPr>
        <w:t>), the Credit Agent acting on behalf of the Lenders) shall send the Guarantor a Payment Claim and a copy of the notice of the Original Lender or the Credit Agent, respectively, sent to the Borrower under Article 21.18 (</w:t>
      </w:r>
      <w:r>
        <w:rPr>
          <w:rFonts w:ascii="Times New Roman" w:hAnsi="Times New Roman"/>
          <w:i/>
          <w:sz w:val="20"/>
        </w:rPr>
        <w:t>Acceleration</w:t>
      </w:r>
      <w:r>
        <w:rPr>
          <w:rFonts w:ascii="Times New Roman" w:hAnsi="Times New Roman"/>
          <w:sz w:val="20"/>
        </w:rPr>
        <w:t xml:space="preserve">) of the Loan Agreement. The Guarantor shall make a payment against the Payment Claim within a period not exceeding 5 (five) Business Days from the date when the Guarantor receives the Payment Claim.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b/>
              </w:rPr>
              <w:t>Accounts for Receipt of Payments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obligations of the Guarantor set forth in Article 6.1 (</w:t>
            </w:r>
            <w:r>
              <w:rPr>
                <w:i/>
              </w:rPr>
              <w:t>Payment Claim</w:t>
            </w:r>
            <w:r>
              <w:rPr/>
              <w:t>) are fulfilled by payment of an amount specified in the Payment Claim to the account of the Original Lender (or after assignment of rights (claims) under this Agreement and the Guarantee in accordance with Article 9.2 (</w:t>
            </w:r>
            <w:r>
              <w:rPr>
                <w:i/>
              </w:rPr>
              <w:t>Transfer of Rights by the Lenders</w:t>
            </w:r>
            <w:r>
              <w:rPr/>
              <w:t xml:space="preserve">), to the account of the Credit Agent acting on behalf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amounts received by the Credit Agent are to be allocated among the Lenders by the Credit Agent in accordance with the Proportional Share of each Lender in the manner provided for in the Loan Agreement. The provisions of this Clause shall come into force from the assignment of the rights (claims) under this Agreement and the Guarantee by the Original Lender in accordance with Article 9.2 (Transfer of Rights by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b/>
              </w:rPr>
              <w:t>Payments</w:t>
            </w:r>
            <w:r>
              <w:rPr/>
              <w:t xml:space="preserve"> </w:t>
            </w:r>
          </w:p>
        </w:tc>
      </w:tr>
    </w:tbl>
    <w:p>
      <w:pPr>
        <w:pStyle w:val="TextBody"/>
        <w:spacing w:before="120" w:after="0"/>
        <w:rPr>
          <w:rFonts w:ascii="Times New Roman" w:hAnsi="Times New Roman"/>
          <w:sz w:val="20"/>
        </w:rPr>
      </w:pPr>
      <w:r>
        <w:rPr>
          <w:rFonts w:ascii="Times New Roman" w:hAnsi="Times New Roman"/>
          <w:sz w:val="20"/>
        </w:rPr>
        <w:t>Any amounts due to the Lenders under this Agreement and the Guarantee shall be paid by the Guarantor to the Original Lender to the account of the Original Lender in Rubles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to the Credit Agent to the Credit Agent’s account for allocation among the Lenders).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6.4.</w:t>
            </w:r>
          </w:p>
        </w:tc>
        <w:tc>
          <w:tcPr>
            <w:tcW w:w="9388" w:type="dxa"/>
            <w:tcBorders/>
            <w:shd w:fill="auto" w:val="clear"/>
          </w:tcPr>
          <w:p>
            <w:pPr>
              <w:pStyle w:val="TableContents"/>
              <w:spacing w:before="0" w:after="283"/>
              <w:jc w:val="left"/>
              <w:rPr/>
            </w:pPr>
            <w:r>
              <w:rPr>
                <w:b/>
              </w:rPr>
              <w:t>Performance of the Guarantor’s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Any pecuniary obligations of the Guarantor under this Agreement and the Guarantee shall be deemed fulfilled on the date of crediting of funds in Rubles to the account of the Original Lender in Rubles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to the Credit Agent’s account for allocation among the Lenders). If this Agreement, the Guarantee or any other Financial Document establishes the time prior to which the Guarantor’s obligations are to be fulfilled, the Guarantor shall ensure before the set deadline that funds are credited to the account of the Original Lender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to the Credit Agent’s account).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6.5.</w:t>
            </w:r>
          </w:p>
        </w:tc>
        <w:tc>
          <w:tcPr>
            <w:tcW w:w="9388" w:type="dxa"/>
            <w:tcBorders/>
            <w:shd w:fill="auto" w:val="clear"/>
          </w:tcPr>
          <w:p>
            <w:pPr>
              <w:pStyle w:val="TableContents"/>
              <w:spacing w:before="0" w:after="283"/>
              <w:jc w:val="left"/>
              <w:rPr/>
            </w:pPr>
            <w:r>
              <w:rPr>
                <w:b/>
              </w:rPr>
              <w:t>Withholding and Deduction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payments made by the Guarantor under this Agreement and the Guarantee shall be without any deductions or withholdings, except for the deductions and withholdings expressly established by the applicable law. If the current legislation contains a requirement for any deductions or withholdings in respect of payments provided for in this Agreement and the Guarantee, the Guarantor shall: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ensure that such deductions or withholdings do not exceed an amount provided for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promptly pay the Original Lender (or, after assignment of rights (claims) under this Agreement and the Guarantee in accordance with Article 9.2 (Transfer of Rights by the Lenders), to the Credit Agent for allocation among the Lenders) an additional amount so that the total amount received by the Lenders is equal to the amount that would have been received by the Lenders if such deductions or withholdings were not made.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6.6.</w:t>
            </w:r>
          </w:p>
        </w:tc>
        <w:tc>
          <w:tcPr>
            <w:tcW w:w="9389" w:type="dxa"/>
            <w:tcBorders/>
            <w:shd w:fill="auto" w:val="clear"/>
          </w:tcPr>
          <w:p>
            <w:pPr>
              <w:pStyle w:val="TableContents"/>
              <w:spacing w:before="0" w:after="283"/>
              <w:jc w:val="left"/>
              <w:rPr/>
            </w:pPr>
            <w:r>
              <w:rPr>
                <w:b/>
              </w:rPr>
              <w:t>Receipt of Payments in Other Currencies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make all payments under this Agreement and the Guarantee in Rubles, except for compensation to the Lenders of any costs incurred in connection with this Agreement and with the Guarantee, which shall be paid by the Guarantor in the same currency in which they arose (the “</w:t>
      </w:r>
      <w:r>
        <w:rPr>
          <w:rFonts w:ascii="Times New Roman" w:hAnsi="Times New Roman"/>
          <w:b/>
          <w:sz w:val="20"/>
        </w:rPr>
        <w:t>Agreement Currency</w:t>
      </w:r>
      <w:r>
        <w:rPr>
          <w:rFonts w:ascii="Times New Roman" w:hAnsi="Times New Roman"/>
          <w:sz w:val="20"/>
        </w:rPr>
        <w:t>”) if payments in such currency do not contradict the legislation. The payment obligations of the Guarantor are deemed to be performed only if the respective amounts are received by the Credit Agent in the Agreement Currency. If any amounts under this Agreement and the Guarantee are received against the obligations of the Guarantor in a currency other than the Agreement Currency, and the Original Lender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the Credit Agent) converts the received amount into the Agreement Currency, the Guarantor shall reimburse the Original Lender or the Credit Agent, respectively, for its expenses related to the conversion of the received amount to the Agreement Currency (at an internal currency rate of the Bank of the Account) and compensate the difference between an amount due from the Guarantor in the Agreement Currency and an amount received by the Credit Agent as a result of converting the funds received from the Guarantor into the Agreement Currency.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6.7.</w:t>
            </w:r>
          </w:p>
        </w:tc>
        <w:tc>
          <w:tcPr>
            <w:tcW w:w="9390" w:type="dxa"/>
            <w:tcBorders/>
            <w:shd w:fill="auto" w:val="clear"/>
          </w:tcPr>
          <w:p>
            <w:pPr>
              <w:pStyle w:val="TableContents"/>
              <w:spacing w:before="0" w:after="283"/>
              <w:jc w:val="left"/>
              <w:rPr/>
            </w:pPr>
            <w:r>
              <w:rPr>
                <w:b/>
              </w:rPr>
              <w:t>Prohibition of Set-Off or Counterclaim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Performance of the Guarantor’s obligations to make any payments provided for in this Agreement and the Guarantee is not a counterclaim for performance of the Lenders’ obligations in the meaning of Article 328 of the Civil Code. The obligations of the Guarantor to make any payments provided for by this Agreement and the Guarantee may not be stopped by offsetting any counterclaims of the Guarantor to the Lenders. The Parties agree in accordance with Article 411 of the Civil Code that the Guarantor may not terminate the claims of the Lenders to the Guarantor by set-off.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6.8.</w:t>
            </w:r>
          </w:p>
        </w:tc>
        <w:tc>
          <w:tcPr>
            <w:tcW w:w="9388" w:type="dxa"/>
            <w:tcBorders/>
            <w:shd w:fill="auto" w:val="clear"/>
          </w:tcPr>
          <w:p>
            <w:pPr>
              <w:pStyle w:val="TableContents"/>
              <w:spacing w:before="0" w:after="283"/>
              <w:jc w:val="left"/>
              <w:rPr/>
            </w:pPr>
            <w:r>
              <w:rPr>
                <w:b/>
              </w:rPr>
              <w:t>Maturity Date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any maturity date under this Agreement or the Guarantee falls on a day other than a Business Day, such payment must be made on the previous Business Day.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6.9.</w:t>
            </w:r>
          </w:p>
        </w:tc>
        <w:tc>
          <w:tcPr>
            <w:tcW w:w="9388" w:type="dxa"/>
            <w:tcBorders/>
            <w:shd w:fill="auto" w:val="clear"/>
          </w:tcPr>
          <w:p>
            <w:pPr>
              <w:pStyle w:val="TableContents"/>
              <w:spacing w:before="0" w:after="283"/>
              <w:jc w:val="left"/>
              <w:rPr/>
            </w:pPr>
            <w:r>
              <w:rPr>
                <w:b/>
              </w:rPr>
              <w:t>Value-Added Tax</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amounts payable under this Agreement and the Guarantee by the Guarantor to any Lender are specified without VAT. If VAT is payable, the Guarantor shall pay an amount of VAT (at a rate effective at the date of payment) to the Lenders (in addition to any amounts payable).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6.10.</w:t>
            </w:r>
          </w:p>
        </w:tc>
        <w:tc>
          <w:tcPr>
            <w:tcW w:w="9389" w:type="dxa"/>
            <w:tcBorders/>
            <w:shd w:fill="auto" w:val="clear"/>
          </w:tcPr>
          <w:p>
            <w:pPr>
              <w:pStyle w:val="TableContents"/>
              <w:spacing w:before="0" w:after="283"/>
              <w:jc w:val="left"/>
              <w:rPr/>
            </w:pPr>
            <w:r>
              <w:rPr>
                <w:b/>
              </w:rPr>
              <w:t>Use of Received Funds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funds received by the Lenders under this Agreement and the Guarantee shall be used by the Lenders to settle the Secured Obligations in accordance with the order of priority specified in the Loan Agreement respectively; each Lender shall receive part of the money received by the Lenders under this Agreement and the Guarantee according to its Proportional Share; no rights of the Lenders to recover any underpaid amounts from the Guarantor or any other persons, as provided for in the Loan Agreement, shall be infringed; and the Guarantor may not prevent such use. </w:t>
      </w:r>
    </w:p>
    <w:p>
      <w:pPr>
        <w:pStyle w:val="TextBody"/>
        <w:spacing w:before="120" w:after="0"/>
        <w:rPr>
          <w:rFonts w:ascii="Times New Roman" w:hAnsi="Times New Roman"/>
          <w:sz w:val="20"/>
        </w:rPr>
      </w:pPr>
      <w:r>
        <w:rPr>
          <w:rFonts w:ascii="Times New Roman" w:hAnsi="Times New Roman"/>
          <w:sz w:val="20"/>
        </w:rPr>
        <w:t xml:space="preserve">Any surplus cash remaining after the full performance of the Secured Obligations (that is, the full payment of principal, interest and commissions payable by the Borrower, but not paid, as well as any other payments due under the Loan Agreement) shall, within 3 (Three) Business Days from the date of receipt of the bank details from the Guarantor, be paid to the Guarantor according to the bank details specified by 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7.</w:t>
            </w:r>
          </w:p>
        </w:tc>
        <w:tc>
          <w:tcPr>
            <w:tcW w:w="9390" w:type="dxa"/>
            <w:tcBorders/>
            <w:shd w:fill="auto" w:val="clear"/>
          </w:tcPr>
          <w:p>
            <w:pPr>
              <w:pStyle w:val="TableContents"/>
              <w:spacing w:before="0" w:after="283"/>
              <w:jc w:val="left"/>
              <w:rPr/>
            </w:pPr>
            <w:r>
              <w:rPr>
                <w:b/>
              </w:rPr>
              <w:t>NOTICES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7.1.</w:t>
            </w:r>
          </w:p>
        </w:tc>
        <w:tc>
          <w:tcPr>
            <w:tcW w:w="9390" w:type="dxa"/>
            <w:tcBorders/>
            <w:shd w:fill="auto" w:val="clear"/>
          </w:tcPr>
          <w:p>
            <w:pPr>
              <w:pStyle w:val="TableContents"/>
              <w:spacing w:before="0" w:after="283"/>
              <w:jc w:val="left"/>
              <w:rPr/>
            </w:pPr>
            <w:r>
              <w:rPr>
                <w:b/>
              </w:rPr>
              <w:t>Written Form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messages sent by the Parties under this Agreement and the Guarantee shall be in writing and may be sent by courier, by mail with return receipt, and, unless otherwise provided, by fax or by other means enabling to reliably establish that a message is from a Party to this Agreement. For the purposes of this Agreement and the Guarantee, a message transmitted using electronic means of communication shall be deemed to be in writing.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7.2.</w:t>
            </w:r>
          </w:p>
        </w:tc>
        <w:tc>
          <w:tcPr>
            <w:tcW w:w="9389" w:type="dxa"/>
            <w:tcBorders/>
            <w:shd w:fill="auto" w:val="clear"/>
          </w:tcPr>
          <w:p>
            <w:pPr>
              <w:pStyle w:val="TableContents"/>
              <w:spacing w:before="0" w:after="283"/>
              <w:jc w:val="left"/>
              <w:rPr/>
            </w:pPr>
            <w:r>
              <w:rPr>
                <w:b/>
              </w:rPr>
              <w:t>Addresses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Unless otherwise provided for below, the contact details of each Party for all messages in connection with this Loan Agreement and the Guarantee are data which such Party reported to the Credit Agent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Contact details of the Guarantor: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800"/>
        <w:gridCol w:w="205"/>
        <w:gridCol w:w="7465"/>
      </w:tblGrid>
      <w:tr>
        <w:trPr/>
        <w:tc>
          <w:tcPr>
            <w:tcW w:w="800" w:type="dxa"/>
            <w:tcBorders/>
            <w:shd w:fill="auto" w:val="clear"/>
            <w:vAlign w:val="center"/>
          </w:tcPr>
          <w:p>
            <w:pPr>
              <w:pStyle w:val="TableContents"/>
              <w:spacing w:before="0" w:after="283"/>
              <w:rPr>
                <w:sz w:val="4"/>
                <w:szCs w:val="4"/>
              </w:rPr>
            </w:pPr>
            <w:r>
              <w:rPr>
                <w:sz w:val="4"/>
                <w:szCs w:val="4"/>
              </w:rPr>
            </w:r>
          </w:p>
        </w:tc>
        <w:tc>
          <w:tcPr>
            <w:tcW w:w="205" w:type="dxa"/>
            <w:tcBorders/>
            <w:shd w:fill="auto" w:val="clear"/>
            <w:vAlign w:val="bottom"/>
          </w:tcPr>
          <w:p>
            <w:pPr>
              <w:pStyle w:val="TableContents"/>
              <w:spacing w:before="0" w:after="283"/>
              <w:rPr>
                <w:sz w:val="4"/>
                <w:szCs w:val="4"/>
              </w:rPr>
            </w:pPr>
            <w:r>
              <w:rPr>
                <w:sz w:val="4"/>
                <w:szCs w:val="4"/>
              </w:rPr>
            </w:r>
          </w:p>
        </w:tc>
        <w:tc>
          <w:tcPr>
            <w:tcW w:w="7465" w:type="dxa"/>
            <w:tcBorders/>
            <w:shd w:fill="auto" w:val="clear"/>
            <w:vAlign w:val="center"/>
          </w:tcPr>
          <w:p>
            <w:pPr>
              <w:pStyle w:val="TableContents"/>
              <w:spacing w:before="0" w:after="283"/>
              <w:rPr>
                <w:sz w:val="4"/>
                <w:szCs w:val="4"/>
              </w:rPr>
            </w:pPr>
            <w:r>
              <w:rPr>
                <w:sz w:val="4"/>
                <w:szCs w:val="4"/>
              </w:rPr>
            </w:r>
          </w:p>
        </w:tc>
      </w:tr>
      <w:tr>
        <w:trPr/>
        <w:tc>
          <w:tcPr>
            <w:tcW w:w="8470" w:type="dxa"/>
            <w:gridSpan w:val="3"/>
            <w:tcBorders/>
            <w:shd w:fill="auto" w:val="clear"/>
            <w:vAlign w:val="bottom"/>
          </w:tcPr>
          <w:p>
            <w:pPr>
              <w:pStyle w:val="TableContents"/>
              <w:spacing w:before="0" w:after="283"/>
              <w:rPr>
                <w:b/>
              </w:rPr>
            </w:pPr>
            <w:r>
              <w:rPr>
                <w:b/>
              </w:rPr>
              <w:t>HEADHUNTER FSU LIMITED</w:t>
            </w:r>
          </w:p>
        </w:tc>
      </w:tr>
      <w:tr>
        <w:trPr>
          <w:trHeight w:val="120" w:hRule="atLeast"/>
        </w:trPr>
        <w:tc>
          <w:tcPr>
            <w:tcW w:w="800" w:type="dxa"/>
            <w:tcBorders/>
            <w:shd w:fill="auto" w:val="clear"/>
            <w:vAlign w:val="center"/>
          </w:tcPr>
          <w:p>
            <w:pPr>
              <w:pStyle w:val="TableContents"/>
              <w:spacing w:before="0" w:after="283"/>
              <w:rPr>
                <w:sz w:val="4"/>
                <w:szCs w:val="4"/>
              </w:rPr>
            </w:pPr>
            <w:r>
              <w:rPr>
                <w:sz w:val="4"/>
                <w:szCs w:val="4"/>
              </w:rPr>
            </w:r>
          </w:p>
        </w:tc>
        <w:tc>
          <w:tcPr>
            <w:tcW w:w="7670" w:type="dxa"/>
            <w:gridSpan w:val="2"/>
            <w:tcBorders/>
            <w:shd w:fill="auto" w:val="clear"/>
            <w:vAlign w:val="center"/>
          </w:tcPr>
          <w:p>
            <w:pPr>
              <w:pStyle w:val="TableContents"/>
              <w:spacing w:before="0" w:after="283"/>
              <w:rPr>
                <w:sz w:val="4"/>
                <w:szCs w:val="4"/>
              </w:rPr>
            </w:pPr>
            <w:r>
              <w:rPr>
                <w:sz w:val="4"/>
                <w:szCs w:val="4"/>
              </w:rPr>
            </w:r>
          </w:p>
        </w:tc>
      </w:tr>
      <w:tr>
        <w:trPr/>
        <w:tc>
          <w:tcPr>
            <w:tcW w:w="800" w:type="dxa"/>
            <w:tcBorders/>
            <w:shd w:fill="auto" w:val="clear"/>
            <w:vAlign w:val="bottom"/>
          </w:tcPr>
          <w:p>
            <w:pPr>
              <w:pStyle w:val="TableContents"/>
              <w:spacing w:before="0" w:after="283"/>
              <w:rPr/>
            </w:pPr>
            <w:r>
              <w:rPr/>
              <w:t>Address:</w:t>
            </w:r>
          </w:p>
        </w:tc>
        <w:tc>
          <w:tcPr>
            <w:tcW w:w="205" w:type="dxa"/>
            <w:tcBorders/>
            <w:shd w:fill="auto" w:val="clear"/>
            <w:vAlign w:val="bottom"/>
          </w:tcPr>
          <w:p>
            <w:pPr>
              <w:pStyle w:val="TableContents"/>
              <w:spacing w:before="0" w:after="283"/>
              <w:rPr/>
            </w:pPr>
            <w:r>
              <w:rPr/>
              <w:t>  </w:t>
            </w:r>
          </w:p>
        </w:tc>
        <w:tc>
          <w:tcPr>
            <w:tcW w:w="7465" w:type="dxa"/>
            <w:tcBorders/>
            <w:shd w:fill="auto" w:val="clear"/>
            <w:vAlign w:val="bottom"/>
          </w:tcPr>
          <w:p>
            <w:pPr>
              <w:pStyle w:val="TableContents"/>
              <w:spacing w:before="0" w:after="283"/>
              <w:rPr/>
            </w:pPr>
            <w:r>
              <w:rPr/>
              <w:t>42 Dositheou, Strovolos 2028, Nicosia, Cyprus</w:t>
            </w:r>
          </w:p>
        </w:tc>
      </w:tr>
      <w:tr>
        <w:trPr>
          <w:trHeight w:val="120" w:hRule="atLeast"/>
        </w:trPr>
        <w:tc>
          <w:tcPr>
            <w:tcW w:w="800" w:type="dxa"/>
            <w:tcBorders/>
            <w:shd w:fill="auto" w:val="clear"/>
            <w:vAlign w:val="center"/>
          </w:tcPr>
          <w:p>
            <w:pPr>
              <w:pStyle w:val="TableContents"/>
              <w:spacing w:before="0" w:after="283"/>
              <w:rPr>
                <w:sz w:val="4"/>
                <w:szCs w:val="4"/>
              </w:rPr>
            </w:pPr>
            <w:r>
              <w:rPr>
                <w:sz w:val="4"/>
                <w:szCs w:val="4"/>
              </w:rPr>
            </w:r>
          </w:p>
        </w:tc>
        <w:tc>
          <w:tcPr>
            <w:tcW w:w="7670" w:type="dxa"/>
            <w:gridSpan w:val="2"/>
            <w:tcBorders/>
            <w:shd w:fill="auto" w:val="clear"/>
            <w:vAlign w:val="center"/>
          </w:tcPr>
          <w:p>
            <w:pPr>
              <w:pStyle w:val="TableContents"/>
              <w:spacing w:before="0" w:after="283"/>
              <w:rPr>
                <w:sz w:val="4"/>
                <w:szCs w:val="4"/>
              </w:rPr>
            </w:pPr>
            <w:r>
              <w:rPr>
                <w:sz w:val="4"/>
                <w:szCs w:val="4"/>
              </w:rPr>
            </w:r>
          </w:p>
        </w:tc>
      </w:tr>
      <w:tr>
        <w:trPr/>
        <w:tc>
          <w:tcPr>
            <w:tcW w:w="800" w:type="dxa"/>
            <w:tcBorders/>
            <w:shd w:fill="auto" w:val="clear"/>
            <w:vAlign w:val="bottom"/>
          </w:tcPr>
          <w:p>
            <w:pPr>
              <w:pStyle w:val="TableContents"/>
              <w:spacing w:before="0" w:after="283"/>
              <w:rPr/>
            </w:pPr>
            <w:r>
              <w:rPr/>
              <w:t>Fax:</w:t>
            </w:r>
          </w:p>
        </w:tc>
        <w:tc>
          <w:tcPr>
            <w:tcW w:w="205" w:type="dxa"/>
            <w:tcBorders/>
            <w:shd w:fill="auto" w:val="clear"/>
            <w:vAlign w:val="bottom"/>
          </w:tcPr>
          <w:p>
            <w:pPr>
              <w:pStyle w:val="TableContents"/>
              <w:spacing w:before="0" w:after="283"/>
              <w:rPr/>
            </w:pPr>
            <w:r>
              <w:rPr/>
              <w:t>  </w:t>
            </w:r>
          </w:p>
        </w:tc>
        <w:tc>
          <w:tcPr>
            <w:tcW w:w="7465" w:type="dxa"/>
            <w:tcBorders/>
            <w:shd w:fill="auto" w:val="clear"/>
            <w:vAlign w:val="bottom"/>
          </w:tcPr>
          <w:p>
            <w:pPr>
              <w:pStyle w:val="TableContents"/>
              <w:spacing w:before="0" w:after="283"/>
              <w:rPr/>
            </w:pPr>
            <w:r>
              <w:rPr/>
              <w:t>+357 2267 9096</w:t>
            </w:r>
          </w:p>
        </w:tc>
      </w:tr>
    </w:tbl>
    <w:r>
      <w:br w:type="page"/>
    </w:r>
    <w:p>
      <w:pPr>
        <w:pStyle w:val="HorizontalLine"/>
        <w:pBdr>
          <w:bottom w:val="double" w:sz="6" w:space="0" w:color="808080"/>
        </w:pBdr>
        <w:rPr/>
      </w:pPr>
      <w:r>
        <w:rPr/>
      </w:r>
    </w:p>
    <w:tbl>
      <w:tblPr>
        <w:tblW w:w="4150" w:type="pct"/>
        <w:jc w:val="right"/>
        <w:tblInd w:w="0" w:type="dxa"/>
        <w:tblBorders/>
        <w:tblCellMar>
          <w:top w:w="0" w:type="dxa"/>
          <w:left w:w="0" w:type="dxa"/>
          <w:bottom w:w="0" w:type="dxa"/>
          <w:right w:w="0" w:type="dxa"/>
        </w:tblCellMar>
      </w:tblPr>
      <w:tblGrid>
        <w:gridCol w:w="846"/>
        <w:gridCol w:w="168"/>
        <w:gridCol w:w="7455"/>
      </w:tblGrid>
      <w:tr>
        <w:trPr/>
        <w:tc>
          <w:tcPr>
            <w:tcW w:w="846" w:type="dxa"/>
            <w:tcBorders/>
            <w:shd w:fill="auto" w:val="clear"/>
            <w:vAlign w:val="center"/>
          </w:tcPr>
          <w:p>
            <w:pPr>
              <w:pStyle w:val="TableContents"/>
              <w:spacing w:before="0" w:after="283"/>
              <w:rPr>
                <w:sz w:val="4"/>
                <w:szCs w:val="4"/>
              </w:rPr>
            </w:pPr>
            <w:r>
              <w:rPr>
                <w:sz w:val="4"/>
                <w:szCs w:val="4"/>
              </w:rPr>
            </w:r>
          </w:p>
        </w:tc>
        <w:tc>
          <w:tcPr>
            <w:tcW w:w="168" w:type="dxa"/>
            <w:tcBorders/>
            <w:shd w:fill="auto" w:val="clear"/>
            <w:vAlign w:val="bottom"/>
          </w:tcPr>
          <w:p>
            <w:pPr>
              <w:pStyle w:val="TableContents"/>
              <w:spacing w:before="0" w:after="283"/>
              <w:rPr>
                <w:sz w:val="4"/>
                <w:szCs w:val="4"/>
              </w:rPr>
            </w:pPr>
            <w:r>
              <w:rPr>
                <w:sz w:val="4"/>
                <w:szCs w:val="4"/>
              </w:rPr>
            </w:r>
          </w:p>
        </w:tc>
        <w:tc>
          <w:tcPr>
            <w:tcW w:w="7455" w:type="dxa"/>
            <w:tcBorders/>
            <w:shd w:fill="auto" w:val="clear"/>
            <w:vAlign w:val="center"/>
          </w:tcPr>
          <w:p>
            <w:pPr>
              <w:pStyle w:val="TableContents"/>
              <w:spacing w:before="0" w:after="283"/>
              <w:rPr>
                <w:sz w:val="4"/>
                <w:szCs w:val="4"/>
              </w:rPr>
            </w:pPr>
            <w:r>
              <w:rPr>
                <w:sz w:val="4"/>
                <w:szCs w:val="4"/>
              </w:rPr>
            </w:r>
          </w:p>
        </w:tc>
      </w:tr>
      <w:tr>
        <w:trPr/>
        <w:tc>
          <w:tcPr>
            <w:tcW w:w="846" w:type="dxa"/>
            <w:tcBorders/>
            <w:shd w:fill="auto" w:val="clear"/>
            <w:vAlign w:val="bottom"/>
          </w:tcPr>
          <w:p>
            <w:pPr>
              <w:pStyle w:val="TableContents"/>
              <w:spacing w:before="0" w:after="283"/>
              <w:rPr/>
            </w:pPr>
            <w:r>
              <w:rPr/>
              <w:t>E-mail:</w:t>
            </w:r>
          </w:p>
        </w:tc>
        <w:tc>
          <w:tcPr>
            <w:tcW w:w="168" w:type="dxa"/>
            <w:tcBorders/>
            <w:shd w:fill="auto" w:val="clear"/>
            <w:vAlign w:val="bottom"/>
          </w:tcPr>
          <w:p>
            <w:pPr>
              <w:pStyle w:val="TableContents"/>
              <w:spacing w:before="0" w:after="283"/>
              <w:rPr/>
            </w:pPr>
            <w:r>
              <w:rPr/>
              <w:t>  </w:t>
            </w:r>
          </w:p>
        </w:tc>
        <w:tc>
          <w:tcPr>
            <w:tcW w:w="7455" w:type="dxa"/>
            <w:tcBorders/>
            <w:shd w:fill="auto" w:val="clear"/>
            <w:vAlign w:val="bottom"/>
          </w:tcPr>
          <w:p>
            <w:pPr>
              <w:pStyle w:val="TableContents"/>
              <w:spacing w:before="0" w:after="283"/>
              <w:rPr/>
            </w:pPr>
            <w:r>
              <w:rPr/>
              <w:t>info@fiduserve.com</w:t>
            </w:r>
          </w:p>
        </w:tc>
      </w:tr>
      <w:tr>
        <w:trPr>
          <w:trHeight w:val="120" w:hRule="atLeast"/>
        </w:trPr>
        <w:tc>
          <w:tcPr>
            <w:tcW w:w="846" w:type="dxa"/>
            <w:tcBorders/>
            <w:shd w:fill="auto" w:val="clear"/>
            <w:vAlign w:val="center"/>
          </w:tcPr>
          <w:p>
            <w:pPr>
              <w:pStyle w:val="TableContents"/>
              <w:spacing w:before="0" w:after="283"/>
              <w:rPr>
                <w:sz w:val="4"/>
                <w:szCs w:val="4"/>
              </w:rPr>
            </w:pPr>
            <w:r>
              <w:rPr>
                <w:sz w:val="4"/>
                <w:szCs w:val="4"/>
              </w:rPr>
            </w:r>
          </w:p>
        </w:tc>
        <w:tc>
          <w:tcPr>
            <w:tcW w:w="7623" w:type="dxa"/>
            <w:gridSpan w:val="2"/>
            <w:tcBorders/>
            <w:shd w:fill="auto" w:val="clear"/>
            <w:vAlign w:val="center"/>
          </w:tcPr>
          <w:p>
            <w:pPr>
              <w:pStyle w:val="TableContents"/>
              <w:spacing w:before="0" w:after="283"/>
              <w:rPr>
                <w:sz w:val="4"/>
                <w:szCs w:val="4"/>
              </w:rPr>
            </w:pPr>
            <w:r>
              <w:rPr>
                <w:sz w:val="4"/>
                <w:szCs w:val="4"/>
              </w:rPr>
            </w:r>
          </w:p>
        </w:tc>
      </w:tr>
      <w:tr>
        <w:trPr/>
        <w:tc>
          <w:tcPr>
            <w:tcW w:w="846" w:type="dxa"/>
            <w:tcBorders/>
            <w:shd w:fill="auto" w:val="clear"/>
            <w:vAlign w:val="bottom"/>
          </w:tcPr>
          <w:p>
            <w:pPr>
              <w:pStyle w:val="TableContents"/>
              <w:spacing w:before="0" w:after="283"/>
              <w:rPr/>
            </w:pPr>
            <w:r>
              <w:rPr/>
              <w:t>Attn:</w:t>
            </w:r>
          </w:p>
        </w:tc>
        <w:tc>
          <w:tcPr>
            <w:tcW w:w="168" w:type="dxa"/>
            <w:tcBorders/>
            <w:shd w:fill="auto" w:val="clear"/>
            <w:vAlign w:val="bottom"/>
          </w:tcPr>
          <w:p>
            <w:pPr>
              <w:pStyle w:val="TableContents"/>
              <w:spacing w:before="0" w:after="283"/>
              <w:rPr/>
            </w:pPr>
            <w:r>
              <w:rPr/>
              <w:t>  </w:t>
            </w:r>
          </w:p>
        </w:tc>
        <w:tc>
          <w:tcPr>
            <w:tcW w:w="7455" w:type="dxa"/>
            <w:tcBorders/>
            <w:shd w:fill="auto" w:val="clear"/>
            <w:vAlign w:val="bottom"/>
          </w:tcPr>
          <w:p>
            <w:pPr>
              <w:pStyle w:val="TableContents"/>
              <w:spacing w:before="0" w:after="283"/>
              <w:rPr/>
            </w:pPr>
            <w:r>
              <w:rPr/>
              <w:t>The Directors / Stelios Haralambous</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Contact details of the Borrower: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846"/>
        <w:gridCol w:w="169"/>
        <w:gridCol w:w="7454"/>
      </w:tblGrid>
      <w:tr>
        <w:trPr/>
        <w:tc>
          <w:tcPr>
            <w:tcW w:w="846" w:type="dxa"/>
            <w:tcBorders/>
            <w:shd w:fill="auto" w:val="clear"/>
            <w:vAlign w:val="center"/>
          </w:tcPr>
          <w:p>
            <w:pPr>
              <w:pStyle w:val="TableContents"/>
              <w:spacing w:before="0" w:after="283"/>
              <w:rPr>
                <w:sz w:val="4"/>
                <w:szCs w:val="4"/>
              </w:rPr>
            </w:pPr>
            <w:r>
              <w:rPr>
                <w:sz w:val="4"/>
                <w:szCs w:val="4"/>
              </w:rPr>
            </w:r>
          </w:p>
        </w:tc>
        <w:tc>
          <w:tcPr>
            <w:tcW w:w="169" w:type="dxa"/>
            <w:tcBorders/>
            <w:shd w:fill="auto" w:val="clear"/>
            <w:vAlign w:val="bottom"/>
          </w:tcPr>
          <w:p>
            <w:pPr>
              <w:pStyle w:val="TableContents"/>
              <w:spacing w:before="0" w:after="283"/>
              <w:rPr>
                <w:sz w:val="4"/>
                <w:szCs w:val="4"/>
              </w:rPr>
            </w:pPr>
            <w:r>
              <w:rPr>
                <w:sz w:val="4"/>
                <w:szCs w:val="4"/>
              </w:rPr>
            </w:r>
          </w:p>
        </w:tc>
        <w:tc>
          <w:tcPr>
            <w:tcW w:w="7454" w:type="dxa"/>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vAlign w:val="bottom"/>
          </w:tcPr>
          <w:p>
            <w:pPr>
              <w:pStyle w:val="TableContents"/>
              <w:spacing w:before="0" w:after="283"/>
              <w:rPr>
                <w:b/>
              </w:rPr>
            </w:pPr>
            <w:r>
              <w:rPr>
                <w:b/>
              </w:rPr>
              <w:t>Zemenik Limited Liability Company</w:t>
            </w:r>
          </w:p>
        </w:tc>
      </w:tr>
      <w:tr>
        <w:trPr>
          <w:trHeight w:val="120" w:hRule="atLeast"/>
        </w:trPr>
        <w:tc>
          <w:tcPr>
            <w:tcW w:w="846" w:type="dxa"/>
            <w:tcBorders/>
            <w:shd w:fill="auto" w:val="clear"/>
            <w:vAlign w:val="center"/>
          </w:tcPr>
          <w:p>
            <w:pPr>
              <w:pStyle w:val="TableContents"/>
              <w:spacing w:before="0" w:after="283"/>
              <w:rPr>
                <w:sz w:val="4"/>
                <w:szCs w:val="4"/>
              </w:rPr>
            </w:pPr>
            <w:r>
              <w:rPr>
                <w:sz w:val="4"/>
                <w:szCs w:val="4"/>
              </w:rPr>
            </w:r>
          </w:p>
        </w:tc>
        <w:tc>
          <w:tcPr>
            <w:tcW w:w="7623" w:type="dxa"/>
            <w:gridSpan w:val="2"/>
            <w:tcBorders/>
            <w:shd w:fill="auto" w:val="clear"/>
            <w:vAlign w:val="center"/>
          </w:tcPr>
          <w:p>
            <w:pPr>
              <w:pStyle w:val="TableContents"/>
              <w:spacing w:before="0" w:after="283"/>
              <w:rPr>
                <w:sz w:val="4"/>
                <w:szCs w:val="4"/>
              </w:rPr>
            </w:pPr>
            <w:r>
              <w:rPr>
                <w:sz w:val="4"/>
                <w:szCs w:val="4"/>
              </w:rPr>
            </w:r>
          </w:p>
        </w:tc>
      </w:tr>
      <w:tr>
        <w:trPr/>
        <w:tc>
          <w:tcPr>
            <w:tcW w:w="846" w:type="dxa"/>
            <w:tcBorders/>
            <w:shd w:fill="auto" w:val="clear"/>
          </w:tcPr>
          <w:p>
            <w:pPr>
              <w:pStyle w:val="TableContents"/>
              <w:spacing w:before="0" w:after="283"/>
              <w:rPr/>
            </w:pPr>
            <w:r>
              <w:rPr/>
              <w:t>Address:</w:t>
            </w:r>
          </w:p>
        </w:tc>
        <w:tc>
          <w:tcPr>
            <w:tcW w:w="169" w:type="dxa"/>
            <w:tcBorders/>
            <w:shd w:fill="auto" w:val="clear"/>
            <w:vAlign w:val="bottom"/>
          </w:tcPr>
          <w:p>
            <w:pPr>
              <w:pStyle w:val="TableContents"/>
              <w:spacing w:before="0" w:after="283"/>
              <w:rPr/>
            </w:pPr>
            <w:r>
              <w:rPr/>
              <w:t>  </w:t>
            </w:r>
          </w:p>
        </w:tc>
        <w:tc>
          <w:tcPr>
            <w:tcW w:w="74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 Akademika Ilyushina St., bld. 1, office 54,</w:t>
            </w:r>
          </w:p>
          <w:p>
            <w:pPr>
              <w:pStyle w:val="TableContents"/>
              <w:spacing w:before="0" w:after="20"/>
              <w:rPr>
                <w:rFonts w:ascii="Times New Roman" w:hAnsi="Times New Roman"/>
                <w:sz w:val="20"/>
              </w:rPr>
            </w:pPr>
            <w:r>
              <w:rPr>
                <w:rFonts w:ascii="Times New Roman" w:hAnsi="Times New Roman"/>
                <w:sz w:val="20"/>
              </w:rPr>
              <w:t>Moscow, the Russian Federation, 125319</w:t>
            </w:r>
          </w:p>
        </w:tc>
      </w:tr>
      <w:tr>
        <w:trPr>
          <w:trHeight w:val="120" w:hRule="atLeast"/>
        </w:trPr>
        <w:tc>
          <w:tcPr>
            <w:tcW w:w="846" w:type="dxa"/>
            <w:tcBorders/>
            <w:shd w:fill="auto" w:val="clear"/>
            <w:vAlign w:val="center"/>
          </w:tcPr>
          <w:p>
            <w:pPr>
              <w:pStyle w:val="TableContents"/>
              <w:spacing w:before="0" w:after="283"/>
              <w:rPr>
                <w:sz w:val="4"/>
                <w:szCs w:val="4"/>
              </w:rPr>
            </w:pPr>
            <w:r>
              <w:rPr>
                <w:sz w:val="4"/>
                <w:szCs w:val="4"/>
              </w:rPr>
            </w:r>
          </w:p>
        </w:tc>
        <w:tc>
          <w:tcPr>
            <w:tcW w:w="7623" w:type="dxa"/>
            <w:gridSpan w:val="2"/>
            <w:tcBorders/>
            <w:shd w:fill="auto" w:val="clear"/>
            <w:vAlign w:val="center"/>
          </w:tcPr>
          <w:p>
            <w:pPr>
              <w:pStyle w:val="TableContents"/>
              <w:spacing w:before="0" w:after="283"/>
              <w:rPr>
                <w:sz w:val="4"/>
                <w:szCs w:val="4"/>
              </w:rPr>
            </w:pPr>
            <w:r>
              <w:rPr>
                <w:sz w:val="4"/>
                <w:szCs w:val="4"/>
              </w:rPr>
            </w:r>
          </w:p>
        </w:tc>
      </w:tr>
      <w:tr>
        <w:trPr/>
        <w:tc>
          <w:tcPr>
            <w:tcW w:w="846" w:type="dxa"/>
            <w:tcBorders/>
            <w:shd w:fill="auto" w:val="clear"/>
            <w:vAlign w:val="bottom"/>
          </w:tcPr>
          <w:p>
            <w:pPr>
              <w:pStyle w:val="TableContents"/>
              <w:spacing w:before="0" w:after="283"/>
              <w:rPr/>
            </w:pPr>
            <w:r>
              <w:rPr/>
              <w:t>Fax:</w:t>
            </w:r>
          </w:p>
        </w:tc>
        <w:tc>
          <w:tcPr>
            <w:tcW w:w="169" w:type="dxa"/>
            <w:tcBorders/>
            <w:shd w:fill="auto" w:val="clear"/>
            <w:vAlign w:val="bottom"/>
          </w:tcPr>
          <w:p>
            <w:pPr>
              <w:pStyle w:val="TableContents"/>
              <w:spacing w:before="0" w:after="283"/>
              <w:rPr/>
            </w:pPr>
            <w:r>
              <w:rPr/>
              <w:t>  </w:t>
            </w:r>
          </w:p>
        </w:tc>
        <w:tc>
          <w:tcPr>
            <w:tcW w:w="7454" w:type="dxa"/>
            <w:tcBorders/>
            <w:shd w:fill="auto" w:val="clear"/>
            <w:vAlign w:val="bottom"/>
          </w:tcPr>
          <w:p>
            <w:pPr>
              <w:pStyle w:val="TableContents"/>
              <w:spacing w:before="0" w:after="283"/>
              <w:rPr/>
            </w:pPr>
            <w:r>
              <w:rPr/>
              <w:t>+7 495 974-64-27</w:t>
            </w:r>
          </w:p>
        </w:tc>
      </w:tr>
      <w:tr>
        <w:trPr>
          <w:trHeight w:val="120" w:hRule="atLeast"/>
        </w:trPr>
        <w:tc>
          <w:tcPr>
            <w:tcW w:w="846" w:type="dxa"/>
            <w:tcBorders/>
            <w:shd w:fill="auto" w:val="clear"/>
            <w:vAlign w:val="center"/>
          </w:tcPr>
          <w:p>
            <w:pPr>
              <w:pStyle w:val="TableContents"/>
              <w:spacing w:before="0" w:after="283"/>
              <w:rPr>
                <w:sz w:val="4"/>
                <w:szCs w:val="4"/>
              </w:rPr>
            </w:pPr>
            <w:r>
              <w:rPr>
                <w:sz w:val="4"/>
                <w:szCs w:val="4"/>
              </w:rPr>
            </w:r>
          </w:p>
        </w:tc>
        <w:tc>
          <w:tcPr>
            <w:tcW w:w="7623" w:type="dxa"/>
            <w:gridSpan w:val="2"/>
            <w:tcBorders/>
            <w:shd w:fill="auto" w:val="clear"/>
            <w:vAlign w:val="center"/>
          </w:tcPr>
          <w:p>
            <w:pPr>
              <w:pStyle w:val="TableContents"/>
              <w:spacing w:before="0" w:after="283"/>
              <w:rPr>
                <w:sz w:val="4"/>
                <w:szCs w:val="4"/>
              </w:rPr>
            </w:pPr>
            <w:r>
              <w:rPr>
                <w:sz w:val="4"/>
                <w:szCs w:val="4"/>
              </w:rPr>
            </w:r>
          </w:p>
        </w:tc>
      </w:tr>
      <w:tr>
        <w:trPr/>
        <w:tc>
          <w:tcPr>
            <w:tcW w:w="846" w:type="dxa"/>
            <w:tcBorders/>
            <w:shd w:fill="auto" w:val="clear"/>
            <w:vAlign w:val="bottom"/>
          </w:tcPr>
          <w:p>
            <w:pPr>
              <w:pStyle w:val="TableContents"/>
              <w:spacing w:before="0" w:after="283"/>
              <w:rPr/>
            </w:pPr>
            <w:r>
              <w:rPr/>
              <w:t>E-mail:</w:t>
            </w:r>
          </w:p>
        </w:tc>
        <w:tc>
          <w:tcPr>
            <w:tcW w:w="169" w:type="dxa"/>
            <w:tcBorders/>
            <w:shd w:fill="auto" w:val="clear"/>
            <w:vAlign w:val="bottom"/>
          </w:tcPr>
          <w:p>
            <w:pPr>
              <w:pStyle w:val="TableContents"/>
              <w:spacing w:before="0" w:after="283"/>
              <w:rPr/>
            </w:pPr>
            <w:r>
              <w:rPr/>
              <w:t>  </w:t>
            </w:r>
          </w:p>
        </w:tc>
        <w:tc>
          <w:tcPr>
            <w:tcW w:w="7454" w:type="dxa"/>
            <w:tcBorders/>
            <w:shd w:fill="auto" w:val="clear"/>
            <w:vAlign w:val="bottom"/>
          </w:tcPr>
          <w:p>
            <w:pPr>
              <w:pStyle w:val="TableContents"/>
              <w:spacing w:before="0" w:after="283"/>
              <w:rPr/>
            </w:pPr>
            <w:r>
              <w:rPr/>
              <w:t>karen.agayan@arpartners.ru</w:t>
            </w:r>
          </w:p>
        </w:tc>
      </w:tr>
      <w:tr>
        <w:trPr>
          <w:trHeight w:val="120" w:hRule="atLeast"/>
        </w:trPr>
        <w:tc>
          <w:tcPr>
            <w:tcW w:w="846" w:type="dxa"/>
            <w:tcBorders/>
            <w:shd w:fill="auto" w:val="clear"/>
            <w:vAlign w:val="center"/>
          </w:tcPr>
          <w:p>
            <w:pPr>
              <w:pStyle w:val="TableContents"/>
              <w:spacing w:before="0" w:after="283"/>
              <w:rPr>
                <w:sz w:val="4"/>
                <w:szCs w:val="4"/>
              </w:rPr>
            </w:pPr>
            <w:r>
              <w:rPr>
                <w:sz w:val="4"/>
                <w:szCs w:val="4"/>
              </w:rPr>
            </w:r>
          </w:p>
        </w:tc>
        <w:tc>
          <w:tcPr>
            <w:tcW w:w="7623" w:type="dxa"/>
            <w:gridSpan w:val="2"/>
            <w:tcBorders/>
            <w:shd w:fill="auto" w:val="clear"/>
            <w:vAlign w:val="center"/>
          </w:tcPr>
          <w:p>
            <w:pPr>
              <w:pStyle w:val="TableContents"/>
              <w:spacing w:before="0" w:after="283"/>
              <w:rPr>
                <w:sz w:val="4"/>
                <w:szCs w:val="4"/>
              </w:rPr>
            </w:pPr>
            <w:r>
              <w:rPr>
                <w:sz w:val="4"/>
                <w:szCs w:val="4"/>
              </w:rPr>
            </w:r>
          </w:p>
        </w:tc>
      </w:tr>
      <w:tr>
        <w:trPr/>
        <w:tc>
          <w:tcPr>
            <w:tcW w:w="846" w:type="dxa"/>
            <w:tcBorders/>
            <w:shd w:fill="auto" w:val="clear"/>
            <w:vAlign w:val="bottom"/>
          </w:tcPr>
          <w:p>
            <w:pPr>
              <w:pStyle w:val="TableContents"/>
              <w:spacing w:before="0" w:after="283"/>
              <w:rPr/>
            </w:pPr>
            <w:r>
              <w:rPr/>
              <w:t>Attn:</w:t>
            </w:r>
          </w:p>
        </w:tc>
        <w:tc>
          <w:tcPr>
            <w:tcW w:w="169" w:type="dxa"/>
            <w:tcBorders/>
            <w:shd w:fill="auto" w:val="clear"/>
            <w:vAlign w:val="bottom"/>
          </w:tcPr>
          <w:p>
            <w:pPr>
              <w:pStyle w:val="TableContents"/>
              <w:spacing w:before="0" w:after="283"/>
              <w:rPr/>
            </w:pPr>
            <w:r>
              <w:rPr/>
              <w:t>  </w:t>
            </w:r>
          </w:p>
        </w:tc>
        <w:tc>
          <w:tcPr>
            <w:tcW w:w="7454" w:type="dxa"/>
            <w:tcBorders/>
            <w:shd w:fill="auto" w:val="clear"/>
            <w:vAlign w:val="bottom"/>
          </w:tcPr>
          <w:p>
            <w:pPr>
              <w:pStyle w:val="TableContents"/>
              <w:spacing w:before="0" w:after="283"/>
              <w:rPr/>
            </w:pPr>
            <w:r>
              <w:rPr/>
              <w:t>Karen Eduardovich Agayan</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Contact details of the Original Lender: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1196"/>
        <w:gridCol w:w="189"/>
        <w:gridCol w:w="7085"/>
      </w:tblGrid>
      <w:tr>
        <w:trPr/>
        <w:tc>
          <w:tcPr>
            <w:tcW w:w="1196" w:type="dxa"/>
            <w:tcBorders/>
            <w:shd w:fill="auto" w:val="clear"/>
            <w:vAlign w:val="center"/>
          </w:tcPr>
          <w:p>
            <w:pPr>
              <w:pStyle w:val="TableContents"/>
              <w:spacing w:before="0" w:after="283"/>
              <w:rPr>
                <w:sz w:val="4"/>
                <w:szCs w:val="4"/>
              </w:rPr>
            </w:pPr>
            <w:r>
              <w:rPr>
                <w:sz w:val="4"/>
                <w:szCs w:val="4"/>
              </w:rPr>
            </w:r>
          </w:p>
        </w:tc>
        <w:tc>
          <w:tcPr>
            <w:tcW w:w="189" w:type="dxa"/>
            <w:tcBorders/>
            <w:shd w:fill="auto" w:val="clear"/>
            <w:vAlign w:val="bottom"/>
          </w:tcPr>
          <w:p>
            <w:pPr>
              <w:pStyle w:val="TableContents"/>
              <w:spacing w:before="0" w:after="283"/>
              <w:rPr>
                <w:sz w:val="4"/>
                <w:szCs w:val="4"/>
              </w:rPr>
            </w:pPr>
            <w:r>
              <w:rPr>
                <w:sz w:val="4"/>
                <w:szCs w:val="4"/>
              </w:rPr>
            </w:r>
          </w:p>
        </w:tc>
        <w:tc>
          <w:tcPr>
            <w:tcW w:w="7085" w:type="dxa"/>
            <w:tcBorders/>
            <w:shd w:fill="auto" w:val="clear"/>
            <w:vAlign w:val="center"/>
          </w:tcPr>
          <w:p>
            <w:pPr>
              <w:pStyle w:val="TableContents"/>
              <w:spacing w:before="0" w:after="283"/>
              <w:rPr>
                <w:sz w:val="4"/>
                <w:szCs w:val="4"/>
              </w:rPr>
            </w:pPr>
            <w:r>
              <w:rPr>
                <w:sz w:val="4"/>
                <w:szCs w:val="4"/>
              </w:rPr>
            </w:r>
          </w:p>
        </w:tc>
      </w:tr>
      <w:tr>
        <w:trPr/>
        <w:tc>
          <w:tcPr>
            <w:tcW w:w="8470" w:type="dxa"/>
            <w:gridSpan w:val="3"/>
            <w:tcBorders/>
            <w:shd w:fill="auto" w:val="clear"/>
            <w:vAlign w:val="bottom"/>
          </w:tcPr>
          <w:p>
            <w:pPr>
              <w:pStyle w:val="TableContents"/>
              <w:spacing w:before="0" w:after="283"/>
              <w:rPr>
                <w:b/>
              </w:rPr>
            </w:pPr>
            <w:r>
              <w:rPr>
                <w:b/>
              </w:rPr>
              <w:t>BANK VTB (PUBLIC JOINT-STOCK COMPANY)</w:t>
            </w:r>
          </w:p>
        </w:tc>
      </w:tr>
      <w:tr>
        <w:trPr>
          <w:trHeight w:val="120" w:hRule="atLeast"/>
        </w:trPr>
        <w:tc>
          <w:tcPr>
            <w:tcW w:w="1196" w:type="dxa"/>
            <w:tcBorders/>
            <w:shd w:fill="auto" w:val="clear"/>
            <w:vAlign w:val="center"/>
          </w:tcPr>
          <w:p>
            <w:pPr>
              <w:pStyle w:val="TableContents"/>
              <w:spacing w:before="0" w:after="283"/>
              <w:rPr>
                <w:sz w:val="4"/>
                <w:szCs w:val="4"/>
              </w:rPr>
            </w:pPr>
            <w:r>
              <w:rPr>
                <w:sz w:val="4"/>
                <w:szCs w:val="4"/>
              </w:rPr>
            </w:r>
          </w:p>
        </w:tc>
        <w:tc>
          <w:tcPr>
            <w:tcW w:w="7274" w:type="dxa"/>
            <w:gridSpan w:val="2"/>
            <w:tcBorders/>
            <w:shd w:fill="auto" w:val="clear"/>
            <w:vAlign w:val="center"/>
          </w:tcPr>
          <w:p>
            <w:pPr>
              <w:pStyle w:val="TableContents"/>
              <w:spacing w:before="0" w:after="283"/>
              <w:rPr>
                <w:sz w:val="4"/>
                <w:szCs w:val="4"/>
              </w:rPr>
            </w:pPr>
            <w:r>
              <w:rPr>
                <w:sz w:val="4"/>
                <w:szCs w:val="4"/>
              </w:rPr>
            </w:r>
          </w:p>
        </w:tc>
      </w:tr>
      <w:tr>
        <w:trPr/>
        <w:tc>
          <w:tcPr>
            <w:tcW w:w="1196" w:type="dxa"/>
            <w:tcBorders/>
            <w:shd w:fill="auto" w:val="clear"/>
          </w:tcPr>
          <w:p>
            <w:pPr>
              <w:pStyle w:val="TableContents"/>
              <w:spacing w:before="0" w:after="283"/>
              <w:rPr/>
            </w:pPr>
            <w:r>
              <w:rPr/>
              <w:t>Location:</w:t>
            </w:r>
          </w:p>
        </w:tc>
        <w:tc>
          <w:tcPr>
            <w:tcW w:w="189" w:type="dxa"/>
            <w:tcBorders/>
            <w:shd w:fill="auto" w:val="clear"/>
            <w:vAlign w:val="bottom"/>
          </w:tcPr>
          <w:p>
            <w:pPr>
              <w:pStyle w:val="TableContents"/>
              <w:spacing w:before="0" w:after="283"/>
              <w:rPr/>
            </w:pPr>
            <w:r>
              <w:rPr/>
              <w:t>  </w:t>
            </w:r>
          </w:p>
        </w:tc>
        <w:tc>
          <w:tcPr>
            <w:tcW w:w="708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29, Bolshaya Morskaya St., Saint Petersburg, the</w:t>
            </w:r>
          </w:p>
          <w:p>
            <w:pPr>
              <w:pStyle w:val="TableContents"/>
              <w:spacing w:before="0" w:after="20"/>
              <w:rPr>
                <w:rFonts w:ascii="Times New Roman" w:hAnsi="Times New Roman"/>
                <w:sz w:val="20"/>
              </w:rPr>
            </w:pPr>
            <w:r>
              <w:rPr>
                <w:rFonts w:ascii="Times New Roman" w:hAnsi="Times New Roman"/>
                <w:sz w:val="20"/>
              </w:rPr>
              <w:t>Russian Federation, 190000</w:t>
            </w:r>
          </w:p>
        </w:tc>
      </w:tr>
      <w:tr>
        <w:trPr>
          <w:trHeight w:val="120" w:hRule="atLeast"/>
        </w:trPr>
        <w:tc>
          <w:tcPr>
            <w:tcW w:w="1196" w:type="dxa"/>
            <w:tcBorders/>
            <w:shd w:fill="auto" w:val="clear"/>
            <w:vAlign w:val="center"/>
          </w:tcPr>
          <w:p>
            <w:pPr>
              <w:pStyle w:val="TableContents"/>
              <w:spacing w:before="0" w:after="283"/>
              <w:rPr>
                <w:sz w:val="4"/>
                <w:szCs w:val="4"/>
              </w:rPr>
            </w:pPr>
            <w:r>
              <w:rPr>
                <w:sz w:val="4"/>
                <w:szCs w:val="4"/>
              </w:rPr>
            </w:r>
          </w:p>
        </w:tc>
        <w:tc>
          <w:tcPr>
            <w:tcW w:w="7274" w:type="dxa"/>
            <w:gridSpan w:val="2"/>
            <w:tcBorders/>
            <w:shd w:fill="auto" w:val="clear"/>
            <w:vAlign w:val="center"/>
          </w:tcPr>
          <w:p>
            <w:pPr>
              <w:pStyle w:val="TableContents"/>
              <w:spacing w:before="0" w:after="283"/>
              <w:rPr>
                <w:sz w:val="4"/>
                <w:szCs w:val="4"/>
              </w:rPr>
            </w:pPr>
            <w:r>
              <w:rPr>
                <w:sz w:val="4"/>
                <w:szCs w:val="4"/>
              </w:rPr>
            </w:r>
          </w:p>
        </w:tc>
      </w:tr>
      <w:tr>
        <w:trPr/>
        <w:tc>
          <w:tcPr>
            <w:tcW w:w="1196" w:type="dxa"/>
            <w:tcBorders/>
            <w:shd w:fill="auto" w:val="clear"/>
            <w:vAlign w:val="bottom"/>
          </w:tcPr>
          <w:p>
            <w:pPr>
              <w:pStyle w:val="TableContents"/>
              <w:spacing w:before="0" w:after="283"/>
              <w:rPr/>
            </w:pPr>
            <w:r>
              <w:rPr/>
              <w:t>Mail address:</w:t>
            </w:r>
          </w:p>
        </w:tc>
        <w:tc>
          <w:tcPr>
            <w:tcW w:w="189" w:type="dxa"/>
            <w:tcBorders/>
            <w:shd w:fill="auto" w:val="clear"/>
            <w:vAlign w:val="bottom"/>
          </w:tcPr>
          <w:p>
            <w:pPr>
              <w:pStyle w:val="TableContents"/>
              <w:spacing w:before="0" w:after="283"/>
              <w:rPr/>
            </w:pPr>
            <w:r>
              <w:rPr/>
              <w:t>  </w:t>
            </w:r>
          </w:p>
        </w:tc>
        <w:tc>
          <w:tcPr>
            <w:tcW w:w="7085" w:type="dxa"/>
            <w:tcBorders/>
            <w:shd w:fill="auto" w:val="clear"/>
            <w:vAlign w:val="bottom"/>
          </w:tcPr>
          <w:p>
            <w:pPr>
              <w:pStyle w:val="TableContents"/>
              <w:spacing w:before="0" w:after="283"/>
              <w:rPr/>
            </w:pPr>
            <w:r>
              <w:rPr/>
              <w:t>43 Vorontsovskaya St., bld. 1, Moscow, 109147</w:t>
            </w:r>
          </w:p>
        </w:tc>
      </w:tr>
      <w:tr>
        <w:trPr>
          <w:trHeight w:val="120" w:hRule="atLeast"/>
        </w:trPr>
        <w:tc>
          <w:tcPr>
            <w:tcW w:w="1196" w:type="dxa"/>
            <w:tcBorders/>
            <w:shd w:fill="auto" w:val="clear"/>
            <w:vAlign w:val="center"/>
          </w:tcPr>
          <w:p>
            <w:pPr>
              <w:pStyle w:val="TableContents"/>
              <w:spacing w:before="0" w:after="283"/>
              <w:rPr>
                <w:sz w:val="4"/>
                <w:szCs w:val="4"/>
              </w:rPr>
            </w:pPr>
            <w:r>
              <w:rPr>
                <w:sz w:val="4"/>
                <w:szCs w:val="4"/>
              </w:rPr>
            </w:r>
          </w:p>
        </w:tc>
        <w:tc>
          <w:tcPr>
            <w:tcW w:w="7274" w:type="dxa"/>
            <w:gridSpan w:val="2"/>
            <w:tcBorders/>
            <w:shd w:fill="auto" w:val="clear"/>
            <w:vAlign w:val="center"/>
          </w:tcPr>
          <w:p>
            <w:pPr>
              <w:pStyle w:val="TableContents"/>
              <w:spacing w:before="0" w:after="283"/>
              <w:rPr>
                <w:sz w:val="4"/>
                <w:szCs w:val="4"/>
              </w:rPr>
            </w:pPr>
            <w:r>
              <w:rPr>
                <w:sz w:val="4"/>
                <w:szCs w:val="4"/>
              </w:rPr>
            </w:r>
          </w:p>
        </w:tc>
      </w:tr>
      <w:tr>
        <w:trPr/>
        <w:tc>
          <w:tcPr>
            <w:tcW w:w="1196" w:type="dxa"/>
            <w:tcBorders/>
            <w:shd w:fill="auto" w:val="clear"/>
            <w:vAlign w:val="bottom"/>
          </w:tcPr>
          <w:p>
            <w:pPr>
              <w:pStyle w:val="TableContents"/>
              <w:spacing w:before="0" w:after="283"/>
              <w:rPr/>
            </w:pPr>
            <w:r>
              <w:rPr/>
              <w:t>Telex:</w:t>
            </w:r>
          </w:p>
        </w:tc>
        <w:tc>
          <w:tcPr>
            <w:tcW w:w="189" w:type="dxa"/>
            <w:tcBorders/>
            <w:shd w:fill="auto" w:val="clear"/>
            <w:vAlign w:val="bottom"/>
          </w:tcPr>
          <w:p>
            <w:pPr>
              <w:pStyle w:val="TableContents"/>
              <w:spacing w:before="0" w:after="283"/>
              <w:rPr/>
            </w:pPr>
            <w:r>
              <w:rPr/>
              <w:t>  </w:t>
            </w:r>
          </w:p>
        </w:tc>
        <w:tc>
          <w:tcPr>
            <w:tcW w:w="7085" w:type="dxa"/>
            <w:tcBorders/>
            <w:shd w:fill="auto" w:val="clear"/>
            <w:vAlign w:val="bottom"/>
          </w:tcPr>
          <w:p>
            <w:pPr>
              <w:pStyle w:val="TableContents"/>
              <w:spacing w:before="0" w:after="283"/>
              <w:rPr/>
            </w:pPr>
            <w:r>
              <w:rPr/>
              <w:t>412362 BFTR RU</w:t>
            </w:r>
          </w:p>
        </w:tc>
      </w:tr>
      <w:tr>
        <w:trPr>
          <w:trHeight w:val="120" w:hRule="atLeast"/>
        </w:trPr>
        <w:tc>
          <w:tcPr>
            <w:tcW w:w="1196" w:type="dxa"/>
            <w:tcBorders/>
            <w:shd w:fill="auto" w:val="clear"/>
            <w:vAlign w:val="center"/>
          </w:tcPr>
          <w:p>
            <w:pPr>
              <w:pStyle w:val="TableContents"/>
              <w:spacing w:before="0" w:after="283"/>
              <w:rPr>
                <w:sz w:val="4"/>
                <w:szCs w:val="4"/>
              </w:rPr>
            </w:pPr>
            <w:r>
              <w:rPr>
                <w:sz w:val="4"/>
                <w:szCs w:val="4"/>
              </w:rPr>
            </w:r>
          </w:p>
        </w:tc>
        <w:tc>
          <w:tcPr>
            <w:tcW w:w="7274" w:type="dxa"/>
            <w:gridSpan w:val="2"/>
            <w:tcBorders/>
            <w:shd w:fill="auto" w:val="clear"/>
            <w:vAlign w:val="center"/>
          </w:tcPr>
          <w:p>
            <w:pPr>
              <w:pStyle w:val="TableContents"/>
              <w:spacing w:before="0" w:after="283"/>
              <w:rPr>
                <w:sz w:val="4"/>
                <w:szCs w:val="4"/>
              </w:rPr>
            </w:pPr>
            <w:r>
              <w:rPr>
                <w:sz w:val="4"/>
                <w:szCs w:val="4"/>
              </w:rPr>
            </w:r>
          </w:p>
        </w:tc>
      </w:tr>
      <w:tr>
        <w:trPr/>
        <w:tc>
          <w:tcPr>
            <w:tcW w:w="1196" w:type="dxa"/>
            <w:tcBorders/>
            <w:shd w:fill="auto" w:val="clear"/>
            <w:vAlign w:val="bottom"/>
          </w:tcPr>
          <w:p>
            <w:pPr>
              <w:pStyle w:val="TableContents"/>
              <w:spacing w:before="0" w:after="283"/>
              <w:rPr/>
            </w:pPr>
            <w:r>
              <w:rPr/>
              <w:t>Telephone:</w:t>
            </w:r>
          </w:p>
        </w:tc>
        <w:tc>
          <w:tcPr>
            <w:tcW w:w="189" w:type="dxa"/>
            <w:tcBorders/>
            <w:shd w:fill="auto" w:val="clear"/>
            <w:vAlign w:val="bottom"/>
          </w:tcPr>
          <w:p>
            <w:pPr>
              <w:pStyle w:val="TableContents"/>
              <w:spacing w:before="0" w:after="283"/>
              <w:rPr/>
            </w:pPr>
            <w:r>
              <w:rPr/>
              <w:t>  </w:t>
            </w:r>
          </w:p>
        </w:tc>
        <w:tc>
          <w:tcPr>
            <w:tcW w:w="7085" w:type="dxa"/>
            <w:tcBorders/>
            <w:shd w:fill="auto" w:val="clear"/>
            <w:vAlign w:val="bottom"/>
          </w:tcPr>
          <w:p>
            <w:pPr>
              <w:pStyle w:val="TableContents"/>
              <w:spacing w:before="0" w:after="283"/>
              <w:rPr/>
            </w:pPr>
            <w:r>
              <w:rPr/>
              <w:t>+7 495 956-71-48</w:t>
            </w:r>
          </w:p>
        </w:tc>
      </w:tr>
      <w:tr>
        <w:trPr>
          <w:trHeight w:val="120" w:hRule="atLeast"/>
        </w:trPr>
        <w:tc>
          <w:tcPr>
            <w:tcW w:w="1196" w:type="dxa"/>
            <w:tcBorders/>
            <w:shd w:fill="auto" w:val="clear"/>
            <w:vAlign w:val="center"/>
          </w:tcPr>
          <w:p>
            <w:pPr>
              <w:pStyle w:val="TableContents"/>
              <w:spacing w:before="0" w:after="283"/>
              <w:rPr>
                <w:sz w:val="4"/>
                <w:szCs w:val="4"/>
              </w:rPr>
            </w:pPr>
            <w:r>
              <w:rPr>
                <w:sz w:val="4"/>
                <w:szCs w:val="4"/>
              </w:rPr>
            </w:r>
          </w:p>
        </w:tc>
        <w:tc>
          <w:tcPr>
            <w:tcW w:w="7274" w:type="dxa"/>
            <w:gridSpan w:val="2"/>
            <w:tcBorders/>
            <w:shd w:fill="auto" w:val="clear"/>
            <w:vAlign w:val="center"/>
          </w:tcPr>
          <w:p>
            <w:pPr>
              <w:pStyle w:val="TableContents"/>
              <w:spacing w:before="0" w:after="283"/>
              <w:rPr>
                <w:sz w:val="4"/>
                <w:szCs w:val="4"/>
              </w:rPr>
            </w:pPr>
            <w:r>
              <w:rPr>
                <w:sz w:val="4"/>
                <w:szCs w:val="4"/>
              </w:rPr>
            </w:r>
          </w:p>
        </w:tc>
      </w:tr>
      <w:tr>
        <w:trPr/>
        <w:tc>
          <w:tcPr>
            <w:tcW w:w="1196" w:type="dxa"/>
            <w:tcBorders/>
            <w:shd w:fill="auto" w:val="clear"/>
            <w:vAlign w:val="bottom"/>
          </w:tcPr>
          <w:p>
            <w:pPr>
              <w:pStyle w:val="TableContents"/>
              <w:spacing w:before="0" w:after="283"/>
              <w:rPr/>
            </w:pPr>
            <w:r>
              <w:rPr/>
              <w:t>Fax:</w:t>
            </w:r>
          </w:p>
        </w:tc>
        <w:tc>
          <w:tcPr>
            <w:tcW w:w="189" w:type="dxa"/>
            <w:tcBorders/>
            <w:shd w:fill="auto" w:val="clear"/>
            <w:vAlign w:val="bottom"/>
          </w:tcPr>
          <w:p>
            <w:pPr>
              <w:pStyle w:val="TableContents"/>
              <w:spacing w:before="0" w:after="283"/>
              <w:rPr/>
            </w:pPr>
            <w:r>
              <w:rPr/>
              <w:t>  </w:t>
            </w:r>
          </w:p>
        </w:tc>
        <w:tc>
          <w:tcPr>
            <w:tcW w:w="7085" w:type="dxa"/>
            <w:tcBorders/>
            <w:shd w:fill="auto" w:val="clear"/>
            <w:vAlign w:val="bottom"/>
          </w:tcPr>
          <w:p>
            <w:pPr>
              <w:pStyle w:val="TableContents"/>
              <w:spacing w:before="0" w:after="283"/>
              <w:rPr/>
            </w:pPr>
            <w:r>
              <w:rPr/>
              <w:t>+7 495 775-54-54</w:t>
            </w:r>
          </w:p>
        </w:tc>
      </w:tr>
      <w:tr>
        <w:trPr>
          <w:trHeight w:val="120" w:hRule="atLeast"/>
        </w:trPr>
        <w:tc>
          <w:tcPr>
            <w:tcW w:w="1196" w:type="dxa"/>
            <w:tcBorders/>
            <w:shd w:fill="auto" w:val="clear"/>
            <w:vAlign w:val="center"/>
          </w:tcPr>
          <w:p>
            <w:pPr>
              <w:pStyle w:val="TableContents"/>
              <w:spacing w:before="0" w:after="283"/>
              <w:rPr>
                <w:sz w:val="4"/>
                <w:szCs w:val="4"/>
              </w:rPr>
            </w:pPr>
            <w:r>
              <w:rPr>
                <w:sz w:val="4"/>
                <w:szCs w:val="4"/>
              </w:rPr>
            </w:r>
          </w:p>
        </w:tc>
        <w:tc>
          <w:tcPr>
            <w:tcW w:w="7274" w:type="dxa"/>
            <w:gridSpan w:val="2"/>
            <w:tcBorders/>
            <w:shd w:fill="auto" w:val="clear"/>
            <w:vAlign w:val="center"/>
          </w:tcPr>
          <w:p>
            <w:pPr>
              <w:pStyle w:val="TableContents"/>
              <w:spacing w:before="0" w:after="283"/>
              <w:rPr>
                <w:sz w:val="4"/>
                <w:szCs w:val="4"/>
              </w:rPr>
            </w:pPr>
            <w:r>
              <w:rPr>
                <w:sz w:val="4"/>
                <w:szCs w:val="4"/>
              </w:rPr>
            </w:r>
          </w:p>
        </w:tc>
      </w:tr>
      <w:tr>
        <w:trPr/>
        <w:tc>
          <w:tcPr>
            <w:tcW w:w="1196" w:type="dxa"/>
            <w:tcBorders/>
            <w:shd w:fill="auto" w:val="clear"/>
            <w:vAlign w:val="bottom"/>
          </w:tcPr>
          <w:p>
            <w:pPr>
              <w:pStyle w:val="TableContents"/>
              <w:spacing w:before="0" w:after="283"/>
              <w:rPr/>
            </w:pPr>
            <w:r>
              <w:rPr/>
              <w:t>E-mail:</w:t>
            </w:r>
          </w:p>
        </w:tc>
        <w:tc>
          <w:tcPr>
            <w:tcW w:w="189" w:type="dxa"/>
            <w:tcBorders/>
            <w:shd w:fill="auto" w:val="clear"/>
            <w:vAlign w:val="bottom"/>
          </w:tcPr>
          <w:p>
            <w:pPr>
              <w:pStyle w:val="TableContents"/>
              <w:spacing w:before="0" w:after="283"/>
              <w:rPr/>
            </w:pPr>
            <w:r>
              <w:rPr/>
              <w:t>  </w:t>
            </w:r>
          </w:p>
        </w:tc>
        <w:tc>
          <w:tcPr>
            <w:tcW w:w="7085" w:type="dxa"/>
            <w:tcBorders/>
            <w:shd w:fill="auto" w:val="clear"/>
            <w:vAlign w:val="bottom"/>
          </w:tcPr>
          <w:p>
            <w:pPr>
              <w:pStyle w:val="TableContents"/>
              <w:spacing w:before="0" w:after="283"/>
              <w:rPr/>
            </w:pPr>
            <w:r>
              <w:rPr/>
              <w:t xml:space="preserve">loanadmin@msk.vtb.ru, </w:t>
            </w:r>
            <w:r>
              <w:rPr>
                <w:u w:val="single"/>
              </w:rPr>
              <w:t>TM21@msk.vtb.ru</w:t>
            </w:r>
          </w:p>
        </w:tc>
      </w:tr>
      <w:tr>
        <w:trPr>
          <w:trHeight w:val="120" w:hRule="atLeast"/>
        </w:trPr>
        <w:tc>
          <w:tcPr>
            <w:tcW w:w="1196" w:type="dxa"/>
            <w:tcBorders/>
            <w:shd w:fill="auto" w:val="clear"/>
            <w:vAlign w:val="center"/>
          </w:tcPr>
          <w:p>
            <w:pPr>
              <w:pStyle w:val="TableContents"/>
              <w:spacing w:before="0" w:after="283"/>
              <w:rPr>
                <w:sz w:val="4"/>
                <w:szCs w:val="4"/>
              </w:rPr>
            </w:pPr>
            <w:r>
              <w:rPr>
                <w:sz w:val="4"/>
                <w:szCs w:val="4"/>
              </w:rPr>
            </w:r>
          </w:p>
        </w:tc>
        <w:tc>
          <w:tcPr>
            <w:tcW w:w="7274" w:type="dxa"/>
            <w:gridSpan w:val="2"/>
            <w:tcBorders/>
            <w:shd w:fill="auto" w:val="clear"/>
            <w:vAlign w:val="center"/>
          </w:tcPr>
          <w:p>
            <w:pPr>
              <w:pStyle w:val="TableContents"/>
              <w:spacing w:before="0" w:after="283"/>
              <w:rPr>
                <w:sz w:val="4"/>
                <w:szCs w:val="4"/>
              </w:rPr>
            </w:pPr>
            <w:r>
              <w:rPr>
                <w:sz w:val="4"/>
                <w:szCs w:val="4"/>
              </w:rPr>
            </w:r>
          </w:p>
        </w:tc>
      </w:tr>
      <w:tr>
        <w:trPr/>
        <w:tc>
          <w:tcPr>
            <w:tcW w:w="1196" w:type="dxa"/>
            <w:tcBorders/>
            <w:shd w:fill="auto" w:val="clear"/>
            <w:vAlign w:val="bottom"/>
          </w:tcPr>
          <w:p>
            <w:pPr>
              <w:pStyle w:val="TableContents"/>
              <w:spacing w:before="0" w:after="283"/>
              <w:rPr/>
            </w:pPr>
            <w:r>
              <w:rPr/>
              <w:t>Attn:</w:t>
            </w:r>
          </w:p>
        </w:tc>
        <w:tc>
          <w:tcPr>
            <w:tcW w:w="189" w:type="dxa"/>
            <w:tcBorders/>
            <w:shd w:fill="auto" w:val="clear"/>
            <w:vAlign w:val="bottom"/>
          </w:tcPr>
          <w:p>
            <w:pPr>
              <w:pStyle w:val="TableContents"/>
              <w:spacing w:before="0" w:after="283"/>
              <w:rPr/>
            </w:pPr>
            <w:r>
              <w:rPr/>
              <w:t>  </w:t>
            </w:r>
          </w:p>
        </w:tc>
        <w:tc>
          <w:tcPr>
            <w:tcW w:w="7085" w:type="dxa"/>
            <w:tcBorders/>
            <w:shd w:fill="auto" w:val="clear"/>
            <w:vAlign w:val="bottom"/>
          </w:tcPr>
          <w:p>
            <w:pPr>
              <w:pStyle w:val="TableContents"/>
              <w:spacing w:before="0" w:after="283"/>
              <w:rPr/>
            </w:pPr>
            <w:r>
              <w:rPr/>
              <w:t>Credit Authority</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Any Party may change its contact details sending the Credit Agent an appropriate notice at least 5 (five) Business Days prior to such change. The Credit Agent shall notify all other Parties of any change in contact details.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(f)</w:t>
            </w:r>
          </w:p>
        </w:tc>
        <w:tc>
          <w:tcPr>
            <w:tcW w:w="8471" w:type="dxa"/>
            <w:tcBorders/>
            <w:shd w:fill="auto" w:val="clear"/>
          </w:tcPr>
          <w:p>
            <w:pPr>
              <w:pStyle w:val="TableContents"/>
              <w:spacing w:before="0" w:after="283"/>
              <w:jc w:val="left"/>
              <w:rPr/>
            </w:pPr>
            <w:r>
              <w:rPr/>
              <w:t xml:space="preserve">If a Party specifies a particular division or official as a recipient of a message, such message shall not be considered to be sent if such division or official is not designated as the recipient.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7.3.</w:t>
            </w:r>
          </w:p>
        </w:tc>
        <w:tc>
          <w:tcPr>
            <w:tcW w:w="9390" w:type="dxa"/>
            <w:tcBorders/>
            <w:shd w:fill="auto" w:val="clear"/>
          </w:tcPr>
          <w:p>
            <w:pPr>
              <w:pStyle w:val="TableContents"/>
              <w:spacing w:before="0" w:after="283"/>
              <w:jc w:val="left"/>
              <w:rPr/>
            </w:pPr>
            <w:r>
              <w:rPr>
                <w:b/>
              </w:rPr>
              <w:t>Notice Delivery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message or document sent by a Party to another Party in connection with this Agreement and the Guarantee shall be deemed to have been received (except for a notice sent in accordance with the laws of the Russian Federation in case of filing of any claims under the Guarantee and any other cases expressly provided for by the Agreement and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after receiving a message in a legible form when sent by fax or by another method which allows to establish reliably that the message is from a Party hereto; or upon delivery to the appropriate address when sent by courier;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upon delivery to the appropriate address or after 5 (five) Business Days after submitting to the post office when sent by mail with return receipt,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All notices sent by the Guarantor or to the Guarantor’s address shall be transmitted through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7.4.</w:t>
            </w:r>
          </w:p>
        </w:tc>
        <w:tc>
          <w:tcPr>
            <w:tcW w:w="9389" w:type="dxa"/>
            <w:tcBorders/>
            <w:shd w:fill="auto" w:val="clear"/>
          </w:tcPr>
          <w:p>
            <w:pPr>
              <w:pStyle w:val="TableContents"/>
              <w:spacing w:before="0" w:after="283"/>
              <w:jc w:val="left"/>
              <w:rPr/>
            </w:pPr>
            <w:r>
              <w:rPr>
                <w:b/>
              </w:rPr>
              <w:t>Language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notice or message sent by a Party in connection with this Agreement and the Guarantee must be in the Russian language. For the avoidance of doubt, the text is in Russian and may be accompanied by a translation into English; the text in Russian shall prevail.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8.</w:t>
            </w:r>
          </w:p>
        </w:tc>
        <w:tc>
          <w:tcPr>
            <w:tcW w:w="9391" w:type="dxa"/>
            <w:tcBorders/>
            <w:shd w:fill="auto" w:val="clear"/>
          </w:tcPr>
          <w:p>
            <w:pPr>
              <w:pStyle w:val="TableContents"/>
              <w:spacing w:before="0" w:after="283"/>
              <w:jc w:val="left"/>
              <w:rPr/>
            </w:pPr>
            <w:r>
              <w:rPr>
                <w:b/>
              </w:rPr>
              <w:t>MISCELLANEOUS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w:t>
            </w:r>
          </w:p>
        </w:tc>
        <w:tc>
          <w:tcPr>
            <w:tcW w:w="9389" w:type="dxa"/>
            <w:tcBorders/>
            <w:shd w:fill="auto" w:val="clear"/>
          </w:tcPr>
          <w:p>
            <w:pPr>
              <w:pStyle w:val="TableContents"/>
              <w:spacing w:before="0" w:after="283"/>
              <w:jc w:val="left"/>
              <w:rPr/>
            </w:pPr>
            <w:r>
              <w:rPr>
                <w:b/>
              </w:rPr>
              <w:t>Partial Invalidity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any provision of this Agreement is or becomes illegal, invalid or unenforceable, this does not affect the legality, validity or enforceability of any other provision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8.2.</w:t>
            </w:r>
          </w:p>
        </w:tc>
        <w:tc>
          <w:tcPr>
            <w:tcW w:w="9389" w:type="dxa"/>
            <w:tcBorders/>
            <w:shd w:fill="auto" w:val="clear"/>
          </w:tcPr>
          <w:p>
            <w:pPr>
              <w:pStyle w:val="TableContents"/>
              <w:spacing w:before="0" w:after="283"/>
              <w:jc w:val="left"/>
              <w:rPr/>
            </w:pPr>
            <w:r>
              <w:rPr>
                <w:b/>
              </w:rPr>
              <w:t>Wording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Parties acknowledge that the terms and conditions of this Agreement, as well as its wording, have been jointly determined by the Parties, each Party was equally able to influence the content of this Agreement based on its own reasonable interests.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9.</w:t>
            </w:r>
          </w:p>
        </w:tc>
        <w:tc>
          <w:tcPr>
            <w:tcW w:w="9391" w:type="dxa"/>
            <w:tcBorders/>
            <w:shd w:fill="auto" w:val="clear"/>
          </w:tcPr>
          <w:p>
            <w:pPr>
              <w:pStyle w:val="TableContents"/>
              <w:spacing w:before="0" w:after="283"/>
              <w:jc w:val="left"/>
              <w:rPr>
                <w:b/>
              </w:rPr>
            </w:pPr>
            <w:r>
              <w:rPr>
                <w:b/>
              </w:rPr>
              <w:t xml:space="preserve">CLAIM ASSIGNMENT AND DEBT TRANSFER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9.1.</w:t>
            </w:r>
          </w:p>
        </w:tc>
        <w:tc>
          <w:tcPr>
            <w:tcW w:w="9389"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Neither the Guarantor nor the Borrower may assign its rights or transfer the debt under this Agreement and the Guarantee or otherwise dispose of any of its rights and (or) obligations under this Agreement and the Guarantee without the written consent of all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9.2.</w:t>
            </w:r>
          </w:p>
        </w:tc>
        <w:tc>
          <w:tcPr>
            <w:tcW w:w="9389" w:type="dxa"/>
            <w:tcBorders/>
            <w:shd w:fill="auto" w:val="clear"/>
          </w:tcPr>
          <w:p>
            <w:pPr>
              <w:pStyle w:val="TableContents"/>
              <w:spacing w:before="0" w:after="283"/>
              <w:jc w:val="left"/>
              <w:rPr/>
            </w:pPr>
            <w:r>
              <w:rPr>
                <w:b/>
              </w:rPr>
              <w:t>Transfer of Rights by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Lender may, without the consent of the Guarantor and the Borrower, assign all or part of its rights (claims) under this Agreement and the Guarantee to any person to whom it has assigned its rights under the Loan Agreement, in accordance with the requirements established by Article 22.2 (</w:t>
            </w:r>
            <w:r>
              <w:rPr>
                <w:i/>
              </w:rPr>
              <w:t>Assignment of Rights and Transfer of Obligations by the Lenders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If the Lender assigns its rights (claims) under Clause (a) above, the Lenders that have wholly or partially assigned the rights (claims) under this Agreement and the Guarantee become beneficiaries under this Agreement and the Guarantee issued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If the Lender assigns its rights (claims) under Clause (a) above, the Guarantor shall, at its own expense, take any actions and sign any documents necessary for the purposes of exercising and protecting the rights of the Lenders as beneficiaries under the Guarantee provided for by this Agreement and the Guarantee issued hereunder. In particular, the Guarantor shall, at its own expense, at the request of the Credit Agent, ensure: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taking all actions necessary to ensure the validity of this Agreement and the Guarantee issued hereunder;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entering into a new Independent Guarantee Issue Agreement with the Lenders and issuing a new Independent Guarantee on the terms and conditions similar to those of this Agreement and the Guarantee issued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9.3.</w:t>
            </w:r>
          </w:p>
        </w:tc>
        <w:tc>
          <w:tcPr>
            <w:tcW w:w="9389" w:type="dxa"/>
            <w:tcBorders/>
            <w:shd w:fill="auto" w:val="clear"/>
          </w:tcPr>
          <w:p>
            <w:pPr>
              <w:pStyle w:val="TableContents"/>
              <w:spacing w:before="0" w:after="283"/>
              <w:jc w:val="left"/>
              <w:rPr/>
            </w:pPr>
            <w:r>
              <w:rPr>
                <w:b/>
              </w:rPr>
              <w:t>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the Borrower assigns or transfers its debt (in whole or in part) under the Loan Agreement (with the consent of all Lenders) to another person under the terms and conditions provided for in the Loan Agreement or transfers the Borrower’s obligations under the Loan Agreement to another person through a universal succession, the Guarantor hereby expresses its consent to such assignment or transfer of the debt and agrees to be jointly liable with the new borrower in the amount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10.</w:t>
            </w:r>
          </w:p>
        </w:tc>
        <w:tc>
          <w:tcPr>
            <w:tcW w:w="9388"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11.</w:t>
            </w:r>
          </w:p>
        </w:tc>
        <w:tc>
          <w:tcPr>
            <w:tcW w:w="9389"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12.</w:t>
            </w:r>
          </w:p>
        </w:tc>
        <w:tc>
          <w:tcPr>
            <w:tcW w:w="9388" w:type="dxa"/>
            <w:tcBorders/>
            <w:shd w:fill="auto" w:val="clear"/>
          </w:tcPr>
          <w:p>
            <w:pPr>
              <w:pStyle w:val="TableContents"/>
              <w:spacing w:before="0" w:after="283"/>
              <w:jc w:val="left"/>
              <w:rPr/>
            </w:pPr>
            <w:r>
              <w:rPr>
                <w:b/>
              </w:rPr>
              <w:t>COUNTERPARTS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has been made in 3 (three) counterparts of equal legal effect, all of which together shall constitute one and the same instrument, one counterpart for each Party.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TERMS OF THE LOAN AGREEMENT </w:t>
      </w:r>
    </w:p>
    <w:p>
      <w:pPr>
        <w:pStyle w:val="TextBody"/>
        <w:spacing w:before="0" w:after="0"/>
        <w:rPr/>
      </w:pPr>
      <w:r>
        <w:rPr/>
        <w:t> </w:t>
      </w:r>
    </w:p>
    <w:p>
      <w:pPr>
        <w:pStyle w:val="TextBody"/>
        <w:spacing w:before="0" w:after="0"/>
        <w:rPr>
          <w:rFonts w:ascii="Times New Roman" w:hAnsi="Times New Roman"/>
          <w:sz w:val="20"/>
        </w:rPr>
      </w:pPr>
      <w:r>
        <w:rPr>
          <w:rFonts w:ascii="Times New Roman" w:hAnsi="Times New Roman"/>
          <w:sz w:val="20"/>
        </w:rPr>
        <w:t>In the Loan Agreement, except where the context otherwise requires: “</w:t>
      </w:r>
      <w:r>
        <w:rPr>
          <w:rFonts w:ascii="Times New Roman" w:hAnsi="Times New Roman"/>
          <w:b/>
          <w:sz w:val="20"/>
        </w:rPr>
        <w:t>Auditors</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(a)</w:t>
            </w:r>
          </w:p>
        </w:tc>
        <w:tc>
          <w:tcPr>
            <w:tcW w:w="9392" w:type="dxa"/>
            <w:tcBorders/>
            <w:shd w:fill="auto" w:val="clear"/>
          </w:tcPr>
          <w:p>
            <w:pPr>
              <w:pStyle w:val="TableContents"/>
              <w:spacing w:before="0" w:after="283"/>
              <w:jc w:val="left"/>
              <w:rPr/>
            </w:pPr>
            <w:r>
              <w:rPr/>
              <w:t xml:space="preserve">KPMG Joint-Stock Company, Deloitte CIS Holdings Limited, PricewaterhouseCoopers Consulting LLC, or Ernst &amp; Young Global Limited for the financial statements of the Group and its members prepared under IFRS;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any company listed in Clause (a) above, Moore Stephens LLC, FinExpertiza LLC, BDO CJSC, FBK LLC, and 2K—Business Consulting CJSC, and any other audit firm approved by the Majority of the Lenders for the financial statements of members of the Group prepared under any Applicable Accounting Standards other than IFRS. </w:t>
            </w:r>
          </w:p>
        </w:tc>
      </w:tr>
    </w:tbl>
    <w:p>
      <w:pPr>
        <w:pStyle w:val="TextBody"/>
        <w:spacing w:before="240" w:after="0"/>
        <w:rPr/>
      </w:pPr>
      <w:r>
        <w:rPr/>
        <w:t>“</w:t>
      </w:r>
      <w:r>
        <w:rPr>
          <w:rFonts w:ascii="Times New Roman" w:hAnsi="Times New Roman"/>
          <w:b/>
          <w:sz w:val="20"/>
        </w:rPr>
        <w:t>Affiliate</w:t>
      </w:r>
      <w:r>
        <w:rPr>
          <w:rFonts w:ascii="Times New Roman" w:hAnsi="Times New Roman"/>
          <w:sz w:val="20"/>
        </w:rPr>
        <w:t xml:space="preserve">” means a Subsidiary or an Associated Company of such person or a Holding Company of such person or any other Subsidiary or Associated Company of such Holding Company. </w:t>
      </w:r>
    </w:p>
    <w:p>
      <w:pPr>
        <w:pStyle w:val="TextBody"/>
        <w:spacing w:before="240" w:after="0"/>
        <w:rPr/>
      </w:pPr>
      <w:r>
        <w:rPr/>
        <w:t>“</w:t>
      </w:r>
      <w:r>
        <w:rPr>
          <w:rFonts w:ascii="Times New Roman" w:hAnsi="Times New Roman"/>
          <w:b/>
          <w:sz w:val="20"/>
        </w:rPr>
        <w:t>Basel II</w:t>
      </w:r>
      <w:r>
        <w:rPr>
          <w:rFonts w:ascii="Times New Roman" w:hAnsi="Times New Roman"/>
          <w:sz w:val="20"/>
        </w:rPr>
        <w:t xml:space="preserve">” means the recommendations contained in the document adopted by the Basel Committee on Banking Supervision in June 2004 “International Convergence of Capital Measurement and Capital Standards: a Revised Framework”. </w:t>
      </w:r>
    </w:p>
    <w:p>
      <w:pPr>
        <w:pStyle w:val="TextBody"/>
        <w:spacing w:before="240" w:after="0"/>
        <w:rPr/>
      </w:pPr>
      <w:r>
        <w:rPr/>
        <w:t>“</w:t>
      </w:r>
      <w:r>
        <w:rPr>
          <w:rFonts w:ascii="Times New Roman" w:hAnsi="Times New Roman"/>
          <w:b/>
          <w:sz w:val="20"/>
        </w:rPr>
        <w:t>Basel III</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the recommendations contained in the documents published by the Basel Committee on Banking Supervision in December 2010: “Basel III: A Global Regulatory Framework for More Resilient Banks and Banking Systems”, “Basel III: International framework for liquidity risk measurement, standards and monitoring” and “Guidance for national authorities operating the countercyclical capital buffer”, as amended;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such recommendations for global systemically important banks as contained in a document published by the Basel Committee on Banking Supervision in November 2011 “Global systemically important banks: Assessment methodology and the additional loss absorbency requirement. Consultative Document”, as amended;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(c)</w:t>
            </w:r>
          </w:p>
        </w:tc>
        <w:tc>
          <w:tcPr>
            <w:tcW w:w="9389" w:type="dxa"/>
            <w:tcBorders/>
            <w:shd w:fill="auto" w:val="clear"/>
          </w:tcPr>
          <w:p>
            <w:pPr>
              <w:pStyle w:val="TableContents"/>
              <w:spacing w:before="0" w:after="283"/>
              <w:jc w:val="left"/>
              <w:rPr/>
            </w:pPr>
            <w:r>
              <w:rPr/>
              <w:t xml:space="preserve">any other documents, explanations or standards published by the Basel Committee on Banking Supervision with respect of Basel III. </w:t>
            </w:r>
          </w:p>
        </w:tc>
      </w:tr>
    </w:tbl>
    <w:p>
      <w:pPr>
        <w:pStyle w:val="TextBody"/>
        <w:spacing w:before="240" w:after="0"/>
        <w:rPr/>
      </w:pPr>
      <w:r>
        <w:rPr/>
        <w:t>“</w:t>
      </w:r>
      <w:r>
        <w:rPr>
          <w:rFonts w:ascii="Times New Roman" w:hAnsi="Times New Roman"/>
          <w:b/>
          <w:sz w:val="20"/>
        </w:rPr>
        <w:t>Majority of the Lenders</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in a period up to the Settlement Date, the Lenders whose Loan Limits together amount to 75 (seventy-five) percent or more of the Aggregate Loan Limit;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if there is no Outstanding Loan and the Aggregate Loan Limit has been reduced to zero, the Lenders whose Loan Limits together amount to 75 (seventy-five) percent or more of the Aggregate Loan Limit immediately prior to the date of such reduction;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in any other period of time, the Lenders whose participation in the Outstanding Loan, their Unused Loan Limit and the Amount to be provided together amount to 75 (seventy-five) percent or more of the total amount of the Outstanding Loan, the Aggregate Unused Loan Limit and the Amount to be granted by all Lenders. </w:t>
            </w:r>
          </w:p>
        </w:tc>
      </w:tr>
    </w:tbl>
    <w:p>
      <w:pPr>
        <w:pStyle w:val="TextBody"/>
        <w:spacing w:before="240" w:after="0"/>
        <w:rPr/>
      </w:pPr>
      <w:r>
        <w:rPr/>
        <w:t>“</w:t>
      </w:r>
      <w:r>
        <w:rPr>
          <w:rFonts w:ascii="Times New Roman" w:hAnsi="Times New Roman"/>
          <w:b/>
          <w:sz w:val="20"/>
        </w:rPr>
        <w:t>Revenue</w:t>
      </w:r>
      <w:r>
        <w:rPr>
          <w:rFonts w:ascii="Times New Roman" w:hAnsi="Times New Roman"/>
          <w:sz w:val="20"/>
        </w:rPr>
        <w:t>” means, in relation to any Debtor, the revenue of such Debtor determined under the financial statements prepared pursuant to the Applicable Accounting Standards and provided under Article 17.1 (</w:t>
      </w:r>
      <w:r>
        <w:rPr>
          <w:rFonts w:ascii="Times New Roman" w:hAnsi="Times New Roman"/>
          <w:i/>
          <w:sz w:val="20"/>
        </w:rPr>
        <w:t>Financial Statements</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Guarantor”</w:t>
      </w:r>
      <w:r>
        <w:rPr>
          <w:rFonts w:ascii="Times New Roman" w:hAnsi="Times New Roman"/>
          <w:sz w:val="20"/>
        </w:rPr>
        <w:t xml:space="preserve"> means each of HeadHunter FSU, Zemenik Trading, and Headhunter, and each Additional Guarantor. </w:t>
      </w:r>
    </w:p>
    <w:p>
      <w:pPr>
        <w:pStyle w:val="TextBody"/>
        <w:spacing w:before="240" w:after="0"/>
        <w:rPr>
          <w:rFonts w:ascii="Times New Roman" w:hAnsi="Times New Roman"/>
          <w:b/>
          <w:sz w:val="20"/>
        </w:rPr>
      </w:pPr>
      <w:r>
        <w:rPr>
          <w:rFonts w:ascii="Times New Roman" w:hAnsi="Times New Roman"/>
          <w:b/>
          <w:sz w:val="20"/>
        </w:rPr>
        <w:t xml:space="preserve">Contracting State to a Double Taxation Agreement </w:t>
      </w:r>
    </w:p>
    <w:p>
      <w:pPr>
        <w:pStyle w:val="TextBody"/>
        <w:spacing w:before="120" w:after="0"/>
        <w:rPr>
          <w:rFonts w:ascii="Times New Roman" w:hAnsi="Times New Roman"/>
          <w:sz w:val="20"/>
        </w:rPr>
      </w:pPr>
      <w:r>
        <w:rPr>
          <w:rFonts w:ascii="Times New Roman" w:hAnsi="Times New Roman"/>
          <w:sz w:val="20"/>
        </w:rPr>
        <w:t xml:space="preserve">means a state that has entered into the Double Taxation Agreement with the Russian Federation. </w:t>
      </w:r>
    </w:p>
    <w:p>
      <w:pPr>
        <w:pStyle w:val="TextBody"/>
        <w:spacing w:before="240" w:after="0"/>
        <w:rPr/>
      </w:pPr>
      <w:r>
        <w:rPr/>
        <w:t>“</w:t>
      </w:r>
      <w:r>
        <w:rPr>
          <w:rFonts w:ascii="Times New Roman" w:hAnsi="Times New Roman"/>
          <w:b/>
          <w:sz w:val="20"/>
        </w:rPr>
        <w:t xml:space="preserve">Civil Code” </w:t>
      </w:r>
      <w:r>
        <w:rPr>
          <w:rFonts w:ascii="Times New Roman" w:hAnsi="Times New Roman"/>
          <w:sz w:val="20"/>
        </w:rPr>
        <w:t xml:space="preserve">means the Civil Code of the Russian Federation. </w:t>
      </w:r>
    </w:p>
    <w:p>
      <w:pPr>
        <w:pStyle w:val="TextBody"/>
        <w:spacing w:before="240" w:after="0"/>
        <w:rPr/>
      </w:pPr>
      <w:r>
        <w:rPr/>
        <w:t>“</w:t>
      </w:r>
      <w:r>
        <w:rPr>
          <w:rFonts w:ascii="Times New Roman" w:hAnsi="Times New Roman"/>
          <w:b/>
          <w:sz w:val="20"/>
        </w:rPr>
        <w:t xml:space="preserve">Group” </w:t>
      </w:r>
      <w:r>
        <w:rPr>
          <w:rFonts w:ascii="Times New Roman" w:hAnsi="Times New Roman"/>
          <w:sz w:val="20"/>
        </w:rPr>
        <w:t xml:space="preserve">means, for the purposes of this Agreement, Zemenik Trading, as well as the Subsidiaries of Zemenik Trading whose financial statements are consolidated with the financial statements of Zemenik Trading under IFRS in the relevant period of time. </w:t>
      </w:r>
    </w:p>
    <w:p>
      <w:pPr>
        <w:pStyle w:val="TextBody"/>
        <w:spacing w:before="240" w:after="0"/>
        <w:rPr/>
      </w:pPr>
      <w:r>
        <w:rPr/>
        <w:t>“</w:t>
      </w:r>
      <w:r>
        <w:rPr>
          <w:rFonts w:ascii="Times New Roman" w:hAnsi="Times New Roman"/>
          <w:b/>
          <w:sz w:val="20"/>
        </w:rPr>
        <w:t xml:space="preserve">Disbursement Date” </w:t>
      </w:r>
      <w:r>
        <w:rPr>
          <w:rFonts w:ascii="Times New Roman" w:hAnsi="Times New Roman"/>
          <w:sz w:val="20"/>
        </w:rPr>
        <w:t xml:space="preserve">means every date on which the Credit Agent transfers the Loan or its part specified in the Disbursement Request to the account of the Borrower. </w:t>
      </w:r>
    </w:p>
    <w:p>
      <w:pPr>
        <w:pStyle w:val="TextBody"/>
        <w:spacing w:before="240" w:after="0"/>
        <w:rPr/>
      </w:pPr>
      <w:r>
        <w:rPr/>
        <w:t>“</w:t>
      </w:r>
      <w:r>
        <w:rPr>
          <w:rFonts w:ascii="Times New Roman" w:hAnsi="Times New Roman"/>
          <w:b/>
          <w:sz w:val="20"/>
        </w:rPr>
        <w:t>Date of the Final Redemption of Tranche A and Tranche B”</w:t>
      </w:r>
      <w:r>
        <w:rPr>
          <w:rFonts w:ascii="Times New Roman" w:hAnsi="Times New Roman"/>
          <w:sz w:val="20"/>
        </w:rPr>
        <w:t xml:space="preserve"> means a date coming in 1,824 (one thousand eight hundred and twenty-four) calendar days from the date of this Agreement. </w:t>
      </w:r>
    </w:p>
    <w:p>
      <w:pPr>
        <w:pStyle w:val="TextBody"/>
        <w:spacing w:before="240" w:after="0"/>
        <w:rPr/>
      </w:pPr>
      <w:r>
        <w:rPr/>
        <w:t>“</w:t>
      </w:r>
      <w:r>
        <w:rPr>
          <w:rFonts w:ascii="Times New Roman" w:hAnsi="Times New Roman"/>
          <w:b/>
          <w:sz w:val="20"/>
        </w:rPr>
        <w:t>Date of the Final Redemption of Tranche C and Tranche D”</w:t>
      </w:r>
      <w:r>
        <w:rPr>
          <w:rFonts w:ascii="Times New Roman" w:hAnsi="Times New Roman"/>
          <w:sz w:val="20"/>
        </w:rPr>
        <w:t xml:space="preserve"> means a date coming in 1,825 (one thousand eight hundred and twenty-five) calendar days from the date of Amendment Agreement No. 3. </w:t>
      </w:r>
    </w:p>
    <w:p>
      <w:pPr>
        <w:pStyle w:val="TextBody"/>
        <w:spacing w:before="240" w:after="0"/>
        <w:rPr/>
      </w:pPr>
      <w:r>
        <w:rPr/>
        <w:t>“</w:t>
      </w:r>
      <w:r>
        <w:rPr>
          <w:rFonts w:ascii="Times New Roman" w:hAnsi="Times New Roman"/>
          <w:b/>
          <w:sz w:val="20"/>
        </w:rPr>
        <w:t>Interest Payment Date”</w:t>
      </w:r>
      <w:r>
        <w:rPr>
          <w:rFonts w:ascii="Times New Roman" w:hAnsi="Times New Roman"/>
          <w:sz w:val="20"/>
        </w:rPr>
        <w:t xml:space="preserve"> means March 31, June 30, September 30 and December 31 of each year; and if the relevant day is not a Business Day, “Interest Payment Date” means the Business Day preceding a day specified above. </w:t>
      </w:r>
    </w:p>
    <w:p>
      <w:pPr>
        <w:pStyle w:val="TextBody"/>
        <w:spacing w:before="240" w:after="0"/>
        <w:rPr/>
      </w:pPr>
      <w:r>
        <w:rPr/>
        <w:t>“</w:t>
      </w:r>
      <w:r>
        <w:rPr>
          <w:rFonts w:ascii="Times New Roman" w:hAnsi="Times New Roman"/>
          <w:b/>
          <w:sz w:val="20"/>
        </w:rPr>
        <w:t>Cash”</w:t>
      </w:r>
      <w:r>
        <w:rPr>
          <w:rFonts w:ascii="Times New Roman" w:hAnsi="Times New Roman"/>
          <w:sz w:val="20"/>
        </w:rPr>
        <w:t xml:space="preserve"> has the meaning specified for this term in IFRS. “</w:t>
      </w:r>
      <w:r>
        <w:rPr>
          <w:rFonts w:ascii="Times New Roman" w:hAnsi="Times New Roman"/>
          <w:b/>
          <w:sz w:val="20"/>
        </w:rPr>
        <w:t>Pledge Agreement”</w:t>
      </w:r>
      <w:r>
        <w:rPr>
          <w:rFonts w:ascii="Times New Roman" w:hAnsi="Times New Roman"/>
          <w:sz w:val="20"/>
        </w:rPr>
        <w:t xml:space="preserve"> means each of the following contracts: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the Borrower’s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the Headhunter’s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(c)</w:t>
            </w:r>
          </w:p>
        </w:tc>
        <w:tc>
          <w:tcPr>
            <w:tcW w:w="9389" w:type="dxa"/>
            <w:tcBorders/>
            <w:shd w:fill="auto" w:val="clear"/>
          </w:tcPr>
          <w:p>
            <w:pPr>
              <w:pStyle w:val="TableContents"/>
              <w:spacing w:before="0" w:after="283"/>
              <w:jc w:val="left"/>
              <w:rPr/>
            </w:pPr>
            <w:r>
              <w:rPr/>
              <w:t xml:space="preserve">the Headhunter FSU’s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(d)</w:t>
            </w:r>
          </w:p>
        </w:tc>
        <w:tc>
          <w:tcPr>
            <w:tcW w:w="9391" w:type="dxa"/>
            <w:tcBorders/>
            <w:shd w:fill="auto" w:val="clear"/>
          </w:tcPr>
          <w:p>
            <w:pPr>
              <w:pStyle w:val="TableContents"/>
              <w:spacing w:before="0" w:after="283"/>
              <w:jc w:val="left"/>
              <w:rPr/>
            </w:pPr>
            <w:r>
              <w:rPr/>
              <w:t xml:space="preserve">the Zemenik Trading’s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each Supplementary Pledge Agreement. </w:t>
            </w:r>
          </w:p>
        </w:tc>
      </w:tr>
    </w:tbl>
    <w:p>
      <w:pPr>
        <w:pStyle w:val="TextBody"/>
        <w:spacing w:before="240" w:after="0"/>
        <w:rPr/>
      </w:pPr>
      <w:r>
        <w:rPr/>
        <w:t>“</w:t>
      </w:r>
      <w:r>
        <w:rPr>
          <w:rFonts w:ascii="Times New Roman" w:hAnsi="Times New Roman"/>
          <w:b/>
          <w:sz w:val="20"/>
        </w:rPr>
        <w:t>Borrower’s Pledge Agreement”</w:t>
      </w:r>
      <w:r>
        <w:rPr>
          <w:rFonts w:ascii="Times New Roman" w:hAnsi="Times New Roman"/>
          <w:sz w:val="20"/>
        </w:rPr>
        <w:t xml:space="preserve"> means an agreement of pledge of a participatory interest in the authorized capital of the Borrower governed by the Russian law, executed between the Lenders and Zemenik Trading to ensure performance of the Borrower’s obligations hereunder. </w:t>
      </w:r>
    </w:p>
    <w:p>
      <w:pPr>
        <w:pStyle w:val="TextBody"/>
        <w:spacing w:before="240" w:after="0"/>
        <w:rPr/>
      </w:pPr>
      <w:r>
        <w:rPr/>
        <w:t>“</w:t>
      </w:r>
      <w:r>
        <w:rPr>
          <w:rFonts w:ascii="Times New Roman" w:hAnsi="Times New Roman"/>
          <w:b/>
          <w:sz w:val="20"/>
        </w:rPr>
        <w:t>Headhunter’s Pledge Agreement”</w:t>
      </w:r>
      <w:r>
        <w:rPr>
          <w:rFonts w:ascii="Times New Roman" w:hAnsi="Times New Roman"/>
          <w:sz w:val="20"/>
        </w:rPr>
        <w:t xml:space="preserve"> means an agreement of pledge of a participatory interest in the authorized capital of the Headhunter governed by the Russian law, executed between the Lenders and Headhunter FSU to ensure performance of the Borrower’s obligations hereunder. </w:t>
      </w:r>
    </w:p>
    <w:p>
      <w:pPr>
        <w:pStyle w:val="TextBody"/>
        <w:spacing w:before="240" w:after="0"/>
        <w:rPr/>
      </w:pPr>
      <w:r>
        <w:rPr/>
        <w:t>“</w:t>
      </w:r>
      <w:r>
        <w:rPr>
          <w:rFonts w:ascii="Times New Roman" w:hAnsi="Times New Roman"/>
          <w:b/>
          <w:sz w:val="20"/>
        </w:rPr>
        <w:t>Headhunter FSU’s Pledge Agreement”</w:t>
      </w:r>
      <w:r>
        <w:rPr>
          <w:rFonts w:ascii="Times New Roman" w:hAnsi="Times New Roman"/>
          <w:sz w:val="20"/>
        </w:rPr>
        <w:t xml:space="preserve"> means an agreement of pledge of shares in Headhunter FSU governed by the Cyprus law, executed between the Lenders and the Borrower to ensure performance of the Borrower’s obligations hereunder. </w:t>
      </w:r>
    </w:p>
    <w:p>
      <w:pPr>
        <w:pStyle w:val="TextBody"/>
        <w:spacing w:before="240" w:after="0"/>
        <w:rPr/>
      </w:pPr>
      <w:r>
        <w:rPr/>
        <w:t>“</w:t>
      </w:r>
      <w:r>
        <w:rPr>
          <w:rFonts w:ascii="Times New Roman" w:hAnsi="Times New Roman"/>
          <w:b/>
          <w:sz w:val="20"/>
        </w:rPr>
        <w:t>Zemenik Trading’s Pledge Agreement”</w:t>
      </w:r>
      <w:r>
        <w:rPr>
          <w:rFonts w:ascii="Times New Roman" w:hAnsi="Times New Roman"/>
          <w:sz w:val="20"/>
        </w:rPr>
        <w:t xml:space="preserve"> means each agreement of pledge of shares in Zemenik Trading governed by the Cyprus law, executed between the Lenders, Highworld and ELQ Investors VIII to ensure performance of the Borrower’s obligations hereunder.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Sale and Purchase Agreement 1”</w:t>
      </w:r>
      <w:r>
        <w:rPr>
          <w:rFonts w:ascii="Times New Roman" w:hAnsi="Times New Roman"/>
          <w:sz w:val="20"/>
        </w:rPr>
        <w:t xml:space="preserve"> means an agreement of sale and purchase of 100 (one hundred) shares in the authorized capital of HeadHunter FSU executed between the Seller as the seller and Zemenik Trading as the buyer on February 24, 2016. </w:t>
      </w:r>
    </w:p>
    <w:p>
      <w:pPr>
        <w:pStyle w:val="TextBody"/>
        <w:spacing w:before="240" w:after="0"/>
        <w:rPr/>
      </w:pPr>
      <w:r>
        <w:rPr/>
        <w:t>“</w:t>
      </w:r>
      <w:r>
        <w:rPr>
          <w:rFonts w:ascii="Times New Roman" w:hAnsi="Times New Roman"/>
          <w:b/>
          <w:sz w:val="20"/>
        </w:rPr>
        <w:t>Sale and Purchase Agreement 2”</w:t>
      </w:r>
      <w:r>
        <w:rPr>
          <w:rFonts w:ascii="Times New Roman" w:hAnsi="Times New Roman"/>
          <w:sz w:val="20"/>
        </w:rPr>
        <w:t xml:space="preserve"> means an agreement of sale and purchase of 50 (fifty) percent minus one share in the authorized capital of HeadHunter FSU executed between Zemenik Trading as the seller and the Borrower as the buyer and providing for payment through such accounts of parties to Sale and Purchase Agreement 2 as opened with the Credit Agent, RCB Bank Ltd. (Cyprus) or with any banks affiliated to the Credit Agent. </w:t>
      </w:r>
    </w:p>
    <w:p>
      <w:pPr>
        <w:pStyle w:val="TextBody"/>
        <w:spacing w:before="240" w:after="0"/>
        <w:rPr/>
      </w:pPr>
      <w:r>
        <w:rPr/>
        <w:t>“</w:t>
      </w:r>
      <w:r>
        <w:rPr>
          <w:rFonts w:ascii="Times New Roman" w:hAnsi="Times New Roman"/>
          <w:b/>
          <w:sz w:val="20"/>
        </w:rPr>
        <w:t>Double Taxation Agreement”</w:t>
      </w:r>
      <w:r>
        <w:rPr>
          <w:rFonts w:ascii="Times New Roman" w:hAnsi="Times New Roman"/>
          <w:sz w:val="20"/>
        </w:rPr>
        <w:t xml:space="preserve"> means a double taxation agreement between a foreign state and the Russian Federation which provides for a full or partial exemption from payment of income tax in the Russian Federation for such income as paid to foreign organizations and provided for in this Agreement. </w:t>
      </w:r>
    </w:p>
    <w:p>
      <w:pPr>
        <w:pStyle w:val="TextBody"/>
        <w:spacing w:before="240" w:after="0"/>
        <w:rPr/>
      </w:pPr>
      <w:r>
        <w:rPr/>
        <w:t>“</w:t>
      </w:r>
      <w:r>
        <w:rPr>
          <w:rFonts w:ascii="Times New Roman" w:hAnsi="Times New Roman"/>
          <w:b/>
          <w:sz w:val="20"/>
        </w:rPr>
        <w:t>Security Agreement”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each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each Independent Guarantee;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each Supplementary Guarantee. </w:t>
            </w:r>
          </w:p>
        </w:tc>
      </w:tr>
    </w:tbl>
    <w:p>
      <w:pPr>
        <w:pStyle w:val="TextBody"/>
        <w:spacing w:before="240" w:after="0"/>
        <w:rPr/>
      </w:pPr>
      <w:r>
        <w:rPr/>
        <w:t>“</w:t>
      </w:r>
      <w:r>
        <w:rPr>
          <w:rFonts w:ascii="Times New Roman" w:hAnsi="Times New Roman"/>
          <w:b/>
          <w:sz w:val="20"/>
        </w:rPr>
        <w:t>Lender’s Assignment Agreement”</w:t>
      </w:r>
      <w:r>
        <w:rPr>
          <w:rFonts w:ascii="Times New Roman" w:hAnsi="Times New Roman"/>
          <w:sz w:val="20"/>
        </w:rPr>
        <w:t xml:space="preserve"> means an agreement made primarily in the form of Appendix 4 (</w:t>
      </w:r>
      <w:r>
        <w:rPr>
          <w:rFonts w:ascii="Times New Roman" w:hAnsi="Times New Roman"/>
          <w:i/>
          <w:sz w:val="20"/>
        </w:rPr>
        <w:t>Form of the Lender’s Assignment Agreement</w:t>
      </w:r>
      <w:r>
        <w:rPr>
          <w:rFonts w:ascii="Times New Roman" w:hAnsi="Times New Roman"/>
          <w:sz w:val="20"/>
        </w:rPr>
        <w:t>) or in any other form by virtue of which the Existing Lender (as defined in Article 22 (</w:t>
      </w:r>
      <w:r>
        <w:rPr>
          <w:rFonts w:ascii="Times New Roman" w:hAnsi="Times New Roman"/>
          <w:i/>
          <w:sz w:val="20"/>
        </w:rPr>
        <w:t>Substitution of Parties</w:t>
      </w:r>
      <w:r>
        <w:rPr>
          <w:rFonts w:ascii="Times New Roman" w:hAnsi="Times New Roman"/>
          <w:sz w:val="20"/>
        </w:rPr>
        <w:t>) assigns its rights and (or) transfers its obligations under this Agreement to the New Lender (as defined in Article 22 (</w:t>
      </w:r>
      <w:r>
        <w:rPr>
          <w:rFonts w:ascii="Times New Roman" w:hAnsi="Times New Roman"/>
          <w:i/>
          <w:sz w:val="20"/>
        </w:rPr>
        <w:t>Substitution of Parties</w:t>
      </w:r>
      <w:r>
        <w:rPr>
          <w:rFonts w:ascii="Times New Roman" w:hAnsi="Times New Roman"/>
          <w:sz w:val="20"/>
        </w:rPr>
        <w:t xml:space="preserve">)). </w:t>
      </w:r>
    </w:p>
    <w:p>
      <w:pPr>
        <w:pStyle w:val="TextBody"/>
        <w:spacing w:before="240" w:after="0"/>
        <w:rPr/>
      </w:pPr>
      <w:r>
        <w:rPr/>
        <w:t>“</w:t>
      </w:r>
      <w:r>
        <w:rPr>
          <w:rFonts w:ascii="Times New Roman" w:hAnsi="Times New Roman"/>
          <w:b/>
          <w:sz w:val="20"/>
        </w:rPr>
        <w:t>Document Related to the Reorganization”</w:t>
      </w:r>
      <w:r>
        <w:rPr>
          <w:rFonts w:ascii="Times New Roman" w:hAnsi="Times New Roman"/>
          <w:sz w:val="20"/>
        </w:rPr>
        <w:t xml:space="preserve"> has the meaning specified in Amendment Agreement No. 2. </w:t>
      </w:r>
    </w:p>
    <w:p>
      <w:pPr>
        <w:pStyle w:val="TextBody"/>
        <w:spacing w:before="240" w:after="0"/>
        <w:rPr/>
      </w:pPr>
      <w:r>
        <w:rPr/>
        <w:t>“</w:t>
      </w:r>
      <w:r>
        <w:rPr>
          <w:rFonts w:ascii="Times New Roman" w:hAnsi="Times New Roman"/>
          <w:b/>
          <w:sz w:val="20"/>
        </w:rPr>
        <w:t>Equity Instruments of the Group”</w:t>
      </w:r>
      <w:r>
        <w:rPr>
          <w:rFonts w:ascii="Times New Roman" w:hAnsi="Times New Roman"/>
          <w:sz w:val="20"/>
        </w:rPr>
        <w:t xml:space="preserve"> means shares or participatory interests in the authorized capital of any member of the Group, as well as options or other instruments securing the right of their owner to acquire or receive shares or participatory interests in the authorized capital of any member of the Group. </w:t>
      </w:r>
    </w:p>
    <w:p>
      <w:pPr>
        <w:pStyle w:val="TextBody"/>
        <w:spacing w:before="240" w:after="0"/>
        <w:rPr/>
      </w:pPr>
      <w:r>
        <w:rPr/>
        <w:t>“</w:t>
      </w:r>
      <w:r>
        <w:rPr>
          <w:rFonts w:ascii="Times New Roman" w:hAnsi="Times New Roman"/>
          <w:b/>
          <w:sz w:val="20"/>
        </w:rPr>
        <w:t xml:space="preserve">Debtor” </w:t>
      </w:r>
      <w:r>
        <w:rPr>
          <w:rFonts w:ascii="Times New Roman" w:hAnsi="Times New Roman"/>
          <w:sz w:val="20"/>
        </w:rPr>
        <w:t xml:space="preserve">means the Borrower and each Guarantor. </w:t>
      </w:r>
    </w:p>
    <w:p>
      <w:pPr>
        <w:pStyle w:val="TextBody"/>
        <w:spacing w:before="240" w:after="0"/>
        <w:rPr/>
      </w:pPr>
      <w:r>
        <w:rPr/>
        <w:t>“</w:t>
      </w:r>
      <w:r>
        <w:rPr>
          <w:rFonts w:ascii="Times New Roman" w:hAnsi="Times New Roman"/>
          <w:b/>
          <w:sz w:val="20"/>
        </w:rPr>
        <w:t xml:space="preserve">Highworld’s Dollar Loan” </w:t>
      </w:r>
      <w:r>
        <w:rPr>
          <w:rFonts w:ascii="Times New Roman" w:hAnsi="Times New Roman"/>
          <w:sz w:val="20"/>
        </w:rPr>
        <w:t xml:space="preserve">means a loan of USD 27,031,978 granted under a loan agreement between Zemenik Trading (as the borrower) and Highworld (as the lender) on February 24, 2016. </w:t>
      </w:r>
    </w:p>
    <w:p>
      <w:pPr>
        <w:pStyle w:val="TextBody"/>
        <w:spacing w:before="240" w:after="0"/>
        <w:rPr/>
      </w:pPr>
      <w:r>
        <w:rPr/>
        <w:t>“</w:t>
      </w:r>
      <w:r>
        <w:rPr>
          <w:rFonts w:ascii="Times New Roman" w:hAnsi="Times New Roman"/>
          <w:b/>
          <w:sz w:val="20"/>
        </w:rPr>
        <w:t>Supplementary Guarantee”</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Additional Guarantor”</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Supplementary Pledge Agreement”</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Subsidiary”</w:t>
      </w:r>
      <w:r>
        <w:rPr>
          <w:rFonts w:ascii="Times New Roman" w:hAnsi="Times New Roman"/>
          <w:sz w:val="20"/>
        </w:rPr>
        <w:t xml:space="preserve"> means any legal entity, if another (parent) company or partnership: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owns the majority of voting rights in such legal entity;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has an equity participation and may appoint or dismiss the majority of members of the executive body of such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is entitled to exert a dominant influence on such legal entity by virtue of the provisions contained in the constituent documents of such legal entity or in a management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is a member (shareholder) of such legal entity and independently or jointly (with other members) controls the majority of votes in this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(e)</w:t>
            </w:r>
          </w:p>
        </w:tc>
        <w:tc>
          <w:tcPr>
            <w:tcW w:w="9389" w:type="dxa"/>
            <w:tcBorders/>
            <w:shd w:fill="auto" w:val="clear"/>
          </w:tcPr>
          <w:p>
            <w:pPr>
              <w:pStyle w:val="TableContents"/>
              <w:spacing w:before="0" w:after="283"/>
              <w:jc w:val="left"/>
              <w:rPr/>
            </w:pPr>
            <w:r>
              <w:rPr/>
              <w:t xml:space="preserve">controls such legal entity, </w:t>
            </w:r>
          </w:p>
        </w:tc>
      </w:tr>
    </w:tbl>
    <w:p>
      <w:pPr>
        <w:pStyle w:val="TextBody"/>
        <w:spacing w:before="240" w:after="0"/>
        <w:rPr>
          <w:rFonts w:ascii="Times New Roman" w:hAnsi="Times New Roman"/>
          <w:sz w:val="20"/>
        </w:rPr>
      </w:pPr>
      <w:r>
        <w:rPr>
          <w:rFonts w:ascii="Times New Roman" w:hAnsi="Times New Roman"/>
          <w:sz w:val="20"/>
        </w:rPr>
        <w:t xml:space="preserve">including any legal entity whose authorized capital shares or participatory interests are subject to the Encumbrance, and the ownership of such encumbered shares or participatory interests is registered by virtue of such Encumbrance in favor of the secured party or a nominee acting in favor of such party. </w:t>
      </w:r>
    </w:p>
    <w:p>
      <w:pPr>
        <w:pStyle w:val="TextBody"/>
        <w:spacing w:before="240" w:after="0"/>
        <w:rPr/>
      </w:pPr>
      <w:r>
        <w:rPr/>
        <w:t>“</w:t>
      </w:r>
      <w:r>
        <w:rPr>
          <w:rFonts w:ascii="Times New Roman" w:hAnsi="Times New Roman"/>
          <w:b/>
          <w:sz w:val="20"/>
        </w:rPr>
        <w:t>Associated Company”</w:t>
      </w:r>
      <w:r>
        <w:rPr>
          <w:rFonts w:ascii="Times New Roman" w:hAnsi="Times New Roman"/>
          <w:sz w:val="20"/>
        </w:rPr>
        <w:t xml:space="preserve"> means any legal entity in which the first legal entity owns 20 (twenty) percent or more (but not more than 50 (fifty) percent) of the authorized capital. </w:t>
      </w:r>
    </w:p>
    <w:p>
      <w:pPr>
        <w:pStyle w:val="TextBody"/>
        <w:spacing w:before="240" w:after="0"/>
        <w:rPr/>
      </w:pPr>
      <w:r>
        <w:rPr/>
        <w:t>“</w:t>
      </w:r>
      <w:r>
        <w:rPr>
          <w:rFonts w:ascii="Times New Roman" w:hAnsi="Times New Roman"/>
          <w:b/>
          <w:sz w:val="20"/>
        </w:rPr>
        <w:t>Representations of Circumstances”</w:t>
      </w:r>
      <w:r>
        <w:rPr>
          <w:rFonts w:ascii="Times New Roman" w:hAnsi="Times New Roman"/>
          <w:sz w:val="20"/>
        </w:rPr>
        <w:t xml:space="preserve"> means the representations of the Borrower in Article 16 (</w:t>
      </w:r>
      <w:r>
        <w:rPr>
          <w:rFonts w:ascii="Times New Roman" w:hAnsi="Times New Roman"/>
          <w:i/>
          <w:sz w:val="20"/>
        </w:rPr>
        <w:t>Representations of Circumstances</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Bankruptcy Law” </w:t>
      </w:r>
      <w:r>
        <w:rPr>
          <w:rFonts w:ascii="Times New Roman" w:hAnsi="Times New Roman"/>
          <w:sz w:val="20"/>
        </w:rPr>
        <w:t xml:space="preserve">means Federal Law of the Russian Federation No. 127- </w:t>
      </w:r>
      <w:r>
        <w:rPr>
          <w:rFonts w:ascii="Times New Roman" w:hAnsi="Times New Roman"/>
          <w:sz w:val="20"/>
        </w:rPr>
        <w:drawing>
          <wp:inline distT="0" distB="0" distL="0" distR="0">
            <wp:extent cx="718820" cy="35941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link="rId25"/>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October 26, 2002, “On Insolvency (Bankruptcy)”. </w:t>
      </w:r>
    </w:p>
    <w:p>
      <w:pPr>
        <w:pStyle w:val="TextBody"/>
        <w:spacing w:before="240" w:after="0"/>
        <w:rPr/>
      </w:pPr>
      <w:r>
        <w:rPr/>
        <w:t>“</w:t>
      </w:r>
      <w:r>
        <w:rPr>
          <w:rFonts w:ascii="Times New Roman" w:hAnsi="Times New Roman"/>
          <w:b/>
          <w:sz w:val="20"/>
        </w:rPr>
        <w:t xml:space="preserve">Law on Credit Histories” </w:t>
      </w:r>
      <w:r>
        <w:rPr>
          <w:rFonts w:ascii="Times New Roman" w:hAnsi="Times New Roman"/>
          <w:sz w:val="20"/>
        </w:rPr>
        <w:t xml:space="preserve">means Federal Law of the Russian Federation No. 218- </w:t>
      </w:r>
      <w:r>
        <w:rPr>
          <w:rFonts w:ascii="Times New Roman" w:hAnsi="Times New Roman"/>
          <w:sz w:val="20"/>
        </w:rPr>
        <w:drawing>
          <wp:inline distT="0" distB="0" distL="0" distR="0">
            <wp:extent cx="718820" cy="35941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link="rId26"/>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December 30, 2004, “On Credit Histories”. </w:t>
      </w:r>
    </w:p>
    <w:p>
      <w:pPr>
        <w:pStyle w:val="TextBody"/>
        <w:spacing w:before="240" w:after="0"/>
        <w:rPr/>
      </w:pPr>
      <w:r>
        <w:rPr/>
        <w:t>“</w:t>
      </w:r>
      <w:r>
        <w:rPr>
          <w:rFonts w:ascii="Times New Roman" w:hAnsi="Times New Roman"/>
          <w:b/>
          <w:sz w:val="20"/>
        </w:rPr>
        <w:t xml:space="preserve">Law on Regulated Procurement” </w:t>
      </w:r>
      <w:r>
        <w:rPr>
          <w:rFonts w:ascii="Times New Roman" w:hAnsi="Times New Roman"/>
          <w:sz w:val="20"/>
        </w:rPr>
        <w:t xml:space="preserve">means Federal Law of the Russian Federation No. 223- </w:t>
      </w:r>
      <w:r>
        <w:rPr>
          <w:rFonts w:ascii="Times New Roman" w:hAnsi="Times New Roman"/>
          <w:sz w:val="20"/>
        </w:rPr>
        <w:drawing>
          <wp:inline distT="0" distB="0" distL="0" distR="0">
            <wp:extent cx="718820" cy="35941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link="rId27"/>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July 18, 2011, “On Procurement of Goods, Works, Services by Separate Types of Legal Entities” </w:t>
      </w:r>
    </w:p>
    <w:p>
      <w:pPr>
        <w:pStyle w:val="TextBody"/>
        <w:spacing w:before="240" w:after="0"/>
        <w:rPr/>
      </w:pPr>
      <w:r>
        <w:rPr/>
        <w:t>“</w:t>
      </w:r>
      <w:r>
        <w:rPr>
          <w:rFonts w:ascii="Times New Roman" w:hAnsi="Times New Roman"/>
          <w:b/>
          <w:sz w:val="20"/>
        </w:rPr>
        <w:t xml:space="preserve">Pledgor” </w:t>
      </w:r>
      <w:r>
        <w:rPr>
          <w:rFonts w:ascii="Times New Roman" w:hAnsi="Times New Roman"/>
          <w:sz w:val="20"/>
        </w:rPr>
        <w:t xml:space="preserve">means the Borrower, HeadHunter FSU, Zemenik Trading, Highworld, and ELQ Investors VIII, as well as each pledgor under each Supplementary Pledge Agreement. </w:t>
      </w:r>
    </w:p>
    <w:p>
      <w:pPr>
        <w:pStyle w:val="TextBody"/>
        <w:spacing w:before="240" w:after="0"/>
        <w:rPr/>
      </w:pPr>
      <w:r>
        <w:rPr/>
        <w:t>“</w:t>
      </w:r>
      <w:r>
        <w:rPr>
          <w:rFonts w:ascii="Times New Roman" w:hAnsi="Times New Roman"/>
          <w:b/>
          <w:sz w:val="20"/>
        </w:rPr>
        <w:t xml:space="preserve">Disbursement Request” </w:t>
      </w:r>
      <w:r>
        <w:rPr>
          <w:rFonts w:ascii="Times New Roman" w:hAnsi="Times New Roman"/>
          <w:sz w:val="20"/>
        </w:rPr>
        <w:t>means such request of the Borrower for disbursement of the Loan as prepared in general in the form of Appendix 3 (</w:t>
      </w:r>
      <w:r>
        <w:rPr>
          <w:rFonts w:ascii="Times New Roman" w:hAnsi="Times New Roman"/>
          <w:i/>
          <w:sz w:val="20"/>
        </w:rPr>
        <w:t>Form of the Disbursement Request</w:t>
      </w:r>
      <w:r>
        <w:rPr>
          <w:rFonts w:ascii="Times New Roman" w:hAnsi="Times New Roman"/>
          <w:sz w:val="20"/>
        </w:rPr>
        <w:t xml:space="preserve">). </w:t>
      </w:r>
    </w:p>
    <w:p>
      <w:pPr>
        <w:pStyle w:val="TextBody"/>
        <w:spacing w:before="240" w:after="0"/>
        <w:rPr/>
      </w:pPr>
      <w:r>
        <w:rPr/>
        <w:t>“</w:t>
      </w:r>
      <w:r>
        <w:rPr>
          <w:rFonts w:ascii="Times New Roman" w:hAnsi="Times New Roman"/>
          <w:b/>
          <w:sz w:val="20"/>
        </w:rPr>
        <w:t>Intellectual Property”</w:t>
      </w:r>
      <w:r>
        <w:rPr>
          <w:rFonts w:ascii="Times New Roman" w:hAnsi="Times New Roman"/>
          <w:sz w:val="20"/>
        </w:rPr>
        <w:t xml:space="preserve"> means the Trademarks of the Debtors, domain names (including the Websites of the Debtors) registered in the name of Group’s members, a database and other intellectual property, the rights to which belong to Group’s members specified in Appendix 8 (</w:t>
      </w:r>
      <w:r>
        <w:rPr>
          <w:rFonts w:ascii="Times New Roman" w:hAnsi="Times New Roman"/>
          <w:i/>
          <w:sz w:val="20"/>
        </w:rPr>
        <w:t>Intellectual Property</w:t>
      </w:r>
      <w:r>
        <w:rPr>
          <w:rFonts w:ascii="Times New Roman" w:hAnsi="Times New Roman"/>
          <w:sz w:val="20"/>
        </w:rPr>
        <w:t xml:space="preserve">), and similar significant intellectual property owned by the Additional Guarantors (if such Additional Guarantors are not the Debtors at the date of this Agreement). </w:t>
      </w:r>
    </w:p>
    <w:p>
      <w:pPr>
        <w:pStyle w:val="TextBody"/>
        <w:spacing w:before="240" w:after="0"/>
        <w:rPr/>
      </w:pPr>
      <w:r>
        <w:rPr/>
        <w:t>“</w:t>
      </w:r>
      <w:r>
        <w:rPr>
          <w:rFonts w:ascii="Times New Roman" w:hAnsi="Times New Roman"/>
          <w:b/>
          <w:sz w:val="20"/>
        </w:rPr>
        <w:t>Exceptional Income or Expenses”</w:t>
      </w:r>
      <w:r>
        <w:rPr>
          <w:rFonts w:ascii="Times New Roman" w:hAnsi="Times New Roman"/>
          <w:sz w:val="20"/>
        </w:rPr>
        <w:t xml:space="preserve"> means any income or expenses arising out of extraordinary circumstances of the Debtor’s business and recognized as such by a resolution of the Majority of the Lenders. </w:t>
      </w:r>
    </w:p>
    <w:p>
      <w:pPr>
        <w:pStyle w:val="TextBody"/>
        <w:spacing w:before="240" w:after="0"/>
        <w:rPr/>
      </w:pPr>
      <w:r>
        <w:rPr/>
        <w:t>“</w:t>
      </w:r>
      <w:r>
        <w:rPr>
          <w:rFonts w:ascii="Times New Roman" w:hAnsi="Times New Roman"/>
          <w:b/>
          <w:sz w:val="20"/>
        </w:rPr>
        <w:t xml:space="preserve">Key Rate”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with respect to each Interest Period, a key rate established by the Central Bank of the Russian Federation and effective as of each day of the Interest Period;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with respect to any other period, a key rate established by the Central Bank of the Russian Federation effective as of each day of such period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and determined daily based on the data on the website of the Central Bank of the Russian Federation on the Internet at www.cbr.ru or, if changed, on any other official website of the Central Bank of the Russian Federation. If the Central Bank of the Russian Federation abolishes or ceases to use a key rate and if it is needed to determine pricing conditions for provision of financing to credit institutions of the Russian Federation, the Key Rate shall be a similar rate established by the Central Bank of the Russian Federation for pricing of refinancing through repo transactions and (or) against non-market assets. </w:t>
      </w:r>
    </w:p>
    <w:p>
      <w:pPr>
        <w:pStyle w:val="TextBody"/>
        <w:spacing w:before="240" w:after="0"/>
        <w:rPr/>
      </w:pPr>
      <w:r>
        <w:rPr/>
        <w:t>“</w:t>
      </w:r>
      <w:r>
        <w:rPr>
          <w:rFonts w:ascii="Times New Roman" w:hAnsi="Times New Roman"/>
          <w:b/>
          <w:sz w:val="20"/>
        </w:rPr>
        <w:t xml:space="preserve">Consolidated Net Debt” </w:t>
      </w:r>
      <w:r>
        <w:rPr>
          <w:rFonts w:ascii="Times New Roman" w:hAnsi="Times New Roman"/>
          <w:sz w:val="20"/>
        </w:rPr>
        <w:t>has the meaning specified in Article 18.7 (</w:t>
      </w:r>
      <w:r>
        <w:rPr>
          <w:rFonts w:ascii="Times New Roman" w:hAnsi="Times New Roman"/>
          <w:i/>
          <w:sz w:val="20"/>
        </w:rPr>
        <w:t>Definitions</w:t>
      </w:r>
      <w:r>
        <w:rPr>
          <w:rFonts w:ascii="Times New Roman" w:hAnsi="Times New Roman"/>
          <w:sz w:val="20"/>
        </w:rPr>
        <w:t xml:space="preserve">). </w:t>
      </w:r>
    </w:p>
    <w:p>
      <w:pPr>
        <w:pStyle w:val="TextBody"/>
        <w:spacing w:before="240" w:after="0"/>
        <w:rPr/>
      </w:pPr>
      <w:r>
        <w:rPr/>
        <w:t>“</w:t>
      </w:r>
      <w:r>
        <w:rPr>
          <w:rFonts w:ascii="Times New Roman" w:hAnsi="Times New Roman"/>
          <w:b/>
          <w:sz w:val="20"/>
        </w:rPr>
        <w:t>Consolidated EBIT”</w:t>
      </w:r>
      <w:r>
        <w:rPr>
          <w:rFonts w:ascii="Times New Roman" w:hAnsi="Times New Roman"/>
          <w:sz w:val="20"/>
        </w:rPr>
        <w:t xml:space="preserve"> means such Group’s consolidated profit before tax for the Settlement Period as adjusted taking into account termination of transactions occurring during the Settlement Period: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before deduction of any amounts related to financial expenses;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without taking into account any amounts related to the interest to be received by any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after deducting profits or adding losses of any member of the Group relating to non-controlling participatory interests;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without taking into account positive or negative unrealized exchange rate differences;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without taking into account gains or losses arising out of a revaluation of any asset or a decrease in the carrying amount of any asset when it is disposed of by any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(f)</w:t>
            </w:r>
          </w:p>
        </w:tc>
        <w:tc>
          <w:tcPr>
            <w:tcW w:w="9392" w:type="dxa"/>
            <w:tcBorders/>
            <w:shd w:fill="auto" w:val="clear"/>
          </w:tcPr>
          <w:p>
            <w:pPr>
              <w:pStyle w:val="TableContents"/>
              <w:spacing w:before="0" w:after="283"/>
              <w:jc w:val="left"/>
              <w:rPr/>
            </w:pPr>
            <w:r>
              <w:rPr/>
              <w:t xml:space="preserve">without taking into account an expected return on the assets of a pension plan;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(g)</w:t>
            </w:r>
          </w:p>
        </w:tc>
        <w:tc>
          <w:tcPr>
            <w:tcW w:w="9390" w:type="dxa"/>
            <w:tcBorders/>
            <w:shd w:fill="auto" w:val="clear"/>
          </w:tcPr>
          <w:p>
            <w:pPr>
              <w:pStyle w:val="TableContents"/>
              <w:spacing w:before="0" w:after="283"/>
              <w:jc w:val="left"/>
              <w:rPr/>
            </w:pPr>
            <w:r>
              <w:rPr/>
              <w:t xml:space="preserve">without taking into account any non-monetary gains or losses from the Incentive Plans Based on the Group’s Equity Instruments;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exclusively for the Settlement Periods ending on June 30, 2016, December 31, 2016, and June 30, 2017, without taking into account the Transaction Costs. </w:t>
            </w:r>
          </w:p>
        </w:tc>
      </w:tr>
    </w:tbl>
    <w:p>
      <w:pPr>
        <w:pStyle w:val="TextBody"/>
        <w:spacing w:before="240" w:after="0"/>
        <w:rPr/>
      </w:pPr>
      <w:r>
        <w:rPr/>
        <w:t>“</w:t>
      </w:r>
      <w:r>
        <w:rPr>
          <w:rFonts w:ascii="Times New Roman" w:hAnsi="Times New Roman"/>
          <w:b/>
          <w:sz w:val="20"/>
        </w:rPr>
        <w:t>Consolidated EBITDA”</w:t>
      </w:r>
      <w:r>
        <w:rPr>
          <w:rFonts w:ascii="Times New Roman" w:hAnsi="Times New Roman"/>
          <w:sz w:val="20"/>
        </w:rPr>
        <w:t xml:space="preserve"> means such Consolidated EBIT for the Settlement Period as adjusted by adding the following amounts, provided that these amounts were not taken into account when calculating EBIT: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any amounts related to depreciation and impairment of fixed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any amounts related to impairment of goodwill;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any amounts related to depreciation and impairment of other non-fixed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for the purpose of determining the financial indicators specified in Clause (a) of Article 9.2 (</w:t>
            </w:r>
            <w:r>
              <w:rPr>
                <w:i/>
              </w:rPr>
              <w:t>Margin Adjustment</w:t>
            </w:r>
            <w:r>
              <w:rPr/>
              <w:t xml:space="preserve">), advertising costs incurred in 2016 in an amount of up to RUB 200,000,000. </w:t>
            </w:r>
          </w:p>
        </w:tc>
      </w:tr>
    </w:tbl>
    <w:p>
      <w:pPr>
        <w:pStyle w:val="TextBody"/>
        <w:spacing w:before="240" w:after="0"/>
        <w:rPr/>
      </w:pPr>
      <w:r>
        <w:rPr/>
        <w:t>“</w:t>
      </w:r>
      <w:r>
        <w:rPr>
          <w:rFonts w:ascii="Times New Roman" w:hAnsi="Times New Roman"/>
          <w:b/>
          <w:sz w:val="20"/>
        </w:rPr>
        <w:t>Confidential Information”</w:t>
      </w:r>
      <w:r>
        <w:rPr>
          <w:rFonts w:ascii="Times New Roman" w:hAnsi="Times New Roman"/>
          <w:sz w:val="20"/>
        </w:rPr>
        <w:t xml:space="preserve"> means any such information (including personal data) in any form (including oral information, and any documents and information recorded or stored as electronic files or on any other media) on any Debtor, Pledgor or member of the Group, the Financial Documents, or the Loan which becomes known to a Party to the Financing or which is obtained by any person intending to become a Party to the Financing, from: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any member of the Group or its adviser;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another Party to the Financing or its adviser if the information has been received by such a Party to the Financing from any member of the Group or its adviser, </w:t>
            </w:r>
          </w:p>
        </w:tc>
      </w:tr>
    </w:tbl>
    <w:p>
      <w:pPr>
        <w:pStyle w:val="TextBody"/>
        <w:spacing w:before="120" w:after="0"/>
        <w:rPr>
          <w:rFonts w:ascii="Times New Roman" w:hAnsi="Times New Roman"/>
          <w:sz w:val="20"/>
        </w:rPr>
      </w:pPr>
      <w:r>
        <w:rPr>
          <w:rFonts w:ascii="Times New Roman" w:hAnsi="Times New Roman"/>
          <w:sz w:val="20"/>
        </w:rPr>
        <w:t xml:space="preserve">except for any information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4"/>
        <w:gridCol w:w="8475"/>
      </w:tblGrid>
      <w:tr>
        <w:trPr/>
        <w:tc>
          <w:tcPr>
            <w:tcW w:w="815"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8475" w:type="dxa"/>
            <w:tcBorders/>
            <w:shd w:fill="auto" w:val="clear"/>
          </w:tcPr>
          <w:p>
            <w:pPr>
              <w:pStyle w:val="TableContents"/>
              <w:spacing w:before="0" w:after="283"/>
              <w:jc w:val="left"/>
              <w:rPr/>
            </w:pPr>
            <w:r>
              <w:rPr/>
              <w:t>is or becomes available to an unrestricted circle of persons other than as a result of a violation of the terms and conditions of Article 28 (</w:t>
            </w:r>
            <w:r>
              <w:rPr>
                <w:i/>
              </w:rPr>
              <w:t>Confidentiality</w:t>
            </w:r>
            <w:r>
              <w:rPr/>
              <w:t xml:space="preserve">) by a Party to the Financing;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(ii)</w:t>
            </w:r>
          </w:p>
        </w:tc>
        <w:tc>
          <w:tcPr>
            <w:tcW w:w="8474" w:type="dxa"/>
            <w:tcBorders/>
            <w:shd w:fill="auto" w:val="clear"/>
          </w:tcPr>
          <w:p>
            <w:pPr>
              <w:pStyle w:val="TableContents"/>
              <w:spacing w:before="0" w:after="283"/>
              <w:jc w:val="left"/>
              <w:rPr/>
            </w:pPr>
            <w:r>
              <w:rPr/>
              <w:t xml:space="preserve">was known to a Party to the Financing prior to a date of disclosure to it or its adviser of such information or has been legally received by a Party to the Financing or its adviser after such date from a source, to the knowledge of such Party to the Financing, not associated with the Group, and that in any case, to the knowledge of such Party to the Financing, was not obtained due to breach of a confidentiality obligation. </w:t>
            </w:r>
          </w:p>
        </w:tc>
      </w:tr>
    </w:tbl>
    <w:p>
      <w:pPr>
        <w:pStyle w:val="TextBody"/>
        <w:spacing w:before="240" w:after="0"/>
        <w:rPr/>
      </w:pPr>
      <w:r>
        <w:rPr/>
        <w:t>“</w:t>
      </w:r>
      <w:r>
        <w:rPr>
          <w:rFonts w:ascii="Times New Roman" w:hAnsi="Times New Roman"/>
          <w:b/>
          <w:sz w:val="20"/>
        </w:rPr>
        <w:t xml:space="preserve">Loan” </w:t>
      </w:r>
      <w:r>
        <w:rPr>
          <w:rFonts w:ascii="Times New Roman" w:hAnsi="Times New Roman"/>
          <w:sz w:val="20"/>
        </w:rPr>
        <w:t xml:space="preserve">means funds within the Aggregate Loan Limit granted by the Lenders to the Borrower under this Agreement as Tranche A, Tranche B, Tranche C, and Tranche D. </w:t>
      </w:r>
    </w:p>
    <w:p>
      <w:pPr>
        <w:pStyle w:val="TextBody"/>
        <w:spacing w:before="240" w:after="0"/>
        <w:rPr/>
      </w:pPr>
      <w:r>
        <w:rPr/>
        <w:t>“</w:t>
      </w:r>
      <w:r>
        <w:rPr>
          <w:rFonts w:ascii="Times New Roman" w:hAnsi="Times New Roman"/>
          <w:b/>
          <w:sz w:val="20"/>
        </w:rPr>
        <w:t>Lender”</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any Original Lender;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any banks or other credit or other organizations (except for any person belonging to the Borrower’s Group) which acquire the rights of claim to the Borrower and (or) the obligation to grant the Loan under the provisions of Article 22.2 (</w:t>
            </w:r>
            <w:r>
              <w:rPr>
                <w:i/>
              </w:rPr>
              <w:t>Assignment of Rights and Transfer of Obligations by the Lenders</w:t>
            </w:r>
            <w:r>
              <w:rPr/>
              <w:t xml:space="preserve">) and the current laws. </w:t>
            </w:r>
          </w:p>
        </w:tc>
      </w:tr>
    </w:tbl>
    <w:p>
      <w:pPr>
        <w:pStyle w:val="TextBody"/>
        <w:spacing w:before="240" w:after="0"/>
        <w:rPr/>
      </w:pPr>
      <w:r>
        <w:rPr/>
        <w:t>“</w:t>
      </w:r>
      <w:r>
        <w:rPr>
          <w:rFonts w:ascii="Times New Roman" w:hAnsi="Times New Roman"/>
          <w:b/>
          <w:sz w:val="20"/>
        </w:rPr>
        <w:t xml:space="preserve">Loan Limit” </w:t>
      </w:r>
      <w:r>
        <w:rPr>
          <w:rFonts w:ascii="Times New Roman" w:hAnsi="Times New Roman"/>
          <w:sz w:val="20"/>
        </w:rPr>
        <w:t xml:space="preserve">means an amount of money: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with respect to the Original Lender, which the Original Lender shall grant the Borrower as a loan within Tranche A, Tranche B, Tranche C, and Tranche D under the terms and conditions of this Agreement and specified in the table in Appendix 1 (</w:t>
            </w:r>
            <w:r>
              <w:rPr>
                <w:i/>
              </w:rPr>
              <w:t>List of Original Lenders and Loan Limits</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with respect to any other Lender, which such Lender shall grant the Borrower by virtue of an Original Lender’s transfer to it of the obligation to grant the Loan to the Borrower </w:t>
            </w:r>
          </w:p>
        </w:tc>
      </w:tr>
    </w:tbl>
    <w:p>
      <w:pPr>
        <w:pStyle w:val="TextBody"/>
        <w:spacing w:before="240" w:after="0"/>
        <w:rPr>
          <w:rFonts w:ascii="Times New Roman" w:hAnsi="Times New Roman"/>
          <w:sz w:val="20"/>
        </w:rPr>
      </w:pPr>
      <w:r>
        <w:rPr>
          <w:rFonts w:ascii="Times New Roman" w:hAnsi="Times New Roman"/>
          <w:sz w:val="20"/>
        </w:rPr>
        <w:t xml:space="preserve">and which may be changed under the terms and conditions hereof. </w:t>
      </w:r>
    </w:p>
    <w:p>
      <w:pPr>
        <w:pStyle w:val="TextBody"/>
        <w:spacing w:before="240" w:after="0"/>
        <w:rPr/>
      </w:pPr>
      <w:r>
        <w:rPr/>
        <w:t>“</w:t>
      </w:r>
      <w:r>
        <w:rPr>
          <w:rFonts w:ascii="Times New Roman" w:hAnsi="Times New Roman"/>
          <w:b/>
          <w:sz w:val="20"/>
        </w:rPr>
        <w:t>Margin”</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3"/>
        <w:gridCol w:w="8476"/>
      </w:tblGrid>
      <w:tr>
        <w:trPr/>
        <w:tc>
          <w:tcPr>
            <w:tcW w:w="81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8"/>
        <w:gridCol w:w="8472"/>
      </w:tblGrid>
      <w:tr>
        <w:trPr/>
        <w:tc>
          <w:tcPr>
            <w:tcW w:w="81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8472"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Intercreditor Agreement”</w:t>
      </w:r>
      <w:r>
        <w:rPr>
          <w:rFonts w:ascii="Times New Roman" w:hAnsi="Times New Roman"/>
          <w:sz w:val="20"/>
        </w:rPr>
        <w:t xml:space="preserve"> means the Subordination Agreement executed on or about the date of this Agreement between the Borrower, Zemenik Trading, HeadHunter FSU, Headhunter and the Lenders on the priority of claims of the lenders. </w:t>
      </w:r>
    </w:p>
    <w:p>
      <w:pPr>
        <w:pStyle w:val="TextBody"/>
        <w:spacing w:before="240" w:after="0"/>
        <w:rPr/>
      </w:pPr>
      <w:r>
        <w:rPr/>
        <w:t>“</w:t>
      </w:r>
      <w:r>
        <w:rPr>
          <w:rFonts w:ascii="Times New Roman" w:hAnsi="Times New Roman"/>
          <w:b/>
          <w:sz w:val="20"/>
        </w:rPr>
        <w:t>IFRS”</w:t>
      </w:r>
      <w:r>
        <w:rPr>
          <w:rFonts w:ascii="Times New Roman" w:hAnsi="Times New Roman"/>
          <w:sz w:val="20"/>
        </w:rPr>
        <w:t xml:space="preserve"> means the international accounting standards referred to in Regulation No. 1606/2002 adopted by the European Parliament and the Council of Europe on July 19, 2002, insofar as applicable to respective financial statements. </w:t>
      </w:r>
    </w:p>
    <w:p>
      <w:pPr>
        <w:pStyle w:val="TextBody"/>
        <w:spacing w:before="240" w:after="0"/>
        <w:rPr/>
      </w:pPr>
      <w:r>
        <w:rPr/>
        <w:t>“</w:t>
      </w:r>
      <w:r>
        <w:rPr>
          <w:rFonts w:ascii="Times New Roman" w:hAnsi="Times New Roman"/>
          <w:b/>
          <w:sz w:val="20"/>
        </w:rPr>
        <w:t xml:space="preserve">Tax” </w:t>
      </w:r>
      <w:r>
        <w:rPr>
          <w:rFonts w:ascii="Times New Roman" w:hAnsi="Times New Roman"/>
          <w:sz w:val="20"/>
        </w:rPr>
        <w:t xml:space="preserve">means any tax, levy, duty or other charge or withholding of a similar nature (including any fines and penalties due in case of failure to pay or untimely payment of any of the foregoing) established by the applicable laws. </w:t>
      </w:r>
    </w:p>
    <w:p>
      <w:pPr>
        <w:pStyle w:val="TextBody"/>
        <w:spacing w:before="240" w:after="0"/>
        <w:rPr/>
      </w:pPr>
      <w:r>
        <w:rPr/>
        <w:t>“</w:t>
      </w:r>
      <w:r>
        <w:rPr>
          <w:rFonts w:ascii="Times New Roman" w:hAnsi="Times New Roman"/>
          <w:b/>
          <w:sz w:val="20"/>
        </w:rPr>
        <w:t>Tax Refund”</w:t>
      </w:r>
      <w:r>
        <w:rPr>
          <w:rFonts w:ascii="Times New Roman" w:hAnsi="Times New Roman"/>
          <w:sz w:val="20"/>
        </w:rPr>
        <w:t xml:space="preserve"> means exemption from payment of the Tax (application of a reduced tax rate or of a tax refund) granted outside the Russian Federation in respect of any Tax relating to payments under the Financial Documents. </w:t>
      </w:r>
    </w:p>
    <w:p>
      <w:pPr>
        <w:pStyle w:val="TextBody"/>
        <w:spacing w:before="240" w:after="0"/>
        <w:rPr/>
      </w:pPr>
      <w:r>
        <w:rPr/>
        <w:t>“</w:t>
      </w:r>
      <w:r>
        <w:rPr>
          <w:rFonts w:ascii="Times New Roman" w:hAnsi="Times New Roman"/>
          <w:b/>
          <w:sz w:val="20"/>
        </w:rPr>
        <w:t xml:space="preserve">Tax Deduction” </w:t>
      </w:r>
      <w:r>
        <w:rPr>
          <w:rFonts w:ascii="Times New Roman" w:hAnsi="Times New Roman"/>
          <w:sz w:val="20"/>
        </w:rPr>
        <w:t xml:space="preserve">means withholding from any payment under the Financial Document of an amount of any tax or levy, including, but not limited to, a value-added tax and income tax levied on a source, as well as any similar taxes that may replace or supplement existing taxes under the applicable laws, in the amount and within the terms provided for by law. </w:t>
      </w:r>
    </w:p>
    <w:p>
      <w:pPr>
        <w:pStyle w:val="TextBody"/>
        <w:spacing w:before="240" w:after="0"/>
        <w:rPr/>
      </w:pPr>
      <w:r>
        <w:rPr/>
        <w:t>“</w:t>
      </w:r>
      <w:r>
        <w:rPr>
          <w:rFonts w:ascii="Times New Roman" w:hAnsi="Times New Roman"/>
          <w:b/>
          <w:sz w:val="20"/>
        </w:rPr>
        <w:t>Tax Payment”</w:t>
      </w:r>
      <w:r>
        <w:rPr>
          <w:rFonts w:ascii="Times New Roman" w:hAnsi="Times New Roman"/>
          <w:sz w:val="20"/>
        </w:rPr>
        <w:t xml:space="preserve"> means an increase in the amount of payment made by the Debtor to a Party to the Financing under Article 12.1 (</w:t>
      </w:r>
      <w:r>
        <w:rPr>
          <w:rFonts w:ascii="Times New Roman" w:hAnsi="Times New Roman"/>
          <w:i/>
          <w:sz w:val="20"/>
        </w:rPr>
        <w:t>Reimbursement of Tax Deduction Costs</w:t>
      </w:r>
      <w:r>
        <w:rPr>
          <w:rFonts w:ascii="Times New Roman" w:hAnsi="Times New Roman"/>
          <w:sz w:val="20"/>
        </w:rPr>
        <w:t>), or making a payment by the Debtor to a Party to the Financing under 12.2 (</w:t>
      </w:r>
      <w:r>
        <w:rPr>
          <w:rFonts w:ascii="Times New Roman" w:hAnsi="Times New Roman"/>
          <w:i/>
          <w:sz w:val="20"/>
        </w:rPr>
        <w:t>Reimbursement of Tax-Related Costs</w:t>
      </w:r>
      <w:r>
        <w:rPr>
          <w:rFonts w:ascii="Times New Roman" w:hAnsi="Times New Roman"/>
          <w:sz w:val="20"/>
        </w:rPr>
        <w:t xml:space="preserve">). </w:t>
      </w:r>
    </w:p>
    <w:p>
      <w:pPr>
        <w:pStyle w:val="TextBody"/>
        <w:spacing w:before="240" w:after="0"/>
        <w:rPr/>
      </w:pPr>
      <w:r>
        <w:rPr/>
        <w:t>“</w:t>
      </w:r>
      <w:r>
        <w:rPr>
          <w:rFonts w:ascii="Times New Roman" w:hAnsi="Times New Roman"/>
          <w:b/>
          <w:sz w:val="20"/>
        </w:rPr>
        <w:t>Independent Guarantee”</w:t>
      </w:r>
      <w:r>
        <w:rPr>
          <w:rFonts w:ascii="Times New Roman" w:hAnsi="Times New Roman"/>
          <w:sz w:val="20"/>
        </w:rPr>
        <w:t xml:space="preserve"> means each independent guarantee issued by Headhunter, HeadHunter FSU, and Zemenik Trading in favor of the Lenders. </w:t>
      </w:r>
    </w:p>
    <w:p>
      <w:pPr>
        <w:pStyle w:val="TextBody"/>
        <w:spacing w:before="240" w:after="0"/>
        <w:rPr/>
      </w:pPr>
      <w:r>
        <w:rPr/>
        <w:t>“</w:t>
      </w:r>
      <w:r>
        <w:rPr>
          <w:rFonts w:ascii="Times New Roman" w:hAnsi="Times New Roman"/>
          <w:b/>
          <w:sz w:val="20"/>
        </w:rPr>
        <w:t>Default”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the Event of Default;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an event or circumstance specified in Article 21 (</w:t>
            </w:r>
            <w:r>
              <w:rPr>
                <w:i/>
              </w:rPr>
              <w:t>Events of Default</w:t>
            </w:r>
            <w:r>
              <w:rPr/>
              <w:t xml:space="preserve">) which shall hereunder become the Event of Default if (1) any period established by this Agreement for elimination of any violation expires, (2) any notice is sent, or (3) a respective resolution under the Financial Documents is adopted. </w:t>
            </w:r>
          </w:p>
        </w:tc>
      </w:tr>
    </w:tbl>
    <w:p>
      <w:pPr>
        <w:pStyle w:val="TextBody"/>
        <w:spacing w:before="240" w:after="0"/>
        <w:rPr/>
      </w:pPr>
      <w:r>
        <w:rPr/>
        <w:t>“</w:t>
      </w:r>
      <w:r>
        <w:rPr>
          <w:rFonts w:ascii="Times New Roman" w:hAnsi="Times New Roman"/>
          <w:b/>
          <w:sz w:val="20"/>
        </w:rPr>
        <w:t xml:space="preserve">Unused Loan Limit” </w:t>
      </w:r>
      <w:r>
        <w:rPr>
          <w:rFonts w:ascii="Times New Roman" w:hAnsi="Times New Roman"/>
          <w:sz w:val="20"/>
        </w:rPr>
        <w:t xml:space="preserve">means the Loan Limit for each individual Lender minus: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 cash amount already provided to the Borrower by this Lender,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the Amount to be Granted by this Lender. </w:t>
            </w:r>
          </w:p>
        </w:tc>
      </w:tr>
    </w:tbl>
    <w:p>
      <w:pPr>
        <w:pStyle w:val="TextBody"/>
        <w:spacing w:before="240" w:after="0"/>
        <w:rPr/>
      </w:pPr>
      <w:r>
        <w:rPr/>
        <w:t>“</w:t>
      </w:r>
      <w:r>
        <w:rPr>
          <w:rFonts w:ascii="Times New Roman" w:hAnsi="Times New Roman"/>
          <w:b/>
          <w:sz w:val="20"/>
        </w:rPr>
        <w:t xml:space="preserve">Outstanding Loan” </w:t>
      </w:r>
      <w:r>
        <w:rPr>
          <w:rFonts w:ascii="Times New Roman" w:hAnsi="Times New Roman"/>
          <w:sz w:val="20"/>
        </w:rPr>
        <w:t xml:space="preserve">means, at any time, cash provided to the Borrower as a loan under this Agreement and not returned to the Lenders. </w:t>
      </w:r>
    </w:p>
    <w:p>
      <w:pPr>
        <w:pStyle w:val="TextBody"/>
        <w:spacing w:before="240" w:after="0"/>
        <w:rPr/>
      </w:pPr>
      <w:r>
        <w:rPr/>
        <w:t>“</w:t>
      </w:r>
      <w:r>
        <w:rPr>
          <w:rFonts w:ascii="Times New Roman" w:hAnsi="Times New Roman"/>
          <w:b/>
          <w:sz w:val="20"/>
        </w:rPr>
        <w:t xml:space="preserve">Encumbrance” </w:t>
      </w:r>
      <w:r>
        <w:rPr>
          <w:rFonts w:ascii="Times New Roman" w:hAnsi="Times New Roman"/>
          <w:sz w:val="20"/>
        </w:rPr>
        <w:t xml:space="preserve">means a mortgage, pledge, lien, pawn, assignment, the right to debit funds from an account with the acceptance of a payer given in advance or a similar write-off right or another encumbrance created to ensure performance of any person’s obligations or any other agreement concluded to ensure the performance of obligations. </w:t>
      </w:r>
    </w:p>
    <w:p>
      <w:pPr>
        <w:pStyle w:val="TextBody"/>
        <w:spacing w:before="240" w:after="0"/>
        <w:rPr/>
      </w:pPr>
      <w:r>
        <w:rPr/>
        <w:t>“</w:t>
      </w:r>
      <w:r>
        <w:rPr>
          <w:rFonts w:ascii="Times New Roman" w:hAnsi="Times New Roman"/>
          <w:b/>
          <w:sz w:val="20"/>
        </w:rPr>
        <w:t xml:space="preserve">Original Financial Statements”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the audited financial statements of Zemenik Trading for the year 2015;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the annual statements of Headhunter for the year 2015 prepared under RAS;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the management statements of HeadHunter FSU as of December 31, 2015, prepared under the accounting policy of the Group for management accounting. </w:t>
            </w:r>
          </w:p>
        </w:tc>
      </w:tr>
    </w:tbl>
    <w:p>
      <w:pPr>
        <w:pStyle w:val="TextBody"/>
        <w:spacing w:before="240" w:after="0"/>
        <w:rPr/>
      </w:pPr>
      <w:r>
        <w:rPr/>
        <w:t>“</w:t>
      </w:r>
      <w:r>
        <w:rPr>
          <w:rFonts w:ascii="Times New Roman" w:hAnsi="Times New Roman"/>
          <w:b/>
          <w:sz w:val="20"/>
        </w:rPr>
        <w:t>Loan Disbursement Period”</w:t>
      </w:r>
      <w:r>
        <w:rPr>
          <w:rFonts w:ascii="Times New Roman" w:hAnsi="Times New Roman"/>
          <w:sz w:val="20"/>
        </w:rPr>
        <w:t xml:space="preserve"> means the Disbursement Period of Tranche A, the Disbursement Period of Tranche B, or the Disbursement Period of Tranche C and Tranche D. </w:t>
      </w:r>
    </w:p>
    <w:p>
      <w:pPr>
        <w:pStyle w:val="TextBody"/>
        <w:spacing w:before="240" w:after="0"/>
        <w:rPr/>
      </w:pPr>
      <w:r>
        <w:rPr/>
        <w:t>“</w:t>
      </w:r>
      <w:r>
        <w:rPr>
          <w:rFonts w:ascii="Times New Roman" w:hAnsi="Times New Roman"/>
          <w:b/>
          <w:sz w:val="20"/>
        </w:rPr>
        <w:t>Disbursement Period of Tranche A”</w:t>
      </w:r>
      <w:r>
        <w:rPr>
          <w:rFonts w:ascii="Times New Roman" w:hAnsi="Times New Roman"/>
          <w:sz w:val="20"/>
        </w:rPr>
        <w:t xml:space="preserve"> means a period from the date of this Agreement (inclusive) to the date (inclusive) occurring 45 (forty-five) days from the date of this Agreement. </w:t>
      </w:r>
    </w:p>
    <w:p>
      <w:pPr>
        <w:pStyle w:val="TextBody"/>
        <w:spacing w:before="240" w:after="0"/>
        <w:rPr/>
      </w:pPr>
      <w:r>
        <w:rPr/>
        <w:t>“</w:t>
      </w:r>
      <w:r>
        <w:rPr>
          <w:rFonts w:ascii="Times New Roman" w:hAnsi="Times New Roman"/>
          <w:b/>
          <w:sz w:val="20"/>
        </w:rPr>
        <w:t>Disbursement Period of Tranche B”</w:t>
      </w:r>
      <w:r>
        <w:rPr>
          <w:rFonts w:ascii="Times New Roman" w:hAnsi="Times New Roman"/>
          <w:sz w:val="20"/>
        </w:rPr>
        <w:t xml:space="preserve"> means a period from the date of this Agreement (inclusive) to the date (inclusive) occurring 730 (seven hundred and thirty) days from the date of this Agreement. </w:t>
      </w:r>
    </w:p>
    <w:p>
      <w:pPr>
        <w:pStyle w:val="TextBody"/>
        <w:spacing w:before="240" w:after="0"/>
        <w:rPr/>
      </w:pPr>
      <w:r>
        <w:rPr/>
        <w:t>“</w:t>
      </w:r>
      <w:r>
        <w:rPr>
          <w:rFonts w:ascii="Times New Roman" w:hAnsi="Times New Roman"/>
          <w:b/>
          <w:sz w:val="20"/>
        </w:rPr>
        <w:t xml:space="preserve">Disbursement Period of Tranche C and Tranche D” </w:t>
      </w:r>
      <w:r>
        <w:rPr>
          <w:rFonts w:ascii="Times New Roman" w:hAnsi="Times New Roman"/>
          <w:sz w:val="20"/>
        </w:rPr>
        <w:t xml:space="preserve">means a period from the date of Amendment Agreement No.3 (inclusive) to the date (inclusive) occurring 180 (one hundred and eighty) days from the date of Amendment Agreement No.3. </w:t>
      </w:r>
    </w:p>
    <w:p>
      <w:pPr>
        <w:pStyle w:val="TextBody"/>
        <w:spacing w:before="240" w:after="0"/>
        <w:rPr/>
      </w:pPr>
      <w:r>
        <w:rPr/>
        <w:t>“</w:t>
      </w:r>
      <w:r>
        <w:rPr>
          <w:rFonts w:ascii="Times New Roman" w:hAnsi="Times New Roman"/>
          <w:b/>
          <w:sz w:val="20"/>
        </w:rPr>
        <w:t>Incentive Plan Based on the Group’s Equity Instruments”</w:t>
      </w:r>
      <w:r>
        <w:rPr>
          <w:rFonts w:ascii="Times New Roman" w:hAnsi="Times New Roman"/>
          <w:sz w:val="20"/>
        </w:rPr>
        <w:t xml:space="preserve"> means an agreement providing for the receipt of the following by employees (or former employees) of the Group and (or) owners of shares and (or) participatory interests of any member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consideration by provision of the Group’s Equity Instruments;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consideration by cash payments or provision of other assets, provided that an amount of this consideration is determined on the basis of and (or) depends on the value of the Group’s Equity Instruments. </w:t>
            </w:r>
          </w:p>
        </w:tc>
      </w:tr>
    </w:tbl>
    <w:p>
      <w:pPr>
        <w:pStyle w:val="TextBody"/>
        <w:spacing w:before="240" w:after="0"/>
        <w:rPr/>
      </w:pPr>
      <w:r>
        <w:rPr/>
        <w:t>“</w:t>
      </w:r>
      <w:r>
        <w:rPr>
          <w:rFonts w:ascii="Times New Roman" w:hAnsi="Times New Roman"/>
          <w:b/>
          <w:sz w:val="20"/>
        </w:rPr>
        <w:t xml:space="preserve">Sanctioned Person” </w:t>
      </w:r>
      <w:r>
        <w:rPr>
          <w:rFonts w:ascii="Times New Roman" w:hAnsi="Times New Roman"/>
          <w:sz w:val="20"/>
        </w:rPr>
        <w:t>has the meaning specified in Article 22.2 (</w:t>
      </w:r>
      <w:r>
        <w:rPr>
          <w:rFonts w:ascii="Times New Roman" w:hAnsi="Times New Roman"/>
          <w:i/>
          <w:sz w:val="20"/>
        </w:rPr>
        <w:t>Assignment of Rights and Transfer of Obligations by the Lenders</w:t>
      </w:r>
      <w:r>
        <w:rPr>
          <w:rFonts w:ascii="Times New Roman" w:hAnsi="Times New Roman"/>
          <w:sz w:val="20"/>
        </w:rPr>
        <w:t xml:space="preserve">). </w:t>
      </w:r>
    </w:p>
    <w:p>
      <w:pPr>
        <w:pStyle w:val="TextBody"/>
        <w:spacing w:before="240" w:after="0"/>
        <w:rPr/>
      </w:pPr>
      <w:r>
        <w:rPr/>
        <w:t>“</w:t>
      </w:r>
      <w:r>
        <w:rPr>
          <w:rFonts w:ascii="Times New Roman" w:hAnsi="Times New Roman"/>
          <w:b/>
          <w:sz w:val="20"/>
        </w:rPr>
        <w:t>Debt Ratio”</w:t>
      </w:r>
      <w:r>
        <w:rPr>
          <w:rFonts w:ascii="Times New Roman" w:hAnsi="Times New Roman"/>
          <w:sz w:val="20"/>
        </w:rPr>
        <w:t xml:space="preserve"> has the meaning specified in Article 18.2 (</w:t>
      </w:r>
      <w:r>
        <w:rPr>
          <w:rFonts w:ascii="Times New Roman" w:hAnsi="Times New Roman"/>
          <w:i/>
          <w:sz w:val="20"/>
        </w:rPr>
        <w:t>Debt Ratio</w:t>
      </w:r>
      <w:r>
        <w:rPr>
          <w:rFonts w:ascii="Times New Roman" w:hAnsi="Times New Roman"/>
          <w:sz w:val="20"/>
        </w:rPr>
        <w:t xml:space="preserve">). </w:t>
      </w:r>
    </w:p>
    <w:p>
      <w:pPr>
        <w:pStyle w:val="TextBody"/>
        <w:spacing w:before="240" w:after="0"/>
        <w:rPr/>
      </w:pPr>
      <w:r>
        <w:rPr/>
        <w:t>“</w:t>
      </w:r>
      <w:r>
        <w:rPr>
          <w:rFonts w:ascii="Times New Roman" w:hAnsi="Times New Roman"/>
          <w:b/>
          <w:sz w:val="20"/>
        </w:rPr>
        <w:t>Percentage Covering”</w:t>
      </w:r>
      <w:r>
        <w:rPr>
          <w:rFonts w:ascii="Times New Roman" w:hAnsi="Times New Roman"/>
          <w:sz w:val="20"/>
        </w:rPr>
        <w:t xml:space="preserve"> has the meaning specified in Article 18.3 (</w:t>
      </w:r>
      <w:r>
        <w:rPr>
          <w:rFonts w:ascii="Times New Roman" w:hAnsi="Times New Roman"/>
          <w:i/>
          <w:sz w:val="20"/>
        </w:rPr>
        <w:t>Percentage Covering</w:t>
      </w:r>
      <w:r>
        <w:rPr>
          <w:rFonts w:ascii="Times New Roman" w:hAnsi="Times New Roman"/>
          <w:sz w:val="20"/>
        </w:rPr>
        <w:t xml:space="preserve">). </w:t>
      </w:r>
    </w:p>
    <w:p>
      <w:pPr>
        <w:pStyle w:val="TextBody"/>
        <w:spacing w:before="240" w:after="0"/>
        <w:rPr/>
      </w:pPr>
      <w:r>
        <w:rPr/>
        <w:t>“</w:t>
      </w:r>
      <w:r>
        <w:rPr>
          <w:rFonts w:ascii="Times New Roman" w:hAnsi="Times New Roman"/>
          <w:b/>
          <w:sz w:val="20"/>
        </w:rPr>
        <w:t>EBITDA”</w:t>
      </w:r>
      <w:r>
        <w:rPr>
          <w:rFonts w:ascii="Times New Roman" w:hAnsi="Times New Roman"/>
          <w:sz w:val="20"/>
        </w:rPr>
        <w:t xml:space="preserve"> means the EBITDA of any member of the Group that is determined as of the last reporting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as of the end of a fiscal year or a fiscal half a year, in accordance with such Group’s financial statements for the relevant fiscal year or fiscal half a year (respectively) as prepared in accordance with IFRS and provided to the Credit Agent under Clause (a) or (b) of Article 17.1 (</w:t>
            </w:r>
            <w:r>
              <w:rPr>
                <w:i/>
              </w:rPr>
              <w:t>Financial Statements</w:t>
            </w:r>
            <w:r>
              <w:rPr/>
              <w:t xml:space="preser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as of the end of the first or third financial quarter, based on such respective management statements of the Group as provided to the Credit Agent under Clause (c) of Article 17.1 (</w:t>
            </w:r>
            <w:r>
              <w:rPr>
                <w:i/>
              </w:rPr>
              <w:t>Financial Statements</w:t>
            </w:r>
            <w:r>
              <w:rPr/>
              <w:t xml:space="preserve">). </w:t>
            </w:r>
          </w:p>
        </w:tc>
      </w:tr>
    </w:tbl>
    <w:p>
      <w:pPr>
        <w:pStyle w:val="TextBody"/>
        <w:spacing w:before="240" w:after="0"/>
        <w:rPr/>
      </w:pPr>
      <w:r>
        <w:rPr/>
        <w:t>“</w:t>
      </w:r>
      <w:r>
        <w:rPr>
          <w:rFonts w:ascii="Times New Roman" w:hAnsi="Times New Roman"/>
          <w:b/>
          <w:sz w:val="20"/>
        </w:rPr>
        <w:t>Acceptable Lender”</w:t>
      </w:r>
      <w:r>
        <w:rPr>
          <w:rFonts w:ascii="Times New Roman" w:hAnsi="Times New Roman"/>
          <w:sz w:val="20"/>
        </w:rPr>
        <w:t xml:space="preserve"> means the Lender that is: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a Russian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a resident of the Contracting State to the Double Taxation Agreement, provided that the status of such Lender shall, at the request of the Debtor, be proved by a copy of a document issued by a competent tax authority of the Contracting State to the Double Taxation Agreement and certifying that the Lender is a taxable resident of this Contracting State to the Double Taxation Agreement; such copy shall be translated into Russian.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Applicable Reporting Standards” </w:t>
      </w:r>
      <w:r>
        <w:rPr>
          <w:rFonts w:ascii="Times New Roman" w:hAnsi="Times New Roman"/>
          <w:sz w:val="20"/>
        </w:rPr>
        <w:t xml:space="preserve">means financial reporting standards applicable to any Debtor. </w:t>
      </w:r>
    </w:p>
    <w:p>
      <w:pPr>
        <w:pStyle w:val="TextBody"/>
        <w:spacing w:before="240" w:after="0"/>
        <w:rPr/>
      </w:pPr>
      <w:r>
        <w:rPr/>
        <w:t>“</w:t>
      </w:r>
      <w:r>
        <w:rPr>
          <w:rFonts w:ascii="Times New Roman" w:hAnsi="Times New Roman"/>
          <w:b/>
          <w:sz w:val="20"/>
        </w:rPr>
        <w:t>Seller”</w:t>
      </w:r>
      <w:r>
        <w:rPr>
          <w:rFonts w:ascii="Times New Roman" w:hAnsi="Times New Roman"/>
          <w:sz w:val="20"/>
        </w:rPr>
        <w:t xml:space="preserve"> means Mail.ru Group LTD, a limited liability company incorporated under the laws of the British Virgin Islands, registration number 655058, located at: 28 Oktovriou, 232, Oceanic Building, office 501, 3035 Limassol, Cyprus </w:t>
      </w:r>
    </w:p>
    <w:p>
      <w:pPr>
        <w:pStyle w:val="TextBody"/>
        <w:spacing w:before="240" w:after="0"/>
        <w:rPr/>
      </w:pPr>
      <w:r>
        <w:rPr/>
        <w:t>“</w:t>
      </w:r>
      <w:r>
        <w:rPr>
          <w:rFonts w:ascii="Times New Roman" w:hAnsi="Times New Roman"/>
          <w:b/>
          <w:sz w:val="20"/>
        </w:rPr>
        <w:t xml:space="preserve">Proportional Share”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for the purposes of determination of the extent of the Lender’s participation in granting of the Loan against any Disbursement Request, the ratio between the Unused Loan Limit of such Lender and the Aggregate Unused Loan Limit.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for any other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2"/>
        <w:gridCol w:w="8477"/>
      </w:tblGrid>
      <w:tr>
        <w:trPr/>
        <w:tc>
          <w:tcPr>
            <w:tcW w:w="815" w:type="dxa"/>
            <w:tcBorders/>
            <w:shd w:fill="auto" w:val="clear"/>
            <w:vAlign w:val="center"/>
          </w:tcPr>
          <w:p>
            <w:pPr>
              <w:pStyle w:val="TableContents"/>
              <w:spacing w:before="0" w:after="283"/>
              <w:rPr/>
            </w:pPr>
            <w:r>
              <w:rPr/>
              <w:t> </w:t>
            </w:r>
          </w:p>
        </w:tc>
        <w:tc>
          <w:tcPr>
            <w:tcW w:w="912" w:type="dxa"/>
            <w:tcBorders/>
            <w:shd w:fill="auto" w:val="clear"/>
          </w:tcPr>
          <w:p>
            <w:pPr>
              <w:pStyle w:val="TableContents"/>
              <w:spacing w:before="0" w:after="283"/>
              <w:jc w:val="left"/>
              <w:rPr/>
            </w:pPr>
            <w:r>
              <w:rPr/>
              <w:t>(i)</w:t>
            </w:r>
          </w:p>
        </w:tc>
        <w:tc>
          <w:tcPr>
            <w:tcW w:w="8477" w:type="dxa"/>
            <w:tcBorders/>
            <w:shd w:fill="auto" w:val="clear"/>
          </w:tcPr>
          <w:p>
            <w:pPr>
              <w:pStyle w:val="TableContents"/>
              <w:spacing w:before="0" w:after="283"/>
              <w:jc w:val="left"/>
              <w:rPr/>
            </w:pPr>
            <w:r>
              <w:rPr/>
              <w:t xml:space="preserve">in the absence of the Outstanding Loan, the ratio between the Loan Limit of a separate Lender and the Aggregate Loan Limit,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8473" w:type="dxa"/>
            <w:tcBorders/>
            <w:shd w:fill="auto" w:val="clear"/>
          </w:tcPr>
          <w:p>
            <w:pPr>
              <w:pStyle w:val="TableContents"/>
              <w:spacing w:before="0" w:after="283"/>
              <w:jc w:val="left"/>
              <w:rPr/>
            </w:pPr>
            <w:r>
              <w:rPr/>
              <w:t xml:space="preserve">in case of the Outstanding Loan, the ratio between the Outstanding Loan granted to the Borrower by a separate Lender, together with the Amount to be Granted by this Lender, and the Outstanding Loan granted to the Borrower by all Lenders, together with the Amount to be Granted by all Lenders. </w:t>
            </w:r>
          </w:p>
        </w:tc>
      </w:tr>
    </w:tbl>
    <w:p>
      <w:pPr>
        <w:pStyle w:val="TextBody"/>
        <w:spacing w:before="240" w:after="0"/>
        <w:rPr/>
      </w:pPr>
      <w:r>
        <w:rPr/>
        <w:t>“</w:t>
      </w:r>
      <w:r>
        <w:rPr>
          <w:rFonts w:ascii="Times New Roman" w:hAnsi="Times New Roman"/>
          <w:b/>
          <w:sz w:val="20"/>
        </w:rPr>
        <w:t xml:space="preserve">Interest Period” </w:t>
      </w:r>
      <w:r>
        <w:rPr>
          <w:rFonts w:ascii="Times New Roman" w:hAnsi="Times New Roman"/>
          <w:sz w:val="20"/>
        </w:rPr>
        <w:t>means, in respect of the Outstanding Loan, each period during which interest is accrued under Article 10 (</w:t>
      </w:r>
      <w:r>
        <w:rPr>
          <w:rFonts w:ascii="Times New Roman" w:hAnsi="Times New Roman"/>
          <w:i/>
          <w:sz w:val="20"/>
        </w:rPr>
        <w:t>Interest Periods</w:t>
      </w:r>
      <w:r>
        <w:rPr>
          <w:rFonts w:ascii="Times New Roman" w:hAnsi="Times New Roman"/>
          <w:sz w:val="20"/>
        </w:rPr>
        <w:t>) and, in respect of any overdue amount, each period determined under Article 9.4 (</w:t>
      </w:r>
      <w:r>
        <w:rPr>
          <w:rFonts w:ascii="Times New Roman" w:hAnsi="Times New Roman"/>
          <w:i/>
          <w:sz w:val="20"/>
        </w:rPr>
        <w:t>Penalty</w:t>
      </w:r>
      <w:r>
        <w:rPr>
          <w:rFonts w:ascii="Times New Roman" w:hAnsi="Times New Roman"/>
          <w:sz w:val="20"/>
        </w:rPr>
        <w:t xml:space="preserve">). </w:t>
      </w:r>
    </w:p>
    <w:p>
      <w:pPr>
        <w:pStyle w:val="TextBody"/>
        <w:spacing w:before="240" w:after="0"/>
        <w:rPr/>
      </w:pPr>
      <w:r>
        <w:rPr/>
        <w:t>“</w:t>
      </w:r>
      <w:r>
        <w:rPr>
          <w:rFonts w:ascii="Times New Roman" w:hAnsi="Times New Roman"/>
          <w:b/>
          <w:sz w:val="20"/>
        </w:rPr>
        <w:t>Business Day”</w:t>
      </w:r>
      <w:r>
        <w:rPr>
          <w:rFonts w:ascii="Times New Roman" w:hAnsi="Times New Roman"/>
          <w:sz w:val="20"/>
        </w:rPr>
        <w:t xml:space="preserve"> means any day on which banks are open to conduct ordinary banking operations in Moscow and Nicosia; except for Clause 4.2 (b) of Article 4.2 (</w:t>
      </w:r>
      <w:r>
        <w:rPr>
          <w:rFonts w:ascii="Times New Roman" w:hAnsi="Times New Roman"/>
          <w:i/>
          <w:sz w:val="20"/>
        </w:rPr>
        <w:t>Submission of Disbursement Requests)</w:t>
      </w:r>
      <w:r>
        <w:rPr>
          <w:rFonts w:ascii="Times New Roman" w:hAnsi="Times New Roman"/>
          <w:sz w:val="20"/>
        </w:rPr>
        <w:t xml:space="preserve"> and Clause 8.3 (a) of Article 8.3 (</w:t>
      </w:r>
      <w:r>
        <w:rPr>
          <w:rFonts w:ascii="Times New Roman" w:hAnsi="Times New Roman"/>
          <w:i/>
          <w:sz w:val="20"/>
        </w:rPr>
        <w:t>Voluntary Early Repayment of the Outstanding Loan</w:t>
      </w:r>
      <w:r>
        <w:rPr>
          <w:rFonts w:ascii="Times New Roman" w:hAnsi="Times New Roman"/>
          <w:sz w:val="20"/>
        </w:rPr>
        <w:t xml:space="preserve">), for which the </w:t>
      </w:r>
      <w:r>
        <w:rPr>
          <w:rFonts w:ascii="Times New Roman" w:hAnsi="Times New Roman"/>
          <w:b/>
          <w:sz w:val="20"/>
        </w:rPr>
        <w:t>Business Day</w:t>
      </w:r>
      <w:r>
        <w:rPr>
          <w:rFonts w:ascii="Times New Roman" w:hAnsi="Times New Roman"/>
          <w:sz w:val="20"/>
        </w:rPr>
        <w:t xml:space="preserve"> will be any day on which banks are open for ordinary banking operations in Moscow. </w:t>
      </w:r>
    </w:p>
    <w:p>
      <w:pPr>
        <w:pStyle w:val="TextBody"/>
        <w:spacing w:before="240" w:after="0"/>
        <w:rPr/>
      </w:pPr>
      <w:r>
        <w:rPr/>
        <w:t>“</w:t>
      </w:r>
      <w:r>
        <w:rPr>
          <w:rFonts w:ascii="Times New Roman" w:hAnsi="Times New Roman"/>
          <w:b/>
          <w:sz w:val="20"/>
        </w:rPr>
        <w:t>Permitted Reorganization”</w:t>
      </w:r>
      <w:r>
        <w:rPr>
          <w:rFonts w:ascii="Times New Roman" w:hAnsi="Times New Roman"/>
          <w:sz w:val="20"/>
        </w:rPr>
        <w:t xml:space="preserve"> means a full or partial transfer of business, including contracts, assets and clients, from Headhunter to the Borrower, as well as a transfer of ownership to participatory interests in Headhunter from Headhunter FSU to the Borrower in any legal procedure not contradicting to the applicable laws, 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such actions result in no risk of termination or contestation of the Security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transfer of title to such participatory interests and shares, respectively, takes place taking into account the existing pledge in favor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all agreements and other documents necessary for transfer of title to such participatory interests in Headhunter from Headhunter FSU to the Borrower are agreed with the Credit Agent in advance;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composition of the Borrower’s members does not change;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any documents and information related to these actions are provided within 5 (five) Business Days after the receipt of a reasonable request of the Credit Agent.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Permitted Financial Indebtedness”</w:t>
      </w:r>
      <w:r>
        <w:rPr>
          <w:rFonts w:ascii="Times New Roman" w:hAnsi="Times New Roman"/>
          <w:sz w:val="20"/>
        </w:rPr>
        <w:t xml:space="preserve"> means the Financial Indebtedness: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arising under the terms and conditions of the Financial Documents or authorized by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of a member of the Group that exists on the date of this Agreement, as specified in Appendix 7 (</w:t>
            </w:r>
            <w:r>
              <w:rPr>
                <w:i/>
              </w:rPr>
              <w:t>Existing Financial Indebtedness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of members of the Group,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of Zemenik Trading to its shareholders,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of Zemenik Trading within the loans from Highworld and ELQ Investors granted on April 27, 2016, in an amount not exceeding in aggregate RUB 4,000,000,000 (four billion Rubles) for the purposes of payment of a purchase price by Zemenik Trading to the Seller for 100 (one hundred) percent of shares in the authorized capital of Headhunter FSU under Sale and Purchase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of the Borrower to any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(g)</w:t>
            </w:r>
          </w:p>
        </w:tc>
        <w:tc>
          <w:tcPr>
            <w:tcW w:w="9390" w:type="dxa"/>
            <w:tcBorders/>
            <w:shd w:fill="auto" w:val="clear"/>
          </w:tcPr>
          <w:p>
            <w:pPr>
              <w:pStyle w:val="TableContents"/>
              <w:spacing w:before="0" w:after="283"/>
              <w:jc w:val="left"/>
              <w:rPr/>
            </w:pPr>
            <w:r>
              <w:rPr/>
              <w:t xml:space="preserve">of the Guarantor to another Guarantor or the Borrower;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of Group’s members to third parties for loans and borrowings in a total amount not exceeding 10 (ten) percent of the Consolidated EBITDA. </w:t>
            </w:r>
          </w:p>
        </w:tc>
      </w:tr>
    </w:tbl>
    <w:p>
      <w:pPr>
        <w:pStyle w:val="TextBody"/>
        <w:spacing w:before="240" w:after="0"/>
        <w:rPr/>
      </w:pPr>
      <w:r>
        <w:rPr/>
        <w:t>“</w:t>
      </w:r>
      <w:r>
        <w:rPr>
          <w:rFonts w:ascii="Times New Roman" w:hAnsi="Times New Roman"/>
          <w:b/>
          <w:sz w:val="20"/>
        </w:rPr>
        <w:t>Permitted Disbursements”</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any payments made by a member of the Group to the Borrower or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any payments made by any Debtor to another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payment of an allocated profit by any member of the Group to Zemenik Trading’s shareholders (inter alia, as the Permitted Redemption), subject to the requirements of Article 19.12 (</w:t>
            </w:r>
            <w:r>
              <w:rPr>
                <w:i/>
              </w:rPr>
              <w:t>Payment of Dividends and Redemption of Shares / Participatory Interests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payment to another member of the Group or Zemenik Trading’s shareholders, of funds received by any member of the Group from sale of shares / participatory interests in another member of the Group that is not the Debtor, provided that after such payment the Debt Ratio does not change (subject to the provisions of Clause (e) of Article 19.3 (</w:t>
            </w:r>
            <w:r>
              <w:rPr>
                <w:i/>
              </w:rPr>
              <w:t>Asset Disposal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payment of funds by a member of the Group to another member of the Group in an amount not exceeding RUB 300,000,000 within three months from the Disbursement Date of Tranche A, as well as a subsequent payment of such funds by Zemenik Trading to Zemenik Trading’s shareholders;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making payments by Zemenik Trading to the Seller under Sale and Purchase Agreement 1 in an amount not exceeding RUB 5,000,000,000 (five billion Rubles) within three months from the date hereof;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(g)</w:t>
            </w:r>
          </w:p>
        </w:tc>
        <w:tc>
          <w:tcPr>
            <w:tcW w:w="9388" w:type="dxa"/>
            <w:tcBorders/>
            <w:shd w:fill="auto" w:val="clear"/>
          </w:tcPr>
          <w:p>
            <w:pPr>
              <w:pStyle w:val="TableContents"/>
              <w:spacing w:before="0" w:after="283"/>
              <w:jc w:val="left"/>
              <w:rPr/>
            </w:pPr>
            <w:r>
              <w:rPr/>
              <w:t xml:space="preserve">making the following payments by Zemenik Trading within 5 (five) Business Days after the Disbursement Date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3"/>
        <w:gridCol w:w="8476"/>
      </w:tblGrid>
      <w:tr>
        <w:trPr/>
        <w:tc>
          <w:tcPr>
            <w:tcW w:w="81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to Highworld for repayment of the Highworld’s Dollar Loan;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2"/>
        <w:gridCol w:w="917"/>
        <w:gridCol w:w="8475"/>
      </w:tblGrid>
      <w:tr>
        <w:trPr/>
        <w:tc>
          <w:tcPr>
            <w:tcW w:w="81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8475" w:type="dxa"/>
            <w:tcBorders/>
            <w:shd w:fill="auto" w:val="clear"/>
          </w:tcPr>
          <w:p>
            <w:pPr>
              <w:pStyle w:val="TableContents"/>
              <w:spacing w:before="0" w:after="283"/>
              <w:jc w:val="left"/>
              <w:rPr/>
            </w:pPr>
            <w:r>
              <w:rPr/>
              <w:t xml:space="preserve">payment to Highworld for repayment of the Highworld’s loan granted on April 27, 2016, the funds of which were sent to Zemenik Trading (or according to instructions of and on behalf of Zemenik Trading) for payment to the Seller of a part of the purchase price for 100 (one hundred) percent shares in the authorized capital of Headhunter FSU under Sale and Purchase Agreement 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8473" w:type="dxa"/>
            <w:tcBorders/>
            <w:shd w:fill="auto" w:val="clear"/>
          </w:tcPr>
          <w:p>
            <w:pPr>
              <w:pStyle w:val="TableContents"/>
              <w:spacing w:before="0" w:after="283"/>
              <w:jc w:val="left"/>
              <w:rPr/>
            </w:pPr>
            <w:r>
              <w:rPr/>
              <w:t xml:space="preserve">payment to ELQ Investors for repayment of the ELQ Investors’ loan granted on April 27, 2016, the funds of which were sent to Zemenik Trading (or according to instructions of and on behalf of Zemenik Trading) for payment to the Seller of a part of the purchase price for 100 (one hundred) percent shares in the authorized capital of Headhunter FSU under Sale and Purchase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(h)</w:t>
            </w:r>
          </w:p>
        </w:tc>
        <w:tc>
          <w:tcPr>
            <w:tcW w:w="9388" w:type="dxa"/>
            <w:tcBorders/>
            <w:shd w:fill="auto" w:val="clear"/>
          </w:tcPr>
          <w:p>
            <w:pPr>
              <w:pStyle w:val="TableContents"/>
              <w:spacing w:before="0" w:after="283"/>
              <w:jc w:val="left"/>
              <w:rPr/>
            </w:pPr>
            <w:r>
              <w:rPr/>
              <w:t xml:space="preserve">making the following payments within 5 (five) Business Days after the Disbursement Date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 amount (not exceeding the amount of Tranche B) by the Borrower to Zemenik Trading under Sale and Purchase Agreement 2;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5"/>
        <w:gridCol w:w="8477"/>
      </w:tblGrid>
      <w:tr>
        <w:trPr/>
        <w:tc>
          <w:tcPr>
            <w:tcW w:w="81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8477" w:type="dxa"/>
            <w:tcBorders/>
            <w:shd w:fill="auto" w:val="clear"/>
          </w:tcPr>
          <w:p>
            <w:pPr>
              <w:pStyle w:val="TableContents"/>
              <w:spacing w:before="0" w:after="283"/>
              <w:jc w:val="left"/>
              <w:rPr/>
            </w:pPr>
            <w:r>
              <w:rPr/>
              <w:t xml:space="preserve">payment of an amount received from the Borrower under Sale and Purchase Agreement 2, to ELQ Investors and Highworld for repayment of loans granted by ELQ Investors and Highworld to Zemenik Trading prior to the date of this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(i)</w:t>
            </w:r>
          </w:p>
        </w:tc>
        <w:tc>
          <w:tcPr>
            <w:tcW w:w="9391" w:type="dxa"/>
            <w:tcBorders/>
            <w:shd w:fill="auto" w:val="clear"/>
          </w:tcPr>
          <w:p>
            <w:pPr>
              <w:pStyle w:val="TableContents"/>
              <w:spacing w:before="0" w:after="283"/>
              <w:jc w:val="left"/>
              <w:rPr/>
            </w:pPr>
            <w:r>
              <w:rPr/>
              <w:t xml:space="preserve">payment of any fees binding by virtue of the applicable laws, to any shareholders not being members of the Group or members of legal entities being members of the Group if such shareholder or member withdraws from the legal entity, </w:t>
            </w:r>
          </w:p>
        </w:tc>
      </w:tr>
    </w:tbl>
    <w:p>
      <w:pPr>
        <w:pStyle w:val="TextBody"/>
        <w:spacing w:before="120" w:after="0"/>
        <w:rPr>
          <w:rFonts w:ascii="Times New Roman" w:hAnsi="Times New Roman"/>
          <w:sz w:val="20"/>
        </w:rPr>
      </w:pPr>
      <w:r>
        <w:rPr>
          <w:rFonts w:ascii="Times New Roman" w:hAnsi="Times New Roman"/>
          <w:sz w:val="20"/>
        </w:rPr>
        <w:t xml:space="preserve">provided that no such payments as specified in Clauses (a)-(i) of this definition result in any negative net assets of a person making such payments. </w:t>
      </w:r>
    </w:p>
    <w:p>
      <w:pPr>
        <w:pStyle w:val="TextBody"/>
        <w:spacing w:before="240" w:after="0"/>
        <w:rPr/>
      </w:pPr>
      <w:r>
        <w:rPr/>
        <w:t>“</w:t>
      </w:r>
      <w:r>
        <w:rPr>
          <w:rFonts w:ascii="Times New Roman" w:hAnsi="Times New Roman"/>
          <w:b/>
          <w:sz w:val="20"/>
        </w:rPr>
        <w:t xml:space="preserve">Permitted Redemption” </w:t>
      </w:r>
      <w:r>
        <w:rPr>
          <w:rFonts w:ascii="Times New Roman" w:hAnsi="Times New Roman"/>
          <w:sz w:val="20"/>
        </w:rPr>
        <w:t xml:space="preserve">means a Group member’s repurchase of its own shares or participatory interests in the authorized capital of such member of the Group, 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if such participatory interests or shares are a subject-matter of the Pledge Agreement, such participatory interests or shares will continue to be pledged, regardless of the repurchase;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such member of the Group complies with all applicable legal requirements for such redemption, including requirements for the amount of the authorized capital of such member of the Group;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repurchased shares or participatory interests are to be repaid within a period established by the applicable laws. </w:t>
            </w:r>
          </w:p>
        </w:tc>
      </w:tr>
    </w:tbl>
    <w:p>
      <w:pPr>
        <w:pStyle w:val="TextBody"/>
        <w:spacing w:before="240" w:after="0"/>
        <w:rPr/>
      </w:pPr>
      <w:r>
        <w:rPr/>
        <w:t>“</w:t>
      </w:r>
      <w:r>
        <w:rPr>
          <w:rFonts w:ascii="Times New Roman" w:hAnsi="Times New Roman"/>
          <w:b/>
          <w:sz w:val="20"/>
        </w:rPr>
        <w:t>Permitted Loan”</w:t>
      </w:r>
      <w:r>
        <w:rPr>
          <w:rFonts w:ascii="Times New Roman" w:hAnsi="Times New Roman"/>
          <w:sz w:val="20"/>
        </w:rPr>
        <w:t xml:space="preserve"> means any loans: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granted by members of the Group prior to the date of this Agreement and listed in Appendix 11 (</w:t>
            </w:r>
            <w:r>
              <w:rPr>
                <w:i/>
              </w:rPr>
              <w:t>List of Existing Loans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granted by any Debtor to another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granted by any member of the Group to the Debtor under loan agreements,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granted by any member of the Group which is not the Debtor, to another member of the Group which is not the Debtor;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(e)</w:t>
            </w:r>
          </w:p>
        </w:tc>
        <w:tc>
          <w:tcPr>
            <w:tcW w:w="9391" w:type="dxa"/>
            <w:tcBorders/>
            <w:shd w:fill="auto" w:val="clear"/>
          </w:tcPr>
          <w:p>
            <w:pPr>
              <w:pStyle w:val="TableContents"/>
              <w:spacing w:before="0" w:after="283"/>
              <w:jc w:val="left"/>
              <w:rPr/>
            </w:pPr>
            <w:r>
              <w:rPr/>
              <w:t xml:space="preserve">granted in aggregate by any member of the Group to third parties in a total principal amount not exceeding 5 (five) percent of the Consolidated EBITDA at any time;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granted by the shareholders of Zemenik Trading on April 27, 2016, in an aggregate amount not exceeding RUB 4,000,000,000 (four billion Rubles), which funds were transferred to Zemenik Trading (or according to instructions of and on behalf of Zemenik Trading) for payment to the Seller of a part of the purchase price for 100 (one hundred) percent of shares in the authorized capital of Headhunter FSU under Sale and Purchase Agreement 1. </w:t>
            </w:r>
          </w:p>
        </w:tc>
      </w:tr>
    </w:tbl>
    <w:p>
      <w:pPr>
        <w:pStyle w:val="TextBody"/>
        <w:spacing w:before="240" w:after="0"/>
        <w:rPr/>
      </w:pPr>
      <w:r>
        <w:rPr/>
        <w:t>“</w:t>
      </w:r>
      <w:r>
        <w:rPr>
          <w:rFonts w:ascii="Times New Roman" w:hAnsi="Times New Roman"/>
          <w:b/>
          <w:sz w:val="20"/>
        </w:rPr>
        <w:t xml:space="preserve">Transaction Costs” </w:t>
      </w:r>
      <w:r>
        <w:rPr>
          <w:rFonts w:ascii="Times New Roman" w:hAnsi="Times New Roman"/>
          <w:sz w:val="20"/>
        </w:rPr>
        <w:t xml:space="preserve">means such amount of expenses for legal advisers and due diligence as incurred in relation to a transaction under Sale and Purchase Agreement 1 in an amount of RUB 45,605,039 (from which RUB 36,281,344 was granted in the first half a year in 2016 and RUB 9,323,695 in the second half a year in 2016). </w:t>
      </w:r>
    </w:p>
    <w:p>
      <w:pPr>
        <w:pStyle w:val="TextBody"/>
        <w:spacing w:before="240" w:after="0"/>
        <w:rPr/>
      </w:pPr>
      <w:r>
        <w:rPr/>
        <w:t>“</w:t>
      </w:r>
      <w:r>
        <w:rPr>
          <w:rFonts w:ascii="Times New Roman" w:hAnsi="Times New Roman"/>
          <w:b/>
          <w:sz w:val="20"/>
        </w:rPr>
        <w:t xml:space="preserve">Settlement Date” </w:t>
      </w:r>
      <w:r>
        <w:rPr>
          <w:rFonts w:ascii="Times New Roman" w:hAnsi="Times New Roman"/>
          <w:sz w:val="20"/>
        </w:rPr>
        <w:t xml:space="preserve">means the end date of the Settlement Period. </w:t>
      </w:r>
    </w:p>
    <w:p>
      <w:pPr>
        <w:pStyle w:val="TextBody"/>
        <w:spacing w:before="240" w:after="0"/>
        <w:rPr/>
      </w:pPr>
      <w:r>
        <w:rPr/>
        <w:t>“</w:t>
      </w:r>
      <w:r>
        <w:rPr>
          <w:rFonts w:ascii="Times New Roman" w:hAnsi="Times New Roman"/>
          <w:b/>
          <w:sz w:val="20"/>
        </w:rPr>
        <w:t>Settlement Period”</w:t>
      </w:r>
      <w:r>
        <w:rPr>
          <w:rFonts w:ascii="Times New Roman" w:hAnsi="Times New Roman"/>
          <w:sz w:val="20"/>
        </w:rPr>
        <w:t xml:space="preserve"> means, for the purposes of calculating the financial indicators set out in Article 18 (</w:t>
      </w:r>
      <w:r>
        <w:rPr>
          <w:rFonts w:ascii="Times New Roman" w:hAnsi="Times New Roman"/>
          <w:i/>
          <w:sz w:val="20"/>
        </w:rPr>
        <w:t>Financial Indicator Compliance Obligation</w:t>
      </w:r>
      <w:r>
        <w:rPr>
          <w:rFonts w:ascii="Times New Roman" w:hAnsi="Times New Roman"/>
          <w:sz w:val="20"/>
        </w:rPr>
        <w:t xml:space="preserve">), any period of 12 (twelve) months ending on the last day of a Group’s fiscal half a year or on the last day of a Group’s fiscal year. </w:t>
      </w:r>
    </w:p>
    <w:p>
      <w:pPr>
        <w:pStyle w:val="TextBody"/>
        <w:spacing w:before="240" w:after="0"/>
        <w:rPr/>
      </w:pPr>
      <w:r>
        <w:rPr/>
        <w:t>“</w:t>
      </w:r>
      <w:r>
        <w:rPr>
          <w:rFonts w:ascii="Times New Roman" w:hAnsi="Times New Roman"/>
          <w:b/>
          <w:sz w:val="20"/>
        </w:rPr>
        <w:t xml:space="preserve">Resolution” </w:t>
      </w:r>
      <w:r>
        <w:rPr>
          <w:rFonts w:ascii="Times New Roman" w:hAnsi="Times New Roman"/>
          <w:sz w:val="20"/>
        </w:rPr>
        <w:t>has the meaning given to this term in Article 23.1 (</w:t>
      </w:r>
      <w:r>
        <w:rPr>
          <w:rFonts w:ascii="Times New Roman" w:hAnsi="Times New Roman"/>
          <w:i/>
          <w:sz w:val="20"/>
        </w:rPr>
        <w:t>Resolutions of the Majority of the Lenders</w:t>
      </w:r>
      <w:r>
        <w:rPr>
          <w:rFonts w:ascii="Times New Roman" w:hAnsi="Times New Roman"/>
          <w:sz w:val="20"/>
        </w:rPr>
        <w:t xml:space="preserve">). </w:t>
      </w:r>
    </w:p>
    <w:p>
      <w:pPr>
        <w:pStyle w:val="TextBody"/>
        <w:spacing w:before="240" w:after="0"/>
        <w:rPr/>
      </w:pPr>
      <w:r>
        <w:rPr/>
        <w:t>“</w:t>
      </w:r>
      <w:r>
        <w:rPr>
          <w:rFonts w:ascii="Times New Roman" w:hAnsi="Times New Roman"/>
          <w:b/>
          <w:sz w:val="20"/>
        </w:rPr>
        <w:t>RAS”</w:t>
      </w:r>
      <w:r>
        <w:rPr>
          <w:rFonts w:ascii="Times New Roman" w:hAnsi="Times New Roman"/>
          <w:sz w:val="20"/>
        </w:rPr>
        <w:t xml:space="preserve"> means accounting rules in accordance with the Russian laws. </w:t>
      </w:r>
    </w:p>
    <w:p>
      <w:pPr>
        <w:pStyle w:val="TextBody"/>
        <w:spacing w:before="240" w:after="0"/>
        <w:rPr/>
      </w:pPr>
      <w:r>
        <w:rPr/>
        <w:t>“</w:t>
      </w:r>
      <w:r>
        <w:rPr>
          <w:rFonts w:ascii="Times New Roman" w:hAnsi="Times New Roman"/>
          <w:b/>
          <w:sz w:val="20"/>
        </w:rPr>
        <w:t>Ruble”, “RUB”</w:t>
      </w:r>
      <w:r>
        <w:rPr>
          <w:rFonts w:ascii="Times New Roman" w:hAnsi="Times New Roman"/>
          <w:sz w:val="20"/>
        </w:rPr>
        <w:t xml:space="preserve"> means a legal tender of the Russian Federation. </w:t>
      </w:r>
    </w:p>
    <w:p>
      <w:pPr>
        <w:pStyle w:val="TextBody"/>
        <w:spacing w:before="240" w:after="0"/>
        <w:rPr/>
      </w:pPr>
      <w:r>
        <w:rPr/>
        <w:t>“</w:t>
      </w:r>
      <w:r>
        <w:rPr>
          <w:rFonts w:ascii="Times New Roman" w:hAnsi="Times New Roman"/>
          <w:b/>
          <w:sz w:val="20"/>
        </w:rPr>
        <w:t xml:space="preserve">Websites of the Debtors” </w:t>
      </w:r>
      <w:r>
        <w:rPr>
          <w:rFonts w:ascii="Times New Roman" w:hAnsi="Times New Roman"/>
          <w:sz w:val="20"/>
        </w:rPr>
        <w:t>means Internet websites owned by the Debtors and listed in Appendix 8 (</w:t>
      </w:r>
      <w:r>
        <w:rPr>
          <w:rFonts w:ascii="Times New Roman" w:hAnsi="Times New Roman"/>
          <w:i/>
          <w:sz w:val="20"/>
        </w:rPr>
        <w:t>Intellectual Property</w:t>
      </w:r>
      <w:r>
        <w:rPr>
          <w:rFonts w:ascii="Times New Roman" w:hAnsi="Times New Roman"/>
          <w:sz w:val="20"/>
        </w:rPr>
        <w:t xml:space="preserve">). </w:t>
      </w:r>
    </w:p>
    <w:p>
      <w:pPr>
        <w:pStyle w:val="TextBody"/>
        <w:spacing w:before="240" w:after="0"/>
        <w:rPr/>
      </w:pPr>
      <w:r>
        <w:rPr/>
        <w:t>“</w:t>
      </w:r>
      <w:r>
        <w:rPr>
          <w:rFonts w:ascii="Times New Roman" w:hAnsi="Times New Roman"/>
          <w:b/>
          <w:sz w:val="20"/>
        </w:rPr>
        <w:t>Event of Default”</w:t>
      </w:r>
      <w:r>
        <w:rPr>
          <w:rFonts w:ascii="Times New Roman" w:hAnsi="Times New Roman"/>
          <w:sz w:val="20"/>
        </w:rPr>
        <w:t xml:space="preserve"> means any event or circumstance specified in Article 21 (</w:t>
      </w:r>
      <w:r>
        <w:rPr>
          <w:rFonts w:ascii="Times New Roman" w:hAnsi="Times New Roman"/>
          <w:i/>
          <w:sz w:val="20"/>
        </w:rPr>
        <w:t>Events of Default</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Aggregate Loan Limit” </w:t>
      </w:r>
      <w:r>
        <w:rPr>
          <w:rFonts w:ascii="Times New Roman" w:hAnsi="Times New Roman"/>
          <w:sz w:val="20"/>
        </w:rPr>
        <w:t xml:space="preserve">means a total amount of all Lenders’ Loan Limits of RUB 7,000,000,000 (seven billion Rubles) as of the date of Amendment Agreement 3. </w:t>
      </w:r>
    </w:p>
    <w:p>
      <w:pPr>
        <w:pStyle w:val="TextBody"/>
        <w:spacing w:before="240" w:after="0"/>
        <w:rPr/>
      </w:pPr>
      <w:r>
        <w:rPr/>
        <w:t>“</w:t>
      </w:r>
      <w:r>
        <w:rPr>
          <w:rFonts w:ascii="Times New Roman" w:hAnsi="Times New Roman"/>
          <w:b/>
          <w:sz w:val="20"/>
        </w:rPr>
        <w:t xml:space="preserve">Aggregate Unused Loan Limit” </w:t>
      </w:r>
      <w:r>
        <w:rPr>
          <w:rFonts w:ascii="Times New Roman" w:hAnsi="Times New Roman"/>
          <w:sz w:val="20"/>
        </w:rPr>
        <w:t xml:space="preserve">means an aggregate amount of the Unused Loan Limits of all Lenders. </w:t>
      </w:r>
    </w:p>
    <w:p>
      <w:pPr>
        <w:pStyle w:val="TextBody"/>
        <w:spacing w:before="24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2”</w:t>
      </w:r>
      <w:r>
        <w:rPr>
          <w:rFonts w:ascii="Times New Roman" w:hAnsi="Times New Roman"/>
          <w:sz w:val="20"/>
        </w:rPr>
        <w:t xml:space="preserve"> means Amendment Agreement No. 2 hereto dated June 28, 2017. </w:t>
      </w:r>
    </w:p>
    <w:p>
      <w:pPr>
        <w:pStyle w:val="TextBody"/>
        <w:spacing w:before="24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hereto dated October </w:t>
      </w:r>
      <w:r>
        <w:rPr>
          <w:rFonts w:ascii="Times New Roman" w:hAnsi="Times New Roman"/>
          <w:sz w:val="20"/>
          <w:u w:val="single"/>
        </w:rPr>
        <w:t>5</w:t>
      </w:r>
      <w:r>
        <w:rPr>
          <w:rFonts w:ascii="Times New Roman" w:hAnsi="Times New Roman"/>
          <w:sz w:val="20"/>
        </w:rPr>
        <w:t xml:space="preserve">, 2017. </w:t>
      </w:r>
    </w:p>
    <w:p>
      <w:pPr>
        <w:pStyle w:val="TextBody"/>
        <w:spacing w:before="240" w:after="0"/>
        <w:rPr/>
      </w:pPr>
      <w:r>
        <w:rPr/>
        <w:t>“</w:t>
      </w:r>
      <w:r>
        <w:rPr>
          <w:rFonts w:ascii="Times New Roman" w:hAnsi="Times New Roman"/>
          <w:b/>
          <w:sz w:val="20"/>
        </w:rPr>
        <w:t>Supplementary Guarantee Issue Agreement”</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Independent Guarantee Issue Agreement” </w:t>
      </w:r>
      <w:r>
        <w:rPr>
          <w:rFonts w:ascii="Times New Roman" w:hAnsi="Times New Roman"/>
          <w:sz w:val="20"/>
        </w:rPr>
        <w:t xml:space="preserve">means each independent guarantee issue agreement between the Borrower, the Lenders and a respective Guarantor for provision of the Independent Guarantee. </w:t>
      </w:r>
    </w:p>
    <w:p>
      <w:pPr>
        <w:pStyle w:val="TextBody"/>
        <w:spacing w:before="240" w:after="0"/>
        <w:rPr/>
      </w:pPr>
      <w:r>
        <w:rPr/>
        <w:t>“</w:t>
      </w:r>
      <w:r>
        <w:rPr>
          <w:rFonts w:ascii="Times New Roman" w:hAnsi="Times New Roman"/>
          <w:b/>
          <w:sz w:val="20"/>
        </w:rPr>
        <w:t>Party”</w:t>
      </w:r>
      <w:r>
        <w:rPr>
          <w:rFonts w:ascii="Times New Roman" w:hAnsi="Times New Roman"/>
          <w:sz w:val="20"/>
        </w:rPr>
        <w:t xml:space="preserve"> means a party hereto. </w:t>
      </w:r>
    </w:p>
    <w:p>
      <w:pPr>
        <w:pStyle w:val="TextBody"/>
        <w:spacing w:before="240" w:after="0"/>
        <w:rPr/>
      </w:pPr>
      <w:r>
        <w:rPr/>
        <w:t>“</w:t>
      </w:r>
      <w:r>
        <w:rPr>
          <w:rFonts w:ascii="Times New Roman" w:hAnsi="Times New Roman"/>
          <w:b/>
          <w:sz w:val="20"/>
        </w:rPr>
        <w:t>Party to the Financing”</w:t>
      </w:r>
      <w:r>
        <w:rPr>
          <w:rFonts w:ascii="Times New Roman" w:hAnsi="Times New Roman"/>
          <w:sz w:val="20"/>
        </w:rPr>
        <w:t xml:space="preserve"> means each Lender, Credit Agent and Organizer. </w:t>
      </w:r>
    </w:p>
    <w:p>
      <w:pPr>
        <w:pStyle w:val="TextBody"/>
        <w:spacing w:before="240" w:after="0"/>
        <w:rPr/>
      </w:pPr>
      <w:r>
        <w:rPr/>
        <w:t>“</w:t>
      </w:r>
      <w:r>
        <w:rPr>
          <w:rFonts w:ascii="Times New Roman" w:hAnsi="Times New Roman"/>
          <w:b/>
          <w:sz w:val="20"/>
        </w:rPr>
        <w:t xml:space="preserve">Amount to be Granted” </w:t>
      </w:r>
      <w:r>
        <w:rPr>
          <w:rFonts w:ascii="Times New Roman" w:hAnsi="Times New Roman"/>
          <w:sz w:val="20"/>
        </w:rPr>
        <w:t xml:space="preserve">means a cash amount to be granted by any Lender or Lenders on the Disbursement Date specified in the Disbursement Request submitted by the Borrower.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Material Negative Impact”</w:t>
      </w:r>
      <w:r>
        <w:rPr>
          <w:rFonts w:ascii="Times New Roman" w:hAnsi="Times New Roman"/>
          <w:sz w:val="20"/>
        </w:rPr>
        <w:t xml:space="preserve"> means a significant adverse effect that, in the opinion of the Majority of the Lenders, is possible 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the financial condition of the Group in general;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the ability of the Debtors to fulfill their obligations under any Financial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validity or priority of the security that is, or should be, granted under any Financial Document or the possibility of enforcement of such collateral;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validity of the Financial Documents or the possibility of exercising such rights of the Parties to the Financing as provided by each respective Financial Document. </w:t>
            </w:r>
          </w:p>
        </w:tc>
      </w:tr>
    </w:tbl>
    <w:p>
      <w:pPr>
        <w:pStyle w:val="TextBody"/>
        <w:spacing w:before="240" w:after="0"/>
        <w:rPr/>
      </w:pPr>
      <w:r>
        <w:rPr/>
        <w:t>“</w:t>
      </w:r>
      <w:r>
        <w:rPr>
          <w:rFonts w:ascii="Times New Roman" w:hAnsi="Times New Roman"/>
          <w:b/>
          <w:sz w:val="20"/>
        </w:rPr>
        <w:t>Significant Member of the Group”</w:t>
      </w:r>
      <w:r>
        <w:rPr>
          <w:rFonts w:ascii="Times New Roman" w:hAnsi="Times New Roman"/>
          <w:sz w:val="20"/>
        </w:rPr>
        <w:t xml:space="preserve"> means any Debtor or any member of the Group whose EBITDA, assets and revenues, determined on the basis of such consolidated financial statements of the Group as of the last reporting date as prepared in accordance with IFRS and submitted to the Credit Agent under Clause (a) or (b) of Article 17.1 (</w:t>
      </w:r>
      <w:r>
        <w:rPr>
          <w:rFonts w:ascii="Times New Roman" w:hAnsi="Times New Roman"/>
          <w:i/>
          <w:sz w:val="20"/>
        </w:rPr>
        <w:t>Financial Statements</w:t>
      </w:r>
      <w:r>
        <w:rPr>
          <w:rFonts w:ascii="Times New Roman" w:hAnsi="Times New Roman"/>
          <w:sz w:val="20"/>
        </w:rPr>
        <w:t xml:space="preserve">), exceed 2.5 (two point five) percent of the Group’s similar consolidated indicators determined on the basis of the same financial statements. </w:t>
      </w:r>
    </w:p>
    <w:p>
      <w:pPr>
        <w:pStyle w:val="TextBody"/>
        <w:spacing w:before="240" w:after="0"/>
        <w:rPr/>
      </w:pPr>
      <w:r>
        <w:rPr/>
        <w:t>“</w:t>
      </w:r>
      <w:r>
        <w:rPr>
          <w:rFonts w:ascii="Times New Roman" w:hAnsi="Times New Roman"/>
          <w:b/>
          <w:sz w:val="20"/>
        </w:rPr>
        <w:t>Existing Business Contracts”</w:t>
      </w:r>
      <w:r>
        <w:rPr>
          <w:rFonts w:ascii="Times New Roman" w:hAnsi="Times New Roman"/>
          <w:sz w:val="20"/>
        </w:rPr>
        <w:t xml:space="preserve"> means the following agreements on lease of the Headhunter office in Moscow between Headhunter as the lessee and Kalibr LLC as the lessor: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Lease Agreement No. 3706 dated March 1, 2013;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Lease Agreement No. 4480 dated September 16, 2015;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Lease Agreement No. 4735 dated May 4, 2016. </w:t>
            </w:r>
          </w:p>
        </w:tc>
      </w:tr>
    </w:tbl>
    <w:p>
      <w:pPr>
        <w:pStyle w:val="TextBody"/>
        <w:spacing w:before="240" w:after="0"/>
        <w:rPr/>
      </w:pPr>
      <w:r>
        <w:rPr/>
        <w:t>“</w:t>
      </w:r>
      <w:r>
        <w:rPr>
          <w:rFonts w:ascii="Times New Roman" w:hAnsi="Times New Roman"/>
          <w:b/>
          <w:sz w:val="20"/>
        </w:rPr>
        <w:t xml:space="preserve">Group Structure Scheme” </w:t>
      </w:r>
      <w:r>
        <w:rPr>
          <w:rFonts w:ascii="Times New Roman" w:hAnsi="Times New Roman"/>
          <w:sz w:val="20"/>
        </w:rPr>
        <w:t>means the structure of the Group attached as Appendix 9 (</w:t>
      </w:r>
      <w:r>
        <w:rPr>
          <w:rFonts w:ascii="Times New Roman" w:hAnsi="Times New Roman"/>
          <w:i/>
          <w:sz w:val="20"/>
        </w:rPr>
        <w:t>Group Structure Scheme</w:t>
      </w:r>
      <w:r>
        <w:rPr>
          <w:rFonts w:ascii="Times New Roman" w:hAnsi="Times New Roman"/>
          <w:sz w:val="20"/>
        </w:rPr>
        <w:t xml:space="preserve">) or (if the Borrower provided the Credit Agent with a new scheme of the Group structure after the date of this Agreement) the structure of the Group submitted by the Borrower to the Credit Agent at the latest date. </w:t>
      </w:r>
    </w:p>
    <w:p>
      <w:pPr>
        <w:pStyle w:val="TextBody"/>
        <w:spacing w:before="240" w:after="0"/>
        <w:rPr/>
      </w:pPr>
      <w:r>
        <w:rPr/>
        <w:t>“</w:t>
      </w:r>
      <w:r>
        <w:rPr>
          <w:rFonts w:ascii="Times New Roman" w:hAnsi="Times New Roman"/>
          <w:b/>
          <w:sz w:val="20"/>
        </w:rPr>
        <w:t xml:space="preserve">Credit Agent’s Account” </w:t>
      </w:r>
      <w:r>
        <w:rPr>
          <w:rFonts w:ascii="Times New Roman" w:hAnsi="Times New Roman"/>
          <w:sz w:val="20"/>
        </w:rPr>
        <w:t xml:space="preserve">means the account whose details the Credit Agent reports to the Parties to the Financing. </w:t>
      </w:r>
    </w:p>
    <w:p>
      <w:pPr>
        <w:pStyle w:val="TextBody"/>
        <w:spacing w:before="240" w:after="0"/>
        <w:rPr/>
      </w:pPr>
      <w:r>
        <w:rPr/>
        <w:t>“</w:t>
      </w:r>
      <w:r>
        <w:rPr>
          <w:rFonts w:ascii="Times New Roman" w:hAnsi="Times New Roman"/>
          <w:b/>
          <w:sz w:val="20"/>
        </w:rPr>
        <w:t>Technical Failure”</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such a significant malfunction (as occurred for reasons beyond the control of any of the Parties) in those payment systems or communication systems or in those financial markets whose operation in each case is necessary for making payments (or other transactions to be performed) in accordance with the transactions provided for by the Financial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occurrence of any other event that entails such a (technical or systemic) failure in the cash or settlement transactions of any Party which prevents this or any other Party from: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2"/>
        <w:gridCol w:w="8477"/>
      </w:tblGrid>
      <w:tr>
        <w:trPr/>
        <w:tc>
          <w:tcPr>
            <w:tcW w:w="815" w:type="dxa"/>
            <w:tcBorders/>
            <w:shd w:fill="auto" w:val="clear"/>
            <w:vAlign w:val="center"/>
          </w:tcPr>
          <w:p>
            <w:pPr>
              <w:pStyle w:val="TableContents"/>
              <w:spacing w:before="0" w:after="283"/>
              <w:rPr/>
            </w:pPr>
            <w:r>
              <w:rPr/>
              <w:t> </w:t>
            </w:r>
          </w:p>
        </w:tc>
        <w:tc>
          <w:tcPr>
            <w:tcW w:w="912" w:type="dxa"/>
            <w:tcBorders/>
            <w:shd w:fill="auto" w:val="clear"/>
          </w:tcPr>
          <w:p>
            <w:pPr>
              <w:pStyle w:val="TableContents"/>
              <w:spacing w:before="0" w:after="283"/>
              <w:jc w:val="left"/>
              <w:rPr/>
            </w:pPr>
            <w:r>
              <w:rPr/>
              <w:t>(i)</w:t>
            </w:r>
          </w:p>
        </w:tc>
        <w:tc>
          <w:tcPr>
            <w:tcW w:w="8477" w:type="dxa"/>
            <w:tcBorders/>
            <w:shd w:fill="auto" w:val="clear"/>
          </w:tcPr>
          <w:p>
            <w:pPr>
              <w:pStyle w:val="TableContents"/>
              <w:spacing w:before="0" w:after="283"/>
              <w:jc w:val="left"/>
              <w:rPr/>
            </w:pPr>
            <w:r>
              <w:rPr/>
              <w:t xml:space="preserve">fulfillment of its payment obligations under the Financial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8473" w:type="dxa"/>
            <w:tcBorders/>
            <w:shd w:fill="auto" w:val="clear"/>
          </w:tcPr>
          <w:p>
            <w:pPr>
              <w:pStyle w:val="TableContents"/>
              <w:spacing w:before="0" w:after="283"/>
              <w:jc w:val="left"/>
              <w:rPr/>
            </w:pPr>
            <w:r>
              <w:rPr/>
              <w:t xml:space="preserve">communication with other Parties under the Financial Documents and that was not caused by a Party whose operations were disrupted and which occurred for any reasons beyond the control of that Party. </w:t>
            </w:r>
          </w:p>
        </w:tc>
      </w:tr>
    </w:tbl>
    <w:p>
      <w:pPr>
        <w:pStyle w:val="TextBody"/>
        <w:spacing w:before="240" w:after="0"/>
        <w:rPr/>
      </w:pPr>
      <w:r>
        <w:rPr/>
        <w:t>“</w:t>
      </w:r>
      <w:r>
        <w:rPr>
          <w:rFonts w:ascii="Times New Roman" w:hAnsi="Times New Roman"/>
          <w:b/>
          <w:sz w:val="20"/>
        </w:rPr>
        <w:t xml:space="preserve">Trademarks of the Debtors” </w:t>
      </w:r>
      <w:r>
        <w:rPr>
          <w:rFonts w:ascii="Times New Roman" w:hAnsi="Times New Roman"/>
          <w:sz w:val="20"/>
        </w:rPr>
        <w:t>means any trademarks registered by the Debtors and the Additional Guarantors and specified in Appendix 8 (</w:t>
      </w:r>
      <w:r>
        <w:rPr>
          <w:rFonts w:ascii="Times New Roman" w:hAnsi="Times New Roman"/>
          <w:i/>
          <w:sz w:val="20"/>
        </w:rPr>
        <w:t>Intellectual Property</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Tranche” </w:t>
      </w:r>
      <w:r>
        <w:rPr>
          <w:rFonts w:ascii="Times New Roman" w:hAnsi="Times New Roman"/>
          <w:sz w:val="20"/>
        </w:rPr>
        <w:t xml:space="preserve">means Tranche A, Tranche B, Tranche C, or Tranche D. </w:t>
      </w:r>
    </w:p>
    <w:p>
      <w:pPr>
        <w:pStyle w:val="TextBody"/>
        <w:spacing w:before="240" w:after="0"/>
        <w:rPr/>
      </w:pPr>
      <w:r>
        <w:rPr/>
        <w:t>“</w:t>
      </w:r>
      <w:r>
        <w:rPr>
          <w:rFonts w:ascii="Times New Roman" w:hAnsi="Times New Roman"/>
          <w:b/>
          <w:sz w:val="20"/>
        </w:rPr>
        <w:t>Tranche A”</w:t>
      </w:r>
      <w:r>
        <w:rPr>
          <w:rFonts w:ascii="Times New Roman" w:hAnsi="Times New Roman"/>
          <w:sz w:val="20"/>
        </w:rPr>
        <w:t xml:space="preserve"> means a part of the Loan granted to the Borrower under the terms and conditions hereof in an amount of RUB 4,000,000,000 (four billion Rubles). </w:t>
      </w:r>
    </w:p>
    <w:p>
      <w:pPr>
        <w:pStyle w:val="TextBody"/>
        <w:spacing w:before="240" w:after="0"/>
        <w:rPr/>
      </w:pPr>
      <w:r>
        <w:rPr/>
        <w:t>“</w:t>
      </w:r>
      <w:r>
        <w:rPr>
          <w:rFonts w:ascii="Times New Roman" w:hAnsi="Times New Roman"/>
          <w:b/>
          <w:sz w:val="20"/>
        </w:rPr>
        <w:t>Tranche B”</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Tranche C”</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Tranche D”</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Financial Indebtedness”</w:t>
      </w:r>
      <w:r>
        <w:rPr>
          <w:rFonts w:ascii="Times New Roman" w:hAnsi="Times New Roman"/>
          <w:sz w:val="20"/>
        </w:rPr>
        <w:t xml:space="preserve"> means any indebtedness resulting from: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receiving cash as a loan;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obtaining a commodity loan, a commercial loan for a period of more than 30 (thirty) days, or issuing an uncovered letter of credit if such debt is classified as a “financial indebtedness”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issuing bonds, notes and any other debt instruments;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concluding a financial lease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making transactions with derivative financial instruments in order to get protection against or benefit from fluctuations in any exchange rates, interest rates or prices, and the amount of the transaction with such derivative financial instruments shall be calculated on the basis of market indicators at each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(f)</w:t>
            </w:r>
          </w:p>
        </w:tc>
        <w:tc>
          <w:tcPr>
            <w:tcW w:w="9388" w:type="dxa"/>
            <w:tcBorders/>
            <w:shd w:fill="auto" w:val="clear"/>
          </w:tcPr>
          <w:p>
            <w:pPr>
              <w:pStyle w:val="TableContents"/>
              <w:spacing w:before="0" w:after="283"/>
              <w:jc w:val="left"/>
              <w:rPr/>
            </w:pPr>
            <w:r>
              <w:rPr/>
              <w:t xml:space="preserve">making repo transactions or any other transaction that is a borrowing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(g)</w:t>
            </w:r>
          </w:p>
        </w:tc>
        <w:tc>
          <w:tcPr>
            <w:tcW w:w="9391" w:type="dxa"/>
            <w:tcBorders/>
            <w:shd w:fill="auto" w:val="clear"/>
          </w:tcPr>
          <w:p>
            <w:pPr>
              <w:pStyle w:val="TableContents"/>
              <w:spacing w:before="0" w:after="283"/>
              <w:jc w:val="left"/>
              <w:rPr/>
            </w:pPr>
            <w:r>
              <w:rPr/>
              <w:t xml:space="preserve">assuming the obligation to recover losses or expenses incurred by persons not belonging to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(h)</w:t>
            </w:r>
          </w:p>
        </w:tc>
        <w:tc>
          <w:tcPr>
            <w:tcW w:w="9389" w:type="dxa"/>
            <w:tcBorders/>
            <w:shd w:fill="auto" w:val="clear"/>
          </w:tcPr>
          <w:p>
            <w:pPr>
              <w:pStyle w:val="TableContents"/>
              <w:spacing w:before="0" w:after="283"/>
              <w:jc w:val="left"/>
              <w:rPr/>
            </w:pPr>
            <w:r>
              <w:rPr/>
              <w:t xml:space="preserve">entering into the Incentive Plans Based on the Group’s Equity Instruments;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(i)</w:t>
            </w:r>
          </w:p>
        </w:tc>
        <w:tc>
          <w:tcPr>
            <w:tcW w:w="9393" w:type="dxa"/>
            <w:tcBorders/>
            <w:shd w:fill="auto" w:val="clear"/>
          </w:tcPr>
          <w:p>
            <w:pPr>
              <w:pStyle w:val="TableContents"/>
              <w:spacing w:before="0" w:after="283"/>
              <w:jc w:val="left"/>
              <w:rPr/>
            </w:pPr>
            <w:r>
              <w:rPr/>
              <w:t xml:space="preserve">making transactions providing for the assumption of any obligations: (A) of suretyship or guarantee for performance of any obligations by any persons not belonging to the Group; or (B) of reimbursement to a guarantor, surety under suretyship for any amounts under the guarantee, suretyship; or (C) of liability with respect to the right of subrogation claims against any purchaser of a traded or discounted receivable, </w:t>
            </w:r>
          </w:p>
        </w:tc>
      </w:tr>
    </w:tbl>
    <w:p>
      <w:pPr>
        <w:pStyle w:val="TextBody"/>
        <w:spacing w:before="120" w:after="0"/>
        <w:rPr>
          <w:rFonts w:ascii="Times New Roman" w:hAnsi="Times New Roman"/>
          <w:sz w:val="20"/>
        </w:rPr>
      </w:pPr>
      <w:r>
        <w:rPr>
          <w:rFonts w:ascii="Times New Roman" w:hAnsi="Times New Roman"/>
          <w:sz w:val="20"/>
        </w:rPr>
        <w:t xml:space="preserve">or any other obligation having the economic nature of borrowing in accordance with IFRS. In each case no double counting shall apply. </w:t>
      </w:r>
    </w:p>
    <w:p>
      <w:pPr>
        <w:pStyle w:val="TextBody"/>
        <w:spacing w:before="240" w:after="0"/>
        <w:rPr/>
      </w:pPr>
      <w:r>
        <w:rPr/>
        <w:t>“</w:t>
      </w:r>
      <w:r>
        <w:rPr>
          <w:rFonts w:ascii="Times New Roman" w:hAnsi="Times New Roman"/>
          <w:b/>
          <w:sz w:val="20"/>
        </w:rPr>
        <w:t>Financial Document”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each Security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each Independent Guarantee Issue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each Supplementary Guarantee Issue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(f)</w:t>
            </w:r>
          </w:p>
        </w:tc>
        <w:tc>
          <w:tcPr>
            <w:tcW w:w="9389" w:type="dxa"/>
            <w:tcBorders/>
            <w:shd w:fill="auto" w:val="clear"/>
          </w:tcPr>
          <w:p>
            <w:pPr>
              <w:pStyle w:val="TableContents"/>
              <w:spacing w:before="0" w:after="283"/>
              <w:jc w:val="left"/>
              <w:rPr/>
            </w:pPr>
            <w:r>
              <w:rPr/>
              <w:t xml:space="preserve">each Lender’s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(g)</w:t>
            </w:r>
          </w:p>
        </w:tc>
        <w:tc>
          <w:tcPr>
            <w:tcW w:w="9388" w:type="dxa"/>
            <w:tcBorders/>
            <w:shd w:fill="auto" w:val="clear"/>
          </w:tcPr>
          <w:p>
            <w:pPr>
              <w:pStyle w:val="TableContents"/>
              <w:spacing w:before="0" w:after="283"/>
              <w:jc w:val="left"/>
              <w:rPr/>
            </w:pPr>
            <w:r>
              <w:rPr/>
              <w:t xml:space="preserve">each Disbursement Request;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any other document which the Credit Agent and the Borrower have agreed in writing to consider as the Financial Document;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(i)</w:t>
            </w:r>
          </w:p>
        </w:tc>
        <w:tc>
          <w:tcPr>
            <w:tcW w:w="9388" w:type="dxa"/>
            <w:tcBorders/>
            <w:shd w:fill="auto" w:val="clear"/>
          </w:tcPr>
          <w:p>
            <w:pPr>
              <w:pStyle w:val="TableContents"/>
              <w:spacing w:before="0" w:after="283"/>
              <w:jc w:val="left"/>
              <w:rPr/>
            </w:pPr>
            <w:r>
              <w:rPr/>
              <w:t xml:space="preserve">each Document Related to the Reorganization. </w:t>
            </w:r>
          </w:p>
        </w:tc>
      </w:tr>
    </w:tbl>
    <w:p>
      <w:pPr>
        <w:pStyle w:val="TextBody"/>
        <w:spacing w:before="240" w:after="0"/>
        <w:rPr/>
      </w:pPr>
      <w:r>
        <w:rPr/>
        <w:t>“</w:t>
      </w:r>
      <w:r>
        <w:rPr>
          <w:rFonts w:ascii="Times New Roman" w:hAnsi="Times New Roman"/>
          <w:b/>
          <w:sz w:val="20"/>
        </w:rPr>
        <w:t>Holding Company”</w:t>
      </w:r>
      <w:r>
        <w:rPr>
          <w:rFonts w:ascii="Times New Roman" w:hAnsi="Times New Roman"/>
          <w:sz w:val="20"/>
        </w:rPr>
        <w:t xml:space="preserve"> means, in relation to a legal entity, any other legal entity for which the first legal entity is the Subsidiary. </w:t>
      </w:r>
    </w:p>
    <w:p>
      <w:pPr>
        <w:pStyle w:val="TextBody"/>
        <w:spacing w:before="240" w:after="0"/>
        <w:rPr/>
      </w:pPr>
      <w:r>
        <w:rPr/>
        <w:t>“</w:t>
      </w:r>
      <w:r>
        <w:rPr>
          <w:rFonts w:ascii="Times New Roman" w:hAnsi="Times New Roman"/>
          <w:b/>
          <w:sz w:val="20"/>
        </w:rPr>
        <w:t>Headhunter”</w:t>
      </w:r>
      <w:r>
        <w:rPr>
          <w:rFonts w:ascii="Times New Roman" w:hAnsi="Times New Roman"/>
          <w:sz w:val="20"/>
        </w:rPr>
        <w:t xml:space="preserve"> means Headhunter Limited Liability Company incorporated under the laws of the Russian Federation, registered in the Unified State Register of Legal Entities of the Russian Federation under number (OGRN (Primary State Registration Number)): 1067761906805, located at: 9, Godovikova St., bld. 10, Moscow, the Russian Federation. </w:t>
      </w:r>
    </w:p>
    <w:p>
      <w:pPr>
        <w:pStyle w:val="TextBody"/>
        <w:spacing w:before="240" w:after="0"/>
        <w:rPr/>
      </w:pPr>
      <w:r>
        <w:rPr/>
        <w:t>“</w:t>
      </w:r>
      <w:r>
        <w:rPr>
          <w:rFonts w:ascii="Times New Roman" w:hAnsi="Times New Roman"/>
          <w:b/>
          <w:sz w:val="20"/>
        </w:rPr>
        <w:t>Cash Equivalent”</w:t>
      </w:r>
      <w:r>
        <w:rPr>
          <w:rFonts w:ascii="Times New Roman" w:hAnsi="Times New Roman"/>
          <w:sz w:val="20"/>
        </w:rPr>
        <w:t xml:space="preserve"> has the meaning specified for this term in IFRS. </w:t>
      </w:r>
    </w:p>
    <w:p>
      <w:pPr>
        <w:pStyle w:val="TextBody"/>
        <w:spacing w:before="240" w:after="0"/>
        <w:rPr/>
      </w:pPr>
      <w:r>
        <w:rPr/>
        <w:t>“</w:t>
      </w:r>
      <w:r>
        <w:rPr>
          <w:rFonts w:ascii="Times New Roman" w:hAnsi="Times New Roman"/>
          <w:b/>
          <w:sz w:val="20"/>
        </w:rPr>
        <w:t xml:space="preserve">ELQ Investors” </w:t>
      </w:r>
      <w:r>
        <w:rPr>
          <w:rFonts w:ascii="Times New Roman" w:hAnsi="Times New Roman"/>
          <w:sz w:val="20"/>
        </w:rPr>
        <w:t xml:space="preserve">means ELQ Investors II Ltd, a limited liability company incorporated under the laws of England and Wales, registration number 06375035, registered at the address: Peterborough Court, 133 Fleet Street, London EC4A 2BB, United Kingdom. </w:t>
      </w:r>
    </w:p>
    <w:p>
      <w:pPr>
        <w:pStyle w:val="TextBody"/>
        <w:spacing w:before="240" w:after="0"/>
        <w:rPr/>
      </w:pPr>
      <w:r>
        <w:rPr/>
        <w:t>“</w:t>
      </w:r>
      <w:r>
        <w:rPr>
          <w:rFonts w:ascii="Times New Roman" w:hAnsi="Times New Roman"/>
          <w:b/>
          <w:sz w:val="20"/>
        </w:rPr>
        <w:t xml:space="preserve">ELQ Investors VIII” </w:t>
      </w:r>
      <w:r>
        <w:rPr>
          <w:rFonts w:ascii="Times New Roman" w:hAnsi="Times New Roman"/>
          <w:sz w:val="20"/>
        </w:rPr>
        <w:t xml:space="preserve">means ELQ Investors VIII Ltd, a limited liability company incorporated under the laws of England and Wales, registration number 9182214, registered at the address: Peterborough Court, 133 Fleet Street, London EC4A 2BB, United Kingdom. </w:t>
      </w:r>
    </w:p>
    <w:p>
      <w:pPr>
        <w:pStyle w:val="TextBody"/>
        <w:spacing w:before="240" w:after="0"/>
        <w:rPr/>
      </w:pPr>
      <w:r>
        <w:rPr/>
        <w:t>“</w:t>
      </w:r>
      <w:r>
        <w:rPr>
          <w:rFonts w:ascii="Times New Roman" w:hAnsi="Times New Roman"/>
          <w:b/>
          <w:sz w:val="20"/>
        </w:rPr>
        <w:t xml:space="preserve">HeadHunter FSU” </w:t>
      </w:r>
      <w:r>
        <w:rPr>
          <w:rFonts w:ascii="Times New Roman" w:hAnsi="Times New Roman"/>
          <w:sz w:val="20"/>
        </w:rPr>
        <w:t xml:space="preserve">means HeadHunter FSU Limited, a limited liability company incorporated under the laws of the Republic of Cyprus, registration number HE 178226, registered at the address: 42 Dositheou, Strovolos 2028, Nicosia, Cyprus. </w:t>
      </w:r>
    </w:p>
    <w:p>
      <w:pPr>
        <w:pStyle w:val="TextBody"/>
        <w:spacing w:before="240" w:after="0"/>
        <w:rPr/>
      </w:pPr>
      <w:r>
        <w:rPr/>
        <w:t>“</w:t>
      </w:r>
      <w:r>
        <w:rPr>
          <w:rFonts w:ascii="Times New Roman" w:hAnsi="Times New Roman"/>
          <w:b/>
          <w:sz w:val="20"/>
        </w:rPr>
        <w:t xml:space="preserve">Highworld” </w:t>
      </w:r>
      <w:r>
        <w:rPr>
          <w:rFonts w:ascii="Times New Roman" w:hAnsi="Times New Roman"/>
          <w:sz w:val="20"/>
        </w:rPr>
        <w:t xml:space="preserve">means Highworld Investments Limited, a limited liability company incorporated under the laws of the British Virgin Islands, registration number 1802016, registered at the address: Trident Chambers, P.O. Box 146, Road Town, Tortola, BVI). </w:t>
      </w:r>
    </w:p>
    <w:p>
      <w:pPr>
        <w:pStyle w:val="TextBody"/>
        <w:spacing w:before="240" w:after="0"/>
        <w:rPr/>
      </w:pPr>
      <w:r>
        <w:rPr/>
        <w:t>“</w:t>
      </w:r>
      <w:r>
        <w:rPr>
          <w:rFonts w:ascii="Times New Roman" w:hAnsi="Times New Roman"/>
          <w:b/>
          <w:sz w:val="20"/>
        </w:rPr>
        <w:t xml:space="preserve">Zemenik Trading” </w:t>
      </w:r>
      <w:r>
        <w:rPr>
          <w:rFonts w:ascii="Times New Roman" w:hAnsi="Times New Roman"/>
          <w:sz w:val="20"/>
        </w:rPr>
        <w:t xml:space="preserve">means Zemenik Trading Limited, a limited liability company incorporated under the laws of the Republic of Cyprus, registration number HE 332806, registered at the address: 42 Dositheou, Strovolos 2028, Nicosia, Cyprus. </w:t>
      </w:r>
    </w:p>
    <w:p>
      <w:pPr>
        <w:pStyle w:val="TextBody"/>
        <w:spacing w:before="240" w:after="0"/>
        <w:rPr>
          <w:rFonts w:ascii="Times New Roman" w:hAnsi="Times New Roman"/>
          <w:sz w:val="20"/>
        </w:rPr>
      </w:pPr>
      <w:r>
        <w:rPr>
          <w:rFonts w:ascii="Times New Roman" w:hAnsi="Times New Roman"/>
          <w:sz w:val="20"/>
        </w:rPr>
        <w:t xml:space="preserve">Any reference to a Sub-Clause, Clause, Article or Appendix in the above terms of the Loan Agreement shall be interpreted as a reference to the said Sub-Clause, Clause, Article of the Loan Agreement or the Appendix thereto, unless otherwise expressly stated in the text of the Loan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OF THE PARTIES </w:t>
      </w:r>
    </w:p>
    <w:p>
      <w:pPr>
        <w:pStyle w:val="TextBody"/>
        <w:spacing w:before="240" w:after="0"/>
        <w:rPr>
          <w:rFonts w:ascii="Times New Roman" w:hAnsi="Times New Roman"/>
          <w:b/>
          <w:sz w:val="20"/>
        </w:rPr>
      </w:pPr>
      <w:r>
        <w:rPr>
          <w:rFonts w:ascii="Times New Roman" w:hAnsi="Times New Roman"/>
          <w:b/>
          <w:sz w:val="20"/>
        </w:rPr>
        <w:t xml:space="preserve">Guarantor </w:t>
      </w:r>
    </w:p>
    <w:p>
      <w:pPr>
        <w:pStyle w:val="TextBody"/>
        <w:spacing w:before="240" w:after="0"/>
        <w:rPr>
          <w:rFonts w:ascii="Times New Roman" w:hAnsi="Times New Roman"/>
          <w:b/>
          <w:sz w:val="20"/>
        </w:rPr>
      </w:pPr>
      <w:r>
        <w:rPr>
          <w:rFonts w:ascii="Times New Roman" w:hAnsi="Times New Roman"/>
          <w:b/>
          <w:sz w:val="20"/>
        </w:rPr>
        <w:t xml:space="preserve">LIMITED LIABILITY COMPANY </w:t>
      </w:r>
    </w:p>
    <w:p>
      <w:pPr>
        <w:pStyle w:val="TextBody"/>
        <w:spacing w:before="0" w:after="0"/>
        <w:rPr>
          <w:rFonts w:ascii="Times New Roman" w:hAnsi="Times New Roman"/>
          <w:b/>
          <w:sz w:val="20"/>
        </w:rPr>
      </w:pPr>
      <w:r>
        <w:rPr>
          <w:rFonts w:ascii="Times New Roman" w:hAnsi="Times New Roman"/>
          <w:b/>
          <w:sz w:val="20"/>
        </w:rPr>
        <w:t xml:space="preserve">HEADHUNTER FSU LIMITED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911"/>
        <w:gridCol w:w="322"/>
        <w:gridCol w:w="8972"/>
      </w:tblGrid>
      <w:tr>
        <w:trPr/>
        <w:tc>
          <w:tcPr>
            <w:tcW w:w="911" w:type="dxa"/>
            <w:tcBorders/>
            <w:shd w:fill="auto" w:val="clear"/>
            <w:vAlign w:val="center"/>
          </w:tcPr>
          <w:p>
            <w:pPr>
              <w:pStyle w:val="TableContents"/>
              <w:spacing w:before="0" w:after="283"/>
              <w:rPr>
                <w:sz w:val="4"/>
                <w:szCs w:val="4"/>
              </w:rPr>
            </w:pPr>
            <w:r>
              <w:rPr>
                <w:sz w:val="4"/>
                <w:szCs w:val="4"/>
              </w:rPr>
            </w:r>
          </w:p>
        </w:tc>
        <w:tc>
          <w:tcPr>
            <w:tcW w:w="322" w:type="dxa"/>
            <w:tcBorders/>
            <w:shd w:fill="auto" w:val="clear"/>
            <w:vAlign w:val="bottom"/>
          </w:tcPr>
          <w:p>
            <w:pPr>
              <w:pStyle w:val="TableContents"/>
              <w:spacing w:before="0" w:after="283"/>
              <w:rPr>
                <w:sz w:val="4"/>
                <w:szCs w:val="4"/>
              </w:rPr>
            </w:pPr>
            <w:r>
              <w:rPr>
                <w:sz w:val="4"/>
                <w:szCs w:val="4"/>
              </w:rPr>
            </w:r>
          </w:p>
        </w:tc>
        <w:tc>
          <w:tcPr>
            <w:tcW w:w="8972" w:type="dxa"/>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vAlign w:val="bottom"/>
          </w:tcPr>
          <w:p>
            <w:pPr>
              <w:pStyle w:val="TableContents"/>
              <w:spacing w:before="0" w:after="283"/>
              <w:rPr/>
            </w:pPr>
            <w:r>
              <w:rPr/>
              <w:t>Signature:</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283"/>
              <w:rPr>
                <w:i/>
              </w:rPr>
            </w:pPr>
            <w:r>
              <w:rPr>
                <w:i/>
              </w:rPr>
              <w:t>/signature/</w:t>
            </w:r>
          </w:p>
        </w:tc>
      </w:tr>
      <w:tr>
        <w:trPr>
          <w:trHeight w:val="120" w:hRule="atLeast"/>
        </w:trPr>
        <w:tc>
          <w:tcPr>
            <w:tcW w:w="911" w:type="dxa"/>
            <w:tcBorders/>
            <w:shd w:fill="auto" w:val="clear"/>
            <w:vAlign w:val="center"/>
          </w:tcPr>
          <w:p>
            <w:pPr>
              <w:pStyle w:val="TableContents"/>
              <w:spacing w:before="0" w:after="283"/>
              <w:rPr>
                <w:sz w:val="4"/>
                <w:szCs w:val="4"/>
              </w:rPr>
            </w:pPr>
            <w:r>
              <w:rPr>
                <w:sz w:val="4"/>
                <w:szCs w:val="4"/>
              </w:rPr>
            </w:r>
          </w:p>
        </w:tc>
        <w:tc>
          <w:tcPr>
            <w:tcW w:w="9294" w:type="dxa"/>
            <w:gridSpan w:val="2"/>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vAlign w:val="bottom"/>
          </w:tcPr>
          <w:p>
            <w:pPr>
              <w:pStyle w:val="TableContents"/>
              <w:spacing w:before="0" w:after="283"/>
              <w:rPr/>
            </w:pPr>
            <w:r>
              <w:rPr/>
              <w:t>Full name:</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283"/>
              <w:rPr>
                <w:i/>
              </w:rPr>
            </w:pPr>
            <w:r>
              <w:rPr>
                <w:i/>
              </w:rPr>
              <w:t>Katerina Losif</w:t>
            </w:r>
          </w:p>
        </w:tc>
      </w:tr>
      <w:tr>
        <w:trPr>
          <w:trHeight w:val="120" w:hRule="atLeast"/>
        </w:trPr>
        <w:tc>
          <w:tcPr>
            <w:tcW w:w="911" w:type="dxa"/>
            <w:tcBorders/>
            <w:shd w:fill="auto" w:val="clear"/>
            <w:vAlign w:val="center"/>
          </w:tcPr>
          <w:p>
            <w:pPr>
              <w:pStyle w:val="TableContents"/>
              <w:spacing w:before="0" w:after="283"/>
              <w:rPr>
                <w:sz w:val="4"/>
                <w:szCs w:val="4"/>
              </w:rPr>
            </w:pPr>
            <w:r>
              <w:rPr>
                <w:sz w:val="4"/>
                <w:szCs w:val="4"/>
              </w:rPr>
            </w:r>
          </w:p>
        </w:tc>
        <w:tc>
          <w:tcPr>
            <w:tcW w:w="9294" w:type="dxa"/>
            <w:gridSpan w:val="2"/>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vAlign w:val="bottom"/>
          </w:tcPr>
          <w:p>
            <w:pPr>
              <w:pStyle w:val="TableContents"/>
              <w:spacing w:before="0" w:after="283"/>
              <w:rPr/>
            </w:pPr>
            <w:r>
              <w:rPr/>
              <w:t>Position:</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283"/>
              <w:rPr/>
            </w:pPr>
            <w:r>
              <w:rPr/>
              <w:t>Director</w:t>
            </w:r>
          </w:p>
        </w:tc>
      </w:tr>
      <w:tr>
        <w:trPr>
          <w:trHeight w:val="120" w:hRule="atLeast"/>
        </w:trPr>
        <w:tc>
          <w:tcPr>
            <w:tcW w:w="911" w:type="dxa"/>
            <w:tcBorders/>
            <w:shd w:fill="auto" w:val="clear"/>
            <w:vAlign w:val="center"/>
          </w:tcPr>
          <w:p>
            <w:pPr>
              <w:pStyle w:val="TableContents"/>
              <w:spacing w:before="0" w:after="283"/>
              <w:rPr>
                <w:sz w:val="4"/>
                <w:szCs w:val="4"/>
              </w:rPr>
            </w:pPr>
            <w:r>
              <w:rPr>
                <w:sz w:val="4"/>
                <w:szCs w:val="4"/>
              </w:rPr>
            </w:r>
          </w:p>
        </w:tc>
        <w:tc>
          <w:tcPr>
            <w:tcW w:w="9294" w:type="dxa"/>
            <w:gridSpan w:val="2"/>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tcPr>
          <w:p>
            <w:pPr>
              <w:pStyle w:val="TableContents"/>
              <w:spacing w:before="0" w:after="283"/>
              <w:rPr/>
            </w:pPr>
            <w:r>
              <w:rPr>
                <w:i/>
              </w:rPr>
              <w:t>Witness</w:t>
            </w:r>
            <w:r>
              <w:rPr/>
              <w:t>:</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0"/>
              <w:rPr>
                <w:rFonts w:ascii="Times New Roman" w:hAnsi="Times New Roman"/>
                <w:i/>
                <w:sz w:val="20"/>
              </w:rPr>
            </w:pPr>
            <w:r>
              <w:rPr>
                <w:rFonts w:ascii="Times New Roman" w:hAnsi="Times New Roman"/>
                <w:i/>
                <w:sz w:val="20"/>
              </w:rPr>
              <w:t>/signature/</w:t>
            </w:r>
          </w:p>
          <w:p>
            <w:pPr>
              <w:pStyle w:val="TableContents"/>
              <w:spacing w:before="0" w:after="20"/>
              <w:rPr>
                <w:rFonts w:ascii="Times New Roman" w:hAnsi="Times New Roman"/>
                <w:i/>
                <w:sz w:val="20"/>
              </w:rPr>
            </w:pPr>
            <w:r>
              <w:rPr>
                <w:rFonts w:ascii="Times New Roman" w:hAnsi="Times New Roman"/>
                <w:i/>
                <w:sz w:val="20"/>
              </w:rPr>
              <w:t>Marina Koskiri</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Borrower </w:t>
      </w:r>
    </w:p>
    <w:p>
      <w:pPr>
        <w:pStyle w:val="TextBody"/>
        <w:spacing w:before="120" w:after="0"/>
        <w:rPr>
          <w:rFonts w:ascii="Times New Roman" w:hAnsi="Times New Roman"/>
          <w:b/>
          <w:sz w:val="20"/>
        </w:rPr>
      </w:pPr>
      <w:r>
        <w:rPr>
          <w:rFonts w:ascii="Times New Roman" w:hAnsi="Times New Roman"/>
          <w:b/>
          <w:sz w:val="20"/>
        </w:rPr>
        <w:t xml:space="preserve">ZEMENIK LIMITED LIABILITY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1"/>
        <w:gridCol w:w="318"/>
        <w:gridCol w:w="8996"/>
      </w:tblGrid>
      <w:tr>
        <w:trPr/>
        <w:tc>
          <w:tcPr>
            <w:tcW w:w="891" w:type="dxa"/>
            <w:tcBorders/>
            <w:shd w:fill="auto" w:val="clear"/>
            <w:vAlign w:val="center"/>
          </w:tcPr>
          <w:p>
            <w:pPr>
              <w:pStyle w:val="TableContents"/>
              <w:spacing w:before="0" w:after="283"/>
              <w:rPr>
                <w:sz w:val="4"/>
                <w:szCs w:val="4"/>
              </w:rPr>
            </w:pPr>
            <w:r>
              <w:rPr>
                <w:sz w:val="4"/>
                <w:szCs w:val="4"/>
              </w:rPr>
            </w:r>
          </w:p>
        </w:tc>
        <w:tc>
          <w:tcPr>
            <w:tcW w:w="318" w:type="dxa"/>
            <w:tcBorders/>
            <w:shd w:fill="auto" w:val="clear"/>
            <w:vAlign w:val="bottom"/>
          </w:tcPr>
          <w:p>
            <w:pPr>
              <w:pStyle w:val="TableContents"/>
              <w:spacing w:before="0" w:after="283"/>
              <w:rPr>
                <w:sz w:val="4"/>
                <w:szCs w:val="4"/>
              </w:rPr>
            </w:pPr>
            <w:r>
              <w:rPr>
                <w:sz w:val="4"/>
                <w:szCs w:val="4"/>
              </w:rPr>
            </w:r>
          </w:p>
        </w:tc>
        <w:tc>
          <w:tcPr>
            <w:tcW w:w="8996" w:type="dxa"/>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Signature: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i/>
              </w:rPr>
            </w:pPr>
            <w:r>
              <w:rPr>
                <w:i/>
              </w:rPr>
              <w:t>/signature/</w:t>
            </w:r>
          </w:p>
        </w:tc>
      </w:tr>
      <w:tr>
        <w:trPr>
          <w:trHeight w:val="12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Full name: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Karen Eduardovich Agayan</w:t>
            </w:r>
          </w:p>
        </w:tc>
      </w:tr>
      <w:tr>
        <w:trPr>
          <w:trHeight w:val="12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Position:</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General Director</w:t>
            </w:r>
          </w:p>
        </w:tc>
      </w:tr>
    </w:tbl>
    <w:p>
      <w:pPr>
        <w:pStyle w:val="TextBody"/>
        <w:spacing w:before="24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7714373561 </w:t>
      </w:r>
    </w:p>
    <w:p>
      <w:pPr>
        <w:pStyle w:val="TextBody"/>
        <w:spacing w:before="0" w:after="0"/>
        <w:jc w:val="center"/>
        <w:rPr>
          <w:rFonts w:ascii="Times New Roman" w:hAnsi="Times New Roman"/>
          <w:sz w:val="20"/>
        </w:rPr>
      </w:pPr>
      <w:r>
        <w:rPr>
          <w:rFonts w:ascii="Times New Roman" w:hAnsi="Times New Roman"/>
          <w:sz w:val="20"/>
        </w:rPr>
        <w:t xml:space="preserve">LIMITED LIABILITY COMPANY </w:t>
      </w:r>
    </w:p>
    <w:p>
      <w:pPr>
        <w:pStyle w:val="TextBody"/>
        <w:spacing w:before="0" w:after="0"/>
        <w:jc w:val="center"/>
        <w:rPr>
          <w:rFonts w:ascii="Times New Roman" w:hAnsi="Times New Roman"/>
          <w:sz w:val="20"/>
        </w:rPr>
      </w:pPr>
      <w:r>
        <w:rPr>
          <w:rFonts w:ascii="Times New Roman" w:hAnsi="Times New Roman"/>
          <w:sz w:val="20"/>
        </w:rPr>
        <w:t xml:space="preserve">Primary State Registration Number (OGRN) 1167746153860 </w:t>
      </w:r>
    </w:p>
    <w:p>
      <w:pPr>
        <w:pStyle w:val="TextBody"/>
        <w:spacing w:before="0" w:after="0"/>
        <w:jc w:val="center"/>
        <w:rPr>
          <w:rFonts w:ascii="Times New Roman" w:hAnsi="Times New Roman"/>
          <w:sz w:val="20"/>
        </w:rPr>
      </w:pPr>
      <w:r>
        <w:rPr>
          <w:rFonts w:ascii="Times New Roman" w:hAnsi="Times New Roman"/>
          <w:sz w:val="20"/>
        </w:rPr>
        <w:t xml:space="preserve">MOSCOW </w:t>
      </w:r>
    </w:p>
    <w:p>
      <w:pPr>
        <w:pStyle w:val="TextBody"/>
        <w:spacing w:before="0" w:after="0"/>
        <w:jc w:val="center"/>
        <w:rPr>
          <w:rFonts w:ascii="Times New Roman" w:hAnsi="Times New Roman"/>
          <w:sz w:val="20"/>
        </w:rPr>
      </w:pPr>
      <w:r>
        <w:rPr>
          <w:rFonts w:ascii="Times New Roman" w:hAnsi="Times New Roman"/>
          <w:sz w:val="20"/>
        </w:rPr>
        <w:t xml:space="preserve">Zemenik] </w:t>
      </w:r>
      <w:r>
        <w:br w:type="page"/>
      </w:r>
    </w:p>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Original Lender </w:t>
      </w:r>
    </w:p>
    <w:p>
      <w:pPr>
        <w:pStyle w:val="TextBody"/>
        <w:spacing w:before="120" w:after="0"/>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3"/>
        <w:gridCol w:w="317"/>
        <w:gridCol w:w="8995"/>
      </w:tblGrid>
      <w:tr>
        <w:trPr/>
        <w:tc>
          <w:tcPr>
            <w:tcW w:w="893" w:type="dxa"/>
            <w:tcBorders/>
            <w:shd w:fill="auto" w:val="clear"/>
            <w:vAlign w:val="center"/>
          </w:tcPr>
          <w:p>
            <w:pPr>
              <w:pStyle w:val="TableContents"/>
              <w:spacing w:before="0" w:after="283"/>
              <w:rPr>
                <w:sz w:val="4"/>
                <w:szCs w:val="4"/>
              </w:rPr>
            </w:pPr>
            <w:r>
              <w:rPr>
                <w:sz w:val="4"/>
                <w:szCs w:val="4"/>
              </w:rPr>
            </w:r>
          </w:p>
        </w:tc>
        <w:tc>
          <w:tcPr>
            <w:tcW w:w="317" w:type="dxa"/>
            <w:tcBorders/>
            <w:shd w:fill="auto" w:val="clear"/>
            <w:vAlign w:val="bottom"/>
          </w:tcPr>
          <w:p>
            <w:pPr>
              <w:pStyle w:val="TableContents"/>
              <w:spacing w:before="0" w:after="283"/>
              <w:rPr>
                <w:sz w:val="4"/>
                <w:szCs w:val="4"/>
              </w:rPr>
            </w:pPr>
            <w:r>
              <w:rPr>
                <w:sz w:val="4"/>
                <w:szCs w:val="4"/>
              </w:rPr>
            </w:r>
          </w:p>
        </w:tc>
        <w:tc>
          <w:tcPr>
            <w:tcW w:w="8995" w:type="dxa"/>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Signature: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i/>
              </w:rPr>
            </w:pPr>
            <w:r>
              <w:rPr>
                <w:i/>
              </w:rPr>
              <w:t>/signature/</w:t>
            </w:r>
          </w:p>
        </w:tc>
      </w:tr>
      <w:tr>
        <w:trPr>
          <w:trHeight w:val="12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Full name: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Vitaly Nikolaevich Buzoverya</w:t>
            </w:r>
          </w:p>
        </w:tc>
      </w:tr>
      <w:tr>
        <w:trPr>
          <w:trHeight w:val="12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Position:</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Attorney-in-Fact</w:t>
            </w:r>
          </w:p>
        </w:tc>
      </w:tr>
      <w:tr>
        <w:trPr>
          <w:trHeight w:val="12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sz w:val="4"/>
                <w:szCs w:val="4"/>
              </w:rPr>
            </w:pPr>
            <w:r>
              <w:rPr>
                <w:sz w:val="4"/>
                <w:szCs w:val="4"/>
              </w:rPr>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b/>
          <w:sz w:val="20"/>
        </w:rPr>
      </w:pPr>
      <w:r>
        <w:rPr>
          <w:rFonts w:ascii="Times New Roman" w:hAnsi="Times New Roman"/>
          <w:b/>
          <w:sz w:val="20"/>
        </w:rPr>
        <w:t xml:space="preserve">EXECUTION COPY </w:t>
      </w:r>
    </w:p>
    <w:p>
      <w:pPr>
        <w:pStyle w:val="TextBody"/>
        <w:spacing w:before="240" w:after="0"/>
        <w:rPr>
          <w:rFonts w:ascii="Times New Roman" w:hAnsi="Times New Roman"/>
          <w:sz w:val="20"/>
        </w:rPr>
      </w:pPr>
      <w:r>
        <w:rPr>
          <w:rFonts w:ascii="Times New Roman" w:hAnsi="Times New Roman"/>
          <w:b/>
          <w:sz w:val="20"/>
        </w:rPr>
        <w:t>THIS AMENDMENT No.</w:t>
      </w:r>
      <w:r>
        <w:rPr>
          <w:rFonts w:ascii="Times New Roman" w:hAnsi="Times New Roman"/>
          <w:sz w:val="20"/>
        </w:rPr>
        <w:t> </w:t>
      </w:r>
      <w:r>
        <w:rPr>
          <w:rFonts w:ascii="Times New Roman" w:hAnsi="Times New Roman"/>
          <w:b/>
          <w:sz w:val="20"/>
        </w:rPr>
        <w:t xml:space="preserve">1 </w:t>
      </w:r>
      <w:r>
        <w:rPr>
          <w:rFonts w:ascii="Times New Roman" w:hAnsi="Times New Roman"/>
          <w:sz w:val="20"/>
        </w:rPr>
        <w:t>to the Independent Guarantee dated June 1, 2016, (the “</w:t>
      </w:r>
      <w:r>
        <w:rPr>
          <w:rFonts w:ascii="Times New Roman" w:hAnsi="Times New Roman"/>
          <w:b/>
          <w:sz w:val="20"/>
        </w:rPr>
        <w:t>Amendment</w:t>
      </w:r>
      <w:r>
        <w:rPr>
          <w:rFonts w:ascii="Times New Roman" w:hAnsi="Times New Roman"/>
          <w:sz w:val="20"/>
        </w:rPr>
        <w:t xml:space="preserve">”) were made on October </w:t>
      </w:r>
      <w:r>
        <w:rPr>
          <w:rFonts w:ascii="Times New Roman" w:hAnsi="Times New Roman"/>
          <w:sz w:val="20"/>
          <w:u w:val="single"/>
        </w:rPr>
        <w:t>5</w:t>
      </w:r>
      <w:r>
        <w:rPr>
          <w:rFonts w:ascii="Times New Roman" w:hAnsi="Times New Roman"/>
          <w:sz w:val="20"/>
        </w:rPr>
        <w:t xml:space="preserve">, 2017, by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(1)</w:t>
            </w:r>
          </w:p>
        </w:tc>
        <w:tc>
          <w:tcPr>
            <w:tcW w:w="9391" w:type="dxa"/>
            <w:tcBorders/>
            <w:shd w:fill="auto" w:val="clear"/>
          </w:tcPr>
          <w:p>
            <w:pPr>
              <w:pStyle w:val="TableContents"/>
              <w:spacing w:before="0" w:after="283"/>
              <w:jc w:val="left"/>
              <w:rPr/>
            </w:pPr>
            <w:r>
              <w:rPr>
                <w:b/>
              </w:rPr>
              <w:t>HEADHUNTER FSU LIMITED</w:t>
            </w:r>
            <w:r>
              <w:rPr/>
              <w:t>, a limited liability company incorporated under the laws of the Republic of Cyprus, registration number HE 178226, address (location) of the legal entity: 42 Dositheou, Strovolos 2028, Nicosia, Cyprus, as the guarantor under the Guarantee and the Independent Guarantee Issue Agreement (the “</w:t>
            </w:r>
            <w:r>
              <w:rPr>
                <w:b/>
              </w:rPr>
              <w:t>Guarantor</w:t>
            </w:r>
            <w:r>
              <w:rPr/>
              <w:t xml:space="preserve">”) </w:t>
            </w:r>
          </w:p>
        </w:tc>
      </w:tr>
    </w:tbl>
    <w:p>
      <w:pPr>
        <w:pStyle w:val="TextBody"/>
        <w:spacing w:before="240" w:after="0"/>
        <w:rPr>
          <w:rFonts w:ascii="Times New Roman" w:hAnsi="Times New Roman"/>
          <w:b/>
          <w:sz w:val="20"/>
        </w:rPr>
      </w:pPr>
      <w:r>
        <w:rPr>
          <w:rFonts w:ascii="Times New Roman" w:hAnsi="Times New Roman"/>
          <w:b/>
          <w:sz w:val="20"/>
        </w:rPr>
        <w:t xml:space="preserve">TO THE INDEPENDENT GUARANTEE GRANTED BY THE GUARANTOR: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t xml:space="preserve">to </w:t>
            </w:r>
            <w:r>
              <w:rPr>
                <w:b/>
              </w:rPr>
              <w:t>BANK VTB (PUBLIC JOINT-STOCK COMPANY)</w:t>
            </w:r>
            <w:r>
              <w:rPr/>
              <w:t>, a public joint-stock company incorporated under the laws of the Russian Federation, registered in the Unified State Register of Legal Entities (EGRUL) under number (Primary State Registration Number (OGRN)): 1027739609391, with its office at the address: 29, Bolshaya Morskaya St., Saint Petersburg, Russia, 190000, as the beneficiary under the Guarantee and the Independent Guarantee Issue Agreement (the “</w:t>
            </w:r>
            <w:r>
              <w:rPr>
                <w:b/>
              </w:rPr>
              <w:t>Original Lender</w:t>
            </w:r>
            <w:r>
              <w:rPr/>
              <w:t>” and the “</w:t>
            </w:r>
            <w:r>
              <w:rPr>
                <w:b/>
              </w:rPr>
              <w:t>Credit Agent</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The Original Lender as a credit agent, organizer and original lender and the Borrower as a borrower have entered into the Syndicated Loan Agreement dated May 16, 2016, (the “</w:t>
            </w:r>
            <w:r>
              <w:rPr>
                <w:b/>
              </w:rPr>
              <w:t>Loan Agreement</w:t>
            </w:r>
            <w:r>
              <w:rPr/>
              <w:t xml:space="preserve">”) as amended by Amendment Agreement No. 1 dated December 14, 2016, Amendment Agreement No. 2 dated June 28, 2017, and Amendment Agreement No. 3 dated October </w:t>
            </w:r>
            <w:r>
              <w:rPr>
                <w:u w:val="single"/>
              </w:rPr>
              <w:t>5</w:t>
            </w:r>
            <w:r>
              <w:rPr/>
              <w:t>, 2017, (hereinafter referred to as “</w:t>
            </w:r>
            <w:r>
              <w:rPr>
                <w:b/>
              </w:rPr>
              <w:t>Amendment Agreement No.</w:t>
            </w:r>
            <w:r>
              <w:rPr/>
              <w:t> </w:t>
            </w:r>
            <w:r>
              <w:rPr>
                <w:b/>
              </w:rPr>
              <w:t>3</w:t>
            </w:r>
            <w:r>
              <w:rPr/>
              <w:t xml:space="preserve">”) by which the Lender and the Borrower agreed to amend the Loan Agreement, inter alia, to increase a loan amount up to RUB 7,000,000,000 (seven billion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The Guarantor, the Borrower and the Original Lender entered into the Independent Guarantee Issue Agreement dated June 1, 2016, (the “</w:t>
            </w:r>
            <w:r>
              <w:rPr>
                <w:b/>
              </w:rPr>
              <w:t>Independent Guarantee Issue Agreement</w:t>
            </w:r>
            <w:r>
              <w:rPr/>
              <w:t>”), and the Guarantor issued an independent guarantee dated June 1, 2016, (the “</w:t>
            </w:r>
            <w:r>
              <w:rPr>
                <w:b/>
              </w:rPr>
              <w:t>Guarantee</w:t>
            </w:r>
            <w:r>
              <w:rPr/>
              <w:t>”) in favor of the Original Lender under the Guarantee Issue Agreement to ensure performance of the Borrower’s obligations under the Loan Agreement</w:t>
            </w:r>
            <w:r>
              <w:rPr>
                <w:b/>
              </w:rPr>
              <w: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Guarantor hereby confirms that it is aware of all the terms and conditions of the Loan Agreement as amended by Amendment Agreement No. 3 and does not have the right to invoke the fact that it was not aware of such terms and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Parties entered into an agreement to make amendments No. 1 to the Independent Guarantee Issue Agreement dated October </w:t>
            </w:r>
            <w:r>
              <w:rPr>
                <w:u w:val="single"/>
              </w:rPr>
              <w:t>5</w:t>
            </w:r>
            <w:r>
              <w:rPr/>
              <w:t xml:space="preserve">, 2017, under which the Guarantor undertakes to amend the Guarantee as specified in this Amendment to ensure the fulfillment of the Borrower’s obligations under the Loan Agreement as amended by Amendment Agreement No. 3. </w:t>
            </w:r>
          </w:p>
        </w:tc>
      </w:tr>
    </w:tbl>
    <w:p>
      <w:pPr>
        <w:pStyle w:val="TextBody"/>
        <w:spacing w:before="24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taking into account the provisions of Article 371 of the Civil Code, the Guarantor hereby makes the following amendments to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Amendment: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Revised Guarantee”</w:t>
      </w:r>
      <w:r>
        <w:rPr>
          <w:rFonts w:ascii="Times New Roman" w:hAnsi="Times New Roman"/>
          <w:sz w:val="20"/>
        </w:rPr>
        <w:t xml:space="preserve"> means the Guarantee as amended by this Amendment in the form of Appendix 1 (</w:t>
      </w:r>
      <w:r>
        <w:rPr>
          <w:rFonts w:ascii="Times New Roman" w:hAnsi="Times New Roman"/>
          <w:i/>
          <w:sz w:val="20"/>
        </w:rPr>
        <w:t>Revised Guarantee</w:t>
      </w:r>
      <w:r>
        <w:rPr>
          <w:rFonts w:ascii="Times New Roman" w:hAnsi="Times New Roman"/>
          <w:sz w:val="20"/>
        </w:rPr>
        <w:t xml:space="preserve">).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has the meaning specified in Clause (A) of the Preamble. </w:t>
      </w:r>
    </w:p>
    <w:p>
      <w:pPr>
        <w:pStyle w:val="TextBody"/>
        <w:spacing w:before="120" w:after="0"/>
        <w:rPr/>
      </w:pPr>
      <w:r>
        <w:rPr/>
        <w:t>“</w:t>
      </w:r>
      <w:r>
        <w:rPr>
          <w:rFonts w:ascii="Times New Roman" w:hAnsi="Times New Roman"/>
          <w:b/>
          <w:sz w:val="20"/>
        </w:rPr>
        <w:t xml:space="preserve">Party” </w:t>
      </w:r>
      <w:r>
        <w:rPr>
          <w:rFonts w:ascii="Times New Roman" w:hAnsi="Times New Roman"/>
          <w:sz w:val="20"/>
        </w:rPr>
        <w:t>means the Guarantor or the Original Lender (or the Credit Agent after accession of rights (claims) under the Independent Guarantee Issue Agreement and this Guarantee under Article 5.2 (</w:t>
      </w:r>
      <w:r>
        <w:rPr>
          <w:rFonts w:ascii="Times New Roman" w:hAnsi="Times New Roman"/>
          <w:i/>
          <w:sz w:val="20"/>
        </w:rPr>
        <w:t>Transfer of Rights by the Lenders</w:t>
      </w:r>
      <w:r>
        <w:rPr>
          <w:rFonts w:ascii="Times New Roman" w:hAnsi="Times New Roman"/>
          <w:sz w:val="20"/>
        </w:rPr>
        <w:t xml:space="preserve">) of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120" w:after="0"/>
        <w:rPr>
          <w:rFonts w:ascii="Times New Roman" w:hAnsi="Times New Roman"/>
          <w:sz w:val="20"/>
        </w:rPr>
      </w:pPr>
      <w:r>
        <w:rPr>
          <w:rFonts w:ascii="Times New Roman" w:hAnsi="Times New Roman"/>
          <w:sz w:val="20"/>
        </w:rPr>
        <w:t>Unless the context requires otherwise, any capitalized terms used in the Loan Agreement which are not defined herein have the same meaning as in the Loan Agreement as they are specified in Appendix 1 (</w:t>
      </w:r>
      <w:r>
        <w:rPr>
          <w:rFonts w:ascii="Times New Roman" w:hAnsi="Times New Roman"/>
          <w:i/>
          <w:sz w:val="20"/>
        </w:rPr>
        <w:t>Terms of the Loan Agreement</w:t>
      </w:r>
      <w:r>
        <w:rPr>
          <w:rFonts w:ascii="Times New Roman" w:hAnsi="Times New Roman"/>
          <w:sz w:val="20"/>
        </w:rPr>
        <w:t xml:space="preserve">) of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is a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confirms that, since the date of this Amendment, the Guarantee shall be read in the wording of Appendix 1 (</w:t>
      </w:r>
      <w:r>
        <w:rPr>
          <w:rFonts w:ascii="Times New Roman" w:hAnsi="Times New Roman"/>
          <w:i/>
          <w:sz w:val="20"/>
        </w:rPr>
        <w:t>Revised Guarantee</w:t>
      </w:r>
      <w:r>
        <w:rPr>
          <w:rFonts w:ascii="Times New Roman" w:hAnsi="Times New Roman"/>
          <w:sz w:val="20"/>
        </w:rPr>
        <w:t xml:space="preserve">) and the rights and obligations of the Parties under the Guarantee from the date of this Amendment shall be regulated and construed under the terms and conditions of the Revised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order to comply with the provisions of Article 371 of the Civil Code, the Guarantee shall be deemed amended in accordance with this Amendment only if the Guarantor obtains the consent of the Original Lender to make amendments in accordance with this Amendment.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Any amendments to the Guarantee hereunder shall be limited to the amendments specified in Article 2 (</w:t>
            </w:r>
            <w:r>
              <w:rPr>
                <w:i/>
              </w:rPr>
              <w:t>Amendments</w:t>
            </w:r>
            <w:r>
              <w:rPr/>
              <w:t>). No other provisions of the Guarantee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Amendment do not relieve the Guarantor of any obligations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as well as the rights and obligations of the Parties arising out of this Amendment,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5.</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inter alia, concerning their provisions, existence, validity or termination, arises in connection with this Amendment,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Amendment, including, but not limited to, any dispute concerning their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shall be signed in four original counterparts of equal legal effect, each counterparty constituting an entire document. </w:t>
      </w:r>
    </w:p>
    <w:p>
      <w:pPr>
        <w:pStyle w:val="TextBody"/>
        <w:spacing w:before="120" w:after="0"/>
        <w:rPr>
          <w:rFonts w:ascii="Times New Roman" w:hAnsi="Times New Roman"/>
          <w:sz w:val="20"/>
        </w:rPr>
      </w:pPr>
      <w:r>
        <w:rPr>
          <w:rFonts w:ascii="Times New Roman" w:hAnsi="Times New Roman"/>
          <w:sz w:val="20"/>
        </w:rPr>
        <w:t xml:space="preserve">This Amendment is executed on the date specified first herein.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240" w:after="0"/>
        <w:jc w:val="center"/>
        <w:rPr>
          <w:rFonts w:ascii="Times New Roman" w:hAnsi="Times New Roman"/>
          <w:b/>
          <w:sz w:val="20"/>
        </w:rPr>
      </w:pPr>
      <w:r>
        <w:rPr>
          <w:rFonts w:ascii="Times New Roman" w:hAnsi="Times New Roman"/>
          <w:b/>
          <w:sz w:val="20"/>
        </w:rPr>
        <w:t xml:space="preserve">REVISED GUARANTEE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INDEPENDENT GUARANTEE</w:t>
      </w:r>
      <w:r>
        <w:rPr>
          <w:rFonts w:ascii="Times New Roman" w:hAnsi="Times New Roman"/>
          <w:sz w:val="20"/>
        </w:rPr>
        <w:t xml:space="preserve"> (the “</w:t>
      </w:r>
      <w:r>
        <w:rPr>
          <w:rFonts w:ascii="Times New Roman" w:hAnsi="Times New Roman"/>
          <w:b/>
          <w:sz w:val="20"/>
        </w:rPr>
        <w:t>Guarantee”</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Date of issue of this Guarantee: June 1, 2016 </w:t>
      </w:r>
    </w:p>
    <w:p>
      <w:pPr>
        <w:pStyle w:val="TextBody"/>
        <w:spacing w:before="120" w:after="0"/>
        <w:rPr>
          <w:rFonts w:ascii="Times New Roman" w:hAnsi="Times New Roman"/>
          <w:sz w:val="20"/>
        </w:rPr>
      </w:pPr>
      <w:r>
        <w:rPr>
          <w:rFonts w:ascii="Times New Roman" w:hAnsi="Times New Roman"/>
          <w:sz w:val="20"/>
        </w:rPr>
        <w:t xml:space="preserve">(as amended by amendments No. 1 dated October </w:t>
      </w:r>
      <w:r>
        <w:rPr>
          <w:rFonts w:ascii="Times New Roman" w:hAnsi="Times New Roman"/>
          <w:sz w:val="20"/>
          <w:u w:val="single"/>
        </w:rPr>
        <w:t>5</w:t>
      </w:r>
      <w:r>
        <w:rPr>
          <w:rFonts w:ascii="Times New Roman" w:hAnsi="Times New Roman"/>
          <w:sz w:val="20"/>
        </w:rPr>
        <w:t xml:space="preserve">, 2017) </w:t>
      </w:r>
    </w:p>
    <w:p>
      <w:pPr>
        <w:pStyle w:val="TextBody"/>
        <w:spacing w:before="360" w:after="0"/>
        <w:rPr>
          <w:rFonts w:ascii="Times New Roman" w:hAnsi="Times New Roman"/>
          <w:b/>
          <w:sz w:val="20"/>
        </w:rPr>
      </w:pPr>
      <w:r>
        <w:rPr>
          <w:rFonts w:ascii="Times New Roman" w:hAnsi="Times New Roman"/>
          <w:b/>
          <w:sz w:val="20"/>
        </w:rPr>
        <w:t xml:space="preserve">THIS GUARANTEE IS ISSUED BY: </w:t>
      </w:r>
    </w:p>
    <w:p>
      <w:pPr>
        <w:pStyle w:val="TextBody"/>
        <w:spacing w:before="120" w:after="0"/>
        <w:rPr>
          <w:rFonts w:ascii="Times New Roman" w:hAnsi="Times New Roman"/>
          <w:sz w:val="20"/>
        </w:rPr>
      </w:pPr>
      <w:r>
        <w:rPr>
          <w:rFonts w:ascii="Times New Roman" w:hAnsi="Times New Roman"/>
          <w:b/>
          <w:sz w:val="20"/>
        </w:rPr>
        <w:t>HEADHUNTER FSU LIMITED</w:t>
      </w:r>
      <w:r>
        <w:rPr>
          <w:rFonts w:ascii="Times New Roman" w:hAnsi="Times New Roman"/>
          <w:sz w:val="20"/>
        </w:rPr>
        <w:t xml:space="preserve">, a limited liability company incorporated under the laws of the Republic of Cyprus, registration number HE 178226, located at: 42 Dositheou, Strovolos 2028, Nicosia, Cyprus, represented by </w:t>
      </w:r>
      <w:r>
        <w:rPr>
          <w:rFonts w:ascii="Times New Roman" w:hAnsi="Times New Roman"/>
          <w:b/>
          <w:sz w:val="20"/>
        </w:rPr>
        <w:t>Aleksandr Arbuzov</w:t>
      </w:r>
      <w:r>
        <w:rPr>
          <w:rFonts w:ascii="Times New Roman" w:hAnsi="Times New Roman"/>
          <w:sz w:val="20"/>
        </w:rPr>
        <w:t xml:space="preserve">, acting under the Articles of Association, </w:t>
      </w:r>
      <w:r>
        <w:rPr>
          <w:rFonts w:ascii="Times New Roman" w:hAnsi="Times New Roman"/>
          <w:b/>
          <w:sz w:val="20"/>
        </w:rPr>
        <w:t xml:space="preserve">as the guarantor </w:t>
      </w:r>
      <w:r>
        <w:rPr>
          <w:rFonts w:ascii="Times New Roman" w:hAnsi="Times New Roman"/>
          <w:sz w:val="20"/>
        </w:rPr>
        <w:t>under this Guarantee and the Independent Guarantee Issue Agreement (the “</w:t>
      </w:r>
      <w:r>
        <w:rPr>
          <w:rFonts w:ascii="Times New Roman" w:hAnsi="Times New Roman"/>
          <w:b/>
          <w:sz w:val="20"/>
        </w:rPr>
        <w:t>Guarantor</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b/>
          <w:sz w:val="20"/>
        </w:rPr>
        <w:t>BANK VTB (PUBLIC JOINT-STOCK COMPANY)</w:t>
      </w:r>
      <w:r>
        <w:rPr>
          <w:rFonts w:ascii="Times New Roman" w:hAnsi="Times New Roman"/>
          <w:sz w:val="20"/>
        </w:rPr>
        <w:t xml:space="preserve"> incorporated under the laws of the Russian Federation, registered in the Unified State Register of Legal Entities (EGRUL) under number (Primary State Registration Number (OGRN)): 1027739609391, located at: 29, Bolshaya Morskaya St., Saint Petersburg, the Russian Federation, 190000, represented by </w:t>
      </w:r>
      <w:r>
        <w:rPr>
          <w:rFonts w:ascii="Times New Roman" w:hAnsi="Times New Roman"/>
          <w:b/>
          <w:sz w:val="20"/>
        </w:rPr>
        <w:t>Vitaly Nikolaevich Buzoverya</w:t>
      </w:r>
      <w:r>
        <w:rPr>
          <w:rFonts w:ascii="Times New Roman" w:hAnsi="Times New Roman"/>
          <w:sz w:val="20"/>
        </w:rPr>
        <w:t xml:space="preserve">, acting under Power of Attorney 350000/25- </w:t>
      </w:r>
      <w:r>
        <w:rPr>
          <w:rFonts w:ascii="Times New Roman" w:hAnsi="Times New Roman"/>
          <w:sz w:val="20"/>
        </w:rPr>
        <w:drawing>
          <wp:inline distT="0" distB="0" distL="0" distR="0">
            <wp:extent cx="718820" cy="35941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link="rId28"/>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certified on January 14, 2016, under register number 2-25, </w:t>
      </w:r>
      <w:r>
        <w:rPr>
          <w:rFonts w:ascii="Times New Roman" w:hAnsi="Times New Roman"/>
          <w:b/>
          <w:sz w:val="20"/>
        </w:rPr>
        <w:t>as the beneficiary</w:t>
      </w:r>
      <w:r>
        <w:rPr>
          <w:rFonts w:ascii="Times New Roman" w:hAnsi="Times New Roman"/>
          <w:sz w:val="20"/>
        </w:rPr>
        <w:t xml:space="preserve"> under this Guarantee and the Independent Guarantee Issue Agreement (the “</w:t>
      </w:r>
      <w:r>
        <w:rPr>
          <w:rFonts w:ascii="Times New Roman" w:hAnsi="Times New Roman"/>
          <w:b/>
          <w:sz w:val="20"/>
        </w:rPr>
        <w:t>Original Lender</w:t>
      </w:r>
      <w:r>
        <w:rPr>
          <w:rFonts w:ascii="Times New Roman" w:hAnsi="Times New Roman"/>
          <w:sz w:val="20"/>
        </w:rPr>
        <w:t>” or the “</w:t>
      </w:r>
      <w:r>
        <w:rPr>
          <w:rFonts w:ascii="Times New Roman" w:hAnsi="Times New Roman"/>
          <w:b/>
          <w:sz w:val="20"/>
        </w:rPr>
        <w:t>Credit Agent</w:t>
      </w:r>
      <w:r>
        <w:rPr>
          <w:rFonts w:ascii="Times New Roman" w:hAnsi="Times New Roman"/>
          <w:sz w:val="20"/>
        </w:rPr>
        <w:t xml:space="preserve">”) </w:t>
      </w:r>
    </w:p>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One of the conditions for granting a loan under the Loan Agreement to the Borrower is the conclusion of a guarantee issue agreement (hereinafter referred to as the “</w:t>
            </w:r>
            <w:r>
              <w:rPr>
                <w:b/>
              </w:rPr>
              <w:t>Independent Guarantee Issue Agreement</w:t>
            </w:r>
            <w:r>
              <w:rPr/>
              <w:t xml:space="preserve">”) concluded on May 16, 2016, between the Guarantor as the guarantor, the Borrower as the principal and the Original Lender as the beneficiary and the issue of this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In accordance with the Independent Guarantee Issue Agreement, the Guarantor shall issue this Guarantee on the terms and conditions set forth in the Independent Guarantee Issue Agreement and this Guarantee. </w:t>
            </w:r>
          </w:p>
        </w:tc>
      </w:tr>
    </w:tbl>
    <w:p>
      <w:pPr>
        <w:pStyle w:val="TextBody"/>
        <w:spacing w:before="24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the Guarantor hereby confirms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All capitalized terms in this Guarantee have the meanings specified in the Loan Agreement in Appendix 1 (</w:t>
      </w:r>
      <w:r>
        <w:rPr>
          <w:rFonts w:ascii="Times New Roman" w:hAnsi="Times New Roman"/>
          <w:i/>
          <w:sz w:val="20"/>
        </w:rPr>
        <w:t>Terms of the Loan Agreement</w:t>
      </w:r>
      <w:r>
        <w:rPr>
          <w:rFonts w:ascii="Times New Roman" w:hAnsi="Times New Roman"/>
          <w:sz w:val="20"/>
        </w:rPr>
        <w:t xml:space="preserve">) of the Independent Guarantee Issue Agreement unless the Guarantee or the context requires otherwise, while: </w:t>
      </w:r>
    </w:p>
    <w:p>
      <w:pPr>
        <w:pStyle w:val="TextBody"/>
        <w:spacing w:before="120" w:after="0"/>
        <w:rPr/>
      </w:pPr>
      <w:r>
        <w:rPr/>
        <w:t>“</w:t>
      </w:r>
      <w:r>
        <w:rPr>
          <w:rFonts w:ascii="Times New Roman" w:hAnsi="Times New Roman"/>
          <w:b/>
          <w:sz w:val="20"/>
        </w:rPr>
        <w:t xml:space="preserve">Issue Date” </w:t>
      </w:r>
      <w:r>
        <w:rPr>
          <w:rFonts w:ascii="Times New Roman" w:hAnsi="Times New Roman"/>
          <w:sz w:val="20"/>
        </w:rPr>
        <w:t xml:space="preserve">means such date of issue of the Guarantee as specified in the beginning of this Guarantee. </w:t>
      </w:r>
    </w:p>
    <w:p>
      <w:pPr>
        <w:pStyle w:val="TextBody"/>
        <w:spacing w:before="120" w:after="0"/>
        <w:rPr/>
      </w:pPr>
      <w:r>
        <w:rPr/>
        <w:t>“</w:t>
      </w:r>
      <w:r>
        <w:rPr>
          <w:rFonts w:ascii="Times New Roman" w:hAnsi="Times New Roman"/>
          <w:b/>
          <w:sz w:val="20"/>
        </w:rPr>
        <w:t xml:space="preserve">Borrower” </w:t>
      </w:r>
      <w:r>
        <w:rPr>
          <w:rFonts w:ascii="Times New Roman" w:hAnsi="Times New Roman"/>
          <w:sz w:val="20"/>
        </w:rPr>
        <w:t xml:space="preserve">means Zemenik Limited Liability Company,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the Russian Federation, 125319. </w:t>
      </w:r>
    </w:p>
    <w:p>
      <w:pPr>
        <w:pStyle w:val="TextBody"/>
        <w:spacing w:before="120" w:after="0"/>
        <w:rPr/>
      </w:pPr>
      <w:r>
        <w:rPr/>
        <w:t>“</w:t>
      </w:r>
      <w:r>
        <w:rPr>
          <w:rFonts w:ascii="Times New Roman" w:hAnsi="Times New Roman"/>
          <w:b/>
          <w:sz w:val="20"/>
        </w:rPr>
        <w:t xml:space="preserve">Key Rate” </w:t>
      </w:r>
      <w:r>
        <w:rPr>
          <w:rFonts w:ascii="Times New Roman" w:hAnsi="Times New Roman"/>
          <w:sz w:val="20"/>
        </w:rPr>
        <w:t xml:space="preserve">means a key rate established by the Central Bank of the Russian Federation determined based on the data on the website of the Central Bank of the Russian Federation on the Internet at www.cbr.ru or, if changed, on any other official website of the Central Bank of the Russian Federation. If the Central Bank of the Russian Federation abolishes or ceases to use a key rate and if it is needed to determine pricing conditions for provision of financing to credit institutions of the Russian Federation, the Key Rate shall be a similar rate established by the Central Bank of the Russian Federation for pricing of refinancing through repo transactions and (or) against non-market assets.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Lender”</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any Original Lender;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any banks or other credit or other organizations (except for any person belonging to the Borrower’s Group) which acquire the rights of claim to the Borrower and (or) the obligation to grant the Loan under the provisions of Article 22.2 (</w:t>
            </w:r>
            <w:r>
              <w:rPr>
                <w:i/>
              </w:rPr>
              <w:t>Assignment of Rights and Transfer of Obligations by the Lenders</w:t>
            </w:r>
            <w:r>
              <w:rPr/>
              <w:t xml:space="preserve">) of the Loan Agreement and the current laws. </w:t>
            </w:r>
          </w:p>
        </w:tc>
      </w:tr>
    </w:tbl>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means a syndicated loan agreement concluded on May 16, 2016, between the Original Lender as the credit agent, organizer and original lender and the Borrower as the Borrower in an aggregate amount not exceeding RUB 7,000,000,000 (seven billion Rubles) as amended by Amendment Agreement No. 1 dated December 14, 2016, Amendment Agreement No. 2 dated June 28, 2017, and Amendment Agreement No. 3. </w:t>
      </w:r>
    </w:p>
    <w:p>
      <w:pPr>
        <w:pStyle w:val="TextBody"/>
        <w:spacing w:before="120" w:after="0"/>
        <w:rPr/>
      </w:pPr>
      <w:r>
        <w:rPr/>
        <w:t>“</w:t>
      </w:r>
      <w:r>
        <w:rPr>
          <w:rFonts w:ascii="Times New Roman" w:hAnsi="Times New Roman"/>
          <w:b/>
          <w:sz w:val="20"/>
        </w:rPr>
        <w:t>Secured Obligations”</w:t>
      </w:r>
      <w:r>
        <w:rPr>
          <w:rFonts w:ascii="Times New Roman" w:hAnsi="Times New Roman"/>
          <w:sz w:val="20"/>
        </w:rPr>
        <w:t xml:space="preserve"> means all current and future pecuniary obligations of the Borrower to the Lenders under the Loan Agreement (taking into account all amendments to the Loan Agreement and all provided preliminary consents and waivers of the Lenders under the Loan Agreement), including the Borrower’s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payment of an aggregate principal of the Loan not exceeding RUB 7,000,000,000 (Seven billion Rubles)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payment of interest due under Article 9 (</w:t>
            </w:r>
            <w:r>
              <w:rPr>
                <w:i/>
              </w:rPr>
              <w:t>Interest</w:t>
            </w:r>
            <w:r>
              <w:rPr/>
              <w:t xml:space="preserve">) of the Loan Agreement at an annual interest rate equal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0"/>
        <w:gridCol w:w="816"/>
        <w:gridCol w:w="5818"/>
      </w:tblGrid>
      <w:tr>
        <w:trPr/>
        <w:tc>
          <w:tcPr>
            <w:tcW w:w="3570"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w:t>
            </w:r>
          </w:p>
        </w:tc>
        <w:tc>
          <w:tcPr>
            <w:tcW w:w="5818"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5"/>
        <w:gridCol w:w="5818"/>
      </w:tblGrid>
      <w:tr>
        <w:trPr/>
        <w:tc>
          <w:tcPr>
            <w:tcW w:w="3571"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w:t>
            </w:r>
          </w:p>
        </w:tc>
        <w:tc>
          <w:tcPr>
            <w:tcW w:w="5818"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payment of a penalty according to Article 9.4 (</w:t>
            </w:r>
            <w:r>
              <w:rPr>
                <w:i/>
              </w:rPr>
              <w:t>Penalty</w:t>
            </w:r>
            <w:r>
              <w:rPr/>
              <w:t>) of the Loan Agreement due if the Borrower fails to timely fulfill an obligation of payment of any amount due under the Financial Document; such penalty being 2/365 interest rate established under Article 9.1 (</w:t>
            </w:r>
            <w:r>
              <w:rPr>
                <w:i/>
              </w:rPr>
              <w:t>Interest Calculation</w:t>
            </w:r>
            <w:r>
              <w:rPr/>
              <w:t>) of the Loan Agreement taking into account the provisions of Article 9.2 (</w:t>
            </w:r>
            <w:r>
              <w:rPr>
                <w:i/>
              </w:rPr>
              <w:t>Margin Adjustment</w:t>
            </w:r>
            <w:r>
              <w:rPr/>
              <w:t xml:space="preserve">) 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p>
      <w:pPr>
        <w:pStyle w:val="TextBody"/>
        <w:spacing w:before="0" w:after="0"/>
        <w:rPr/>
      </w:pPr>
      <w:r>
        <w:rPr/>
        <w: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6" w:type="dxa"/>
            <w:tcBorders/>
            <w:shd w:fill="auto" w:val="clear"/>
          </w:tcPr>
          <w:p>
            <w:pPr>
              <w:pStyle w:val="TableContents"/>
              <w:spacing w:before="0" w:after="283"/>
              <w:jc w:val="left"/>
              <w:rPr/>
            </w:pPr>
            <w:r>
              <w:rPr/>
              <w:t>payment of reimbursement for funds available for granting the Loan under Article 11.1 (</w:t>
            </w:r>
            <w:r>
              <w:rPr>
                <w:i/>
              </w:rPr>
              <w:t>Fee for the Obligation under the 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w:t>
            </w:r>
          </w:p>
        </w:tc>
      </w:tr>
    </w:tbl>
    <w:p>
      <w:pPr>
        <w:pStyle w:val="TextBody"/>
        <w:spacing w:before="120" w:after="0"/>
        <w:rPr>
          <w:rFonts w:ascii="Times New Roman" w:hAnsi="Times New Roman"/>
          <w:sz w:val="20"/>
        </w:rPr>
      </w:pPr>
      <w:r>
        <w:rPr>
          <w:rFonts w:ascii="Times New Roman" w:hAnsi="Times New Roman"/>
          <w:sz w:val="20"/>
        </w:rPr>
        <w:t xml:space="preserve">such consideration being accrued for the Disbursement Period of Tranche A and the Disbursement Period of Tranche B, respectively, and paid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in respect of the Unused Loan Limit of Tranche B, on the last Business Day of each calendar month within the Disbursement Period of Tranche B or on the last day of the Disbursement Period of Tranche B, whichever occurs first. </w:t>
            </w:r>
          </w:p>
        </w:tc>
      </w:tr>
    </w:tbl>
    <w:p>
      <w:pPr>
        <w:pStyle w:val="TextBody"/>
        <w:spacing w:before="120" w:after="0"/>
        <w:rPr>
          <w:rFonts w:ascii="Times New Roman" w:hAnsi="Times New Roman"/>
          <w:sz w:val="20"/>
        </w:rPr>
      </w:pPr>
      <w:r>
        <w:rPr>
          <w:rFonts w:ascii="Times New Roman" w:hAnsi="Times New Roman"/>
          <w:sz w:val="20"/>
        </w:rPr>
        <w:t xml:space="preserve">A fee for the obligation of granting of the Loan shall not apply to the Unused Loan Limit in terms of Tranche B and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payment of a Lenders’ consideration for granting the Loan under Article 11.2 (</w:t>
            </w:r>
            <w:r>
              <w:rPr>
                <w:i/>
              </w:rPr>
              <w:t>Loan Extension Fee</w:t>
            </w:r>
            <w:r>
              <w:rPr/>
              <w:t xml:space="preserve">) 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0.25 (zero point two five) percent of Tranche D prior to the Disbursement Date of a respective Tranche;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reimbursement to the Parties to the Financing for any costs or losses to be reimbursed under Articles 14.1 (</w:t>
            </w:r>
            <w:r>
              <w:rPr>
                <w:i/>
              </w:rPr>
              <w:t>Reimbursement for Currency Costs</w:t>
            </w:r>
            <w:r>
              <w:rPr/>
              <w:t>), 14.3 (</w:t>
            </w:r>
            <w:r>
              <w:rPr>
                <w:i/>
              </w:rPr>
              <w:t>Reimbursement for Costs of the Credit Agent</w:t>
            </w:r>
            <w:r>
              <w:rPr/>
              <w:t>) and 14.4 (</w:t>
            </w:r>
            <w:r>
              <w:rPr>
                <w:i/>
              </w:rPr>
              <w:t>Transaction-Related Costs</w:t>
            </w:r>
            <w:r>
              <w:rPr/>
              <w:t>), 14.5 (</w:t>
            </w:r>
            <w:r>
              <w:rPr>
                <w:i/>
              </w:rPr>
              <w:t>Amendment Costs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incurred by a Party to the Financing because of a mandatory performance of any Financial Document or protection of its rights under the Financial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t>reimbursement to the Parties to the Financing for any expenses under Article 14.2 (</w:t>
            </w:r>
            <w:r>
              <w:rPr>
                <w:i/>
              </w:rPr>
              <w:t>Reimbursement for Other Costs</w:t>
            </w:r>
            <w:r>
              <w:rPr/>
              <w:t xml:space="preserve">) of the Loan Agreement incurred by a Party to the Financing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occurrence of the Event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impossibility to grant the Loan to the Borrower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Borrower’s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3" w:type="dxa"/>
            <w:tcBorders/>
            <w:shd w:fill="auto" w:val="clear"/>
          </w:tcPr>
          <w:p>
            <w:pPr>
              <w:pStyle w:val="TableContents"/>
              <w:spacing w:before="0" w:after="283"/>
              <w:jc w:val="left"/>
              <w:rPr/>
            </w:pPr>
            <w:r>
              <w:rPr/>
              <w:t xml:space="preserve">full return of any funds obtained by the Borrower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120" w:after="0"/>
        <w:rPr/>
      </w:pPr>
      <w:r>
        <w:rPr/>
        <w:t>“</w:t>
      </w:r>
      <w:r>
        <w:rPr>
          <w:rFonts w:ascii="Times New Roman" w:hAnsi="Times New Roman"/>
          <w:b/>
          <w:sz w:val="20"/>
        </w:rPr>
        <w:t>Business Day”</w:t>
      </w:r>
      <w:r>
        <w:rPr>
          <w:rFonts w:ascii="Times New Roman" w:hAnsi="Times New Roman"/>
          <w:sz w:val="20"/>
        </w:rPr>
        <w:t xml:space="preserve"> means any day on which banks are open for normal banking operations in Moscow and Nicosia. </w:t>
      </w:r>
    </w:p>
    <w:p>
      <w:pPr>
        <w:pStyle w:val="TextBody"/>
        <w:spacing w:before="120" w:after="0"/>
        <w:rPr/>
      </w:pPr>
      <w:r>
        <w:rPr/>
        <w:t>“</w:t>
      </w:r>
      <w:r>
        <w:rPr>
          <w:rFonts w:ascii="Times New Roman" w:hAnsi="Times New Roman"/>
          <w:b/>
          <w:sz w:val="20"/>
        </w:rPr>
        <w:t>Ruble”</w:t>
      </w:r>
      <w:r>
        <w:rPr>
          <w:rFonts w:ascii="Times New Roman" w:hAnsi="Times New Roman"/>
          <w:sz w:val="20"/>
        </w:rPr>
        <w:t xml:space="preserve"> means a legal tender of the Russian Federation.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to the Loan Agreement dated October </w:t>
      </w:r>
      <w:r>
        <w:rPr>
          <w:rFonts w:ascii="Times New Roman" w:hAnsi="Times New Roman"/>
          <w:sz w:val="20"/>
          <w:u w:val="single"/>
        </w:rPr>
        <w:t>5</w:t>
      </w:r>
      <w:r>
        <w:rPr>
          <w:rFonts w:ascii="Times New Roman" w:hAnsi="Times New Roman"/>
          <w:sz w:val="20"/>
        </w:rPr>
        <w:t xml:space="preserve">, 2017. </w:t>
      </w:r>
    </w:p>
    <w:p>
      <w:pPr>
        <w:pStyle w:val="TextBody"/>
        <w:spacing w:before="120" w:after="0"/>
        <w:rPr/>
      </w:pPr>
      <w:r>
        <w:rPr/>
        <w:t>“</w:t>
      </w:r>
      <w:r>
        <w:rPr>
          <w:rFonts w:ascii="Times New Roman" w:hAnsi="Times New Roman"/>
          <w:b/>
          <w:sz w:val="20"/>
        </w:rPr>
        <w:t xml:space="preserve">Party” </w:t>
      </w:r>
      <w:r>
        <w:rPr>
          <w:rFonts w:ascii="Times New Roman" w:hAnsi="Times New Roman"/>
          <w:sz w:val="20"/>
        </w:rPr>
        <w:t>means the Guarantor or the Original Lender (or the Credit Agent after accession of rights (claims) under the Independent Guarantee Issue Agreement and this Guarantee under Article 5.2 (</w:t>
      </w:r>
      <w:r>
        <w:rPr>
          <w:rFonts w:ascii="Times New Roman" w:hAnsi="Times New Roman"/>
          <w:i/>
          <w:sz w:val="20"/>
        </w:rPr>
        <w:t>Transfer of Rights by the Lenders</w:t>
      </w:r>
      <w:r>
        <w:rPr>
          <w:rFonts w:ascii="Times New Roman" w:hAnsi="Times New Roman"/>
          <w:sz w:val="20"/>
        </w:rPr>
        <w:t xml:space="preserve">)). </w:t>
      </w:r>
    </w:p>
    <w:p>
      <w:pPr>
        <w:pStyle w:val="TextBody"/>
        <w:spacing w:before="120" w:after="0"/>
        <w:rPr/>
      </w:pPr>
      <w:r>
        <w:rPr/>
        <w:t>“</w:t>
      </w:r>
      <w:r>
        <w:rPr>
          <w:rFonts w:ascii="Times New Roman" w:hAnsi="Times New Roman"/>
          <w:b/>
          <w:sz w:val="20"/>
        </w:rPr>
        <w:t>Guarantee Amount”</w:t>
      </w:r>
      <w:r>
        <w:rPr>
          <w:rFonts w:ascii="Times New Roman" w:hAnsi="Times New Roman"/>
          <w:sz w:val="20"/>
        </w:rPr>
        <w:t xml:space="preserve"> means an amount of RUB 10,300,000,000 (ten billion three hundred million Rubles). </w:t>
      </w:r>
    </w:p>
    <w:p>
      <w:pPr>
        <w:pStyle w:val="TextBody"/>
        <w:spacing w:before="120" w:after="0"/>
        <w:rPr/>
      </w:pPr>
      <w:r>
        <w:rPr/>
        <w:t>“</w:t>
      </w:r>
      <w:r>
        <w:rPr>
          <w:rFonts w:ascii="Times New Roman" w:hAnsi="Times New Roman"/>
          <w:b/>
          <w:sz w:val="20"/>
        </w:rPr>
        <w:t>Payment Claim”</w:t>
      </w:r>
      <w:r>
        <w:rPr>
          <w:rFonts w:ascii="Times New Roman" w:hAnsi="Times New Roman"/>
          <w:sz w:val="20"/>
        </w:rPr>
        <w:t xml:space="preserve"> means a written notice which is sent by the Credit Agent to the Guarantor and contains: (i) an indication of a particular violation of the Secured Obligations entailing payment under this Guarantee; (ii) a claim for the Guarantor to make payments provided for by this Guarantee within such amount and period as specified in such notice, as well as details of the bank account to which the Guarantor shall make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w:t>
            </w:r>
          </w:p>
        </w:tc>
        <w:tc>
          <w:tcPr>
            <w:tcW w:w="9389" w:type="dxa"/>
            <w:tcBorders/>
            <w:shd w:fill="auto" w:val="clear"/>
          </w:tcPr>
          <w:p>
            <w:pPr>
              <w:pStyle w:val="TableContents"/>
              <w:spacing w:before="0" w:after="283"/>
              <w:jc w:val="left"/>
              <w:rPr/>
            </w:pPr>
            <w:r>
              <w:rPr>
                <w:b/>
              </w:rPr>
              <w:t>INDEPENDENT GUARANTEE</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at the request of the Borrower, issue this Guarantee and hereby undertakes to pay such amount within the Guarantee Amount as specified in the Payment Claim to the Original Lender if the Borrower fails to fulfill the Secured Obligations (or to pay such amount to the Credit Agent for distribution among the Lenders after assignment of rights (claims) under the Independent Guarantee Issue Agreement and this Guarantee in accordance with Article 5.2 (</w:t>
      </w:r>
      <w:r>
        <w:rPr>
          <w:rFonts w:ascii="Times New Roman" w:hAnsi="Times New Roman"/>
          <w:i/>
          <w:sz w:val="20"/>
        </w:rPr>
        <w:t>Transfer of Rights by the Lenders</w:t>
      </w:r>
      <w:r>
        <w:rPr>
          <w:rFonts w:ascii="Times New Roman" w:hAnsi="Times New Roman"/>
          <w:sz w:val="20"/>
        </w:rPr>
        <w:t xml:space="preserve">)), regardless of the validity of the Loan Agreement, the Secured Obligations, as well as relations between the Guarantor and the Borrower, and other obligations.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3.</w:t>
            </w:r>
          </w:p>
        </w:tc>
        <w:tc>
          <w:tcPr>
            <w:tcW w:w="9388" w:type="dxa"/>
            <w:tcBorders/>
            <w:shd w:fill="auto" w:val="clear"/>
          </w:tcPr>
          <w:p>
            <w:pPr>
              <w:pStyle w:val="TableContents"/>
              <w:spacing w:before="0" w:after="283"/>
              <w:jc w:val="left"/>
              <w:rPr>
                <w:b/>
              </w:rPr>
            </w:pPr>
            <w:r>
              <w:rPr>
                <w:b/>
              </w:rPr>
              <w:t xml:space="preserve">PAYMENT CLAIM </w:t>
            </w:r>
          </w:p>
        </w:tc>
      </w:tr>
    </w:tbl>
    <w:p>
      <w:pPr>
        <w:pStyle w:val="TextBody"/>
        <w:spacing w:before="120" w:after="0"/>
        <w:rPr>
          <w:rFonts w:ascii="Times New Roman" w:hAnsi="Times New Roman"/>
          <w:sz w:val="20"/>
        </w:rPr>
      </w:pPr>
      <w:r>
        <w:rPr>
          <w:rFonts w:ascii="Times New Roman" w:hAnsi="Times New Roman"/>
          <w:sz w:val="20"/>
        </w:rPr>
        <w:t>If the Secured Obligations are not fulfilled, as specified in Article 2 (</w:t>
      </w:r>
      <w:r>
        <w:rPr>
          <w:rFonts w:ascii="Times New Roman" w:hAnsi="Times New Roman"/>
          <w:i/>
          <w:sz w:val="20"/>
        </w:rPr>
        <w:t>Independent Guarantee</w:t>
      </w:r>
      <w:r>
        <w:rPr>
          <w:rFonts w:ascii="Times New Roman" w:hAnsi="Times New Roman"/>
          <w:sz w:val="20"/>
        </w:rPr>
        <w:t>) of this Guarantee, the Original Lender (or the Credit Agent acting on behalf of the Lenders after assignment under this Guarantee in accordance with Article 5.2 (</w:t>
      </w:r>
      <w:r>
        <w:rPr>
          <w:rFonts w:ascii="Times New Roman" w:hAnsi="Times New Roman"/>
          <w:i/>
          <w:sz w:val="20"/>
        </w:rPr>
        <w:t>Transfer of Rights by the Lenders</w:t>
      </w:r>
      <w:r>
        <w:rPr>
          <w:rFonts w:ascii="Times New Roman" w:hAnsi="Times New Roman"/>
          <w:sz w:val="20"/>
        </w:rPr>
        <w:t>)) shall send the Guarantor a Payment Claim and a copy of the notice of the Original Lender or the Credit Agent, respectively, sent to the Borrower under Clause (b) of Article 21.18 (</w:t>
      </w:r>
      <w:r>
        <w:rPr>
          <w:rFonts w:ascii="Times New Roman" w:hAnsi="Times New Roman"/>
          <w:i/>
          <w:sz w:val="20"/>
        </w:rPr>
        <w:t>Acceleration</w:t>
      </w:r>
      <w:r>
        <w:rPr>
          <w:rFonts w:ascii="Times New Roman" w:hAnsi="Times New Roman"/>
          <w:sz w:val="20"/>
        </w:rPr>
        <w:t xml:space="preserve">) of the Loan Agreement. The Guarantor shall make a payment against the Payment Claim within a period not exceeding five Business Days from the date when the Guarantor receives such Payment Claim under the terms and conditions of this Guarantee and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4.</w:t>
            </w:r>
          </w:p>
        </w:tc>
        <w:tc>
          <w:tcPr>
            <w:tcW w:w="9390" w:type="dxa"/>
            <w:tcBorders/>
            <w:shd w:fill="auto" w:val="clear"/>
          </w:tcPr>
          <w:p>
            <w:pPr>
              <w:pStyle w:val="TableContents"/>
              <w:spacing w:before="0" w:after="283"/>
              <w:jc w:val="left"/>
              <w:rPr>
                <w:b/>
              </w:rPr>
            </w:pPr>
            <w:r>
              <w:rPr>
                <w:b/>
              </w:rPr>
              <w:t xml:space="preserve">VALIDITY TERM </w:t>
            </w:r>
          </w:p>
        </w:tc>
      </w:tr>
    </w:tbl>
    <w:p>
      <w:pPr>
        <w:pStyle w:val="TextBody"/>
        <w:spacing w:before="120" w:after="0"/>
        <w:rPr>
          <w:rFonts w:ascii="Times New Roman" w:hAnsi="Times New Roman"/>
          <w:sz w:val="20"/>
        </w:rPr>
      </w:pPr>
      <w:r>
        <w:rPr>
          <w:rFonts w:ascii="Times New Roman" w:hAnsi="Times New Roman"/>
          <w:sz w:val="20"/>
        </w:rPr>
        <w:t>This Guarantee is issued for a period from the Issue Date through a date that occurs after 96 months from the date of Amendment Agreement No. 3 (the “</w:t>
      </w:r>
      <w:r>
        <w:rPr>
          <w:rFonts w:ascii="Times New Roman" w:hAnsi="Times New Roman"/>
          <w:b/>
          <w:sz w:val="20"/>
        </w:rPr>
        <w:t>Expiration Date</w:t>
      </w:r>
      <w:r>
        <w:rPr>
          <w:rFonts w:ascii="Times New Roman" w:hAnsi="Times New Roman"/>
          <w:sz w:val="20"/>
        </w:rPr>
        <w:t xml:space="preserve">”). For the avoidance of doubt, the Payment Claim under this Guarantee shall be satisfied if it is sent by the Beneficiary prior to the Expiration Date (inclusive).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5.</w:t>
            </w:r>
          </w:p>
        </w:tc>
        <w:tc>
          <w:tcPr>
            <w:tcW w:w="9391" w:type="dxa"/>
            <w:tcBorders/>
            <w:shd w:fill="auto" w:val="clear"/>
          </w:tcPr>
          <w:p>
            <w:pPr>
              <w:pStyle w:val="TableContents"/>
              <w:spacing w:before="0" w:after="283"/>
              <w:jc w:val="left"/>
              <w:rPr>
                <w:b/>
              </w:rPr>
            </w:pPr>
            <w:r>
              <w:rPr>
                <w:b/>
              </w:rPr>
              <w:t xml:space="preserve">CLAIM ASSIGNMENT AND DEBT TRANSFER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w:t>
            </w:r>
          </w:p>
        </w:tc>
        <w:tc>
          <w:tcPr>
            <w:tcW w:w="9389"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may not assign its rights or transfer the debt under this Guarantee or otherwise dispose of any of its rights and (or) obligations under this Guarantee without the written consent of all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b/>
              </w:rPr>
              <w:t>Transfer of Rights by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Original Lender may, without the consent of the Guarantor and the Borrower, assign all or part of its rights (claims) under this Guarantee to any person to whom it has assigned its rights under the Loan Agreement. The Guarantor hereby expresses its consent to such assignment and shall be liable to any person to whom the Lender has assigned its rights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If the Original Lender assigns its rights (claims) under Clause (a) above, the Lenders that have wholly or partially assigned the rights (claims) under this Guarantee become beneficiaries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5.3.</w:t>
            </w:r>
          </w:p>
        </w:tc>
        <w:tc>
          <w:tcPr>
            <w:tcW w:w="9389" w:type="dxa"/>
            <w:tcBorders/>
            <w:shd w:fill="auto" w:val="clear"/>
          </w:tcPr>
          <w:p>
            <w:pPr>
              <w:pStyle w:val="TableContents"/>
              <w:spacing w:before="0" w:after="283"/>
              <w:jc w:val="left"/>
              <w:rPr/>
            </w:pPr>
            <w:r>
              <w:rPr>
                <w:b/>
              </w:rPr>
              <w:t>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the Borrower assigns or transfers its debt (in whole or in part) under the Loan Agreement to another person under the terms and conditions provided for in the Loan Agreement or transfers the Borrower’s obligations under the Loan Agreement to another person through a universal succession, the Guarantor hereby expresses its consent to such assignment or transfer of the debt and agrees to be jointly liable with the new borrower in the amount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6.</w:t>
            </w:r>
          </w:p>
        </w:tc>
        <w:tc>
          <w:tcPr>
            <w:tcW w:w="9388" w:type="dxa"/>
            <w:tcBorders/>
            <w:shd w:fill="auto" w:val="clear"/>
          </w:tcPr>
          <w:p>
            <w:pPr>
              <w:pStyle w:val="TableContents"/>
              <w:spacing w:before="0" w:after="283"/>
              <w:jc w:val="left"/>
              <w:rPr>
                <w:b/>
              </w:rPr>
            </w:pPr>
            <w:r>
              <w:rPr>
                <w:b/>
              </w:rPr>
              <w:t xml:space="preserve">CHANGE IN THE SECURED OBLIGATIONS </w:t>
            </w:r>
          </w:p>
        </w:tc>
      </w:tr>
    </w:tbl>
    <w:p>
      <w:pPr>
        <w:pStyle w:val="TextBody"/>
        <w:spacing w:before="120" w:after="0"/>
        <w:rPr>
          <w:rFonts w:ascii="Times New Roman" w:hAnsi="Times New Roman"/>
          <w:sz w:val="20"/>
        </w:rPr>
      </w:pPr>
      <w:r>
        <w:rPr>
          <w:rFonts w:ascii="Times New Roman" w:hAnsi="Times New Roman"/>
          <w:sz w:val="20"/>
        </w:rPr>
        <w:t xml:space="preserve">The Guarantor hereby expresses its consent to be jointly liable with the Borrower, irrespective of whether the terms and conditions of the Loan Agreement will be amended in any way, including any amendments leading to an increase in the volume of the Secured Obligations or other adverse consequences for the Guarantor. No additional written consent of the Guarantor is required for such amendment.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7.</w:t>
            </w:r>
          </w:p>
        </w:tc>
        <w:tc>
          <w:tcPr>
            <w:tcW w:w="9389" w:type="dxa"/>
            <w:tcBorders/>
            <w:shd w:fill="auto" w:val="clear"/>
          </w:tcPr>
          <w:p>
            <w:pPr>
              <w:pStyle w:val="TableContents"/>
              <w:spacing w:before="0" w:after="283"/>
              <w:jc w:val="left"/>
              <w:rPr>
                <w:b/>
              </w:rPr>
            </w:pPr>
            <w:r>
              <w:rPr>
                <w:b/>
              </w:rPr>
              <w:t xml:space="preserve">APPLICABLE LAW </w:t>
            </w:r>
          </w:p>
        </w:tc>
      </w:tr>
    </w:tbl>
    <w:p>
      <w:pPr>
        <w:pStyle w:val="TextBody"/>
        <w:spacing w:before="120" w:after="0"/>
        <w:rPr>
          <w:rFonts w:ascii="Times New Roman" w:hAnsi="Times New Roman"/>
          <w:sz w:val="20"/>
        </w:rPr>
      </w:pPr>
      <w:r>
        <w:rPr>
          <w:rFonts w:ascii="Times New Roman" w:hAnsi="Times New Roman"/>
          <w:sz w:val="20"/>
        </w:rPr>
        <w:t xml:space="preserve">This Guarantee shall be regulated and construed under the Russian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8.</w:t>
            </w:r>
          </w:p>
        </w:tc>
        <w:tc>
          <w:tcPr>
            <w:tcW w:w="9391" w:type="dxa"/>
            <w:tcBorders/>
            <w:shd w:fill="auto" w:val="clear"/>
          </w:tcPr>
          <w:p>
            <w:pPr>
              <w:pStyle w:val="TableContents"/>
              <w:spacing w:before="0" w:after="283"/>
              <w:jc w:val="left"/>
              <w:rPr>
                <w:b/>
              </w:rPr>
            </w:pPr>
            <w:r>
              <w:rPr>
                <w:b/>
              </w:rPr>
              <w:t xml:space="preserve">DISPUTE SETTLEMENT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Guarantee,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According to the provisions of 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9.</w:t>
            </w:r>
          </w:p>
        </w:tc>
        <w:tc>
          <w:tcPr>
            <w:tcW w:w="9389"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Guarantee shall be signed in four original counterparts of equal legal effect, all of which together shall constitute one and the same instrument.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ADDRESSES AND DETAILS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889"/>
        <w:gridCol w:w="305"/>
        <w:gridCol w:w="719"/>
        <w:gridCol w:w="120"/>
        <w:gridCol w:w="6172"/>
      </w:tblGrid>
      <w:tr>
        <w:trPr/>
        <w:tc>
          <w:tcPr>
            <w:tcW w:w="2889" w:type="dxa"/>
            <w:tcBorders/>
            <w:shd w:fill="auto" w:val="clear"/>
            <w:vAlign w:val="center"/>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sz w:val="4"/>
                <w:szCs w:val="4"/>
              </w:rPr>
            </w:pPr>
            <w:r>
              <w:rPr>
                <w:sz w:val="4"/>
                <w:szCs w:val="4"/>
              </w:rPr>
            </w:r>
          </w:p>
        </w:tc>
        <w:tc>
          <w:tcPr>
            <w:tcW w:w="719"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6172" w:type="dxa"/>
            <w:tcBorders/>
            <w:shd w:fill="auto" w:val="clear"/>
            <w:vAlign w:val="center"/>
          </w:tcPr>
          <w:p>
            <w:pPr>
              <w:pStyle w:val="TableContents"/>
              <w:spacing w:before="0" w:after="283"/>
              <w:rPr>
                <w:sz w:val="4"/>
                <w:szCs w:val="4"/>
              </w:rPr>
            </w:pPr>
            <w:r>
              <w:rPr>
                <w:sz w:val="4"/>
                <w:szCs w:val="4"/>
              </w:rPr>
            </w:r>
          </w:p>
        </w:tc>
      </w:tr>
      <w:tr>
        <w:trPr/>
        <w:tc>
          <w:tcPr>
            <w:tcW w:w="2889" w:type="dxa"/>
            <w:tcBorders/>
            <w:shd w:fill="auto" w:val="clear"/>
            <w:vAlign w:val="bottom"/>
          </w:tcPr>
          <w:p>
            <w:pPr>
              <w:pStyle w:val="TableContents"/>
              <w:pBdr>
                <w:bottom w:val="single" w:sz="8" w:space="1" w:color="000000"/>
              </w:pBdr>
              <w:spacing w:before="0" w:after="0"/>
              <w:rPr>
                <w:rFonts w:ascii="Times New Roman" w:hAnsi="Times New Roman"/>
                <w:b/>
                <w:sz w:val="16"/>
              </w:rPr>
            </w:pPr>
            <w:r>
              <w:rPr>
                <w:rFonts w:ascii="Times New Roman" w:hAnsi="Times New Roman"/>
                <w:b/>
                <w:sz w:val="16"/>
              </w:rPr>
              <w:t>Company</w:t>
            </w:r>
          </w:p>
        </w:tc>
        <w:tc>
          <w:tcPr>
            <w:tcW w:w="305" w:type="dxa"/>
            <w:tcBorders/>
            <w:shd w:fill="auto" w:val="clear"/>
            <w:vAlign w:val="bottom"/>
          </w:tcPr>
          <w:p>
            <w:pPr>
              <w:pStyle w:val="TableContents"/>
              <w:spacing w:before="0" w:after="283"/>
              <w:rPr/>
            </w:pPr>
            <w:r>
              <w:rPr/>
              <w:t>  </w:t>
            </w:r>
          </w:p>
        </w:tc>
        <w:tc>
          <w:tcPr>
            <w:tcW w:w="7011" w:type="dxa"/>
            <w:gridSpan w:val="3"/>
            <w:tcBorders>
              <w:bottom w:val="single" w:sz="8" w:space="0" w:color="000000"/>
              <w:insideH w:val="single" w:sz="8" w:space="0" w:color="000000"/>
            </w:tcBorders>
            <w:shd w:fill="auto" w:val="clear"/>
            <w:tcMar>
              <w:bottom w:w="28" w:type="dxa"/>
            </w:tcMar>
            <w:vAlign w:val="bottom"/>
          </w:tcPr>
          <w:p>
            <w:pPr>
              <w:pStyle w:val="TableContents"/>
              <w:spacing w:before="0" w:after="20"/>
              <w:jc w:val="center"/>
              <w:rPr>
                <w:rFonts w:ascii="Times New Roman" w:hAnsi="Times New Roman"/>
                <w:b/>
                <w:sz w:val="16"/>
              </w:rPr>
            </w:pPr>
            <w:r>
              <w:rPr>
                <w:rFonts w:ascii="Times New Roman" w:hAnsi="Times New Roman"/>
                <w:b/>
                <w:sz w:val="16"/>
              </w:rPr>
              <w:t>Address, Fax and E-mail</w:t>
            </w:r>
          </w:p>
        </w:tc>
      </w:tr>
      <w:tr>
        <w:trPr/>
        <w:tc>
          <w:tcPr>
            <w:tcW w:w="2889" w:type="dxa"/>
            <w:tcBorders/>
            <w:shd w:fill="auto" w:val="clear"/>
            <w:vAlign w:val="bottom"/>
          </w:tcPr>
          <w:p>
            <w:pPr>
              <w:pStyle w:val="TableContents"/>
              <w:spacing w:before="0" w:after="283"/>
              <w:jc w:val="center"/>
              <w:rPr>
                <w:b/>
              </w:rPr>
            </w:pPr>
            <w:r>
              <w:rPr>
                <w:b/>
              </w:rPr>
              <w:t>Guarantor</w:t>
            </w:r>
          </w:p>
        </w:tc>
        <w:tc>
          <w:tcPr>
            <w:tcW w:w="305" w:type="dxa"/>
            <w:tcBorders/>
            <w:shd w:fill="auto" w:val="clear"/>
            <w:vAlign w:val="bottom"/>
          </w:tcPr>
          <w:p>
            <w:pPr>
              <w:pStyle w:val="TableContents"/>
              <w:spacing w:before="0" w:after="283"/>
              <w:rPr/>
            </w:pPr>
            <w:r>
              <w:rPr/>
              <w:t>  </w:t>
            </w:r>
          </w:p>
        </w:tc>
        <w:tc>
          <w:tcPr>
            <w:tcW w:w="7011" w:type="dxa"/>
            <w:gridSpan w:val="3"/>
            <w:tcBorders/>
            <w:shd w:fill="auto" w:val="clear"/>
            <w:vAlign w:val="bottom"/>
          </w:tcPr>
          <w:p>
            <w:pPr>
              <w:pStyle w:val="TableContents"/>
              <w:spacing w:before="0" w:after="283"/>
              <w:rPr>
                <w:sz w:val="4"/>
                <w:szCs w:val="4"/>
              </w:rPr>
            </w:pPr>
            <w:r>
              <w:rPr>
                <w:sz w:val="4"/>
                <w:szCs w:val="4"/>
              </w:rPr>
            </w:r>
          </w:p>
        </w:tc>
      </w:tr>
      <w:tr>
        <w:trPr>
          <w:trHeight w:val="120" w:hRule="atLeast"/>
        </w:trPr>
        <w:tc>
          <w:tcPr>
            <w:tcW w:w="2889" w:type="dxa"/>
            <w:tcBorders/>
            <w:shd w:fill="auto" w:val="clear"/>
            <w:vAlign w:val="center"/>
          </w:tcPr>
          <w:p>
            <w:pPr>
              <w:pStyle w:val="TableContents"/>
              <w:spacing w:before="0" w:after="283"/>
              <w:rPr>
                <w:sz w:val="4"/>
                <w:szCs w:val="4"/>
              </w:rPr>
            </w:pPr>
            <w:r>
              <w:rPr>
                <w:sz w:val="4"/>
                <w:szCs w:val="4"/>
              </w:rPr>
            </w:r>
          </w:p>
        </w:tc>
        <w:tc>
          <w:tcPr>
            <w:tcW w:w="1024" w:type="dxa"/>
            <w:gridSpan w:val="2"/>
            <w:tcBorders/>
            <w:shd w:fill="auto" w:val="clear"/>
            <w:vAlign w:val="center"/>
          </w:tcPr>
          <w:p>
            <w:pPr>
              <w:pStyle w:val="TableContents"/>
              <w:spacing w:before="0" w:after="283"/>
              <w:rPr>
                <w:sz w:val="4"/>
                <w:szCs w:val="4"/>
              </w:rPr>
            </w:pPr>
            <w:r>
              <w:rPr>
                <w:sz w:val="4"/>
                <w:szCs w:val="4"/>
              </w:rPr>
            </w:r>
          </w:p>
        </w:tc>
        <w:tc>
          <w:tcPr>
            <w:tcW w:w="6292" w:type="dxa"/>
            <w:gridSpan w:val="2"/>
            <w:tcBorders/>
            <w:shd w:fill="auto" w:val="clear"/>
            <w:vAlign w:val="center"/>
          </w:tcPr>
          <w:p>
            <w:pPr>
              <w:pStyle w:val="TableContents"/>
              <w:spacing w:before="0" w:after="283"/>
              <w:rPr>
                <w:sz w:val="4"/>
                <w:szCs w:val="4"/>
              </w:rPr>
            </w:pPr>
            <w:r>
              <w:rPr>
                <w:sz w:val="4"/>
                <w:szCs w:val="4"/>
              </w:rPr>
            </w:r>
          </w:p>
        </w:tc>
      </w:tr>
      <w:tr>
        <w:trPr/>
        <w:tc>
          <w:tcPr>
            <w:tcW w:w="2889" w:type="dxa"/>
            <w:vMerge w:val="restart"/>
            <w:tcBorders/>
            <w:shd w:fill="auto" w:val="clear"/>
            <w:vAlign w:val="bottom"/>
          </w:tcPr>
          <w:p>
            <w:pPr>
              <w:pStyle w:val="TableContents"/>
              <w:spacing w:before="0" w:after="283"/>
              <w:jc w:val="center"/>
              <w:rPr>
                <w:b/>
              </w:rPr>
            </w:pPr>
            <w:r>
              <w:rPr>
                <w:b/>
              </w:rPr>
              <w:t>HEADHUNTER FSU LIMITED</w:t>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42 Dositheou, Strovolos 2028, Nicosia, Cyprus</w:t>
            </w:r>
          </w:p>
        </w:tc>
      </w:tr>
      <w:tr>
        <w:trPr/>
        <w:tc>
          <w:tcPr>
            <w:tcW w:w="2889" w:type="dxa"/>
            <w:vMerge w:val="continue"/>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Fax:</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+35722679096</w:t>
            </w:r>
          </w:p>
        </w:tc>
      </w:tr>
      <w:tr>
        <w:trPr/>
        <w:tc>
          <w:tcPr>
            <w:tcW w:w="2889" w:type="dxa"/>
            <w:vMerge w:val="continue"/>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Email:</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info@fiduserve.com</w:t>
            </w:r>
          </w:p>
        </w:tc>
      </w:tr>
      <w:tr>
        <w:trPr/>
        <w:tc>
          <w:tcPr>
            <w:tcW w:w="2889" w:type="dxa"/>
            <w:vMerge w:val="continue"/>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Attn:</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The Directors / Stelios Haralambous</w:t>
            </w:r>
          </w:p>
        </w:tc>
      </w:tr>
      <w:tr>
        <w:trPr>
          <w:trHeight w:val="120" w:hRule="atLeast"/>
        </w:trPr>
        <w:tc>
          <w:tcPr>
            <w:tcW w:w="2889" w:type="dxa"/>
            <w:tcBorders/>
            <w:shd w:fill="auto" w:val="clear"/>
            <w:vAlign w:val="center"/>
          </w:tcPr>
          <w:p>
            <w:pPr>
              <w:pStyle w:val="TableContents"/>
              <w:spacing w:before="0" w:after="283"/>
              <w:rPr>
                <w:sz w:val="4"/>
                <w:szCs w:val="4"/>
              </w:rPr>
            </w:pPr>
            <w:r>
              <w:rPr>
                <w:sz w:val="4"/>
                <w:szCs w:val="4"/>
              </w:rPr>
            </w:r>
          </w:p>
        </w:tc>
        <w:tc>
          <w:tcPr>
            <w:tcW w:w="7316" w:type="dxa"/>
            <w:gridSpan w:val="4"/>
            <w:tcBorders/>
            <w:shd w:fill="auto" w:val="clear"/>
            <w:vAlign w:val="center"/>
          </w:tcPr>
          <w:p>
            <w:pPr>
              <w:pStyle w:val="TableContents"/>
              <w:spacing w:before="0" w:after="283"/>
              <w:rPr>
                <w:sz w:val="4"/>
                <w:szCs w:val="4"/>
              </w:rPr>
            </w:pPr>
            <w:r>
              <w:rPr>
                <w:sz w:val="4"/>
                <w:szCs w:val="4"/>
              </w:rPr>
            </w:r>
          </w:p>
        </w:tc>
      </w:tr>
      <w:tr>
        <w:trPr/>
        <w:tc>
          <w:tcPr>
            <w:tcW w:w="2889" w:type="dxa"/>
            <w:tcBorders/>
            <w:shd w:fill="auto" w:val="clear"/>
            <w:vAlign w:val="bottom"/>
          </w:tcPr>
          <w:p>
            <w:pPr>
              <w:pStyle w:val="TableContents"/>
              <w:spacing w:before="0" w:after="283"/>
              <w:jc w:val="center"/>
              <w:rPr>
                <w:b/>
              </w:rPr>
            </w:pPr>
            <w:r>
              <w:rPr>
                <w:b/>
              </w:rPr>
              <w:t>Borrower</w:t>
            </w:r>
          </w:p>
        </w:tc>
        <w:tc>
          <w:tcPr>
            <w:tcW w:w="305" w:type="dxa"/>
            <w:tcBorders/>
            <w:shd w:fill="auto" w:val="clear"/>
            <w:vAlign w:val="bottom"/>
          </w:tcPr>
          <w:p>
            <w:pPr>
              <w:pStyle w:val="TableContents"/>
              <w:spacing w:before="0" w:after="283"/>
              <w:rPr/>
            </w:pPr>
            <w:r>
              <w:rPr/>
              <w:t>  </w:t>
            </w:r>
          </w:p>
        </w:tc>
        <w:tc>
          <w:tcPr>
            <w:tcW w:w="7011" w:type="dxa"/>
            <w:gridSpan w:val="3"/>
            <w:tcBorders/>
            <w:shd w:fill="auto" w:val="clear"/>
            <w:vAlign w:val="bottom"/>
          </w:tcPr>
          <w:p>
            <w:pPr>
              <w:pStyle w:val="TableContents"/>
              <w:spacing w:before="0" w:after="283"/>
              <w:rPr>
                <w:sz w:val="4"/>
                <w:szCs w:val="4"/>
              </w:rPr>
            </w:pPr>
            <w:r>
              <w:rPr>
                <w:sz w:val="4"/>
                <w:szCs w:val="4"/>
              </w:rPr>
            </w:r>
          </w:p>
        </w:tc>
      </w:tr>
      <w:tr>
        <w:trPr>
          <w:trHeight w:val="120" w:hRule="atLeast"/>
        </w:trPr>
        <w:tc>
          <w:tcPr>
            <w:tcW w:w="2889" w:type="dxa"/>
            <w:tcBorders/>
            <w:shd w:fill="auto" w:val="clear"/>
            <w:vAlign w:val="center"/>
          </w:tcPr>
          <w:p>
            <w:pPr>
              <w:pStyle w:val="TableContents"/>
              <w:spacing w:before="0" w:after="283"/>
              <w:rPr>
                <w:sz w:val="4"/>
                <w:szCs w:val="4"/>
              </w:rPr>
            </w:pPr>
            <w:r>
              <w:rPr>
                <w:sz w:val="4"/>
                <w:szCs w:val="4"/>
              </w:rPr>
            </w:r>
          </w:p>
        </w:tc>
        <w:tc>
          <w:tcPr>
            <w:tcW w:w="1024" w:type="dxa"/>
            <w:gridSpan w:val="2"/>
            <w:tcBorders/>
            <w:shd w:fill="auto" w:val="clear"/>
            <w:vAlign w:val="center"/>
          </w:tcPr>
          <w:p>
            <w:pPr>
              <w:pStyle w:val="TableContents"/>
              <w:spacing w:before="0" w:after="283"/>
              <w:rPr>
                <w:sz w:val="4"/>
                <w:szCs w:val="4"/>
              </w:rPr>
            </w:pPr>
            <w:r>
              <w:rPr>
                <w:sz w:val="4"/>
                <w:szCs w:val="4"/>
              </w:rPr>
            </w:r>
          </w:p>
        </w:tc>
        <w:tc>
          <w:tcPr>
            <w:tcW w:w="6292" w:type="dxa"/>
            <w:gridSpan w:val="2"/>
            <w:tcBorders/>
            <w:shd w:fill="auto" w:val="clear"/>
            <w:vAlign w:val="center"/>
          </w:tcPr>
          <w:p>
            <w:pPr>
              <w:pStyle w:val="TableContents"/>
              <w:spacing w:before="0" w:after="283"/>
              <w:rPr>
                <w:sz w:val="4"/>
                <w:szCs w:val="4"/>
              </w:rPr>
            </w:pPr>
            <w:r>
              <w:rPr>
                <w:sz w:val="4"/>
                <w:szCs w:val="4"/>
              </w:rPr>
            </w:r>
          </w:p>
        </w:tc>
      </w:tr>
      <w:tr>
        <w:trPr/>
        <w:tc>
          <w:tcPr>
            <w:tcW w:w="2889" w:type="dxa"/>
            <w:vMerge w:val="restart"/>
            <w:tcBorders/>
            <w:shd w:fill="auto" w:val="clear"/>
            <w:vAlign w:val="bottom"/>
          </w:tcPr>
          <w:p>
            <w:pPr>
              <w:pStyle w:val="TableContents"/>
              <w:spacing w:before="0" w:after="283"/>
              <w:jc w:val="center"/>
              <w:rPr>
                <w:b/>
              </w:rPr>
            </w:pPr>
            <w:r>
              <w:rPr>
                <w:b/>
              </w:rPr>
              <w:t>ZEMENIK LIMITED LIABILITY COMPANY</w:t>
            </w:r>
          </w:p>
        </w:tc>
        <w:tc>
          <w:tcPr>
            <w:tcW w:w="305" w:type="dxa"/>
            <w:tcBorders/>
            <w:shd w:fill="auto" w:val="clear"/>
            <w:vAlign w:val="bottom"/>
          </w:tcPr>
          <w:p>
            <w:pPr>
              <w:pStyle w:val="TableContents"/>
              <w:spacing w:before="0" w:after="283"/>
              <w:rPr/>
            </w:pPr>
            <w:r>
              <w:rPr/>
              <w:t>  </w:t>
            </w:r>
          </w:p>
        </w:tc>
        <w:tc>
          <w:tcPr>
            <w:tcW w:w="719" w:type="dxa"/>
            <w:tcBorders/>
            <w:shd w:fill="auto" w:val="clear"/>
          </w:tcPr>
          <w:p>
            <w:pPr>
              <w:pStyle w:val="TableContents"/>
              <w:spacing w:before="0" w:after="0"/>
              <w:rPr>
                <w:rFonts w:ascii="Times New Roman" w:hAnsi="Times New Roman"/>
                <w:sz w:val="20"/>
              </w:rPr>
            </w:pPr>
            <w:r>
              <w:rPr>
                <w:rFonts w:ascii="Times New Roman" w:hAnsi="Times New Roman"/>
                <w:sz w:val="20"/>
              </w:rPr>
              <w:t>Address:</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 Akademika Ilyushina St., bld. 1, office 54,</w:t>
            </w:r>
          </w:p>
          <w:p>
            <w:pPr>
              <w:pStyle w:val="TableContents"/>
              <w:spacing w:before="0" w:after="20"/>
              <w:rPr>
                <w:rFonts w:ascii="Times New Roman" w:hAnsi="Times New Roman"/>
                <w:sz w:val="20"/>
              </w:rPr>
            </w:pPr>
            <w:r>
              <w:rPr>
                <w:rFonts w:ascii="Times New Roman" w:hAnsi="Times New Roman"/>
                <w:sz w:val="20"/>
              </w:rPr>
              <w:t>Moscow, the Russian Federation, 125319</w:t>
            </w:r>
          </w:p>
        </w:tc>
      </w:tr>
      <w:tr>
        <w:trPr/>
        <w:tc>
          <w:tcPr>
            <w:tcW w:w="2889" w:type="dxa"/>
            <w:vMerge w:val="continue"/>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Fax:</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+7 495 974-64-27</w:t>
            </w:r>
          </w:p>
        </w:tc>
      </w:tr>
      <w:tr>
        <w:trPr/>
        <w:tc>
          <w:tcPr>
            <w:tcW w:w="2889" w:type="dxa"/>
            <w:vMerge w:val="continue"/>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Email:</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karen.agayan@arpartners.ru</w:t>
            </w:r>
          </w:p>
        </w:tc>
      </w:tr>
      <w:tr>
        <w:trPr/>
        <w:tc>
          <w:tcPr>
            <w:tcW w:w="2889" w:type="dxa"/>
            <w:vMerge w:val="continue"/>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Attn:</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Karen Eduardovich Agayan</w:t>
            </w:r>
          </w:p>
        </w:tc>
      </w:tr>
      <w:tr>
        <w:trPr>
          <w:trHeight w:val="120" w:hRule="atLeast"/>
        </w:trPr>
        <w:tc>
          <w:tcPr>
            <w:tcW w:w="2889" w:type="dxa"/>
            <w:tcBorders/>
            <w:shd w:fill="auto" w:val="clear"/>
            <w:vAlign w:val="center"/>
          </w:tcPr>
          <w:p>
            <w:pPr>
              <w:pStyle w:val="TableContents"/>
              <w:spacing w:before="0" w:after="283"/>
              <w:rPr>
                <w:sz w:val="4"/>
                <w:szCs w:val="4"/>
              </w:rPr>
            </w:pPr>
            <w:r>
              <w:rPr>
                <w:sz w:val="4"/>
                <w:szCs w:val="4"/>
              </w:rPr>
            </w:r>
          </w:p>
        </w:tc>
        <w:tc>
          <w:tcPr>
            <w:tcW w:w="7316" w:type="dxa"/>
            <w:gridSpan w:val="4"/>
            <w:tcBorders/>
            <w:shd w:fill="auto" w:val="clear"/>
            <w:vAlign w:val="center"/>
          </w:tcPr>
          <w:p>
            <w:pPr>
              <w:pStyle w:val="TableContents"/>
              <w:spacing w:before="0" w:after="283"/>
              <w:rPr>
                <w:sz w:val="4"/>
                <w:szCs w:val="4"/>
              </w:rPr>
            </w:pPr>
            <w:r>
              <w:rPr>
                <w:sz w:val="4"/>
                <w:szCs w:val="4"/>
              </w:rPr>
            </w:r>
          </w:p>
        </w:tc>
      </w:tr>
      <w:tr>
        <w:trPr/>
        <w:tc>
          <w:tcPr>
            <w:tcW w:w="2889" w:type="dxa"/>
            <w:tcBorders/>
            <w:shd w:fill="auto" w:val="clear"/>
            <w:vAlign w:val="bottom"/>
          </w:tcPr>
          <w:p>
            <w:pPr>
              <w:pStyle w:val="TableContents"/>
              <w:spacing w:before="0" w:after="283"/>
              <w:jc w:val="center"/>
              <w:rPr>
                <w:b/>
              </w:rPr>
            </w:pPr>
            <w:r>
              <w:rPr>
                <w:b/>
              </w:rPr>
              <w:t>Original Lender</w:t>
            </w:r>
          </w:p>
        </w:tc>
        <w:tc>
          <w:tcPr>
            <w:tcW w:w="305" w:type="dxa"/>
            <w:tcBorders/>
            <w:shd w:fill="auto" w:val="clear"/>
            <w:vAlign w:val="bottom"/>
          </w:tcPr>
          <w:p>
            <w:pPr>
              <w:pStyle w:val="TableContents"/>
              <w:spacing w:before="0" w:after="283"/>
              <w:rPr/>
            </w:pPr>
            <w:r>
              <w:rPr/>
              <w:t>  </w:t>
            </w:r>
          </w:p>
        </w:tc>
        <w:tc>
          <w:tcPr>
            <w:tcW w:w="7011" w:type="dxa"/>
            <w:gridSpan w:val="3"/>
            <w:tcBorders/>
            <w:shd w:fill="auto" w:val="clear"/>
            <w:vAlign w:val="bottom"/>
          </w:tcPr>
          <w:p>
            <w:pPr>
              <w:pStyle w:val="TableContents"/>
              <w:spacing w:before="0" w:after="283"/>
              <w:rPr>
                <w:sz w:val="4"/>
                <w:szCs w:val="4"/>
              </w:rPr>
            </w:pPr>
            <w:r>
              <w:rPr>
                <w:sz w:val="4"/>
                <w:szCs w:val="4"/>
              </w:rPr>
            </w:r>
          </w:p>
        </w:tc>
      </w:tr>
      <w:tr>
        <w:trPr>
          <w:trHeight w:val="120" w:hRule="atLeast"/>
        </w:trPr>
        <w:tc>
          <w:tcPr>
            <w:tcW w:w="2889" w:type="dxa"/>
            <w:tcBorders/>
            <w:shd w:fill="auto" w:val="clear"/>
            <w:vAlign w:val="center"/>
          </w:tcPr>
          <w:p>
            <w:pPr>
              <w:pStyle w:val="TableContents"/>
              <w:spacing w:before="0" w:after="283"/>
              <w:rPr>
                <w:sz w:val="4"/>
                <w:szCs w:val="4"/>
              </w:rPr>
            </w:pPr>
            <w:r>
              <w:rPr>
                <w:sz w:val="4"/>
                <w:szCs w:val="4"/>
              </w:rPr>
            </w:r>
          </w:p>
        </w:tc>
        <w:tc>
          <w:tcPr>
            <w:tcW w:w="1024" w:type="dxa"/>
            <w:gridSpan w:val="2"/>
            <w:tcBorders/>
            <w:shd w:fill="auto" w:val="clear"/>
            <w:vAlign w:val="center"/>
          </w:tcPr>
          <w:p>
            <w:pPr>
              <w:pStyle w:val="TableContents"/>
              <w:spacing w:before="0" w:after="283"/>
              <w:rPr>
                <w:sz w:val="4"/>
                <w:szCs w:val="4"/>
              </w:rPr>
            </w:pPr>
            <w:r>
              <w:rPr>
                <w:sz w:val="4"/>
                <w:szCs w:val="4"/>
              </w:rPr>
            </w:r>
          </w:p>
        </w:tc>
        <w:tc>
          <w:tcPr>
            <w:tcW w:w="6292" w:type="dxa"/>
            <w:gridSpan w:val="2"/>
            <w:tcBorders/>
            <w:shd w:fill="auto" w:val="clear"/>
            <w:vAlign w:val="center"/>
          </w:tcPr>
          <w:p>
            <w:pPr>
              <w:pStyle w:val="TableContents"/>
              <w:spacing w:before="0" w:after="283"/>
              <w:rPr>
                <w:sz w:val="4"/>
                <w:szCs w:val="4"/>
              </w:rPr>
            </w:pPr>
            <w:r>
              <w:rPr>
                <w:sz w:val="4"/>
                <w:szCs w:val="4"/>
              </w:rPr>
            </w:r>
          </w:p>
        </w:tc>
      </w:tr>
      <w:tr>
        <w:trPr/>
        <w:tc>
          <w:tcPr>
            <w:tcW w:w="2889" w:type="dxa"/>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43 Vorontsovskaya St., bld. 1, Moscow, 109147</w:t>
            </w:r>
          </w:p>
        </w:tc>
      </w:tr>
      <w:tr>
        <w:trPr/>
        <w:tc>
          <w:tcPr>
            <w:tcW w:w="2889" w:type="dxa"/>
            <w:tcBorders/>
            <w:shd w:fill="auto" w:val="clear"/>
            <w:vAlign w:val="bottom"/>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Fax:</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+7 495 775-54-54</w:t>
            </w:r>
          </w:p>
        </w:tc>
      </w:tr>
      <w:tr>
        <w:trPr>
          <w:trHeight w:val="120" w:hRule="atLeast"/>
        </w:trPr>
        <w:tc>
          <w:tcPr>
            <w:tcW w:w="2889" w:type="dxa"/>
            <w:tcBorders/>
            <w:shd w:fill="auto" w:val="clear"/>
            <w:vAlign w:val="center"/>
          </w:tcPr>
          <w:p>
            <w:pPr>
              <w:pStyle w:val="TableContents"/>
              <w:spacing w:before="0" w:after="283"/>
              <w:rPr>
                <w:sz w:val="4"/>
                <w:szCs w:val="4"/>
              </w:rPr>
            </w:pPr>
            <w:r>
              <w:rPr>
                <w:sz w:val="4"/>
                <w:szCs w:val="4"/>
              </w:rPr>
            </w:r>
          </w:p>
        </w:tc>
        <w:tc>
          <w:tcPr>
            <w:tcW w:w="1024" w:type="dxa"/>
            <w:gridSpan w:val="2"/>
            <w:tcBorders/>
            <w:shd w:fill="auto" w:val="clear"/>
            <w:vAlign w:val="center"/>
          </w:tcPr>
          <w:p>
            <w:pPr>
              <w:pStyle w:val="TableContents"/>
              <w:spacing w:before="0" w:after="283"/>
              <w:rPr>
                <w:sz w:val="4"/>
                <w:szCs w:val="4"/>
              </w:rPr>
            </w:pPr>
            <w:r>
              <w:rPr>
                <w:sz w:val="4"/>
                <w:szCs w:val="4"/>
              </w:rPr>
            </w:r>
          </w:p>
        </w:tc>
        <w:tc>
          <w:tcPr>
            <w:tcW w:w="6292" w:type="dxa"/>
            <w:gridSpan w:val="2"/>
            <w:tcBorders/>
            <w:shd w:fill="auto" w:val="clear"/>
            <w:vAlign w:val="center"/>
          </w:tcPr>
          <w:p>
            <w:pPr>
              <w:pStyle w:val="TableContents"/>
              <w:spacing w:before="0" w:after="283"/>
              <w:rPr>
                <w:sz w:val="4"/>
                <w:szCs w:val="4"/>
              </w:rPr>
            </w:pPr>
            <w:r>
              <w:rPr>
                <w:sz w:val="4"/>
                <w:szCs w:val="4"/>
              </w:rPr>
            </w:r>
          </w:p>
        </w:tc>
      </w:tr>
      <w:tr>
        <w:trPr/>
        <w:tc>
          <w:tcPr>
            <w:tcW w:w="2889" w:type="dxa"/>
            <w:tcBorders/>
            <w:shd w:fill="auto" w:val="clear"/>
            <w:vAlign w:val="bottom"/>
          </w:tcPr>
          <w:p>
            <w:pPr>
              <w:pStyle w:val="TableContents"/>
              <w:spacing w:before="0" w:after="283"/>
              <w:jc w:val="center"/>
              <w:rPr>
                <w:b/>
              </w:rPr>
            </w:pPr>
            <w:r>
              <w:rPr>
                <w:b/>
              </w:rPr>
              <w:t>BANK VTB (PUBLIC JOINT-</w:t>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Email:</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loanadmin@msk.vtb.ru,TM21@msk.vtb.ru</w:t>
            </w:r>
          </w:p>
        </w:tc>
      </w:tr>
      <w:tr>
        <w:trPr/>
        <w:tc>
          <w:tcPr>
            <w:tcW w:w="2889" w:type="dxa"/>
            <w:tcBorders/>
            <w:shd w:fill="auto" w:val="clear"/>
            <w:vAlign w:val="bottom"/>
          </w:tcPr>
          <w:p>
            <w:pPr>
              <w:pStyle w:val="TableContents"/>
              <w:spacing w:before="0" w:after="283"/>
              <w:jc w:val="center"/>
              <w:rPr>
                <w:b/>
              </w:rPr>
            </w:pPr>
            <w:r>
              <w:rPr>
                <w:b/>
              </w:rPr>
              <w:t>STOCK COMPANY)</w:t>
            </w:r>
          </w:p>
        </w:tc>
        <w:tc>
          <w:tcPr>
            <w:tcW w:w="305" w:type="dxa"/>
            <w:tcBorders/>
            <w:shd w:fill="auto" w:val="clear"/>
            <w:vAlign w:val="bottom"/>
          </w:tcPr>
          <w:p>
            <w:pPr>
              <w:pStyle w:val="TableContents"/>
              <w:spacing w:before="0" w:after="283"/>
              <w:rPr/>
            </w:pPr>
            <w:r>
              <w:rPr/>
              <w:t>  </w:t>
            </w:r>
          </w:p>
        </w:tc>
        <w:tc>
          <w:tcPr>
            <w:tcW w:w="719"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Attn:</w:t>
            </w:r>
          </w:p>
        </w:tc>
        <w:tc>
          <w:tcPr>
            <w:tcW w:w="120" w:type="dxa"/>
            <w:tcBorders/>
            <w:shd w:fill="auto" w:val="clear"/>
            <w:vAlign w:val="bottom"/>
          </w:tcPr>
          <w:p>
            <w:pPr>
              <w:pStyle w:val="TableContents"/>
              <w:spacing w:before="0" w:after="283"/>
              <w:rPr/>
            </w:pPr>
            <w:r>
              <w:rPr/>
              <w:t>  </w:t>
            </w:r>
          </w:p>
        </w:tc>
        <w:tc>
          <w:tcPr>
            <w:tcW w:w="617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Credit Authority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w:t>
      </w:r>
    </w:p>
    <w:p>
      <w:pPr>
        <w:pStyle w:val="TextBody"/>
        <w:spacing w:before="240" w:after="0"/>
        <w:rPr>
          <w:rFonts w:ascii="Times New Roman" w:hAnsi="Times New Roman"/>
          <w:b/>
          <w:sz w:val="20"/>
        </w:rPr>
      </w:pPr>
      <w:r>
        <w:rPr>
          <w:rFonts w:ascii="Times New Roman" w:hAnsi="Times New Roman"/>
          <w:b/>
          <w:sz w:val="20"/>
        </w:rPr>
        <w:t xml:space="preserve">Guarantor </w:t>
      </w:r>
    </w:p>
    <w:p>
      <w:pPr>
        <w:pStyle w:val="TextBody"/>
        <w:spacing w:before="120" w:after="0"/>
        <w:rPr>
          <w:rFonts w:ascii="Times New Roman" w:hAnsi="Times New Roman"/>
          <w:b/>
          <w:sz w:val="20"/>
        </w:rPr>
      </w:pPr>
      <w:r>
        <w:rPr>
          <w:rFonts w:ascii="Times New Roman" w:hAnsi="Times New Roman"/>
          <w:b/>
          <w:sz w:val="20"/>
        </w:rPr>
        <w:t xml:space="preserve">LIMITED LIABILITY COMPANY </w:t>
      </w:r>
    </w:p>
    <w:p>
      <w:pPr>
        <w:pStyle w:val="TextBody"/>
        <w:spacing w:before="0" w:after="0"/>
        <w:rPr>
          <w:rFonts w:ascii="Times New Roman" w:hAnsi="Times New Roman"/>
          <w:b/>
          <w:sz w:val="20"/>
        </w:rPr>
      </w:pPr>
      <w:r>
        <w:rPr>
          <w:rFonts w:ascii="Times New Roman" w:hAnsi="Times New Roman"/>
          <w:b/>
          <w:sz w:val="20"/>
        </w:rPr>
        <w:t xml:space="preserve">HEADHUNTER FSU LIMITED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911"/>
        <w:gridCol w:w="322"/>
        <w:gridCol w:w="8972"/>
      </w:tblGrid>
      <w:tr>
        <w:trPr/>
        <w:tc>
          <w:tcPr>
            <w:tcW w:w="911" w:type="dxa"/>
            <w:tcBorders/>
            <w:shd w:fill="auto" w:val="clear"/>
            <w:vAlign w:val="center"/>
          </w:tcPr>
          <w:p>
            <w:pPr>
              <w:pStyle w:val="TableContents"/>
              <w:spacing w:before="0" w:after="283"/>
              <w:rPr>
                <w:sz w:val="4"/>
                <w:szCs w:val="4"/>
              </w:rPr>
            </w:pPr>
            <w:r>
              <w:rPr>
                <w:sz w:val="4"/>
                <w:szCs w:val="4"/>
              </w:rPr>
            </w:r>
          </w:p>
        </w:tc>
        <w:tc>
          <w:tcPr>
            <w:tcW w:w="322" w:type="dxa"/>
            <w:tcBorders/>
            <w:shd w:fill="auto" w:val="clear"/>
            <w:vAlign w:val="bottom"/>
          </w:tcPr>
          <w:p>
            <w:pPr>
              <w:pStyle w:val="TableContents"/>
              <w:spacing w:before="0" w:after="283"/>
              <w:rPr>
                <w:sz w:val="4"/>
                <w:szCs w:val="4"/>
              </w:rPr>
            </w:pPr>
            <w:r>
              <w:rPr>
                <w:sz w:val="4"/>
                <w:szCs w:val="4"/>
              </w:rPr>
            </w:r>
          </w:p>
        </w:tc>
        <w:tc>
          <w:tcPr>
            <w:tcW w:w="8972" w:type="dxa"/>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vAlign w:val="bottom"/>
          </w:tcPr>
          <w:p>
            <w:pPr>
              <w:pStyle w:val="TableContents"/>
              <w:spacing w:before="0" w:after="283"/>
              <w:rPr/>
            </w:pPr>
            <w:r>
              <w:rPr/>
              <w:t>Signature:</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283"/>
              <w:rPr>
                <w:i/>
              </w:rPr>
            </w:pPr>
            <w:r>
              <w:rPr>
                <w:i/>
              </w:rPr>
              <w:t>/signature/</w:t>
            </w:r>
          </w:p>
        </w:tc>
      </w:tr>
      <w:tr>
        <w:trPr>
          <w:trHeight w:val="120" w:hRule="atLeast"/>
        </w:trPr>
        <w:tc>
          <w:tcPr>
            <w:tcW w:w="911" w:type="dxa"/>
            <w:tcBorders/>
            <w:shd w:fill="auto" w:val="clear"/>
            <w:vAlign w:val="center"/>
          </w:tcPr>
          <w:p>
            <w:pPr>
              <w:pStyle w:val="TableContents"/>
              <w:spacing w:before="0" w:after="283"/>
              <w:rPr>
                <w:sz w:val="4"/>
                <w:szCs w:val="4"/>
              </w:rPr>
            </w:pPr>
            <w:r>
              <w:rPr>
                <w:sz w:val="4"/>
                <w:szCs w:val="4"/>
              </w:rPr>
            </w:r>
          </w:p>
        </w:tc>
        <w:tc>
          <w:tcPr>
            <w:tcW w:w="9294" w:type="dxa"/>
            <w:gridSpan w:val="2"/>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vAlign w:val="bottom"/>
          </w:tcPr>
          <w:p>
            <w:pPr>
              <w:pStyle w:val="TableContents"/>
              <w:spacing w:before="0" w:after="283"/>
              <w:rPr/>
            </w:pPr>
            <w:r>
              <w:rPr/>
              <w:t>Full name:</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283"/>
              <w:rPr>
                <w:i/>
              </w:rPr>
            </w:pPr>
            <w:r>
              <w:rPr>
                <w:i/>
              </w:rPr>
              <w:t>Kuterina Iosif</w:t>
            </w:r>
          </w:p>
        </w:tc>
      </w:tr>
      <w:tr>
        <w:trPr>
          <w:trHeight w:val="120" w:hRule="atLeast"/>
        </w:trPr>
        <w:tc>
          <w:tcPr>
            <w:tcW w:w="911" w:type="dxa"/>
            <w:tcBorders/>
            <w:shd w:fill="auto" w:val="clear"/>
            <w:vAlign w:val="center"/>
          </w:tcPr>
          <w:p>
            <w:pPr>
              <w:pStyle w:val="TableContents"/>
              <w:spacing w:before="0" w:after="283"/>
              <w:rPr>
                <w:sz w:val="4"/>
                <w:szCs w:val="4"/>
              </w:rPr>
            </w:pPr>
            <w:r>
              <w:rPr>
                <w:sz w:val="4"/>
                <w:szCs w:val="4"/>
              </w:rPr>
            </w:r>
          </w:p>
        </w:tc>
        <w:tc>
          <w:tcPr>
            <w:tcW w:w="9294" w:type="dxa"/>
            <w:gridSpan w:val="2"/>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vAlign w:val="bottom"/>
          </w:tcPr>
          <w:p>
            <w:pPr>
              <w:pStyle w:val="TableContents"/>
              <w:spacing w:before="0" w:after="283"/>
              <w:rPr/>
            </w:pPr>
            <w:r>
              <w:rPr/>
              <w:t>Position:</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283"/>
              <w:rPr/>
            </w:pPr>
            <w:r>
              <w:rPr/>
              <w:t>Director</w:t>
            </w:r>
          </w:p>
        </w:tc>
      </w:tr>
      <w:tr>
        <w:trPr>
          <w:trHeight w:val="120" w:hRule="atLeast"/>
        </w:trPr>
        <w:tc>
          <w:tcPr>
            <w:tcW w:w="911" w:type="dxa"/>
            <w:tcBorders/>
            <w:shd w:fill="auto" w:val="clear"/>
            <w:vAlign w:val="center"/>
          </w:tcPr>
          <w:p>
            <w:pPr>
              <w:pStyle w:val="TableContents"/>
              <w:spacing w:before="0" w:after="283"/>
              <w:rPr>
                <w:sz w:val="4"/>
                <w:szCs w:val="4"/>
              </w:rPr>
            </w:pPr>
            <w:r>
              <w:rPr>
                <w:sz w:val="4"/>
                <w:szCs w:val="4"/>
              </w:rPr>
            </w:r>
          </w:p>
        </w:tc>
        <w:tc>
          <w:tcPr>
            <w:tcW w:w="9294" w:type="dxa"/>
            <w:gridSpan w:val="2"/>
            <w:tcBorders/>
            <w:shd w:fill="auto" w:val="clear"/>
            <w:vAlign w:val="center"/>
          </w:tcPr>
          <w:p>
            <w:pPr>
              <w:pStyle w:val="TableContents"/>
              <w:spacing w:before="0" w:after="283"/>
              <w:rPr>
                <w:sz w:val="4"/>
                <w:szCs w:val="4"/>
              </w:rPr>
            </w:pPr>
            <w:r>
              <w:rPr>
                <w:sz w:val="4"/>
                <w:szCs w:val="4"/>
              </w:rPr>
            </w:r>
          </w:p>
        </w:tc>
      </w:tr>
      <w:tr>
        <w:trPr/>
        <w:tc>
          <w:tcPr>
            <w:tcW w:w="911" w:type="dxa"/>
            <w:tcBorders/>
            <w:shd w:fill="auto" w:val="clear"/>
            <w:vAlign w:val="bottom"/>
          </w:tcPr>
          <w:p>
            <w:pPr>
              <w:pStyle w:val="TableContents"/>
              <w:spacing w:before="0" w:after="283"/>
              <w:rPr/>
            </w:pPr>
            <w:r>
              <w:rPr/>
              <w:t>Witness:</w:t>
            </w:r>
          </w:p>
        </w:tc>
        <w:tc>
          <w:tcPr>
            <w:tcW w:w="322" w:type="dxa"/>
            <w:tcBorders/>
            <w:shd w:fill="auto" w:val="clear"/>
            <w:vAlign w:val="bottom"/>
          </w:tcPr>
          <w:p>
            <w:pPr>
              <w:pStyle w:val="TableContents"/>
              <w:spacing w:before="0" w:after="283"/>
              <w:rPr/>
            </w:pPr>
            <w:r>
              <w:rPr/>
              <w:t>  </w:t>
            </w:r>
          </w:p>
        </w:tc>
        <w:tc>
          <w:tcPr>
            <w:tcW w:w="8972" w:type="dxa"/>
            <w:tcBorders/>
            <w:shd w:fill="auto" w:val="clear"/>
            <w:vAlign w:val="bottom"/>
          </w:tcPr>
          <w:p>
            <w:pPr>
              <w:pStyle w:val="TableContents"/>
              <w:spacing w:before="0" w:after="0"/>
              <w:rPr>
                <w:rFonts w:ascii="Times New Roman" w:hAnsi="Times New Roman"/>
                <w:sz w:val="20"/>
              </w:rPr>
            </w:pPr>
            <w:r>
              <w:rPr>
                <w:rFonts w:ascii="Times New Roman" w:hAnsi="Times New Roman"/>
                <w:i/>
                <w:sz w:val="20"/>
              </w:rPr>
              <w:t>/signature/</w:t>
            </w:r>
            <w:r>
              <w:rPr>
                <w:rFonts w:ascii="Times New Roman" w:hAnsi="Times New Roman"/>
                <w:sz w:val="20"/>
              </w:rPr>
              <w:t xml:space="preserve"> </w:t>
            </w:r>
          </w:p>
          <w:p>
            <w:pPr>
              <w:pStyle w:val="TableContents"/>
              <w:spacing w:before="0" w:after="20"/>
              <w:rPr>
                <w:rFonts w:ascii="Times New Roman" w:hAnsi="Times New Roman"/>
                <w:i/>
                <w:sz w:val="20"/>
              </w:rPr>
            </w:pPr>
            <w:r>
              <w:rPr>
                <w:rFonts w:ascii="Times New Roman" w:hAnsi="Times New Roman"/>
                <w:i/>
                <w:sz w:val="20"/>
              </w:rPr>
              <w:t>Marina Koskiri</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In accordance with Article 371 of the Civil Code, the consent to the amendments to the Guarantee is granted by: </w:t>
      </w:r>
    </w:p>
    <w:p>
      <w:pPr>
        <w:pStyle w:val="TextBody"/>
        <w:spacing w:before="120" w:after="0"/>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3"/>
        <w:gridCol w:w="317"/>
        <w:gridCol w:w="8995"/>
      </w:tblGrid>
      <w:tr>
        <w:trPr/>
        <w:tc>
          <w:tcPr>
            <w:tcW w:w="893" w:type="dxa"/>
            <w:tcBorders/>
            <w:shd w:fill="auto" w:val="clear"/>
            <w:vAlign w:val="center"/>
          </w:tcPr>
          <w:p>
            <w:pPr>
              <w:pStyle w:val="TableContents"/>
              <w:spacing w:before="0" w:after="283"/>
              <w:rPr>
                <w:sz w:val="4"/>
                <w:szCs w:val="4"/>
              </w:rPr>
            </w:pPr>
            <w:r>
              <w:rPr>
                <w:sz w:val="4"/>
                <w:szCs w:val="4"/>
              </w:rPr>
            </w:r>
          </w:p>
        </w:tc>
        <w:tc>
          <w:tcPr>
            <w:tcW w:w="317" w:type="dxa"/>
            <w:tcBorders/>
            <w:shd w:fill="auto" w:val="clear"/>
            <w:vAlign w:val="bottom"/>
          </w:tcPr>
          <w:p>
            <w:pPr>
              <w:pStyle w:val="TableContents"/>
              <w:spacing w:before="0" w:after="283"/>
              <w:rPr>
                <w:sz w:val="4"/>
                <w:szCs w:val="4"/>
              </w:rPr>
            </w:pPr>
            <w:r>
              <w:rPr>
                <w:sz w:val="4"/>
                <w:szCs w:val="4"/>
              </w:rPr>
            </w:r>
          </w:p>
        </w:tc>
        <w:tc>
          <w:tcPr>
            <w:tcW w:w="8995" w:type="dxa"/>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Signature: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i/>
              </w:rPr>
            </w:pPr>
            <w:r>
              <w:rPr>
                <w:i/>
              </w:rPr>
              <w:t>/signature/</w:t>
            </w:r>
          </w:p>
        </w:tc>
      </w:tr>
      <w:tr>
        <w:trPr>
          <w:trHeight w:val="12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Full name: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Vitaly Nikolaevich Buzoverya</w:t>
            </w:r>
          </w:p>
        </w:tc>
      </w:tr>
      <w:tr>
        <w:trPr>
          <w:trHeight w:val="12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Position:</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Attorney-in-Fact</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The following signatory agrees with the terms and conditions of the Amendments: </w:t>
      </w:r>
    </w:p>
    <w:p>
      <w:pPr>
        <w:pStyle w:val="TextBody"/>
        <w:spacing w:before="120" w:after="0"/>
        <w:rPr>
          <w:rFonts w:ascii="Times New Roman" w:hAnsi="Times New Roman"/>
          <w:b/>
          <w:sz w:val="20"/>
        </w:rPr>
      </w:pPr>
      <w:r>
        <w:rPr>
          <w:rFonts w:ascii="Times New Roman" w:hAnsi="Times New Roman"/>
          <w:b/>
          <w:sz w:val="20"/>
        </w:rPr>
        <w:t xml:space="preserve">ZEMENIK LIMITED LIABILITY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1"/>
        <w:gridCol w:w="318"/>
        <w:gridCol w:w="8996"/>
      </w:tblGrid>
      <w:tr>
        <w:trPr/>
        <w:tc>
          <w:tcPr>
            <w:tcW w:w="891" w:type="dxa"/>
            <w:tcBorders/>
            <w:shd w:fill="auto" w:val="clear"/>
            <w:vAlign w:val="center"/>
          </w:tcPr>
          <w:p>
            <w:pPr>
              <w:pStyle w:val="TableContents"/>
              <w:spacing w:before="0" w:after="283"/>
              <w:rPr>
                <w:sz w:val="4"/>
                <w:szCs w:val="4"/>
              </w:rPr>
            </w:pPr>
            <w:r>
              <w:rPr>
                <w:sz w:val="4"/>
                <w:szCs w:val="4"/>
              </w:rPr>
            </w:r>
          </w:p>
        </w:tc>
        <w:tc>
          <w:tcPr>
            <w:tcW w:w="318" w:type="dxa"/>
            <w:tcBorders/>
            <w:shd w:fill="auto" w:val="clear"/>
            <w:vAlign w:val="bottom"/>
          </w:tcPr>
          <w:p>
            <w:pPr>
              <w:pStyle w:val="TableContents"/>
              <w:spacing w:before="0" w:after="283"/>
              <w:rPr>
                <w:sz w:val="4"/>
                <w:szCs w:val="4"/>
              </w:rPr>
            </w:pPr>
            <w:r>
              <w:rPr>
                <w:sz w:val="4"/>
                <w:szCs w:val="4"/>
              </w:rPr>
            </w:r>
          </w:p>
        </w:tc>
        <w:tc>
          <w:tcPr>
            <w:tcW w:w="8996" w:type="dxa"/>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Signature: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i/>
              </w:rPr>
            </w:pPr>
            <w:r>
              <w:rPr>
                <w:i/>
              </w:rPr>
              <w:t>/signature/</w:t>
            </w:r>
          </w:p>
        </w:tc>
      </w:tr>
      <w:tr>
        <w:trPr>
          <w:trHeight w:val="12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Full name: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Karen Eduardovich Agayan</w:t>
            </w:r>
          </w:p>
        </w:tc>
      </w:tr>
      <w:tr>
        <w:trPr>
          <w:trHeight w:val="12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Position:</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General Director</w:t>
            </w:r>
          </w:p>
        </w:tc>
      </w:tr>
    </w:tbl>
    <w:p>
      <w:pPr>
        <w:pStyle w:val="TextBody"/>
        <w:spacing w:before="24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7714373561 </w:t>
      </w:r>
    </w:p>
    <w:p>
      <w:pPr>
        <w:pStyle w:val="TextBody"/>
        <w:spacing w:before="0" w:after="0"/>
        <w:jc w:val="center"/>
        <w:rPr>
          <w:rFonts w:ascii="Times New Roman" w:hAnsi="Times New Roman"/>
          <w:sz w:val="20"/>
        </w:rPr>
      </w:pPr>
      <w:r>
        <w:rPr>
          <w:rFonts w:ascii="Times New Roman" w:hAnsi="Times New Roman"/>
          <w:sz w:val="20"/>
        </w:rPr>
        <w:t xml:space="preserve">LIMITED LIABILITY COMPANY </w:t>
      </w:r>
    </w:p>
    <w:p>
      <w:pPr>
        <w:pStyle w:val="TextBody"/>
        <w:spacing w:before="0" w:after="0"/>
        <w:jc w:val="center"/>
        <w:rPr>
          <w:rFonts w:ascii="Times New Roman" w:hAnsi="Times New Roman"/>
          <w:sz w:val="20"/>
        </w:rPr>
      </w:pPr>
      <w:r>
        <w:rPr>
          <w:rFonts w:ascii="Times New Roman" w:hAnsi="Times New Roman"/>
          <w:sz w:val="20"/>
        </w:rPr>
        <w:t xml:space="preserve">Primary State Registration Number (OGRN) 1167746153860 </w:t>
      </w:r>
    </w:p>
    <w:p>
      <w:pPr>
        <w:pStyle w:val="TextBody"/>
        <w:spacing w:before="0" w:after="0"/>
        <w:jc w:val="center"/>
        <w:rPr>
          <w:rFonts w:ascii="Times New Roman" w:hAnsi="Times New Roman"/>
          <w:sz w:val="20"/>
        </w:rPr>
      </w:pPr>
      <w:r>
        <w:rPr>
          <w:rFonts w:ascii="Times New Roman" w:hAnsi="Times New Roman"/>
          <w:sz w:val="20"/>
        </w:rPr>
        <w:t xml:space="preserve">MOSCOW </w:t>
      </w:r>
    </w:p>
    <w:p>
      <w:pPr>
        <w:pStyle w:val="TextBody"/>
        <w:spacing w:before="0" w:after="0"/>
        <w:jc w:val="center"/>
        <w:rPr>
          <w:rFonts w:ascii="Times New Roman" w:hAnsi="Times New Roman"/>
          <w:sz w:val="20"/>
        </w:rPr>
      </w:pPr>
      <w:r>
        <w:rPr>
          <w:rFonts w:ascii="Times New Roman" w:hAnsi="Times New Roman"/>
          <w:sz w:val="20"/>
        </w:rPr>
        <w:t xml:space="preserve">Zemenik]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HERBERT </w:t>
      </w:r>
    </w:p>
    <w:p>
      <w:pPr>
        <w:pStyle w:val="TextBody"/>
        <w:spacing w:before="0" w:after="0"/>
        <w:rPr>
          <w:rFonts w:ascii="Times New Roman" w:hAnsi="Times New Roman"/>
          <w:sz w:val="20"/>
        </w:rPr>
      </w:pPr>
      <w:r>
        <w:rPr>
          <w:rFonts w:ascii="Times New Roman" w:hAnsi="Times New Roman"/>
          <w:sz w:val="20"/>
        </w:rPr>
        <w:t xml:space="preserve">SMITH </w:t>
      </w:r>
    </w:p>
    <w:p>
      <w:pPr>
        <w:pStyle w:val="TextBody"/>
        <w:spacing w:before="0" w:after="0"/>
        <w:rPr>
          <w:rFonts w:ascii="Times New Roman" w:hAnsi="Times New Roman"/>
          <w:sz w:val="20"/>
        </w:rPr>
      </w:pPr>
      <w:r>
        <w:rPr>
          <w:rFonts w:ascii="Times New Roman" w:hAnsi="Times New Roman"/>
          <w:sz w:val="20"/>
        </w:rPr>
        <w:t xml:space="preserve">FREEHILLS </w:t>
      </w:r>
    </w:p>
    <w:p>
      <w:pPr>
        <w:pStyle w:val="TextBody"/>
        <w:spacing w:before="240" w:after="0"/>
        <w:jc w:val="center"/>
        <w:rPr>
          <w:rFonts w:ascii="Times New Roman" w:hAnsi="Times New Roman"/>
          <w:sz w:val="20"/>
        </w:rPr>
      </w:pPr>
      <w:r>
        <w:rPr>
          <w:rFonts w:ascii="Times New Roman" w:hAnsi="Times New Roman"/>
          <w:sz w:val="20"/>
        </w:rPr>
        <w:t xml:space="preserve">77 A B 5271475 </w:t>
      </w:r>
    </w:p>
    <w:p>
      <w:pPr>
        <w:pStyle w:val="TextBody"/>
        <w:spacing w:before="240" w:after="0"/>
        <w:jc w:val="center"/>
        <w:rPr>
          <w:rFonts w:ascii="Times New Roman" w:hAnsi="Times New Roman"/>
          <w:b/>
          <w:sz w:val="20"/>
        </w:rPr>
      </w:pPr>
      <w:r>
        <w:rPr>
          <w:rFonts w:ascii="Times New Roman" w:hAnsi="Times New Roman"/>
          <w:b/>
          <w:sz w:val="20"/>
        </w:rPr>
        <w:t xml:space="preserve">October 5, 2017 </w:t>
      </w:r>
    </w:p>
    <w:p>
      <w:pPr>
        <w:pStyle w:val="TextBody"/>
        <w:spacing w:before="240" w:after="0"/>
        <w:jc w:val="center"/>
        <w:rPr>
          <w:rFonts w:ascii="Times New Roman" w:hAnsi="Times New Roman"/>
          <w:b/>
          <w:sz w:val="20"/>
        </w:rPr>
      </w:pPr>
      <w:r>
        <w:rPr>
          <w:rFonts w:ascii="Times New Roman" w:hAnsi="Times New Roman"/>
          <w:b/>
          <w:sz w:val="20"/>
        </w:rPr>
        <w:t xml:space="preserve">HEADHUNTER FSU LIMITED </w:t>
      </w:r>
    </w:p>
    <w:p>
      <w:pPr>
        <w:pStyle w:val="TextBody"/>
        <w:spacing w:before="240" w:after="0"/>
        <w:jc w:val="center"/>
        <w:rPr>
          <w:rFonts w:ascii="Times New Roman" w:hAnsi="Times New Roman"/>
          <w:sz w:val="20"/>
        </w:rPr>
      </w:pPr>
      <w:r>
        <w:rPr>
          <w:rFonts w:ascii="Times New Roman" w:hAnsi="Times New Roman"/>
          <w:sz w:val="20"/>
        </w:rPr>
        <w:t xml:space="preserve">as the Pledgor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240" w:after="0"/>
        <w:jc w:val="center"/>
        <w:rPr>
          <w:rFonts w:ascii="Times New Roman" w:hAnsi="Times New Roman"/>
          <w:sz w:val="20"/>
        </w:rPr>
      </w:pPr>
      <w:r>
        <w:rPr>
          <w:rFonts w:ascii="Times New Roman" w:hAnsi="Times New Roman"/>
          <w:sz w:val="20"/>
        </w:rPr>
        <w:t xml:space="preserve">as the Pledgee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120" w:after="0"/>
        <w:jc w:val="center"/>
        <w:rPr>
          <w:rFonts w:ascii="Times New Roman" w:hAnsi="Times New Roman"/>
          <w:b/>
          <w:sz w:val="20"/>
        </w:rPr>
      </w:pPr>
      <w:r>
        <w:rPr>
          <w:rFonts w:ascii="Times New Roman" w:hAnsi="Times New Roman"/>
          <w:b/>
          <w:sz w:val="20"/>
        </w:rPr>
        <w:t xml:space="preserve">AMENDMENT AGREEMENT No. 1 </w:t>
      </w:r>
    </w:p>
    <w:p>
      <w:pPr>
        <w:pStyle w:val="TextBody"/>
        <w:spacing w:before="0" w:after="0"/>
        <w:jc w:val="center"/>
        <w:rPr>
          <w:rFonts w:ascii="Times New Roman" w:hAnsi="Times New Roman"/>
          <w:b/>
          <w:sz w:val="20"/>
        </w:rPr>
      </w:pPr>
      <w:r>
        <w:rPr>
          <w:rFonts w:ascii="Times New Roman" w:hAnsi="Times New Roman"/>
          <w:b/>
          <w:sz w:val="20"/>
        </w:rPr>
        <w:t xml:space="preserve">to the Agreement of Pledge of a Participatory Interest in the Authorized Capital </w:t>
      </w:r>
    </w:p>
    <w:p>
      <w:pPr>
        <w:pStyle w:val="TextBody"/>
        <w:spacing w:before="0" w:after="0"/>
        <w:jc w:val="center"/>
        <w:rPr>
          <w:rFonts w:ascii="Times New Roman" w:hAnsi="Times New Roman"/>
          <w:b/>
          <w:sz w:val="20"/>
        </w:rPr>
      </w:pPr>
      <w:r>
        <w:rPr>
          <w:rFonts w:ascii="Times New Roman" w:hAnsi="Times New Roman"/>
          <w:b/>
          <w:sz w:val="20"/>
        </w:rPr>
        <w:t xml:space="preserve">of Headhunter LLC dated May 26,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12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20"/>
        <w:gridCol w:w="120"/>
        <w:gridCol w:w="9239"/>
        <w:gridCol w:w="217"/>
        <w:gridCol w:w="60"/>
        <w:gridCol w:w="140"/>
        <w:gridCol w:w="209"/>
      </w:tblGrid>
      <w:tr>
        <w:trPr/>
        <w:tc>
          <w:tcPr>
            <w:tcW w:w="2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9239"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40" w:type="dxa"/>
            <w:tcBorders/>
            <w:shd w:fill="auto" w:val="clear"/>
            <w:vAlign w:val="center"/>
          </w:tcPr>
          <w:p>
            <w:pPr>
              <w:pStyle w:val="TableContents"/>
              <w:spacing w:before="0" w:after="283"/>
              <w:rPr>
                <w:sz w:val="4"/>
                <w:szCs w:val="4"/>
              </w:rPr>
            </w:pPr>
            <w:r>
              <w:rPr>
                <w:sz w:val="4"/>
                <w:szCs w:val="4"/>
              </w:rPr>
            </w:r>
          </w:p>
        </w:tc>
        <w:tc>
          <w:tcPr>
            <w:tcW w:w="209" w:type="dxa"/>
            <w:tcBorders/>
            <w:shd w:fill="auto" w:val="clear"/>
            <w:vAlign w:val="bottom"/>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1.</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DEFINITIONS</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3</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2.</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AMENDMENTS</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4</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3.</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LIMITATIONS</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4</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4.</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REPRESENTATIONS</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5</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5.</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FURTHER TERMS AND CONDITIONS</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5</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6.</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APPLICABLE LAW</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5</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7.</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DISPUTE SETTLEMENT</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5</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8.</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EXECUTION</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5</w:t>
            </w:r>
          </w:p>
        </w:tc>
        <w:tc>
          <w:tcPr>
            <w:tcW w:w="209" w:type="dxa"/>
            <w:tcBorders/>
            <w:shd w:fill="auto" w:val="clear"/>
            <w:vAlign w:val="bottom"/>
          </w:tcPr>
          <w:p>
            <w:pPr>
              <w:pStyle w:val="TableContents"/>
              <w:spacing w:before="0" w:after="283"/>
              <w:rPr/>
            </w:pPr>
            <w:r>
              <w:rPr/>
              <w:t> </w:t>
            </w:r>
          </w:p>
        </w:tc>
      </w:tr>
      <w:tr>
        <w:trPr>
          <w:trHeight w:val="120" w:hRule="atLeast"/>
        </w:trPr>
        <w:tc>
          <w:tcPr>
            <w:tcW w:w="220" w:type="dxa"/>
            <w:tcBorders/>
            <w:shd w:fill="auto" w:val="clear"/>
            <w:vAlign w:val="center"/>
          </w:tcPr>
          <w:p>
            <w:pPr>
              <w:pStyle w:val="TableContents"/>
              <w:spacing w:before="0" w:after="283"/>
              <w:rPr>
                <w:sz w:val="4"/>
                <w:szCs w:val="4"/>
              </w:rPr>
            </w:pPr>
            <w:r>
              <w:rPr>
                <w:sz w:val="4"/>
                <w:szCs w:val="4"/>
              </w:rPr>
            </w:r>
          </w:p>
        </w:tc>
        <w:tc>
          <w:tcPr>
            <w:tcW w:w="9359" w:type="dxa"/>
            <w:gridSpan w:val="2"/>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220" w:type="dxa"/>
            <w:tcBorders/>
            <w:shd w:fill="auto" w:val="clear"/>
            <w:vAlign w:val="bottom"/>
          </w:tcPr>
          <w:p>
            <w:pPr>
              <w:pStyle w:val="TableContents"/>
              <w:spacing w:before="0" w:after="283"/>
              <w:rPr>
                <w:b/>
              </w:rPr>
            </w:pPr>
            <w:r>
              <w:rPr>
                <w:b/>
              </w:rPr>
              <w:t>9.</w:t>
            </w:r>
          </w:p>
        </w:tc>
        <w:tc>
          <w:tcPr>
            <w:tcW w:w="120" w:type="dxa"/>
            <w:tcBorders/>
            <w:shd w:fill="auto" w:val="clear"/>
            <w:vAlign w:val="bottom"/>
          </w:tcPr>
          <w:p>
            <w:pPr>
              <w:pStyle w:val="TableContents"/>
              <w:spacing w:before="0" w:after="283"/>
              <w:rPr/>
            </w:pPr>
            <w:r>
              <w:rPr/>
              <w:t>  </w:t>
            </w:r>
          </w:p>
        </w:tc>
        <w:tc>
          <w:tcPr>
            <w:tcW w:w="9239" w:type="dxa"/>
            <w:tcBorders/>
            <w:shd w:fill="auto" w:val="clear"/>
          </w:tcPr>
          <w:p>
            <w:pPr>
              <w:pStyle w:val="TableContents"/>
              <w:spacing w:before="0" w:after="0"/>
              <w:rPr>
                <w:rFonts w:ascii="Times New Roman" w:hAnsi="Times New Roman"/>
                <w:b/>
                <w:sz w:val="20"/>
              </w:rPr>
            </w:pPr>
            <w:r>
              <w:rPr>
                <w:rFonts w:ascii="Times New Roman" w:hAnsi="Times New Roman"/>
                <w:b/>
                <w:sz w:val="20"/>
              </w:rPr>
              <w:t>FINAL PROVISIONS</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5</w:t>
            </w:r>
          </w:p>
        </w:tc>
        <w:tc>
          <w:tcPr>
            <w:tcW w:w="209" w:type="dxa"/>
            <w:tcBorders/>
            <w:shd w:fill="auto" w:val="clear"/>
            <w:vAlign w:val="bottom"/>
          </w:tcPr>
          <w:p>
            <w:pPr>
              <w:pStyle w:val="TableContents"/>
              <w:spacing w:before="0" w:after="283"/>
              <w:rPr/>
            </w:pPr>
            <w:r>
              <w:rPr/>
              <w:t> </w:t>
            </w:r>
          </w:p>
        </w:tc>
      </w:tr>
      <w:tr>
        <w:trPr>
          <w:trHeight w:val="120" w:hRule="atLeast"/>
        </w:trPr>
        <w:tc>
          <w:tcPr>
            <w:tcW w:w="9579" w:type="dxa"/>
            <w:gridSpan w:val="3"/>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9579"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APPENDIX 1 REVISED PARTICIPATORY INTEREST PLEDGE AGREEMENT</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7</w:t>
            </w:r>
          </w:p>
        </w:tc>
        <w:tc>
          <w:tcPr>
            <w:tcW w:w="209" w:type="dxa"/>
            <w:tcBorders/>
            <w:shd w:fill="auto" w:val="clear"/>
            <w:vAlign w:val="bottom"/>
          </w:tcPr>
          <w:p>
            <w:pPr>
              <w:pStyle w:val="TableContents"/>
              <w:spacing w:before="0" w:after="283"/>
              <w:rPr/>
            </w:pPr>
            <w:r>
              <w:rPr/>
              <w:t> </w:t>
            </w:r>
          </w:p>
        </w:tc>
      </w:tr>
      <w:tr>
        <w:trPr>
          <w:trHeight w:val="120" w:hRule="atLeast"/>
        </w:trPr>
        <w:tc>
          <w:tcPr>
            <w:tcW w:w="9579" w:type="dxa"/>
            <w:gridSpan w:val="3"/>
            <w:tcBorders/>
            <w:shd w:fill="auto" w:val="clear"/>
            <w:vAlign w:val="center"/>
          </w:tcPr>
          <w:p>
            <w:pPr>
              <w:pStyle w:val="TableContents"/>
              <w:spacing w:before="0" w:after="283"/>
              <w:rPr>
                <w:sz w:val="4"/>
                <w:szCs w:val="4"/>
              </w:rPr>
            </w:pPr>
            <w:r>
              <w:rPr>
                <w:sz w:val="4"/>
                <w:szCs w:val="4"/>
              </w:rPr>
            </w:r>
          </w:p>
        </w:tc>
        <w:tc>
          <w:tcPr>
            <w:tcW w:w="626" w:type="dxa"/>
            <w:gridSpan w:val="4"/>
            <w:tcBorders/>
            <w:shd w:fill="auto" w:val="clear"/>
            <w:vAlign w:val="center"/>
          </w:tcPr>
          <w:p>
            <w:pPr>
              <w:pStyle w:val="TableContents"/>
              <w:spacing w:before="0" w:after="283"/>
              <w:rPr>
                <w:sz w:val="4"/>
                <w:szCs w:val="4"/>
              </w:rPr>
            </w:pPr>
            <w:r>
              <w:rPr>
                <w:sz w:val="4"/>
                <w:szCs w:val="4"/>
              </w:rPr>
            </w:r>
          </w:p>
        </w:tc>
      </w:tr>
      <w:tr>
        <w:trPr/>
        <w:tc>
          <w:tcPr>
            <w:tcW w:w="9579"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AGREEMENT OF PLEDGE OF A PARTICIPATORY INTEREST IN THE AUTHORIZED CAPITAL OF HEADHUNTER LIMITED LIABILITY COMPANY</w:t>
            </w:r>
          </w:p>
        </w:tc>
        <w:tc>
          <w:tcPr>
            <w:tcW w:w="21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b/>
              </w:rPr>
            </w:pPr>
            <w:r>
              <w:rPr>
                <w:b/>
              </w:rPr>
              <w:t>8</w:t>
            </w:r>
          </w:p>
        </w:tc>
        <w:tc>
          <w:tcPr>
            <w:tcW w:w="209"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AMENDMENT AGREEMENT No.</w:t>
      </w:r>
      <w:r>
        <w:rPr>
          <w:rFonts w:ascii="Times New Roman" w:hAnsi="Times New Roman"/>
          <w:sz w:val="20"/>
        </w:rPr>
        <w:t> </w:t>
      </w:r>
      <w:r>
        <w:rPr>
          <w:rFonts w:ascii="Times New Roman" w:hAnsi="Times New Roman"/>
          <w:b/>
          <w:sz w:val="20"/>
        </w:rPr>
        <w:t>1 OF THE AGREEMENT OF PLEDGE OF A PARTICIPATORY INTEREST IN THE AUTHORIZED CAPITAL OF HEADHUNTER LLC (the “Agreement”) was</w:t>
      </w:r>
      <w:r>
        <w:rPr>
          <w:rFonts w:ascii="Times New Roman" w:hAnsi="Times New Roman"/>
          <w:sz w:val="20"/>
        </w:rPr>
        <w:t xml:space="preserve"> executed on the fifth of October twenty seventeen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(1)</w:t>
            </w:r>
          </w:p>
        </w:tc>
        <w:tc>
          <w:tcPr>
            <w:tcW w:w="9391" w:type="dxa"/>
            <w:tcBorders/>
            <w:shd w:fill="auto" w:val="clear"/>
          </w:tcPr>
          <w:p>
            <w:pPr>
              <w:pStyle w:val="TableContents"/>
              <w:spacing w:before="0" w:after="283"/>
              <w:jc w:val="left"/>
              <w:rPr/>
            </w:pPr>
            <w:r>
              <w:rPr>
                <w:b/>
              </w:rPr>
              <w:t>HEADHUNTER FSU LIMITED,</w:t>
            </w:r>
            <w:r>
              <w:rPr/>
              <w:t xml:space="preserve"> registration number HE 178226, address (location) of the legal entity: 42 </w:t>
            </w:r>
            <w:r>
              <w:rPr>
                <w:i/>
              </w:rPr>
              <w:t>Dositheou, Strovolos 2028, Nicosia, Cyprus</w:t>
            </w:r>
            <w:r>
              <w:rPr/>
              <w:t xml:space="preserve">, represented by Karen Eduardovich Agayan, born on 04.14.1981, passport No. 45 13 062783, issued by the Department of the Administration of the Federal Migration Services of Russia for Moscow for Konkovo District on February 26, 2013, subdivision code 770-117, registration address: 91, Profsoyuznaya St., apt. 43, Moscow, acting under the Power of Attorney dated September 28, 2017, certified by G. Demetriou, a notary of Nicosia, Cyprus, apostille No. 210694/17 dated September 28, 2017, as a pledgor </w:t>
            </w:r>
            <w:r>
              <w:rPr>
                <w:b/>
              </w:rPr>
              <w:t>(the “Pledgor”)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 xml:space="preserve">BANK VTB (PUBLIC JOINT-STOCK COMPANY), </w:t>
            </w:r>
            <w:r>
              <w:rPr/>
              <w:t xml:space="preserve">a public joint-stock company incorporated under the laws of the Russian Federation, registered in the Unified State Register of Legal Entities (EGRUL) under number (Primary State Registration Number (OGRN)): 1027739609391, with its office at the address: 29, B. Morskaya St., Saint Petersburg, Russia, 190000,represented by Vitaly Nikolaevich Buzoverya, the Head of the Credit Department and the Senior Vice President, a citizen of Russia, born on 07.29.1974, passport No. 46 02 772136, issued by the Department of the Interior of Zhukovsky Town of Moscow Region on July 02, 2002, subdivision code 502-005, registration address: 11, Dzerzhinskogo St., apt. 83, Zhukovsky, acting under Power of Attorney No. 350000/21 </w:t>
            </w:r>
            <w:r>
              <w:rPr/>
              <w:drawing>
                <wp:inline distT="0" distB="0" distL="0" distR="0">
                  <wp:extent cx="123825" cy="13335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link="rId29"/>
                          <a:stretch>
                            <a:fillRect/>
                          </a:stretch>
                        </pic:blipFill>
                        <pic:spPr bwMode="auto">
                          <a:xfrm>
                            <a:off x="0" y="0"/>
                            <a:ext cx="123825" cy="133350"/>
                          </a:xfrm>
                          <a:prstGeom prst="rect">
                            <a:avLst/>
                          </a:prstGeom>
                          <a:noFill/>
                          <a:ln w="9525">
                            <a:noFill/>
                            <a:miter lim="800000"/>
                            <a:headEnd/>
                            <a:tailEnd/>
                          </a:ln>
                        </pic:spPr>
                      </pic:pic>
                    </a:graphicData>
                  </a:graphic>
                </wp:inline>
              </w:drawing>
            </w:r>
            <w:r>
              <w:rPr/>
              <w:t xml:space="preserve"> ” dated January 13, 2017, certified by R. V. Ryabov, a notary of Moscow, and registered in the register under number 1-3, as a pledgee </w:t>
            </w:r>
            <w:r>
              <w:rPr>
                <w:b/>
              </w:rPr>
              <w:t>(the “Pledgee”).</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The Pledgee and the Pledgor have entered into the Agreement of Pledge of a Participatory Interest in the Authorized Capital of Headhunter LLC dated May 26, 2016, certified by R. V. Ryabov, a notary of Moscow, number in the register: 2-500, </w:t>
            </w:r>
            <w:r>
              <w:rPr>
                <w:b/>
              </w:rPr>
              <w:t>(the “Participatory Interest Pledge Agreement”)</w:t>
            </w:r>
            <w:r>
              <w:rPr/>
              <w:t xml:space="preserve"> under which the Pledgor pledged to the Pledgee a participatory interest in the authorized capital of the Company, being 100 (one hundred) percent of the authorized capital of the Company, as a security for fulfillment of the Borrower’s obligations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According to Amendment Agreement No. 3 of the Loan Agreement dated October 5, 2017, </w:t>
            </w:r>
            <w:r>
              <w:rPr>
                <w:b/>
              </w:rPr>
              <w:t xml:space="preserve">(hereinafter referred to as </w:t>
            </w:r>
            <w:r>
              <w:rPr/>
              <w:t>“</w:t>
            </w:r>
            <w:r>
              <w:rPr>
                <w:b/>
              </w:rPr>
              <w:t>Amendment Agreement No.</w:t>
            </w:r>
            <w:r>
              <w:rPr/>
              <w:t> </w:t>
            </w:r>
            <w:r>
              <w:rPr>
                <w:b/>
              </w:rPr>
              <w:t>3</w:t>
            </w:r>
            <w:r>
              <w:rPr/>
              <w:t>”</w:t>
            </w:r>
            <w:r>
              <w:rPr>
                <w:b/>
              </w:rPr>
              <w:t>)</w:t>
            </w:r>
            <w:r>
              <w:rPr/>
              <w:t xml:space="preserve"> concluded between, inter alia, the Borrower as a borrower and the Pledgee as an arranger, a credit agent and an original lender, the Borrower and the Pledgee agreed to amend the Loan Agreement, inter alia, to increase the loan amount up to RUB 7,000,000,000 (seven billion).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Parties hereby agree to make such amendments to the Participatory Interest Pledge Agreement as specified herein to ensure the fulfillment of the Borrower’s obligations under the Loan Agreement as amended by Amendment Agreement No. 3. </w:t>
            </w:r>
          </w:p>
        </w:tc>
      </w:tr>
    </w:tbl>
    <w:p>
      <w:pPr>
        <w:pStyle w:val="TextBody"/>
        <w:spacing w:before="360" w:after="0"/>
        <w:rPr>
          <w:rFonts w:ascii="Times New Roman" w:hAnsi="Times New Roman"/>
          <w:sz w:val="20"/>
        </w:rPr>
      </w:pPr>
      <w:r>
        <w:rPr>
          <w:rFonts w:ascii="Times New Roman" w:hAnsi="Times New Roman"/>
          <w:b/>
          <w:sz w:val="20"/>
        </w:rPr>
        <w:t xml:space="preserve">THE PARTIES HAVE AGREED </w:t>
      </w:r>
      <w:r>
        <w:rPr>
          <w:rFonts w:ascii="Times New Roman" w:hAnsi="Times New Roman"/>
          <w:sz w:val="20"/>
        </w:rPr>
        <w:t xml:space="preserve">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Agreement: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2"/>
        <w:gridCol w:w="941"/>
        <w:gridCol w:w="8452"/>
      </w:tblGrid>
      <w:tr>
        <w:trPr/>
        <w:tc>
          <w:tcPr>
            <w:tcW w:w="812" w:type="dxa"/>
            <w:tcBorders/>
            <w:shd w:fill="auto" w:val="clear"/>
            <w:vAlign w:val="center"/>
          </w:tcPr>
          <w:p>
            <w:pPr>
              <w:pStyle w:val="TableContents"/>
              <w:spacing w:before="0" w:after="283"/>
              <w:rPr/>
            </w:pPr>
            <w:r>
              <w:rPr/>
              <w:t> </w:t>
            </w:r>
          </w:p>
        </w:tc>
        <w:tc>
          <w:tcPr>
            <w:tcW w:w="941" w:type="dxa"/>
            <w:tcBorders/>
            <w:shd w:fill="auto" w:val="clear"/>
          </w:tcPr>
          <w:p>
            <w:pPr>
              <w:pStyle w:val="TableContents"/>
              <w:spacing w:before="0" w:after="283"/>
              <w:jc w:val="left"/>
              <w:rPr/>
            </w:pPr>
            <w:r>
              <w:rPr/>
              <w:t>“</w:t>
            </w:r>
            <w:r>
              <w:rPr>
                <w:b/>
              </w:rPr>
              <w:t>Effective</w:t>
            </w:r>
          </w:p>
        </w:tc>
        <w:tc>
          <w:tcPr>
            <w:tcW w:w="8452" w:type="dxa"/>
            <w:tcBorders/>
            <w:shd w:fill="auto" w:val="clear"/>
          </w:tcPr>
          <w:p>
            <w:pPr>
              <w:pStyle w:val="TableContents"/>
              <w:spacing w:before="0" w:after="283"/>
              <w:jc w:val="left"/>
              <w:rPr/>
            </w:pPr>
            <w:r>
              <w:rPr>
                <w:b/>
              </w:rPr>
              <w:t xml:space="preserve">Date” </w:t>
            </w:r>
            <w:r>
              <w:rPr/>
              <w:t xml:space="preserve">means the effective date of Amendment Agreement No. 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    </w:t>
            </w:r>
          </w:p>
        </w:tc>
        <w:tc>
          <w:tcPr>
            <w:tcW w:w="9389" w:type="dxa"/>
            <w:tcBorders/>
            <w:shd w:fill="auto" w:val="clear"/>
          </w:tcPr>
          <w:p>
            <w:pPr>
              <w:pStyle w:val="TableContents"/>
              <w:spacing w:before="0" w:after="283"/>
              <w:jc w:val="left"/>
              <w:rPr/>
            </w:pPr>
            <w:r>
              <w:rPr/>
              <w:t>“</w:t>
            </w:r>
            <w:r>
              <w:rPr>
                <w:b/>
              </w:rPr>
              <w:t>Revised Participatory Interest Pledge Agreement”</w:t>
            </w:r>
            <w:r>
              <w:rPr/>
              <w:t xml:space="preserve"> means the Participatory Interest Pledge Agreement as amended according to this Agreement in the form provided in Appendix 1 </w:t>
            </w:r>
            <w:r>
              <w:rPr>
                <w:i/>
              </w:rPr>
              <w:t xml:space="preserve">(the </w:t>
            </w:r>
            <w:r>
              <w:rPr/>
              <w:t>“</w:t>
            </w:r>
            <w:r>
              <w:rPr>
                <w:i/>
              </w:rPr>
              <w:t>Revised Participatory Interest Pledge Agreement</w:t>
            </w:r>
            <w:r>
              <w:rPr/>
              <w:t>”</w:t>
            </w:r>
            <w:r>
              <w:rPr>
                <w:i/>
              </w:rPr>
              <w: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    </w:t>
            </w:r>
          </w:p>
        </w:tc>
        <w:tc>
          <w:tcPr>
            <w:tcW w:w="9389" w:type="dxa"/>
            <w:tcBorders/>
            <w:shd w:fill="auto" w:val="clear"/>
          </w:tcPr>
          <w:p>
            <w:pPr>
              <w:pStyle w:val="TableContents"/>
              <w:spacing w:before="0" w:after="283"/>
              <w:jc w:val="left"/>
              <w:rPr/>
            </w:pPr>
            <w:r>
              <w:rPr/>
              <w:t>“</w:t>
            </w:r>
            <w:r>
              <w:rPr>
                <w:b/>
              </w:rPr>
              <w:t>Amendment Agreement No.</w:t>
            </w:r>
            <w:r>
              <w:rPr/>
              <w:t> </w:t>
            </w:r>
            <w:r>
              <w:rPr>
                <w:b/>
              </w:rPr>
              <w:t>3”</w:t>
            </w:r>
            <w:r>
              <w:rPr/>
              <w:t xml:space="preserve"> has the meaning specified in Clause (B) of the Preamble.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    </w:t>
            </w:r>
          </w:p>
        </w:tc>
        <w:tc>
          <w:tcPr>
            <w:tcW w:w="9389" w:type="dxa"/>
            <w:tcBorders/>
            <w:shd w:fill="auto" w:val="clear"/>
          </w:tcPr>
          <w:p>
            <w:pPr>
              <w:pStyle w:val="TableContents"/>
              <w:spacing w:before="0" w:after="283"/>
              <w:jc w:val="left"/>
              <w:rPr/>
            </w:pPr>
            <w:r>
              <w:rPr/>
              <w:t>“</w:t>
            </w:r>
            <w:r>
              <w:rPr>
                <w:b/>
              </w:rPr>
              <w:t xml:space="preserve">Party” </w:t>
            </w:r>
            <w:r>
              <w:rPr/>
              <w:t xml:space="preserve">means a party hereto.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    </w:t>
            </w:r>
          </w:p>
        </w:tc>
        <w:tc>
          <w:tcPr>
            <w:tcW w:w="9391" w:type="dxa"/>
            <w:tcBorders/>
            <w:shd w:fill="auto" w:val="clear"/>
          </w:tcPr>
          <w:p>
            <w:pPr>
              <w:pStyle w:val="TableContents"/>
              <w:spacing w:before="0" w:after="283"/>
              <w:jc w:val="left"/>
              <w:rPr/>
            </w:pPr>
            <w:r>
              <w:rPr/>
              <w:t xml:space="preserve">Unless the context requires otherwise, any capitalized terms used in the Loan Agreement and the Participatory Interest Pledge Agreement which are not defined herein have the same meaning as in the Loan Agreement and the Participatory Interest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1.3</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    </w:t>
            </w:r>
          </w:p>
        </w:tc>
        <w:tc>
          <w:tcPr>
            <w:tcW w:w="9390" w:type="dxa"/>
            <w:tcBorders/>
            <w:shd w:fill="auto" w:val="clear"/>
          </w:tcPr>
          <w:p>
            <w:pPr>
              <w:pStyle w:val="TableContents"/>
              <w:spacing w:before="0" w:after="283"/>
              <w:jc w:val="left"/>
              <w:rPr/>
            </w:pPr>
            <w:r>
              <w:rPr/>
              <w:t xml:space="preserve">The provisions of Article 1.2 </w:t>
            </w:r>
            <w:r>
              <w:rPr>
                <w:i/>
              </w:rPr>
              <w:t>(Interpretation)</w:t>
            </w:r>
            <w:r>
              <w:rPr/>
              <w:t xml:space="preserve"> of the Loan Agreement shall apply to this Agreement as if they are written in this Agreement; any references to Articles, Clauses and Appendices shall be deemed references to Articles, Clauses and Appendices hereof, unless the context requires otherwise.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    </w:t>
            </w:r>
          </w:p>
        </w:tc>
        <w:tc>
          <w:tcPr>
            <w:tcW w:w="9391" w:type="dxa"/>
            <w:tcBorders/>
            <w:shd w:fill="auto" w:val="clear"/>
          </w:tcPr>
          <w:p>
            <w:pPr>
              <w:pStyle w:val="TableContents"/>
              <w:spacing w:before="0" w:after="283"/>
              <w:jc w:val="left"/>
              <w:rPr/>
            </w:pPr>
            <w:r>
              <w:rPr/>
              <w:t xml:space="preserve">This Agreement is a Financial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b/>
              </w:rPr>
            </w:pPr>
            <w:r>
              <w:rPr>
                <w:b/>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    </w:t>
            </w:r>
          </w:p>
        </w:tc>
        <w:tc>
          <w:tcPr>
            <w:tcW w:w="9389" w:type="dxa"/>
            <w:tcBorders/>
            <w:shd w:fill="auto" w:val="clear"/>
          </w:tcPr>
          <w:p>
            <w:pPr>
              <w:pStyle w:val="TableContents"/>
              <w:spacing w:before="0" w:after="283"/>
              <w:jc w:val="left"/>
              <w:rPr/>
            </w:pPr>
            <w:r>
              <w:rPr/>
              <w:t xml:space="preserve">The Parties agree that since the Effective Date the Participatory Interest Pledge Agreement shall be amended to be read in the wording specified in Appendix 1 </w:t>
            </w:r>
            <w:r>
              <w:rPr>
                <w:i/>
              </w:rPr>
              <w:t xml:space="preserve">(the </w:t>
            </w:r>
            <w:r>
              <w:rPr/>
              <w:t>“</w:t>
            </w:r>
            <w:r>
              <w:rPr>
                <w:i/>
              </w:rPr>
              <w:t xml:space="preserve">Revised Participatory Interest Pledge Agreement); </w:t>
            </w:r>
            <w:r>
              <w:rPr/>
              <w:t xml:space="preserve">and the rights and obligations of the Parties under the Participatory Interest Pledge Agreement shall be governed and construed under the terms and conditions of the Revised Participatory Interest Pledge Agreement since the Effective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mandatory nature of amendments provided for by Article 2 (Amendments) is established by the coming of Amendment Agreement No. 3 into force (as provided for by Article 3271 of the Civil Code). The date on which the Credit Agent will confirm to the Borrower the receipt of documents, information and approvals necessary for coming of Amendment Agreement No. 3 into force is the “</w:t>
            </w:r>
            <w:r>
              <w:rPr>
                <w:b/>
              </w:rPr>
              <w:t>Effective Date”.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Any amendments to the Participatory Interest Pledge Agreement hereunder shall be limited to the amendments specified in Article 2 </w:t>
            </w:r>
            <w:r>
              <w:rPr>
                <w:i/>
              </w:rPr>
              <w:t xml:space="preserve">(Amendments). </w:t>
            </w:r>
            <w:r>
              <w:rPr/>
              <w:t xml:space="preserve">No other provisions of the Participatory Interest Pledge Agreement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Agreement shall not release the Pledgor from any obligations provided for by the Participatory Interest Pledge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4.</w:t>
            </w:r>
          </w:p>
        </w:tc>
        <w:tc>
          <w:tcPr>
            <w:tcW w:w="9391"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Pledgor shall submit the Pledgee representations of circumstances specified in Article 5 </w:t>
            </w:r>
            <w:r>
              <w:rPr>
                <w:i/>
              </w:rPr>
              <w:t>(Representations of Circumstances of the Pledgor) of the</w:t>
            </w:r>
            <w:r>
              <w:rPr/>
              <w:t xml:space="preserve"> Participatory Interest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Any representations of circumstances specified in Clause (a) above shall be provided by the Pledgor on the date of this Agreement with a reference to the circumstances existing on the date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references to the Participatory Interest Pledge Agreement in such representations on circumstances as provided according to Clause (a) above shall be deemed as including, inter alia, references 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5.</w:t>
            </w:r>
          </w:p>
        </w:tc>
        <w:tc>
          <w:tcPr>
            <w:tcW w:w="9392" w:type="dxa"/>
            <w:tcBorders/>
            <w:shd w:fill="auto" w:val="clear"/>
          </w:tcPr>
          <w:p>
            <w:pPr>
              <w:pStyle w:val="TableContents"/>
              <w:spacing w:before="0" w:after="283"/>
              <w:jc w:val="left"/>
              <w:rPr/>
            </w:pPr>
            <w:r>
              <w:rPr>
                <w:b/>
              </w:rPr>
              <w:t>FURTHER TERMS AND CONDITIONS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respect of this Agreement, the Pledgor shall submit: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within 5 (five) Business Days after signing hereof, a copy of the Pledgor’s register of pledges showing the amended information on the terms and conditions of pledge according to Article 99 of the Companies Act of the Republic of Cyprus, Cap. 113;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within 10 (ten) Business Days after signing hereof, a proof of the fact that an application on change of information on pledge has been filed to the Registrar of Companies of Cyprus according to Article 90 of Companies Act of the Republic of Cyprus, Cap. 113;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within 30 (thirty) Business Days after signing hereof, a proof of registration of change of information on pledge issued by the Registrar of Companies of Cyprus according to Article 93 of Companies Act of the Republic of Cyprus, Cap. 113.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6.</w:t>
            </w:r>
          </w:p>
        </w:tc>
        <w:tc>
          <w:tcPr>
            <w:tcW w:w="9389" w:type="dxa"/>
            <w:tcBorders/>
            <w:shd w:fill="auto" w:val="clear"/>
          </w:tcPr>
          <w:p>
            <w:pPr>
              <w:pStyle w:val="TableContents"/>
              <w:spacing w:before="0" w:after="283"/>
              <w:jc w:val="left"/>
              <w:rPr>
                <w:b/>
              </w:rPr>
            </w:pPr>
            <w:r>
              <w:rPr>
                <w:b/>
              </w:rPr>
              <w:t xml:space="preserve">APPLICABLE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    </w:t>
            </w:r>
          </w:p>
        </w:tc>
        <w:tc>
          <w:tcPr>
            <w:tcW w:w="9390" w:type="dxa"/>
            <w:tcBorders/>
            <w:shd w:fill="auto" w:val="clear"/>
          </w:tcPr>
          <w:p>
            <w:pPr>
              <w:pStyle w:val="TableContents"/>
              <w:spacing w:before="0" w:after="283"/>
              <w:jc w:val="left"/>
              <w:rPr/>
            </w:pPr>
            <w:r>
              <w:rPr/>
              <w:t xml:space="preserve">This Agreement and the rights and obligations of the Parties arising out of this Agreement shall be governed and construed in accordance the laws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7.</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    </w:t>
            </w:r>
          </w:p>
        </w:tc>
        <w:tc>
          <w:tcPr>
            <w:tcW w:w="9390"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8.</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    </w:t>
            </w:r>
          </w:p>
        </w:tc>
        <w:tc>
          <w:tcPr>
            <w:tcW w:w="9391" w:type="dxa"/>
            <w:tcBorders/>
            <w:shd w:fill="auto" w:val="clear"/>
          </w:tcPr>
          <w:p>
            <w:pPr>
              <w:pStyle w:val="TableContents"/>
              <w:spacing w:before="0" w:after="283"/>
              <w:jc w:val="left"/>
              <w:rPr/>
            </w:pPr>
            <w:r>
              <w:rPr/>
              <w:t xml:space="preserve">This Agreement is executed in three counterparts, one to be kept in the files of Roman Vasilyevich Ryabov, a notary of Moscow, at the address: 9, Krasnoproletarskaya St., Moscow, one for the Pledgee, and one for the Pledgor.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9.</w:t>
            </w:r>
          </w:p>
        </w:tc>
        <w:tc>
          <w:tcPr>
            <w:tcW w:w="9389" w:type="dxa"/>
            <w:tcBorders/>
            <w:shd w:fill="auto" w:val="clear"/>
          </w:tcPr>
          <w:p>
            <w:pPr>
              <w:pStyle w:val="TableContents"/>
              <w:spacing w:before="0" w:after="283"/>
              <w:jc w:val="left"/>
              <w:rPr/>
            </w:pPr>
            <w:r>
              <w:rPr>
                <w:b/>
              </w:rPr>
              <w:t>FINAL PROVISIONS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    </w:t>
            </w:r>
          </w:p>
        </w:tc>
        <w:tc>
          <w:tcPr>
            <w:tcW w:w="9391" w:type="dxa"/>
            <w:tcBorders/>
            <w:shd w:fill="auto" w:val="clear"/>
          </w:tcPr>
          <w:p>
            <w:pPr>
              <w:pStyle w:val="TableContents"/>
              <w:spacing w:before="0" w:after="283"/>
              <w:jc w:val="left"/>
              <w:rPr/>
            </w:pPr>
            <w:r>
              <w:rPr/>
              <w:t xml:space="preserve">This Agreement has been read to the Parties out loud prior to its signing, the Parties that signed this Agreement confirm that the contents hereof are fully clear to the Parties. All commentaries of the Parties have been taken into account in this Agreement, the Parties do not have any other proposals concerning the contents hereof. The contents of Articles 334–358, 450 and 452 of the Civil Code have been explained to the Parties by the notary.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    </w:t>
            </w:r>
          </w:p>
        </w:tc>
        <w:tc>
          <w:tcPr>
            <w:tcW w:w="9390" w:type="dxa"/>
            <w:tcBorders/>
            <w:shd w:fill="auto" w:val="clear"/>
          </w:tcPr>
          <w:p>
            <w:pPr>
              <w:pStyle w:val="TableContents"/>
              <w:spacing w:before="0" w:after="283"/>
              <w:jc w:val="left"/>
              <w:rPr/>
            </w:pPr>
            <w:r>
              <w:rPr/>
              <w:t xml:space="preserve">This Agreement has been entered into on the date stated at the beginning of this Agreement.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REVISED PARTICIPATORY INTEREST PLEDGE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AGREEMENT OF PLEDGE OF A PARTICIPATORY INTEREST IN THE </w:t>
      </w:r>
    </w:p>
    <w:p>
      <w:pPr>
        <w:pStyle w:val="TextBody"/>
        <w:spacing w:before="0" w:after="0"/>
        <w:jc w:val="center"/>
        <w:rPr>
          <w:rFonts w:ascii="Times New Roman" w:hAnsi="Times New Roman"/>
          <w:sz w:val="20"/>
        </w:rPr>
      </w:pPr>
      <w:r>
        <w:rPr>
          <w:rFonts w:ascii="Times New Roman" w:hAnsi="Times New Roman"/>
          <w:sz w:val="20"/>
        </w:rPr>
        <w:t xml:space="preserve">AUTHORIZED CAPITAL OF HEADHUNTER LIMITED LIABILITY COMPANY </w:t>
      </w:r>
    </w:p>
    <w:p>
      <w:pPr>
        <w:pStyle w:val="TextBody"/>
        <w:spacing w:before="240" w:after="0"/>
        <w:jc w:val="center"/>
        <w:rPr>
          <w:rFonts w:ascii="Times New Roman" w:hAnsi="Times New Roman"/>
          <w:b/>
          <w:sz w:val="20"/>
        </w:rPr>
      </w:pPr>
      <w:r>
        <w:rPr>
          <w:rFonts w:ascii="Times New Roman" w:hAnsi="Times New Roman"/>
          <w:b/>
          <w:sz w:val="20"/>
        </w:rPr>
        <w:t xml:space="preserve">Moscow </w:t>
      </w:r>
    </w:p>
    <w:p>
      <w:pPr>
        <w:pStyle w:val="TextBody"/>
        <w:spacing w:before="240" w:after="0"/>
        <w:jc w:val="center"/>
        <w:rPr>
          <w:rFonts w:ascii="Times New Roman" w:hAnsi="Times New Roman"/>
          <w:b/>
          <w:sz w:val="20"/>
        </w:rPr>
      </w:pPr>
      <w:r>
        <w:rPr>
          <w:rFonts w:ascii="Times New Roman" w:hAnsi="Times New Roman"/>
          <w:b/>
          <w:sz w:val="20"/>
        </w:rPr>
        <w:t xml:space="preserve">The Twenty-Sixth of May Twenty Sixteen </w:t>
      </w:r>
    </w:p>
    <w:p>
      <w:pPr>
        <w:pStyle w:val="TextBody"/>
        <w:spacing w:before="240" w:after="0"/>
        <w:jc w:val="center"/>
        <w:rPr>
          <w:rFonts w:ascii="Times New Roman" w:hAnsi="Times New Roman"/>
          <w:b/>
          <w:sz w:val="20"/>
        </w:rPr>
      </w:pPr>
      <w:r>
        <w:rPr>
          <w:rFonts w:ascii="Times New Roman" w:hAnsi="Times New Roman"/>
          <w:b/>
          <w:sz w:val="20"/>
        </w:rPr>
        <w:t xml:space="preserve">(as amended by Amendment Agreement No. 1 dated October 5, 2017) </w:t>
      </w:r>
    </w:p>
    <w:p>
      <w:pPr>
        <w:pStyle w:val="TextBody"/>
        <w:spacing w:before="120" w:after="0"/>
        <w:rPr>
          <w:rFonts w:ascii="Times New Roman" w:hAnsi="Times New Roman"/>
          <w:sz w:val="20"/>
        </w:rPr>
      </w:pPr>
      <w:r>
        <w:rPr>
          <w:rFonts w:ascii="Times New Roman" w:hAnsi="Times New Roman"/>
          <w:b/>
          <w:sz w:val="20"/>
        </w:rPr>
        <w:t xml:space="preserve">BANK VTB (PUBLIC JOINT-STOCK COMPANY) (SHORT NAME: BANK VTB (PJSC)) </w:t>
      </w:r>
      <w:r>
        <w:rPr>
          <w:rFonts w:ascii="Times New Roman" w:hAnsi="Times New Roman"/>
          <w:sz w:val="20"/>
        </w:rPr>
        <w:t xml:space="preserve">(OGRN 1027739609391, INN 7702070139), General License for Banking Operations No. 1000, registered at its establishment by the Central Bank of the Russian Federation on October 17, 1990, No. 1000, entered into the Unified State Register of Legal Entities on November 22, 2002, (certificate of making an entry in the Unified State Register of Legal Entities concerning a legal entity being registered prior to July 01, 2002, series 77 No. 005374791, issued by Interdistrict Inspectorate of the Ministry of the Russian Federation for Taxes and Levies No. 39 for Moscow on November 22, 2002), located at: 29, Bolshaya Morskaya St., Saint Petersburg, the Russian Federation, 190000), represented by </w:t>
      </w:r>
      <w:r>
        <w:rPr>
          <w:rFonts w:ascii="Times New Roman" w:hAnsi="Times New Roman"/>
          <w:b/>
          <w:sz w:val="20"/>
        </w:rPr>
        <w:t>Vitaly Nikolaevich Buzoverya</w:t>
      </w:r>
      <w:r>
        <w:rPr>
          <w:rFonts w:ascii="Times New Roman" w:hAnsi="Times New Roman"/>
          <w:sz w:val="20"/>
        </w:rPr>
        <w:t xml:space="preserve">, acting under Power of Attorney No. 350000/25 </w:t>
      </w:r>
      <w:r>
        <w:rPr>
          <w:rFonts w:ascii="Times New Roman" w:hAnsi="Times New Roman"/>
          <w:sz w:val="20"/>
        </w:rPr>
        <w:drawing>
          <wp:inline distT="0" distB="0" distL="0" distR="0">
            <wp:extent cx="718820" cy="35941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link="rId30"/>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certified on January 14, 2016, under register number 2-25, hereinafter referred to as the “</w:t>
      </w:r>
      <w:r>
        <w:rPr>
          <w:rFonts w:ascii="Times New Roman" w:hAnsi="Times New Roman"/>
          <w:b/>
          <w:sz w:val="20"/>
        </w:rPr>
        <w:t>Pledgee”</w:t>
      </w:r>
      <w:r>
        <w:rPr>
          <w:rFonts w:ascii="Times New Roman" w:hAnsi="Times New Roman"/>
          <w:sz w:val="20"/>
        </w:rPr>
        <w:t xml:space="preserve">, on the one hand, and </w:t>
      </w:r>
    </w:p>
    <w:p>
      <w:pPr>
        <w:pStyle w:val="TextBody"/>
        <w:spacing w:before="240" w:after="0"/>
        <w:rPr>
          <w:rFonts w:ascii="Times New Roman" w:hAnsi="Times New Roman"/>
          <w:sz w:val="20"/>
        </w:rPr>
      </w:pPr>
      <w:r>
        <w:rPr>
          <w:rFonts w:ascii="Times New Roman" w:hAnsi="Times New Roman"/>
          <w:b/>
          <w:i/>
          <w:sz w:val="20"/>
        </w:rPr>
        <w:t>HEADHUNTER FSU LIMITED,</w:t>
      </w:r>
      <w:r>
        <w:rPr>
          <w:rFonts w:ascii="Times New Roman" w:hAnsi="Times New Roman"/>
          <w:sz w:val="20"/>
        </w:rPr>
        <w:t xml:space="preserve"> </w:t>
      </w:r>
      <w:r>
        <w:rPr>
          <w:rFonts w:ascii="Times New Roman" w:hAnsi="Times New Roman"/>
          <w:b/>
          <w:sz w:val="20"/>
        </w:rPr>
        <w:t>registration number HE 178226, address (location) of the legal entity:</w:t>
      </w:r>
      <w:r>
        <w:rPr>
          <w:rFonts w:ascii="Times New Roman" w:hAnsi="Times New Roman"/>
          <w:sz w:val="20"/>
        </w:rPr>
        <w:t xml:space="preserve"> </w:t>
      </w:r>
      <w:r>
        <w:rPr>
          <w:rFonts w:ascii="Times New Roman" w:hAnsi="Times New Roman"/>
          <w:i/>
          <w:sz w:val="20"/>
        </w:rPr>
        <w:t>42 Dositheou, Strovolos 2028, Nicosia, Cyprus</w:t>
      </w:r>
      <w:r>
        <w:rPr>
          <w:rFonts w:ascii="Times New Roman" w:hAnsi="Times New Roman"/>
          <w:sz w:val="20"/>
        </w:rPr>
        <w:t xml:space="preserve">, represented by </w:t>
      </w:r>
      <w:r>
        <w:rPr>
          <w:rFonts w:ascii="Times New Roman" w:hAnsi="Times New Roman"/>
          <w:b/>
          <w:sz w:val="20"/>
        </w:rPr>
        <w:t>Yana Vladimirovna Cheremukhina,</w:t>
      </w:r>
      <w:r>
        <w:rPr>
          <w:rFonts w:ascii="Times New Roman" w:hAnsi="Times New Roman"/>
          <w:sz w:val="20"/>
        </w:rPr>
        <w:t xml:space="preserve"> acting under the Power of Attorney dated May 12, 2016, hereinafter referred to as the “</w:t>
      </w:r>
      <w:r>
        <w:rPr>
          <w:rFonts w:ascii="Times New Roman" w:hAnsi="Times New Roman"/>
          <w:b/>
          <w:sz w:val="20"/>
        </w:rPr>
        <w:t>Pledgor”,</w:t>
      </w:r>
      <w:r>
        <w:rPr>
          <w:rFonts w:ascii="Times New Roman" w:hAnsi="Times New Roman"/>
          <w:sz w:val="20"/>
        </w:rPr>
        <w:t xml:space="preserve"> on the other hand, collectively referred to as the “</w:t>
      </w:r>
      <w:r>
        <w:rPr>
          <w:rFonts w:ascii="Times New Roman" w:hAnsi="Times New Roman"/>
          <w:b/>
          <w:sz w:val="20"/>
        </w:rPr>
        <w:t>Parties”,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for a due, timely and complete fulfillment of all current and future Borrower’s obligations under the Loan Agreement (as defined hereinafter), have entered into this agreement as follows: </w:t>
      </w:r>
    </w:p>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According to the Syndicated Loan Agreement in the wording specified in Amendment Agreement No. 3 (the “</w:t>
            </w:r>
            <w:r>
              <w:rPr>
                <w:b/>
              </w:rPr>
              <w:t>Loan Agreement”</w:t>
            </w:r>
            <w:r>
              <w:rPr/>
              <w:t xml:space="preserve">) executed on May 16, 2016, between the Pledgee as an organizer, a credit agent and an original lender and the Borrower as a borrower, the Pledgee agreed to grant the Borrower funds in Rubles in an amount not exceeding RUB 7,000,000,000 (7 billion)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One of the preconditions for granting of the Loan to the Borrower under the Loan Agreement is execution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This Agreement is a Financial Document as defined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Pledgor is aware of the terms and conditions of the Loan Agreement and other Financial Documents. </w:t>
            </w:r>
          </w:p>
        </w:tc>
      </w:tr>
    </w:tbl>
    <w:p>
      <w:pPr>
        <w:pStyle w:val="TextBody"/>
        <w:spacing w:before="240" w:after="0"/>
        <w:rPr>
          <w:rFonts w:ascii="Times New Roman" w:hAnsi="Times New Roman"/>
          <w:sz w:val="20"/>
        </w:rPr>
      </w:pPr>
      <w:r>
        <w:rPr>
          <w:rFonts w:ascii="Times New Roman" w:hAnsi="Times New Roman"/>
          <w:b/>
          <w:sz w:val="20"/>
        </w:rPr>
        <w:t xml:space="preserve">IN VIEW OF THE FOREGOING, </w:t>
      </w:r>
      <w:r>
        <w:rPr>
          <w:rFonts w:ascii="Times New Roman" w:hAnsi="Times New Roman"/>
          <w:sz w:val="20"/>
        </w:rPr>
        <w:t xml:space="preserve">the Parties have agreed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w:t>
            </w:r>
          </w:p>
        </w:tc>
        <w:tc>
          <w:tcPr>
            <w:tcW w:w="9390" w:type="dxa"/>
            <w:tcBorders/>
            <w:shd w:fill="auto" w:val="clear"/>
          </w:tcPr>
          <w:p>
            <w:pPr>
              <w:pStyle w:val="TableContents"/>
              <w:spacing w:before="0" w:after="283"/>
              <w:jc w:val="left"/>
              <w:rPr/>
            </w:pPr>
            <w:r>
              <w:rPr>
                <w:b/>
              </w:rPr>
              <w:t>TERMS AND 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    </w:t>
            </w:r>
          </w:p>
        </w:tc>
        <w:tc>
          <w:tcPr>
            <w:tcW w:w="9391" w:type="dxa"/>
            <w:tcBorders/>
            <w:shd w:fill="auto" w:val="clear"/>
          </w:tcPr>
          <w:p>
            <w:pPr>
              <w:pStyle w:val="TableContents"/>
              <w:spacing w:before="0" w:after="283"/>
              <w:jc w:val="left"/>
              <w:rPr/>
            </w:pPr>
            <w:r>
              <w:rPr/>
              <w:t xml:space="preserve">For the purposes of this Agreement: </w:t>
            </w:r>
          </w:p>
        </w:tc>
      </w:tr>
    </w:tbl>
    <w:p>
      <w:pPr>
        <w:pStyle w:val="TextBody"/>
        <w:spacing w:before="120" w:after="0"/>
        <w:rPr/>
      </w:pPr>
      <w:r>
        <w:rPr/>
        <w:t>“</w:t>
      </w:r>
      <w:r>
        <w:rPr>
          <w:rFonts w:ascii="Times New Roman" w:hAnsi="Times New Roman"/>
          <w:b/>
          <w:sz w:val="20"/>
        </w:rPr>
        <w:t>Civil Code”</w:t>
      </w:r>
      <w:r>
        <w:rPr>
          <w:rFonts w:ascii="Times New Roman" w:hAnsi="Times New Roman"/>
          <w:sz w:val="20"/>
        </w:rPr>
        <w:t xml:space="preserve"> means collectively: (a) “Civil Code of the Russian Federation (Part I)” No. 51- </w:t>
      </w:r>
      <w:r>
        <w:rPr>
          <w:rFonts w:ascii="Times New Roman" w:hAnsi="Times New Roman"/>
          <w:sz w:val="20"/>
        </w:rPr>
        <w:drawing>
          <wp:inline distT="0" distB="0" distL="0" distR="0">
            <wp:extent cx="718820" cy="35941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link="rId31"/>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November 30, 1994, (as amended); (b) “Civil Code of the Russian Federation (Part II)” No. 14- </w:t>
      </w:r>
      <w:r>
        <w:rPr>
          <w:rFonts w:ascii="Times New Roman" w:hAnsi="Times New Roman"/>
          <w:sz w:val="20"/>
        </w:rPr>
        <w:drawing>
          <wp:inline distT="0" distB="0" distL="0" distR="0">
            <wp:extent cx="718820" cy="35941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link="rId32"/>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January 26, 1996, (as amended); (c) “Civil Code of the Russian Federation (Part III)” No. 146- </w:t>
      </w:r>
      <w:r>
        <w:rPr>
          <w:rFonts w:ascii="Times New Roman" w:hAnsi="Times New Roman"/>
          <w:sz w:val="20"/>
        </w:rPr>
        <w:drawing>
          <wp:inline distT="0" distB="0" distL="0" distR="0">
            <wp:extent cx="718820" cy="35941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link="rId33"/>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November 26, 2001, (as amended) and (d) “Civil Code of the Russian Federation (Part IV)” No. 230- </w:t>
      </w:r>
      <w:r>
        <w:rPr>
          <w:rFonts w:ascii="Times New Roman" w:hAnsi="Times New Roman"/>
          <w:sz w:val="20"/>
        </w:rPr>
        <w:drawing>
          <wp:inline distT="0" distB="0" distL="0" distR="0">
            <wp:extent cx="718820" cy="359410"/>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link="rId34"/>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December 18, 2006, (as amended).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Agreement” </w:t>
      </w:r>
      <w:r>
        <w:rPr>
          <w:rFonts w:ascii="Times New Roman" w:hAnsi="Times New Roman"/>
          <w:sz w:val="20"/>
        </w:rPr>
        <w:t xml:space="preserve">means this Agreement of Pledge of a Participatory Interest in the Authorized Capital. </w:t>
      </w:r>
    </w:p>
    <w:p>
      <w:pPr>
        <w:pStyle w:val="TextBody"/>
        <w:spacing w:before="120" w:after="0"/>
        <w:rPr/>
      </w:pPr>
      <w:r>
        <w:rPr/>
        <w:t>“</w:t>
      </w:r>
      <w:r>
        <w:rPr>
          <w:rFonts w:ascii="Times New Roman" w:hAnsi="Times New Roman"/>
          <w:b/>
          <w:sz w:val="20"/>
        </w:rPr>
        <w:t xml:space="preserve">EGRUL” </w:t>
      </w:r>
      <w:r>
        <w:rPr>
          <w:rFonts w:ascii="Times New Roman" w:hAnsi="Times New Roman"/>
          <w:sz w:val="20"/>
        </w:rPr>
        <w:t xml:space="preserve">means the Unified State Register of Legal Entities. </w:t>
      </w:r>
    </w:p>
    <w:p>
      <w:pPr>
        <w:pStyle w:val="TextBody"/>
        <w:spacing w:before="120" w:after="0"/>
        <w:rPr/>
      </w:pPr>
      <w:r>
        <w:rPr/>
        <w:t>“</w:t>
      </w:r>
      <w:r>
        <w:rPr>
          <w:rFonts w:ascii="Times New Roman" w:hAnsi="Times New Roman"/>
          <w:b/>
          <w:sz w:val="20"/>
        </w:rPr>
        <w:t>Borrower” means</w:t>
      </w:r>
      <w:r>
        <w:rPr>
          <w:rFonts w:ascii="Times New Roman" w:hAnsi="Times New Roman"/>
          <w:sz w:val="20"/>
        </w:rPr>
        <w:t xml:space="preserve"> Zemenik Limited Liability Company, Taxpayer Identification Number (INN): 7714373561, Primary State Registration Number (OGRN): 1167746153860, state registration date: February 11, 2016, name of the registration authority: Interdistrict Inspectorate of the Federal Tax Services No. 46 for Moscow, certificate of state registration of the legal entity: series 77 No. 017705664, Tax Registration Reason Code (KPP): 771401001, location of the legal entity: 4 Akademika Ilyushina St., bld. 1, office 54, Moscow, the Russian Federation. </w:t>
      </w:r>
    </w:p>
    <w:p>
      <w:pPr>
        <w:pStyle w:val="TextBody"/>
        <w:spacing w:before="120" w:after="0"/>
        <w:rPr/>
      </w:pPr>
      <w:r>
        <w:rPr/>
        <w:t>“</w:t>
      </w:r>
      <w:r>
        <w:rPr>
          <w:rFonts w:ascii="Times New Roman" w:hAnsi="Times New Roman"/>
          <w:b/>
          <w:sz w:val="20"/>
        </w:rPr>
        <w:t xml:space="preserve">Law on Regulated Procurement” </w:t>
      </w:r>
      <w:r>
        <w:rPr>
          <w:rFonts w:ascii="Times New Roman" w:hAnsi="Times New Roman"/>
          <w:sz w:val="20"/>
        </w:rPr>
        <w:t xml:space="preserve">means Federal Law of the Russian Federation No. 223- </w:t>
      </w:r>
      <w:r>
        <w:rPr>
          <w:rFonts w:ascii="Times New Roman" w:hAnsi="Times New Roman"/>
          <w:sz w:val="20"/>
        </w:rPr>
        <w:drawing>
          <wp:inline distT="0" distB="0" distL="0" distR="0">
            <wp:extent cx="718820" cy="35941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link="rId35"/>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July 18, 2011, “On Procurement of Goods, Works, Services by Separate Types of Legal Entities”. </w:t>
      </w:r>
    </w:p>
    <w:p>
      <w:pPr>
        <w:pStyle w:val="TextBody"/>
        <w:spacing w:before="120" w:after="0"/>
        <w:rPr/>
      </w:pPr>
      <w:r>
        <w:rPr/>
        <w:t>“</w:t>
      </w:r>
      <w:r>
        <w:rPr>
          <w:rFonts w:ascii="Times New Roman" w:hAnsi="Times New Roman"/>
          <w:b/>
          <w:sz w:val="20"/>
        </w:rPr>
        <w:t>Loan”</w:t>
      </w:r>
      <w:r>
        <w:rPr>
          <w:rFonts w:ascii="Times New Roman" w:hAnsi="Times New Roman"/>
          <w:sz w:val="20"/>
        </w:rPr>
        <w:t xml:space="preserve"> means funds within the Aggregate Loan Limit granted by the Lenders to the Borrower under the Loan Agreement as Tranche A, Tranche B, Tranche C, and Tranche D. </w:t>
      </w:r>
    </w:p>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has the meaning specified in Clause (A) of the Preamble to this Agreement.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Headhunter Limited Liability Company, Taxpayer Identification Number (INN of the legal entity): 7714373561, Primary State Registration Number (OGRN): 1067761906805, state registration date: December 29, 2006, name of the registration authority: Interdistrict Inspectorate of the Federal Tax Services No. 46 for Moscow, certificate of state registration of the legal entity: series 77 No. 008856455, Tax Registration Reason Code (KPP): 771 701001, location of the legal entity: 9, Godovikova St., bld. 10, Moscow, the Russian Federation. </w:t>
      </w:r>
    </w:p>
    <w:p>
      <w:pPr>
        <w:pStyle w:val="TextBody"/>
        <w:spacing w:before="120" w:after="0"/>
        <w:rPr/>
      </w:pPr>
      <w:r>
        <w:rPr/>
        <w:t>“</w:t>
      </w:r>
      <w:r>
        <w:rPr>
          <w:rFonts w:ascii="Times New Roman" w:hAnsi="Times New Roman"/>
          <w:b/>
          <w:sz w:val="20"/>
        </w:rPr>
        <w:t>Obligations”</w:t>
      </w:r>
      <w:r>
        <w:rPr>
          <w:rFonts w:ascii="Times New Roman" w:hAnsi="Times New Roman"/>
          <w:sz w:val="20"/>
        </w:rPr>
        <w:t xml:space="preserve"> means all Borrower’s current and future obligations under the Loan Agreement, including, but not limited to those specified in Clause 2.3 hereof. </w:t>
      </w:r>
    </w:p>
    <w:p>
      <w:pPr>
        <w:pStyle w:val="TextBody"/>
        <w:spacing w:before="120" w:after="0"/>
        <w:rPr/>
      </w:pPr>
      <w:r>
        <w:rPr/>
        <w:t>“</w:t>
      </w:r>
      <w:r>
        <w:rPr>
          <w:rFonts w:ascii="Times New Roman" w:hAnsi="Times New Roman"/>
          <w:b/>
          <w:sz w:val="20"/>
        </w:rPr>
        <w:t>Appraiser’s Report”</w:t>
      </w:r>
      <w:r>
        <w:rPr>
          <w:rFonts w:ascii="Times New Roman" w:hAnsi="Times New Roman"/>
          <w:sz w:val="20"/>
        </w:rPr>
        <w:t xml:space="preserve"> means such report on the market value of the Collateral as prepared by an independent appraiser appointed under Article 4 </w:t>
      </w:r>
      <w:r>
        <w:rPr>
          <w:rFonts w:ascii="Times New Roman" w:hAnsi="Times New Roman"/>
          <w:i/>
          <w:sz w:val="20"/>
        </w:rPr>
        <w:t xml:space="preserve">(Conditions of and Procedure for Enforcement of the Collateral) </w:t>
      </w:r>
      <w:r>
        <w:rPr>
          <w:rFonts w:ascii="Times New Roman" w:hAnsi="Times New Roman"/>
          <w:sz w:val="20"/>
        </w:rPr>
        <w:t xml:space="preserve">hereof for determining a disposal price of the Collateral in the enforcement cases provided for hereby. </w:t>
      </w:r>
    </w:p>
    <w:p>
      <w:pPr>
        <w:pStyle w:val="TextBody"/>
        <w:spacing w:before="120" w:after="0"/>
        <w:rPr/>
      </w:pPr>
      <w:r>
        <w:rPr/>
        <w:t>“</w:t>
      </w:r>
      <w:r>
        <w:rPr>
          <w:rFonts w:ascii="Times New Roman" w:hAnsi="Times New Roman"/>
          <w:b/>
          <w:sz w:val="20"/>
        </w:rPr>
        <w:t>Collateral”</w:t>
      </w:r>
      <w:r>
        <w:rPr>
          <w:rFonts w:ascii="Times New Roman" w:hAnsi="Times New Roman"/>
          <w:sz w:val="20"/>
        </w:rPr>
        <w:t xml:space="preserve"> means such participatory interest in the authorized capital of the Company which belongs to the Pledgor and which is specified in Clause 2.1 hereof. </w:t>
      </w:r>
    </w:p>
    <w:p>
      <w:pPr>
        <w:pStyle w:val="TextBody"/>
        <w:spacing w:before="120" w:after="0"/>
        <w:rPr/>
      </w:pPr>
      <w:r>
        <w:rPr/>
        <w:t>“</w:t>
      </w:r>
      <w:r>
        <w:rPr>
          <w:rFonts w:ascii="Times New Roman" w:hAnsi="Times New Roman"/>
          <w:b/>
          <w:sz w:val="20"/>
        </w:rPr>
        <w:t xml:space="preserve">Ruble” (“RUB”) </w:t>
      </w:r>
      <w:r>
        <w:rPr>
          <w:rFonts w:ascii="Times New Roman" w:hAnsi="Times New Roman"/>
          <w:sz w:val="20"/>
        </w:rPr>
        <w:t xml:space="preserve">means a legal tender of the Russian Federation.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 xml:space="preserve">3” means </w:t>
      </w:r>
      <w:r>
        <w:rPr>
          <w:rFonts w:ascii="Times New Roman" w:hAnsi="Times New Roman"/>
          <w:sz w:val="20"/>
        </w:rPr>
        <w:t xml:space="preserve">Amendment Agreement No. 3 to the Loan Agreement dated October 05, 2017. </w:t>
      </w:r>
    </w:p>
    <w:p>
      <w:pPr>
        <w:pStyle w:val="TextBody"/>
        <w:spacing w:before="120" w:after="0"/>
        <w:rPr/>
      </w:pPr>
      <w:r>
        <w:rPr/>
        <w:t>“</w:t>
      </w:r>
      <w:r>
        <w:rPr>
          <w:rFonts w:ascii="Times New Roman" w:hAnsi="Times New Roman"/>
          <w:b/>
          <w:sz w:val="20"/>
        </w:rPr>
        <w:t xml:space="preserve">Party/Parties” </w:t>
      </w:r>
      <w:r>
        <w:rPr>
          <w:rFonts w:ascii="Times New Roman" w:hAnsi="Times New Roman"/>
          <w:sz w:val="20"/>
        </w:rPr>
        <w:t xml:space="preserve">means the Pledgor and the Pledgee, together or separately, depending on the context. </w:t>
      </w:r>
    </w:p>
    <w:p>
      <w:pPr>
        <w:pStyle w:val="TextBody"/>
        <w:spacing w:before="120" w:after="0"/>
        <w:rPr/>
      </w:pPr>
      <w:r>
        <w:rPr/>
        <w:t>“</w:t>
      </w:r>
      <w:r>
        <w:rPr>
          <w:rFonts w:ascii="Times New Roman" w:hAnsi="Times New Roman"/>
          <w:b/>
          <w:sz w:val="20"/>
        </w:rPr>
        <w:t>Notice”</w:t>
      </w:r>
      <w:r>
        <w:rPr>
          <w:rFonts w:ascii="Times New Roman" w:hAnsi="Times New Roman"/>
          <w:sz w:val="20"/>
        </w:rPr>
        <w:t xml:space="preserve"> means such notice of an extra-judicial enforcement of the Collateral as sent to the Pledgor and the Company.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Other concepts and terms used in this Agreement have the same meanings as in the Loan Agreement, unless otherwise expressly follows from the context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w:t>
            </w:r>
          </w:p>
        </w:tc>
        <w:tc>
          <w:tcPr>
            <w:tcW w:w="9389" w:type="dxa"/>
            <w:tcBorders/>
            <w:shd w:fill="auto" w:val="clear"/>
          </w:tcPr>
          <w:p>
            <w:pPr>
              <w:pStyle w:val="TableContents"/>
              <w:spacing w:before="0" w:after="283"/>
              <w:jc w:val="left"/>
              <w:rPr/>
            </w:pPr>
            <w:r>
              <w:rPr>
                <w:b/>
              </w:rPr>
              <w:t>COLLATERAL AND A SECURED OBLIGATION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w:t>
            </w:r>
          </w:p>
        </w:tc>
        <w:tc>
          <w:tcPr>
            <w:tcW w:w="9388" w:type="dxa"/>
            <w:tcBorders/>
            <w:shd w:fill="auto" w:val="clear"/>
          </w:tcPr>
          <w:p>
            <w:pPr>
              <w:pStyle w:val="TableContents"/>
              <w:spacing w:before="0" w:after="283"/>
              <w:jc w:val="left"/>
              <w:rPr/>
            </w:pPr>
            <w:r>
              <w:rPr/>
              <w:t xml:space="preserve">In order to secure a due, timely and complete fulfillment of the Obligations, the Pledgor pledges to the Pledgee a 100% (One hundred percent) participatory interest in the authorized capital of the Company, with a par value of RUB 4,276,257.55 (Four million two hundred and seventy-six thousand two hundred and fifty-seven Rubles 55 kopecks) as an original pledge (not a subsequent one) granting the Pledgee a preemptive right of satisfaction of Pledgee’s claims against any claims of other persons (except as provided by laws) in respect of any Obligations under Clause 2.3 hereof by means of a received sale cost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2.2.</w:t>
            </w:r>
          </w:p>
        </w:tc>
        <w:tc>
          <w:tcPr>
            <w:tcW w:w="9388" w:type="dxa"/>
            <w:tcBorders/>
            <w:shd w:fill="auto" w:val="clear"/>
          </w:tcPr>
          <w:p>
            <w:pPr>
              <w:pStyle w:val="TableContents"/>
              <w:spacing w:before="0" w:after="283"/>
              <w:jc w:val="left"/>
              <w:rPr/>
            </w:pPr>
            <w:r>
              <w:rPr/>
              <w:t xml:space="preserve">The Parties evaluate the Collateral’s price to be RUB 4,276,257.55 (Four million two hundred and seventy-six thousand two hundred and fifty-seven Rubles 55 kopecks). The cost of the Collateral agreed in this Clause 2.2 is not deemed to be an initial sale price in case of enforcement. The initial sale cost of the Collateral is estimated under Article 4 </w:t>
            </w:r>
            <w:r>
              <w:rPr>
                <w:i/>
              </w:rPr>
              <w:t>(Conditions of and Procedure for Enforcement of the Collateral)</w:t>
            </w:r>
            <w:r>
              <w:rPr/>
              <w:t xml:space="preserve">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w:t>
            </w:r>
          </w:p>
        </w:tc>
        <w:tc>
          <w:tcPr>
            <w:tcW w:w="9389" w:type="dxa"/>
            <w:tcBorders/>
            <w:shd w:fill="auto" w:val="clear"/>
          </w:tcPr>
          <w:p>
            <w:pPr>
              <w:pStyle w:val="TableContents"/>
              <w:spacing w:before="0" w:after="283"/>
              <w:jc w:val="left"/>
              <w:rPr/>
            </w:pPr>
            <w:r>
              <w:rPr/>
              <w:t xml:space="preserve">The Pledgor shall hereby be liable to the Pledgee for a due, timely and complete fulfillment of the Obligations, including,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2.3.1.</w:t>
            </w:r>
          </w:p>
        </w:tc>
        <w:tc>
          <w:tcPr>
            <w:tcW w:w="9389" w:type="dxa"/>
            <w:tcBorders/>
            <w:shd w:fill="auto" w:val="clear"/>
          </w:tcPr>
          <w:p>
            <w:pPr>
              <w:pStyle w:val="TableContents"/>
              <w:spacing w:before="0" w:after="283"/>
              <w:jc w:val="left"/>
              <w:rPr/>
            </w:pPr>
            <w:r>
              <w:rPr/>
              <w:t xml:space="preserve">payment of an aggregate principal of the Loan of RUB 7,000,000,000 (Seven billion)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2.3.2.</w:t>
            </w:r>
          </w:p>
        </w:tc>
        <w:tc>
          <w:tcPr>
            <w:tcW w:w="9388" w:type="dxa"/>
            <w:tcBorders/>
            <w:shd w:fill="auto" w:val="clear"/>
          </w:tcPr>
          <w:p>
            <w:pPr>
              <w:pStyle w:val="TableContents"/>
              <w:spacing w:before="0" w:after="283"/>
              <w:jc w:val="left"/>
              <w:rPr/>
            </w:pPr>
            <w:r>
              <w:rPr/>
              <w:t xml:space="preserve">payment of interest according to Article 9 </w:t>
            </w:r>
            <w:r>
              <w:rPr>
                <w:i/>
              </w:rPr>
              <w:t xml:space="preserve">(Interest) </w:t>
            </w:r>
            <w:r>
              <w:rPr/>
              <w:t xml:space="preserve">of the Loan Agreement due on each Interest Payment Date according to the provisions of Article 9.3 </w:t>
            </w:r>
            <w:r>
              <w:rPr>
                <w:i/>
              </w:rPr>
              <w:t xml:space="preserve">(Interest Payment) </w:t>
            </w:r>
            <w:r>
              <w:rPr/>
              <w:t xml:space="preserve">of the Loan Agreement. An interest rate for the Outstanding Loan for each Interest Period is an annual interest rate equal to an amount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5"/>
        <w:gridCol w:w="8473"/>
      </w:tblGrid>
      <w:tr>
        <w:trPr/>
        <w:tc>
          <w:tcPr>
            <w:tcW w:w="816"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3"/>
        <w:gridCol w:w="7556"/>
      </w:tblGrid>
      <w:tr>
        <w:trPr/>
        <w:tc>
          <w:tcPr>
            <w:tcW w:w="173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9"/>
        <w:gridCol w:w="6634"/>
      </w:tblGrid>
      <w:tr>
        <w:trPr/>
        <w:tc>
          <w:tcPr>
            <w:tcW w:w="2651"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6634" w:type="dxa"/>
            <w:tcBorders/>
            <w:shd w:fill="auto" w:val="clear"/>
          </w:tcPr>
          <w:p>
            <w:pPr>
              <w:pStyle w:val="TableContents"/>
              <w:spacing w:before="0" w:after="283"/>
              <w:jc w:val="left"/>
              <w:rPr/>
            </w:pPr>
            <w:r>
              <w:rPr/>
              <w:t xml:space="preserve">2.5 (two point five) percent per annum in any cases specified in Article 9.2 </w:t>
            </w:r>
            <w:r>
              <w:rPr>
                <w:i/>
              </w:rPr>
              <w:t>(Margin Adjustment)</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2.3.3.</w:t>
            </w:r>
          </w:p>
        </w:tc>
        <w:tc>
          <w:tcPr>
            <w:tcW w:w="9389" w:type="dxa"/>
            <w:tcBorders/>
            <w:shd w:fill="auto" w:val="clear"/>
          </w:tcPr>
          <w:p>
            <w:pPr>
              <w:pStyle w:val="TableContents"/>
              <w:spacing w:before="0" w:after="283"/>
              <w:jc w:val="left"/>
              <w:rPr/>
            </w:pPr>
            <w:r>
              <w:rPr/>
              <w:t xml:space="preserve">payment of a penalty according to Article 9.4 </w:t>
            </w:r>
            <w:r>
              <w:rPr>
                <w:i/>
              </w:rPr>
              <w:t>(Penalty)</w:t>
            </w:r>
            <w:r>
              <w:rPr/>
              <w:t xml:space="preserve"> of the Loan Agreement due if the Borrower fails to timely fulfill an obligation of payment of any amount due under the Financial Document; such penalty being 2/365 interest rate established under Article 9.1 </w:t>
            </w:r>
            <w:r>
              <w:rPr>
                <w:i/>
              </w:rPr>
              <w:t>(Interest Calculation)</w:t>
            </w:r>
            <w:r>
              <w:rPr/>
              <w:t xml:space="preserve"> of the Loan Agreement taking into account the provisions of Article 9.2 </w:t>
            </w:r>
            <w:r>
              <w:rPr>
                <w:i/>
              </w:rPr>
              <w:t xml:space="preserve">(Margin Adjustment) </w:t>
            </w:r>
            <w:r>
              <w:rPr/>
              <w:t xml:space="preserve">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2.3.4.</w:t>
            </w:r>
          </w:p>
        </w:tc>
        <w:tc>
          <w:tcPr>
            <w:tcW w:w="9389" w:type="dxa"/>
            <w:tcBorders/>
            <w:shd w:fill="auto" w:val="clear"/>
          </w:tcPr>
          <w:p>
            <w:pPr>
              <w:pStyle w:val="TableContents"/>
              <w:spacing w:before="0" w:after="283"/>
              <w:jc w:val="left"/>
              <w:rPr/>
            </w:pPr>
            <w:r>
              <w:rPr/>
              <w:t xml:space="preserve">payment of reimbursement for funds available for granting the Loan under Article 11.1 </w:t>
            </w:r>
            <w:r>
              <w:rPr>
                <w:i/>
              </w:rPr>
              <w:t>(Fee for the Obligation under the 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such consideration being accrued for the Disbursement Period of Tranche A and the Disbursement Period of Tranche B, respectively, and paid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5" w:type="dxa"/>
            <w:tcBorders/>
            <w:shd w:fill="auto" w:val="clear"/>
          </w:tcPr>
          <w:p>
            <w:pPr>
              <w:pStyle w:val="TableContents"/>
              <w:spacing w:before="0" w:after="283"/>
              <w:jc w:val="left"/>
              <w:rPr/>
            </w:pPr>
            <w:r>
              <w:rPr/>
              <w:t xml:space="preserve">in respect of the Unused Loan Limited of Tranche B, on the last Business Day of each calendar month within the Disbursement Period of Tranche B or on the last day of the Disbursement Period of Tranche B, whichever occurs first. </w:t>
            </w:r>
          </w:p>
        </w:tc>
      </w:tr>
    </w:tbl>
    <w:p>
      <w:pPr>
        <w:pStyle w:val="TextBody"/>
        <w:spacing w:before="120" w:after="0"/>
        <w:rPr>
          <w:rFonts w:ascii="Times New Roman" w:hAnsi="Times New Roman"/>
          <w:sz w:val="20"/>
        </w:rPr>
      </w:pPr>
      <w:r>
        <w:rPr>
          <w:rFonts w:ascii="Times New Roman" w:hAnsi="Times New Roman"/>
          <w:sz w:val="20"/>
        </w:rPr>
        <w:t xml:space="preserve">A fee for the obligation of granting of the Loan shall not apply to the Unused Loan Limit in terms of Tranche B and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2.3.5.</w:t>
            </w:r>
          </w:p>
        </w:tc>
        <w:tc>
          <w:tcPr>
            <w:tcW w:w="9389" w:type="dxa"/>
            <w:tcBorders/>
            <w:shd w:fill="auto" w:val="clear"/>
          </w:tcPr>
          <w:p>
            <w:pPr>
              <w:pStyle w:val="TableContents"/>
              <w:spacing w:before="0" w:after="283"/>
              <w:jc w:val="left"/>
              <w:rPr/>
            </w:pPr>
            <w:r>
              <w:rPr/>
              <w:t xml:space="preserve">payment of a Lenders’ consideration for granting the Loan under Article 11.2 </w:t>
            </w:r>
            <w:r>
              <w:rPr>
                <w:i/>
              </w:rPr>
              <w:t xml:space="preserve">(Loan Extension Fee) </w:t>
            </w:r>
            <w:r>
              <w:rPr/>
              <w:t xml:space="preserve">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0.25 (zero point two five) percent of Tranche D </w:t>
            </w:r>
          </w:p>
        </w:tc>
      </w:tr>
    </w:tbl>
    <w:p>
      <w:pPr>
        <w:pStyle w:val="TextBody"/>
        <w:spacing w:before="120" w:after="0"/>
        <w:rPr>
          <w:rFonts w:ascii="Times New Roman" w:hAnsi="Times New Roman"/>
          <w:sz w:val="20"/>
        </w:rPr>
      </w:pPr>
      <w:r>
        <w:rPr>
          <w:rFonts w:ascii="Times New Roman" w:hAnsi="Times New Roman"/>
          <w:sz w:val="20"/>
        </w:rPr>
        <w:t xml:space="preserve">prior to the Disbursement Date of a respective Tranche.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2.3.6.</w:t>
            </w:r>
          </w:p>
        </w:tc>
        <w:tc>
          <w:tcPr>
            <w:tcW w:w="9389" w:type="dxa"/>
            <w:tcBorders/>
            <w:shd w:fill="auto" w:val="clear"/>
          </w:tcPr>
          <w:p>
            <w:pPr>
              <w:pStyle w:val="TableContents"/>
              <w:spacing w:before="0" w:after="283"/>
              <w:jc w:val="left"/>
              <w:rPr/>
            </w:pPr>
            <w:r>
              <w:rPr/>
              <w:t xml:space="preserve">reimbursement to the Parties to the Financing for any costs or losses to be reimbursed under Articles 14.1 </w:t>
            </w:r>
            <w:r>
              <w:rPr>
                <w:i/>
              </w:rPr>
              <w:t>(Reimbursement for Currency Costs),</w:t>
            </w:r>
            <w:r>
              <w:rPr/>
              <w:t xml:space="preserve"> 14.3 </w:t>
            </w:r>
            <w:r>
              <w:rPr>
                <w:i/>
              </w:rPr>
              <w:t>(Reimbursement for Costs of the Credit Agent)</w:t>
            </w:r>
            <w:r>
              <w:rPr/>
              <w:t xml:space="preserve"> and 14.4 (Transaction-Related Costs), 14.5 </w:t>
            </w:r>
            <w:r>
              <w:rPr>
                <w:i/>
              </w:rPr>
              <w:t xml:space="preserve">(Amendment Costs) </w:t>
            </w:r>
            <w:r>
              <w:rPr/>
              <w:t xml:space="preserve">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2.3.7.</w:t>
            </w:r>
          </w:p>
        </w:tc>
        <w:tc>
          <w:tcPr>
            <w:tcW w:w="9389"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incurred by a Party to the Financing because of a mandatory performance of any Financial Document or protection of its rights under the Financial Documents, including, but not limited to any cases of seizure, maintenance, preparation for sale, sale or other enforcement of the Collateral and its sale hereunder or a judicial protection of rights of the Lenders under the Loan Agreement and (or)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2.3.8.</w:t>
            </w:r>
          </w:p>
        </w:tc>
        <w:tc>
          <w:tcPr>
            <w:tcW w:w="9388" w:type="dxa"/>
            <w:tcBorders/>
            <w:shd w:fill="auto" w:val="clear"/>
          </w:tcPr>
          <w:p>
            <w:pPr>
              <w:pStyle w:val="TableContents"/>
              <w:spacing w:before="0" w:after="283"/>
              <w:jc w:val="left"/>
              <w:rPr/>
            </w:pPr>
            <w:r>
              <w:rPr/>
              <w:t xml:space="preserve">reimbursement to the Parties to the Financing for any expenses under Article 14.2 </w:t>
            </w:r>
            <w:r>
              <w:rPr>
                <w:i/>
              </w:rPr>
              <w:t xml:space="preserve">(Reimbursement for Other Costs) </w:t>
            </w:r>
            <w:r>
              <w:rPr/>
              <w:t xml:space="preserve">of the Loan Agreement incurred by a Party to the Financing as a result of: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occurrence of the Event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impossibility to grant the Loan to the Borrower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the Borrower’s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2.3.9.</w:t>
            </w:r>
          </w:p>
        </w:tc>
        <w:tc>
          <w:tcPr>
            <w:tcW w:w="9389"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2.3.10.</w:t>
            </w:r>
          </w:p>
        </w:tc>
        <w:tc>
          <w:tcPr>
            <w:tcW w:w="9388" w:type="dxa"/>
            <w:tcBorders/>
            <w:shd w:fill="auto" w:val="clear"/>
          </w:tcPr>
          <w:p>
            <w:pPr>
              <w:pStyle w:val="TableContents"/>
              <w:spacing w:before="0" w:after="283"/>
              <w:jc w:val="left"/>
              <w:rPr/>
            </w:pPr>
            <w:r>
              <w:rPr/>
              <w:t xml:space="preserve">full return of any funds obtained by the Borrower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2.4.</w:t>
            </w:r>
          </w:p>
        </w:tc>
        <w:tc>
          <w:tcPr>
            <w:tcW w:w="9390" w:type="dxa"/>
            <w:tcBorders/>
            <w:shd w:fill="auto" w:val="clear"/>
          </w:tcPr>
          <w:p>
            <w:pPr>
              <w:pStyle w:val="TableContents"/>
              <w:spacing w:before="0" w:after="283"/>
              <w:jc w:val="left"/>
              <w:rPr/>
            </w:pPr>
            <w:r>
              <w:rPr/>
              <w:t xml:space="preserve">The Pledgor’s ownership of the Collateral and the authorities to dispose of it shall be proved 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 xml:space="preserve">the Sale and Purchase Agreement for a Participatory Interest in the Authorized Capital of the Company dated January 30, 2007, between Maxim Petrovich Gortsakalyan as a seller and SALVADA COMPANY LIMITED (registration number HE 178226, registered address: Diagorou 4, Kermia Building, 6th floor, Office 601, 1097, Nicosia, Cyprus) as a buyer. The change of the name of SALVADA COMPANY LIMITED to HEADHUNTER FSU LIMITED was registered on May 9, 2011;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the extract from the EGRUL w/o No. was issued on May 26, 2016.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2.5.</w:t>
            </w:r>
          </w:p>
        </w:tc>
        <w:tc>
          <w:tcPr>
            <w:tcW w:w="9389" w:type="dxa"/>
            <w:tcBorders/>
            <w:shd w:fill="auto" w:val="clear"/>
          </w:tcPr>
          <w:p>
            <w:pPr>
              <w:pStyle w:val="TableContents"/>
              <w:spacing w:before="0" w:after="283"/>
              <w:jc w:val="left"/>
              <w:rPr/>
            </w:pPr>
            <w:r>
              <w:rPr/>
              <w:t xml:space="preserve">The pledge right arises for the Pledgee since the state registration with an authority performing state registration of legal entities.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2.6.</w:t>
            </w:r>
          </w:p>
        </w:tc>
        <w:tc>
          <w:tcPr>
            <w:tcW w:w="9390" w:type="dxa"/>
            <w:tcBorders/>
            <w:shd w:fill="auto" w:val="clear"/>
          </w:tcPr>
          <w:p>
            <w:pPr>
              <w:pStyle w:val="TableContents"/>
              <w:spacing w:before="0" w:after="283"/>
              <w:jc w:val="left"/>
              <w:rPr/>
            </w:pPr>
            <w:r>
              <w:rPr/>
              <w:t xml:space="preserve">The pledge arising hereunder fully secures the Obligations as they are by the time of satisfaction, including interest, penalty, reimbursement for losses (except for lost profit) caused by a delay in fulfillment, as well as reimbursement for all costs of the Pledgee necessary for foreclosure.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2.7.</w:t>
            </w:r>
          </w:p>
        </w:tc>
        <w:tc>
          <w:tcPr>
            <w:tcW w:w="9389" w:type="dxa"/>
            <w:tcBorders/>
            <w:shd w:fill="auto" w:val="clear"/>
          </w:tcPr>
          <w:p>
            <w:pPr>
              <w:pStyle w:val="TableContents"/>
              <w:spacing w:before="0" w:after="283"/>
              <w:jc w:val="left"/>
              <w:rPr/>
            </w:pPr>
            <w:r>
              <w:rPr/>
              <w:t xml:space="preserve">Until the pledge of the Collateral is expired or terminated, the rights of the member of the Company (including the rights to vote at the general meeting of members of the Company and to participate in the management of the Company) shall be exercised by the Pledgor, unless the Company receives a Pledgee’s written notice sent in any Event of Default provided for by Article 21 </w:t>
            </w:r>
            <w:r>
              <w:rPr>
                <w:i/>
              </w:rPr>
              <w:t>(Events of Default)</w:t>
            </w:r>
            <w:r>
              <w:rPr/>
              <w:t xml:space="preserve"> of the Loan Agreement (including failure of the Pledgor to fulfill any obligations provided for hereby) (except for any cases of provision by the Credit Agent of waivers of the Lenders to exercise their rights under the Loan Agreement in any Events of Default under the terms and conditions of the Loan Agreement). Since the receipt of such notice by the Company (until the Credit Agent revokes it, if applicable), member’s rights (all or any specified in the notice) shall be exercised by the Pledgee. Such notice shall also be sent to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2.8.</w:t>
            </w:r>
          </w:p>
        </w:tc>
        <w:tc>
          <w:tcPr>
            <w:tcW w:w="9388" w:type="dxa"/>
            <w:tcBorders/>
            <w:shd w:fill="auto" w:val="clear"/>
          </w:tcPr>
          <w:p>
            <w:pPr>
              <w:pStyle w:val="TableContents"/>
              <w:spacing w:before="0" w:after="283"/>
              <w:jc w:val="left"/>
              <w:rPr/>
            </w:pPr>
            <w:r>
              <w:rPr/>
              <w:t xml:space="preserve">The Collateral shall not be subject to insurance.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2.9.</w:t>
            </w:r>
          </w:p>
        </w:tc>
        <w:tc>
          <w:tcPr>
            <w:tcW w:w="9390" w:type="dxa"/>
            <w:tcBorders/>
            <w:shd w:fill="auto" w:val="clear"/>
          </w:tcPr>
          <w:p>
            <w:pPr>
              <w:pStyle w:val="TableContents"/>
              <w:spacing w:before="0" w:after="283"/>
              <w:jc w:val="left"/>
              <w:rPr/>
            </w:pPr>
            <w:r>
              <w:rPr/>
              <w:t xml:space="preserve">The pledge shall remain in force if the Collateral passes to any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2.10.</w:t>
            </w:r>
          </w:p>
        </w:tc>
        <w:tc>
          <w:tcPr>
            <w:tcW w:w="9389" w:type="dxa"/>
            <w:tcBorders/>
            <w:shd w:fill="auto" w:val="clear"/>
          </w:tcPr>
          <w:p>
            <w:pPr>
              <w:pStyle w:val="TableContents"/>
              <w:spacing w:before="0" w:after="283"/>
              <w:jc w:val="left"/>
              <w:rPr/>
            </w:pPr>
            <w:r>
              <w:rPr/>
              <w:t xml:space="preserve">A subsequent pledge agreement may be concluded by the Pledgor with any third party provided that the following terms and conditions are met: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 subsequent pledge agreement shall provide for the same Collateral enforcement procedure and the same methods of disposal of the pledged property as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 subsequent pledge agreement shall provide for a prohibition against filing any claims by a subsequent pledgee to the debtor in terms of early fulfillment of the obligation secured by the subsequent pledge if the Pledgee enforces the pledged property;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if a subsequent pledgee enforces the Collateral and the Pledgee also files a claim to enforce the pledged property, the Pledgee shall be entitled to choose the Collateral enforcement manner and a method of disposal of the pledged property. An appraiser, a tender organizer and a disposal price must be determined under the terms and conditions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2.11.</w:t>
            </w:r>
          </w:p>
        </w:tc>
        <w:tc>
          <w:tcPr>
            <w:tcW w:w="9388" w:type="dxa"/>
            <w:tcBorders/>
            <w:shd w:fill="auto" w:val="clear"/>
          </w:tcPr>
          <w:p>
            <w:pPr>
              <w:pStyle w:val="TableContents"/>
              <w:spacing w:before="0" w:after="283"/>
              <w:jc w:val="left"/>
              <w:rPr/>
            </w:pPr>
            <w:r>
              <w:rPr/>
              <w:t xml:space="preserve">If the Obligations are partially fulfilled, the pledge of the Collateral shall remain in its original volume until the Obligations are fulfilled completely.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2.12.</w:t>
            </w:r>
          </w:p>
        </w:tc>
        <w:tc>
          <w:tcPr>
            <w:tcW w:w="9389" w:type="dxa"/>
            <w:tcBorders/>
            <w:shd w:fill="auto" w:val="clear"/>
          </w:tcPr>
          <w:p>
            <w:pPr>
              <w:pStyle w:val="TableContents"/>
              <w:spacing w:before="0" w:after="283"/>
              <w:jc w:val="left"/>
              <w:rPr/>
            </w:pPr>
            <w:r>
              <w:rPr/>
              <w:t xml:space="preserve">If there are any adjustments of the authorized capital of the Company in the manner established by the laws of the Russian Federation, provided that the provisions of the Loan Agreement and this Agreement are fulfilled, the Pledgor and the Pledgee shall, within 15 (Fifteen) Business Days from the date of state registration of such changes amending the Articles of Association of the Company, enter into a supplementary agreement hereto, as well as take any necessary actions for securing of the Pledgee’s pledge right for the Pledgor’s participatory interest in the adjusted authorized capital of the Company if the conclusion of such supplementary agreement and (or) taking of such actions for securing of the pledge right are required by law; the Pledgee shall always retain a participatory interest of the size as specified in Clause 2.1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3.</w:t>
            </w:r>
          </w:p>
        </w:tc>
        <w:tc>
          <w:tcPr>
            <w:tcW w:w="9388" w:type="dxa"/>
            <w:tcBorders/>
            <w:shd w:fill="auto" w:val="clear"/>
          </w:tcPr>
          <w:p>
            <w:pPr>
              <w:pStyle w:val="TableContents"/>
              <w:spacing w:before="0" w:after="283"/>
              <w:jc w:val="left"/>
              <w:rPr/>
            </w:pPr>
            <w:r>
              <w:rPr>
                <w:b/>
              </w:rPr>
              <w:t>PLEDGOR’S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shall: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t xml:space="preserve">Execute the pledge according to the laws of the Russian Federation. </w:t>
            </w:r>
          </w:p>
        </w:tc>
      </w:tr>
    </w:tbl>
    <w:p>
      <w:pPr>
        <w:pStyle w:val="TextBody"/>
        <w:spacing w:before="120" w:after="0"/>
        <w:rPr>
          <w:rFonts w:ascii="Times New Roman" w:hAnsi="Times New Roman"/>
          <w:sz w:val="20"/>
        </w:rPr>
      </w:pPr>
      <w:r>
        <w:rPr>
          <w:rFonts w:ascii="Times New Roman" w:hAnsi="Times New Roman"/>
          <w:sz w:val="20"/>
        </w:rPr>
        <w:t xml:space="preserve">Within 11 (Eleven) Business Days from the signing hereof, provide the Pledgee acting as the Credit Agent under the Loan Agreement with an original extract from the EGRUL proving: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registration of the pledge created hereunder in the EGRUL;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existence of Encumbrance of the Collateral created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3.2.</w:t>
            </w:r>
          </w:p>
        </w:tc>
        <w:tc>
          <w:tcPr>
            <w:tcW w:w="9390" w:type="dxa"/>
            <w:tcBorders/>
            <w:shd w:fill="auto" w:val="clear"/>
          </w:tcPr>
          <w:p>
            <w:pPr>
              <w:pStyle w:val="TableContents"/>
              <w:spacing w:before="0" w:after="283"/>
              <w:jc w:val="left"/>
              <w:rPr/>
            </w:pPr>
            <w:r>
              <w:rPr/>
              <w:t xml:space="preserve">Execute the pledge according to the laws of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3.2.1.</w:t>
            </w:r>
          </w:p>
        </w:tc>
        <w:tc>
          <w:tcPr>
            <w:tcW w:w="9389" w:type="dxa"/>
            <w:tcBorders/>
            <w:shd w:fill="auto" w:val="clear"/>
          </w:tcPr>
          <w:p>
            <w:pPr>
              <w:pStyle w:val="TableContents"/>
              <w:spacing w:before="0" w:after="283"/>
              <w:jc w:val="left"/>
              <w:rPr/>
            </w:pPr>
            <w:r>
              <w:rPr/>
              <w:t xml:space="preserve">The Pledgor shall, within 10 (Ten) Business Days from the date of this Agreement, provide the Pledgee acting as the Credit Agent under the Loan Agreement with a certified copy of the register of mortgages and other pledges of the Pledgor; such register shall prove making an entry on this Agreement under Clause 99(1) of Companies Act, Cap. 113, as amended.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3.2.2.</w:t>
            </w:r>
          </w:p>
        </w:tc>
        <w:tc>
          <w:tcPr>
            <w:tcW w:w="9388" w:type="dxa"/>
            <w:tcBorders/>
            <w:shd w:fill="auto" w:val="clear"/>
          </w:tcPr>
          <w:p>
            <w:pPr>
              <w:pStyle w:val="TableContents"/>
              <w:spacing w:before="0" w:after="283"/>
              <w:jc w:val="left"/>
              <w:rPr/>
            </w:pPr>
            <w:r>
              <w:rPr/>
              <w:t xml:space="preserve">The Pledgor shall, within 15 (Fifteen) Business Days from the date of this Agreement, provide the Pledgee acting as the Credit Agent under the Loan Agreement with an original pledge registration certificate issued by the </w:t>
            </w:r>
            <w:r>
              <w:rPr>
                <w:i/>
              </w:rPr>
              <w:t>Registrar of Companies in Cyprus</w:t>
            </w:r>
            <w:r>
              <w:rPr/>
              <w:t xml:space="preserve"> proving that this Agreement has been registered within due time limits by the Registrar of Companies in Cyprus under Clause 90 of Companies Act, Cap. 113, as amended.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3.3.</w:t>
            </w:r>
          </w:p>
        </w:tc>
        <w:tc>
          <w:tcPr>
            <w:tcW w:w="9390" w:type="dxa"/>
            <w:tcBorders/>
            <w:shd w:fill="auto" w:val="clear"/>
          </w:tcPr>
          <w:p>
            <w:pPr>
              <w:pStyle w:val="TableContents"/>
              <w:spacing w:before="0" w:after="283"/>
              <w:jc w:val="left"/>
              <w:rPr/>
            </w:pPr>
            <w:r>
              <w:rPr/>
              <w:t xml:space="preserve">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3.3.1.</w:t>
            </w:r>
          </w:p>
        </w:tc>
        <w:tc>
          <w:tcPr>
            <w:tcW w:w="9389" w:type="dxa"/>
            <w:tcBorders/>
            <w:shd w:fill="auto" w:val="clear"/>
          </w:tcPr>
          <w:p>
            <w:pPr>
              <w:pStyle w:val="TableContents"/>
              <w:spacing w:before="0" w:after="283"/>
              <w:jc w:val="left"/>
              <w:rPr/>
            </w:pPr>
            <w:r>
              <w:rPr/>
              <w:t xml:space="preserve">The Pledgor shall not dispose of the Collateral or replace the Collateral without the prior written consent of the Pledgee acting as the Credit Agent under the Loan Agreement, inter alia, shall not pledge or otherwise encumber the Collateral, except if the provisions of Clause 2.10 above are fulfilled;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3.3.2.</w:t>
            </w:r>
          </w:p>
        </w:tc>
        <w:tc>
          <w:tcPr>
            <w:tcW w:w="9389" w:type="dxa"/>
            <w:tcBorders/>
            <w:shd w:fill="auto" w:val="clear"/>
          </w:tcPr>
          <w:p>
            <w:pPr>
              <w:pStyle w:val="TableContents"/>
              <w:spacing w:before="0" w:after="283"/>
              <w:jc w:val="left"/>
              <w:rPr/>
            </w:pPr>
            <w:r>
              <w:rPr/>
              <w:t xml:space="preserve">The Pledgor shall not take any actions contradicting any terms or conditions of this Agreement which will or may lead to the loss of the Collateral or decrease in its cost;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3.3.3.</w:t>
            </w:r>
          </w:p>
        </w:tc>
        <w:tc>
          <w:tcPr>
            <w:tcW w:w="9389" w:type="dxa"/>
            <w:tcBorders/>
            <w:shd w:fill="auto" w:val="clear"/>
          </w:tcPr>
          <w:p>
            <w:pPr>
              <w:pStyle w:val="TableContents"/>
              <w:spacing w:before="0" w:after="283"/>
              <w:jc w:val="left"/>
              <w:rPr/>
            </w:pPr>
            <w:r>
              <w:rPr/>
              <w:t xml:space="preserve">The Pledgor shall immediately notify the Pledgee if there arises a possibility to lose the title to the Collateral; shall notify the Pledgee of any actions of third parties against the Collateral and/or their claim on the Collateral, of any such Encumbrance imposed on the Collateral which violates any terms and conditions hereof, as well as of occurrence of any other circumstances related to the Collateral which may have a negative impact on the Pledgor’s ability to fulfill its obligations hereunder or have any material negative impact on the status and priority of the Pledgee’s rights hereunder; shall bear any necessary costs for settlement of any arising conflicts for protection of the Collateral; shall claim the Collateral from any third party’s illegal possession under the laws of the Russian Federation; shall immediately notify the Pledgor in writing of any information received by the Pledgor from third parties and related to any offer or a binding resolution (order, decree, judgment, instruction, etc.) of a governmental or local authority concerning any transfer of the Collateral to any third party (irrespective of a transfer method) or related to any offer of transfer of any rights to the Collateral or a part thereof to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3.3.4.</w:t>
            </w:r>
          </w:p>
        </w:tc>
        <w:tc>
          <w:tcPr>
            <w:tcW w:w="9389" w:type="dxa"/>
            <w:tcBorders/>
            <w:shd w:fill="auto" w:val="clear"/>
          </w:tcPr>
          <w:p>
            <w:pPr>
              <w:pStyle w:val="TableContents"/>
              <w:spacing w:before="0" w:after="283"/>
              <w:jc w:val="left"/>
              <w:rPr/>
            </w:pPr>
            <w:r>
              <w:rPr/>
              <w:t xml:space="preserve">If the Collateral is lost, the Pledgor shall, within 60 (Sixty) days from the loss of the Collateral, offer the Lenders any respective property to replace the lost Collateral, and the Pledgor shall, within 120 (One hundred and twenty) days from the date of agreement of the property which will replace the Collateral with the Pledgee acting as the Credit Agent under the Loan Agreement, provide an equal property (whose composition is agreed with the Lenders) instead of the lost Collateral and (or) extend this Agreement to any other property whose composition is agreed with the Lenders for the market price of such property to be not less than the market price of the lost property;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3.3.5.</w:t>
            </w:r>
          </w:p>
        </w:tc>
        <w:tc>
          <w:tcPr>
            <w:tcW w:w="9389" w:type="dxa"/>
            <w:tcBorders/>
            <w:shd w:fill="auto" w:val="clear"/>
          </w:tcPr>
          <w:p>
            <w:pPr>
              <w:pStyle w:val="TableContents"/>
              <w:spacing w:before="0" w:after="283"/>
              <w:jc w:val="left"/>
              <w:rPr/>
            </w:pPr>
            <w:r>
              <w:rPr/>
              <w:t xml:space="preserve">If the whole Collateral or any part thereof is withdrawn by any authority or with the help thereof, inter alia, in the process of requisition, confiscation or nationalization of the Collateral, or if there is any other action or omission of an authority which will influence the use or the cost of the Collateral, the Pledgor shall take all necessary measures for reservation and protection of the rights and interests of the Pledgee in respect of the Collateral affected by such event, including filing of claims for damages, and faithfully assist the Pledgee in carrying out actions that the Pledgee may deem necessary in connection with any of the events described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3.3.6.</w:t>
            </w:r>
          </w:p>
        </w:tc>
        <w:tc>
          <w:tcPr>
            <w:tcW w:w="9389" w:type="dxa"/>
            <w:tcBorders/>
            <w:shd w:fill="auto" w:val="clear"/>
          </w:tcPr>
          <w:p>
            <w:pPr>
              <w:pStyle w:val="TableContents"/>
              <w:spacing w:before="0" w:after="283"/>
              <w:jc w:val="left"/>
              <w:rPr/>
            </w:pPr>
            <w:r>
              <w:rPr/>
              <w:t xml:space="preserve">In case of a dispute with any third parties regarding the Collateral, the Pledgor shall fulfill its procedural obligations in good faith, including presentation of evidence proving that the Collateral belongs to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3.4.</w:t>
            </w:r>
          </w:p>
        </w:tc>
        <w:tc>
          <w:tcPr>
            <w:tcW w:w="9390" w:type="dxa"/>
            <w:tcBorders/>
            <w:shd w:fill="auto" w:val="clear"/>
          </w:tcPr>
          <w:p>
            <w:pPr>
              <w:pStyle w:val="TableContents"/>
              <w:spacing w:before="0" w:after="283"/>
              <w:jc w:val="left"/>
              <w:rPr/>
            </w:pPr>
            <w:r>
              <w:rPr/>
              <w:t xml:space="preserve">Prohibition Against Reorganization and Reduction of the Authorized Capital of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without the prior written consent of the Pledgee acting as the Credit Agent under the Loan Agreement, carry out any reorganization or reduction of its authorized capital, except for the Permitted Redemption if such Permitted Redemption results in the fact that the pledge hereunder will cover all 100 (one hundred) percent of participatory interest in the authorized capital of the Company.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3.5.</w:t>
            </w:r>
          </w:p>
        </w:tc>
        <w:tc>
          <w:tcPr>
            <w:tcW w:w="9389" w:type="dxa"/>
            <w:tcBorders/>
            <w:shd w:fill="auto" w:val="clear"/>
          </w:tcPr>
          <w:p>
            <w:pPr>
              <w:pStyle w:val="TableContents"/>
              <w:spacing w:before="0" w:after="283"/>
              <w:jc w:val="left"/>
              <w:rPr/>
            </w:pPr>
            <w:r>
              <w:rPr/>
              <w:t xml:space="preserve">Prohibition Against Increase of the Authorized Capital of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increase the authorized capital without the prior written consent of the Pledgee acting as the Credit Agent under the Loan Agreement. Such consent is not required if the pledge hereunder covers all 100 (one hundred) percent of participatory interest in the authorized capital of the Company, including a participatory interest resulting from such increase of the authorized capital, since such increase of the authorized capital. Besides, the Pledgor undertakes, at its own expense, at the request of the Pledgee, to enter into, ensure notarization of and state registration of such supplementary agreement to this Agreement as satisfies the Pledgee and specifies a new amount of the Company’s authorized capital, 100% of which is pledged in favor of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3.6.</w:t>
            </w:r>
          </w:p>
        </w:tc>
        <w:tc>
          <w:tcPr>
            <w:tcW w:w="9388" w:type="dxa"/>
            <w:tcBorders/>
            <w:shd w:fill="auto" w:val="clear"/>
          </w:tcPr>
          <w:p>
            <w:pPr>
              <w:pStyle w:val="TableContents"/>
              <w:spacing w:before="0" w:after="283"/>
              <w:jc w:val="left"/>
              <w:rPr/>
            </w:pPr>
            <w:r>
              <w:rPr/>
              <w:t xml:space="preserve">Prohibition Against any Amendments to the Constituent Documents of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amend its constituent documents, including those related to changes in the legal form or name of the Company without the prior written consent of the Pledgee acting as the Credit Agent under the Loan Agreement, except for any technical changes and cases where any amendments are required by the applicable laws.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3.7.</w:t>
            </w:r>
          </w:p>
        </w:tc>
        <w:tc>
          <w:tcPr>
            <w:tcW w:w="9388" w:type="dxa"/>
            <w:tcBorders/>
            <w:shd w:fill="auto" w:val="clear"/>
          </w:tcPr>
          <w:p>
            <w:pPr>
              <w:pStyle w:val="TableContents"/>
              <w:spacing w:before="0" w:after="283"/>
              <w:jc w:val="left"/>
              <w:rPr/>
            </w:pPr>
            <w:r>
              <w:rPr/>
              <w:t xml:space="preserve">Restrictions on Payment of Dividends by the Company </w:t>
            </w:r>
          </w:p>
        </w:tc>
      </w:tr>
    </w:tbl>
    <w:p>
      <w:pPr>
        <w:pStyle w:val="TextBody"/>
        <w:spacing w:before="120" w:after="0"/>
        <w:rPr>
          <w:rFonts w:ascii="Times New Roman" w:hAnsi="Times New Roman"/>
          <w:sz w:val="20"/>
        </w:rPr>
      </w:pPr>
      <w:r>
        <w:rPr>
          <w:rFonts w:ascii="Times New Roman" w:hAnsi="Times New Roman"/>
          <w:sz w:val="20"/>
        </w:rPr>
        <w:t xml:space="preserve">The Pledgor shall ensure that the Company does not declare or pay dividends, except for the Permitted Disbursements, without the prior written consent of the Pledgee acting as the Credit Agent under the Loan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3.8.</w:t>
            </w:r>
          </w:p>
        </w:tc>
        <w:tc>
          <w:tcPr>
            <w:tcW w:w="9389" w:type="dxa"/>
            <w:tcBorders/>
            <w:shd w:fill="auto" w:val="clear"/>
          </w:tcPr>
          <w:p>
            <w:pPr>
              <w:pStyle w:val="TableContents"/>
              <w:spacing w:before="0" w:after="283"/>
              <w:jc w:val="left"/>
              <w:rPr/>
            </w:pPr>
            <w:r>
              <w:rPr/>
              <w:t xml:space="preserve">Information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3.8.1.</w:t>
            </w:r>
          </w:p>
        </w:tc>
        <w:tc>
          <w:tcPr>
            <w:tcW w:w="9389" w:type="dxa"/>
            <w:tcBorders/>
            <w:shd w:fill="auto" w:val="clear"/>
          </w:tcPr>
          <w:p>
            <w:pPr>
              <w:pStyle w:val="TableContents"/>
              <w:spacing w:before="0" w:after="283"/>
              <w:jc w:val="left"/>
              <w:rPr/>
            </w:pPr>
            <w:r>
              <w:rPr/>
              <w:t xml:space="preserve">In case of any such changes in information about the Pledgor within the validity term of this Agreement as may affect the proper fulfillment of any obligations hereunder by the Pledgor, the Pledgor shall notify the Pledgee acting as the Credit Agent under the Loan Agreement, of such changes within 7 (Seven) Business Days from the date of state registration of such changes;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3.8.2.</w:t>
            </w:r>
          </w:p>
        </w:tc>
        <w:tc>
          <w:tcPr>
            <w:tcW w:w="9389" w:type="dxa"/>
            <w:tcBorders/>
            <w:shd w:fill="auto" w:val="clear"/>
          </w:tcPr>
          <w:p>
            <w:pPr>
              <w:pStyle w:val="TableContents"/>
              <w:spacing w:before="0" w:after="283"/>
              <w:jc w:val="left"/>
              <w:rPr/>
            </w:pPr>
            <w:r>
              <w:rPr/>
              <w:t xml:space="preserve">The Pledgor shall notify the Pledgee acting as the Credit Agent under the Loan Agreement in writing of changing the location or postal address of the Pledgor within 20 (Twenty) days from the date of such change.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3.8.3.</w:t>
            </w:r>
          </w:p>
        </w:tc>
        <w:tc>
          <w:tcPr>
            <w:tcW w:w="9388" w:type="dxa"/>
            <w:tcBorders/>
            <w:shd w:fill="auto" w:val="clear"/>
          </w:tcPr>
          <w:p>
            <w:pPr>
              <w:pStyle w:val="TableContents"/>
              <w:spacing w:before="0" w:after="283"/>
              <w:jc w:val="left"/>
              <w:rPr/>
            </w:pPr>
            <w:r>
              <w:rPr/>
              <w:t xml:space="preserve">The Pledgor shall notify the Pledgee acting as the Credit Agent under the Loan Agreement in writing of any resolution of the authorized management body of the Pledgor to liquidate and (or) reorganize the Pledgor, immediately after the adoption of such resolution.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3.9.</w:t>
            </w:r>
          </w:p>
        </w:tc>
        <w:tc>
          <w:tcPr>
            <w:tcW w:w="9389" w:type="dxa"/>
            <w:tcBorders/>
            <w:shd w:fill="auto" w:val="clear"/>
          </w:tcPr>
          <w:p>
            <w:pPr>
              <w:pStyle w:val="TableContents"/>
              <w:spacing w:before="0" w:after="283"/>
              <w:jc w:val="left"/>
              <w:rPr/>
            </w:pPr>
            <w:r>
              <w:rPr/>
              <w:t xml:space="preserve">Enforcement. </w:t>
            </w:r>
          </w:p>
        </w:tc>
      </w:tr>
    </w:tbl>
    <w:p>
      <w:pPr>
        <w:pStyle w:val="TextBody"/>
        <w:spacing w:before="120" w:after="0"/>
        <w:rPr>
          <w:rFonts w:ascii="Times New Roman" w:hAnsi="Times New Roman"/>
          <w:sz w:val="20"/>
        </w:rPr>
      </w:pPr>
      <w:r>
        <w:rPr>
          <w:rFonts w:ascii="Times New Roman" w:hAnsi="Times New Roman"/>
          <w:sz w:val="20"/>
        </w:rPr>
        <w:t xml:space="preserve">The Pledgor shall, within 3 (Three) Business Days from the receipt of the Notice sent by the Pledgee (unless another period is specified in the Notice), ensure signing of documents and perform all other actions necessary for an extra-judicial foreclosure and disposal of the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3.10.</w:t>
            </w:r>
          </w:p>
        </w:tc>
        <w:tc>
          <w:tcPr>
            <w:tcW w:w="9390" w:type="dxa"/>
            <w:tcBorders/>
            <w:shd w:fill="auto" w:val="clear"/>
          </w:tcPr>
          <w:p>
            <w:pPr>
              <w:pStyle w:val="TableContents"/>
              <w:spacing w:before="0" w:after="283"/>
              <w:jc w:val="left"/>
              <w:rPr/>
            </w:pPr>
            <w:r>
              <w:rPr/>
              <w:t xml:space="preserve">Permissions and Corporate Approvals. </w:t>
            </w:r>
          </w:p>
        </w:tc>
      </w:tr>
    </w:tbl>
    <w:p>
      <w:pPr>
        <w:pStyle w:val="TextBody"/>
        <w:spacing w:before="120" w:after="0"/>
        <w:rPr>
          <w:rFonts w:ascii="Times New Roman" w:hAnsi="Times New Roman"/>
          <w:sz w:val="20"/>
        </w:rPr>
      </w:pPr>
      <w:r>
        <w:rPr>
          <w:rFonts w:ascii="Times New Roman" w:hAnsi="Times New Roman"/>
          <w:sz w:val="20"/>
        </w:rPr>
        <w:t xml:space="preserve">The Pledgor shall timely obtain, maintain and comply with the terms and conditions of any permits, consents and corporate approvals required by the applicable law to fulfill its obligations under this Agreement and to ensure that this Agreement can be used as evidence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in arbitration proceedings and in courts of the Russian Federation, including arbitration courts, as well as to provide the Pledgee acting as the Credit Agent under the Loan Agreement with certified copies of such documents.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3.11.</w:t>
            </w:r>
          </w:p>
        </w:tc>
        <w:tc>
          <w:tcPr>
            <w:tcW w:w="9388" w:type="dxa"/>
            <w:tcBorders/>
            <w:shd w:fill="auto" w:val="clear"/>
          </w:tcPr>
          <w:p>
            <w:pPr>
              <w:pStyle w:val="TableContents"/>
              <w:spacing w:before="0" w:after="283"/>
              <w:jc w:val="left"/>
              <w:rPr/>
            </w:pPr>
            <w:r>
              <w:rPr/>
              <w:t xml:space="preserve">Additional General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3.11.1.</w:t>
            </w:r>
          </w:p>
        </w:tc>
        <w:tc>
          <w:tcPr>
            <w:tcW w:w="9389" w:type="dxa"/>
            <w:tcBorders/>
            <w:shd w:fill="auto" w:val="clear"/>
          </w:tcPr>
          <w:p>
            <w:pPr>
              <w:pStyle w:val="TableContents"/>
              <w:spacing w:before="0" w:after="283"/>
              <w:jc w:val="left"/>
              <w:rPr/>
            </w:pPr>
            <w:r>
              <w:rPr/>
              <w:t xml:space="preserve">The Pledgor shall ensure that it takes all necessary actions and signs any documents within the scope of its authorities (including submission of documents and registration) for creation, execution, implementation, protection and reservation of security hereunder which is provided to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3.11.2.</w:t>
            </w:r>
          </w:p>
        </w:tc>
        <w:tc>
          <w:tcPr>
            <w:tcW w:w="9388" w:type="dxa"/>
            <w:tcBorders/>
            <w:shd w:fill="auto" w:val="clear"/>
          </w:tcPr>
          <w:p>
            <w:pPr>
              <w:pStyle w:val="TableContents"/>
              <w:spacing w:before="0" w:after="283"/>
              <w:jc w:val="left"/>
              <w:rPr/>
            </w:pPr>
            <w:r>
              <w:rPr/>
              <w:t xml:space="preserve">The Pledgor shall assist the Pledgee in exercising control over the Pledgor’s fulfillment of the terms and conditions of this Agreement, assist the Pledgee in carrying out inspections of documents on the existence and condition of the Collateral. The Pledgor shall provide such documents within: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10 (Ten) Business Days from the date of receipt of the relevant request if the Pledgor or the Company has relevant documents or they can be obtained by the Pledgor or the Company within the specified period;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within a reasonable time if the Pledgor and the Company do not have relevant documents and they cannot be obtained by the Pledgor or the Company within the specified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3.11.3.</w:t>
            </w:r>
          </w:p>
        </w:tc>
        <w:tc>
          <w:tcPr>
            <w:tcW w:w="9389" w:type="dxa"/>
            <w:tcBorders/>
            <w:shd w:fill="auto" w:val="clear"/>
          </w:tcPr>
          <w:p>
            <w:pPr>
              <w:pStyle w:val="TableContents"/>
              <w:spacing w:before="0" w:after="283"/>
              <w:jc w:val="left"/>
              <w:rPr/>
            </w:pPr>
            <w:r>
              <w:rPr/>
              <w:t xml:space="preserve">The Pledgor shall not disclose the contents of this Agreement and any information relating to the performance hereof to third parties, except for the cases described in Article 28.2 </w:t>
            </w:r>
            <w:r>
              <w:rPr>
                <w:i/>
              </w:rPr>
              <w:t xml:space="preserve">(Disclosure of Confidential Information) </w:t>
            </w:r>
            <w:r>
              <w:rPr/>
              <w:t xml:space="preserve">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4.</w:t>
            </w:r>
          </w:p>
        </w:tc>
        <w:tc>
          <w:tcPr>
            <w:tcW w:w="9392" w:type="dxa"/>
            <w:tcBorders/>
            <w:shd w:fill="auto" w:val="clear"/>
          </w:tcPr>
          <w:p>
            <w:pPr>
              <w:pStyle w:val="TableContents"/>
              <w:spacing w:before="0" w:after="283"/>
              <w:jc w:val="left"/>
              <w:rPr/>
            </w:pPr>
            <w:r>
              <w:rPr>
                <w:b/>
              </w:rPr>
              <w:t>CONDITIONS OF AND PROCEDURE FOR ENFORCEMENT OF THE COLLATERAL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4.1.</w:t>
            </w:r>
          </w:p>
        </w:tc>
        <w:tc>
          <w:tcPr>
            <w:tcW w:w="9390" w:type="dxa"/>
            <w:tcBorders/>
            <w:shd w:fill="auto" w:val="clear"/>
          </w:tcPr>
          <w:p>
            <w:pPr>
              <w:pStyle w:val="TableContents"/>
              <w:spacing w:before="0" w:after="283"/>
              <w:jc w:val="left"/>
              <w:rPr/>
            </w:pPr>
            <w:r>
              <w:rPr/>
              <w:t xml:space="preserve">In case of failure to fulfill or improper fulfillment (including a one-time event) of any of the Obligations taking into account the restrictions established by the Loan Agreement, the occurrence of any Event of Default as provided for in Article 21 </w:t>
            </w:r>
            <w:r>
              <w:rPr>
                <w:i/>
              </w:rPr>
              <w:t xml:space="preserve">(Events of Default) </w:t>
            </w:r>
            <w:r>
              <w:rPr/>
              <w:t xml:space="preserve">of the Loan Agreement (except for any cases of provision by the Credit Agent of waivers of the Lenders to exercise their rights under the Loan Agreement in any relevant Event of Default under the terms and conditions of the Loan Agreement), as well as in other cases provided for by law, the Pledgee is entitled to enforce the Collateral at its discretion judicially or extra-judicially.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4.2.</w:t>
            </w:r>
          </w:p>
        </w:tc>
        <w:tc>
          <w:tcPr>
            <w:tcW w:w="9389" w:type="dxa"/>
            <w:tcBorders/>
            <w:shd w:fill="auto" w:val="clear"/>
          </w:tcPr>
          <w:p>
            <w:pPr>
              <w:pStyle w:val="TableContents"/>
              <w:spacing w:before="0" w:after="283"/>
              <w:jc w:val="left"/>
              <w:rPr/>
            </w:pPr>
            <w:r>
              <w:rPr/>
              <w:t xml:space="preserve">In case of enforcement of the Collateral in a judicial or extra-judicial procedure, it is disposed at the discretion of the Pledgee, inter alia, in any sequence: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4.2.1.</w:t>
            </w:r>
          </w:p>
        </w:tc>
        <w:tc>
          <w:tcPr>
            <w:tcW w:w="9389" w:type="dxa"/>
            <w:tcBorders/>
            <w:shd w:fill="auto" w:val="clear"/>
          </w:tcPr>
          <w:p>
            <w:pPr>
              <w:pStyle w:val="TableContents"/>
              <w:spacing w:before="0" w:after="283"/>
              <w:jc w:val="left"/>
              <w:rPr/>
            </w:pPr>
            <w:r>
              <w:rPr/>
              <w:t xml:space="preserve">when enforced in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by sale of the Collateral at public tenders;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by retaining of the Collateral by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by sale of the Collateral by the Pledgee to any third party (third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4.2.2.</w:t>
            </w:r>
          </w:p>
        </w:tc>
        <w:tc>
          <w:tcPr>
            <w:tcW w:w="9389" w:type="dxa"/>
            <w:tcBorders/>
            <w:shd w:fill="auto" w:val="clear"/>
          </w:tcPr>
          <w:p>
            <w:pPr>
              <w:pStyle w:val="TableContents"/>
              <w:spacing w:before="0" w:after="283"/>
              <w:jc w:val="left"/>
              <w:rPr/>
            </w:pPr>
            <w:r>
              <w:rPr/>
              <w:t xml:space="preserve">when enforced extra-judicially: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by sale of the Collateral by the Pledgee to any third party (third parties);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by retaining of the Collateral by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by sale of the Collateral at open tenders conducted by a tender organizer acting under an agreement with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4.3.</w:t>
            </w:r>
          </w:p>
        </w:tc>
        <w:tc>
          <w:tcPr>
            <w:tcW w:w="9389" w:type="dxa"/>
            <w:tcBorders/>
            <w:shd w:fill="auto" w:val="clear"/>
          </w:tcPr>
          <w:p>
            <w:pPr>
              <w:pStyle w:val="TableContents"/>
              <w:spacing w:before="0" w:after="283"/>
              <w:jc w:val="left"/>
              <w:rPr/>
            </w:pPr>
            <w:r>
              <w:rPr/>
              <w:t xml:space="preserve">Such extra-judicial procedure for enforcement of the Collateral as provided for in this Agreement is not a pre-judicial dispute settlement procedure. When applying to a court, the Pledgee is not obliged to provide evidence that it has taken (or not taken) actions to enforce the Collateral in an extra-judicial manner established by this Agreement. The beginning of an extra-judicial enforcement of the Collateral does not prevent the Pledgee against filing a claim in court to enforce the Collateral at any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4.4.</w:t>
            </w:r>
          </w:p>
        </w:tc>
        <w:tc>
          <w:tcPr>
            <w:tcW w:w="9388" w:type="dxa"/>
            <w:tcBorders/>
            <w:shd w:fill="auto" w:val="clear"/>
          </w:tcPr>
          <w:p>
            <w:pPr>
              <w:pStyle w:val="TableContents"/>
              <w:spacing w:before="0" w:after="283"/>
              <w:jc w:val="left"/>
              <w:rPr/>
            </w:pPr>
            <w:r>
              <w:rPr/>
              <w:t xml:space="preserve">The Pledgee may, at its own discretion, foreclose both the entire Collateral and part of the participatory interest forming the Collateral, while retaining the opportunity later to enforce the remaining part of the participatory interest forming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4.5.</w:t>
            </w:r>
          </w:p>
        </w:tc>
        <w:tc>
          <w:tcPr>
            <w:tcW w:w="9388" w:type="dxa"/>
            <w:tcBorders/>
            <w:shd w:fill="auto" w:val="clear"/>
          </w:tcPr>
          <w:p>
            <w:pPr>
              <w:pStyle w:val="TableContents"/>
              <w:spacing w:before="0" w:after="283"/>
              <w:jc w:val="left"/>
              <w:rPr/>
            </w:pPr>
            <w:r>
              <w:rPr/>
              <w:t xml:space="preserve">If the Collateral is enforced extra-judicially, as specified in Clause 4.2.2 above, the Collateral shall be disposed not earlier than 8 (Eight) Business Days after the receipt by the Pledgor of the Notice sent to its address under Clause 8.3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4.6.</w:t>
            </w:r>
          </w:p>
        </w:tc>
        <w:tc>
          <w:tcPr>
            <w:tcW w:w="9388" w:type="dxa"/>
            <w:tcBorders/>
            <w:shd w:fill="auto" w:val="clear"/>
          </w:tcPr>
          <w:p>
            <w:pPr>
              <w:pStyle w:val="TableContents"/>
              <w:spacing w:before="0" w:after="283"/>
              <w:jc w:val="left"/>
              <w:rPr/>
            </w:pPr>
            <w:r>
              <w:rPr/>
              <w:t xml:space="preserve">The Pledgor shall assist the Pledgee in the foreclosure and disposal of the Collateral and timely submit all necessary documents which shall be duly executed. </w:t>
            </w:r>
          </w:p>
        </w:tc>
      </w:tr>
    </w:tbl>
    <w:p>
      <w:pPr>
        <w:pStyle w:val="TextBody"/>
        <w:spacing w:before="120" w:after="0"/>
        <w:rPr>
          <w:rFonts w:ascii="Times New Roman" w:hAnsi="Times New Roman"/>
          <w:sz w:val="20"/>
        </w:rPr>
      </w:pPr>
      <w:r>
        <w:rPr>
          <w:rFonts w:ascii="Times New Roman" w:hAnsi="Times New Roman"/>
          <w:sz w:val="20"/>
        </w:rPr>
        <w:t xml:space="preserve">If the Pledgor does not, within a period specified in the Notification, provide the Pledgee with the documents related to the Collateral against an acceptance certificate for disposal of the Collateral in an extra-judicial enforcement, the Pledgor shall bear any additional costs associated with the foreclosure of the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4.7.</w:t>
            </w:r>
          </w:p>
        </w:tc>
        <w:tc>
          <w:tcPr>
            <w:tcW w:w="9389" w:type="dxa"/>
            <w:tcBorders/>
            <w:shd w:fill="auto" w:val="clear"/>
          </w:tcPr>
          <w:p>
            <w:pPr>
              <w:pStyle w:val="TableContents"/>
              <w:spacing w:before="0" w:after="283"/>
              <w:jc w:val="left"/>
              <w:rPr/>
            </w:pPr>
            <w:r>
              <w:rPr/>
              <w:t xml:space="preserve">In order to dispose of the Collateral, the Pledgee may, on its own behalf, make all necessary transactions which are relevant to its legal capacity, inter alia, with an organizer of public tenders, and also sign and receive all necessary documents, including, but not limited to acceptance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4.8.</w:t>
            </w:r>
          </w:p>
        </w:tc>
        <w:tc>
          <w:tcPr>
            <w:tcW w:w="9390" w:type="dxa"/>
            <w:tcBorders/>
            <w:shd w:fill="auto" w:val="clear"/>
          </w:tcPr>
          <w:p>
            <w:pPr>
              <w:pStyle w:val="TableContents"/>
              <w:spacing w:before="0" w:after="283"/>
              <w:jc w:val="left"/>
              <w:rPr/>
            </w:pPr>
            <w:r>
              <w:rPr/>
              <w:t xml:space="preserve">If the Pledgee disposes of the Collateral to any third party (third parties) judicially or extra-judicially or if the Pledgee retains the Collateral, the disposal price of the Collateral (a price at which the Pledgee may retain the Collateral) shall be determined as equal to the market cost of the Collateral established in the Appraiser’s Report.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4.9.</w:t>
            </w:r>
          </w:p>
        </w:tc>
        <w:tc>
          <w:tcPr>
            <w:tcW w:w="9388" w:type="dxa"/>
            <w:tcBorders/>
            <w:shd w:fill="auto" w:val="clear"/>
          </w:tcPr>
          <w:p>
            <w:pPr>
              <w:pStyle w:val="TableContents"/>
              <w:spacing w:before="0" w:after="283"/>
              <w:jc w:val="left"/>
              <w:rPr/>
            </w:pPr>
            <w:r>
              <w:rPr/>
              <w:t xml:space="preserve">If the Pledgee disposes of the Collateral at any tender to any third party (third parties) judicially or extra-judicially, the initial sale price of the Collateral from which the tender starts shall be determined equal to 80% of the market cost of the Collateral established in the Appraiser’s Report.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4.10.</w:t>
            </w:r>
          </w:p>
        </w:tc>
        <w:tc>
          <w:tcPr>
            <w:tcW w:w="9388" w:type="dxa"/>
            <w:tcBorders/>
            <w:shd w:fill="auto" w:val="clear"/>
          </w:tcPr>
          <w:p>
            <w:pPr>
              <w:pStyle w:val="TableContents"/>
              <w:spacing w:before="0" w:after="283"/>
              <w:jc w:val="left"/>
              <w:rPr/>
            </w:pPr>
            <w:r>
              <w:rPr/>
              <w:t xml:space="preserve">If the Collateral is enforced extra-judicially and a tender has been declared failed because less than two buyers appeared or if there was no bid at a tender, a subsequent tender shall be held by a consistent lowering of the price down from the initial sale price at the first tender. In that case, the sale price of the Collateral shall be consistently reduced by 5 (Five) percent of the initial sale price at the first tender. If the sale price is reduced by 30 (Thirty) percent of the initial sale price at the first tender, the amount of the further decrease in the sale price of the Collateral shall be set at 3 (Three) percent of the initial sale price at the first tender. In that case, such sale price of the Collateral as established at a subsequent tender conducted by successively reducing the price from the initial sale price at the first tender cannot be less than 50 (Fifty) percent of the initial sale price at the first tender.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4.11.</w:t>
            </w:r>
          </w:p>
        </w:tc>
        <w:tc>
          <w:tcPr>
            <w:tcW w:w="9390" w:type="dxa"/>
            <w:tcBorders/>
            <w:shd w:fill="auto" w:val="clear"/>
          </w:tcPr>
          <w:p>
            <w:pPr>
              <w:pStyle w:val="TableContents"/>
              <w:spacing w:before="0" w:after="283"/>
              <w:jc w:val="left"/>
              <w:rPr/>
            </w:pPr>
            <w:r>
              <w:rPr/>
              <w:t xml:space="preserve">If an independent appraiser is engaged, it shall be selected at the discretion of the Pledgee from among the following appraisers: KPMG Joint-Stock Company, Deloitte CIS Holdings Limited, PricewaterhouseCoopers LLC, and Ernst &amp; Young Global Limited. An agreement between an appraiser and the Pledgee shall be concluded on conditions acceptable to the Pledgee. The Pledgor shall bear any costs related to payment for appraiser’s services. If the Pledgee pays for appraiser’s services, the Pledgor shall reimburse for the Pledgee’s costs within 10 (Ten) Business Days from the sending a documented claim by the Pledgee to the Pledgor under Clause 8.3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4.12.</w:t>
            </w:r>
          </w:p>
        </w:tc>
        <w:tc>
          <w:tcPr>
            <w:tcW w:w="9388" w:type="dxa"/>
            <w:tcBorders/>
            <w:shd w:fill="auto" w:val="clear"/>
          </w:tcPr>
          <w:p>
            <w:pPr>
              <w:pStyle w:val="TableContents"/>
              <w:spacing w:before="0" w:after="283"/>
              <w:jc w:val="left"/>
              <w:rPr/>
            </w:pPr>
            <w:r>
              <w:rPr/>
              <w:t xml:space="preserve">In case of the foreclosure and disposal of the Collateral, the Appraiser’s Report shall be prepared not less than 3 (Three) months prior to the date of sending the Notice (in case of an extra-judicial enforcement) or at least 3 (Three) months prior to the date of applying to a court (in case of a judicial enforcement).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4.13.</w:t>
            </w:r>
          </w:p>
        </w:tc>
        <w:tc>
          <w:tcPr>
            <w:tcW w:w="9390" w:type="dxa"/>
            <w:tcBorders/>
            <w:shd w:fill="auto" w:val="clear"/>
          </w:tcPr>
          <w:p>
            <w:pPr>
              <w:pStyle w:val="TableContents"/>
              <w:spacing w:before="0" w:after="283"/>
              <w:jc w:val="left"/>
              <w:rPr/>
            </w:pPr>
            <w:r>
              <w:rPr/>
              <w:t xml:space="preserve">If the Collateral is enforced by selling at a tender, a tender organizer shall be a specialized entity or another person registered in the Russian Federation, chosen by the Pledgee and acting under an agreement concluded with such tender organizer.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4.14.</w:t>
            </w:r>
          </w:p>
        </w:tc>
        <w:tc>
          <w:tcPr>
            <w:tcW w:w="9388" w:type="dxa"/>
            <w:tcBorders/>
            <w:shd w:fill="auto" w:val="clear"/>
          </w:tcPr>
          <w:p>
            <w:pPr>
              <w:pStyle w:val="TableContents"/>
              <w:spacing w:before="0" w:after="283"/>
              <w:jc w:val="left"/>
              <w:rPr/>
            </w:pPr>
            <w:r>
              <w:rPr/>
              <w:t xml:space="preserve">If the Collateral is sold to any third party (third parties) judicially or extra-judicially, the Pledgee shall, within 3 (Three) Business Days from the date of crediting of funds, i.e. a price of the sold Collateral, to a Pledgee’s account, send to the Pledgor a copy of the sale and purchase agreement certified by the Pledgee (copies of such agreements) concluded with a buyer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4.15.</w:t>
            </w:r>
          </w:p>
        </w:tc>
        <w:tc>
          <w:tcPr>
            <w:tcW w:w="9389" w:type="dxa"/>
            <w:tcBorders/>
            <w:shd w:fill="auto" w:val="clear"/>
          </w:tcPr>
          <w:p>
            <w:pPr>
              <w:pStyle w:val="TableContents"/>
              <w:spacing w:before="0" w:after="283"/>
              <w:jc w:val="left"/>
              <w:rPr/>
            </w:pPr>
            <w:r>
              <w:rPr/>
              <w:t xml:space="preserve">If an amount received from the disposal of the Collateral or a price at which the Pledgee retains the Collateral exceeds a claim amount of the Pledgee, the difference shall be returned to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4.16.</w:t>
            </w:r>
          </w:p>
        </w:tc>
        <w:tc>
          <w:tcPr>
            <w:tcW w:w="9389" w:type="dxa"/>
            <w:tcBorders/>
            <w:shd w:fill="auto" w:val="clear"/>
          </w:tcPr>
          <w:p>
            <w:pPr>
              <w:pStyle w:val="TableContents"/>
              <w:spacing w:before="0" w:after="283"/>
              <w:jc w:val="left"/>
              <w:rPr/>
            </w:pPr>
            <w:r>
              <w:rPr/>
              <w:t xml:space="preserve">If the Collateral is enforced, such difference shall be returned to the Pledgor within 10 (Ten) Business Days from the date of crediting of funds, i.e. a disposal price of the Collateral to a Pledgee’s account (from the date of acquiring of the title to the Collateral by the Pledgee if it retains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4.17.</w:t>
            </w:r>
          </w:p>
        </w:tc>
        <w:tc>
          <w:tcPr>
            <w:tcW w:w="9389" w:type="dxa"/>
            <w:tcBorders/>
            <w:shd w:fill="auto" w:val="clear"/>
          </w:tcPr>
          <w:p>
            <w:pPr>
              <w:pStyle w:val="TableContents"/>
              <w:spacing w:before="0" w:after="283"/>
              <w:jc w:val="left"/>
              <w:rPr/>
            </w:pPr>
            <w:r>
              <w:rPr/>
              <w:t xml:space="preserve">The Pledgor may cease the foreclosure of the Collateral within a period prior to its disposal (such period may not be shorter than the period specified in Clause 4.5 above) fulfilling the Obligation or the part thereof the fulfillment of which is delayed. Besides, the Pledgee shall cease the foreclosure and disposal of the Collateral if the Borrower or any of the Guarantors fulfills the Obligation or the part thereof the fulfillment of which is delayed within a period prior to its disposal (such period may not be shorter that the period specified in Clause 4.5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5.</w:t>
            </w:r>
          </w:p>
        </w:tc>
        <w:tc>
          <w:tcPr>
            <w:tcW w:w="9391" w:type="dxa"/>
            <w:tcBorders/>
            <w:shd w:fill="auto" w:val="clear"/>
          </w:tcPr>
          <w:p>
            <w:pPr>
              <w:pStyle w:val="TableContents"/>
              <w:spacing w:before="0" w:after="283"/>
              <w:jc w:val="left"/>
              <w:rPr/>
            </w:pPr>
            <w:r>
              <w:rPr>
                <w:b/>
              </w:rPr>
              <w:t>REPRESENTATIONS OF PLEDGOR’S CIRCUMSTANCES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concluding this Agreement, the Pledgor shall make the following representations to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w:t>
            </w:r>
          </w:p>
        </w:tc>
        <w:tc>
          <w:tcPr>
            <w:tcW w:w="9389" w:type="dxa"/>
            <w:tcBorders/>
            <w:shd w:fill="auto" w:val="clear"/>
          </w:tcPr>
          <w:p>
            <w:pPr>
              <w:pStyle w:val="TableContents"/>
              <w:spacing w:before="0" w:after="283"/>
              <w:jc w:val="left"/>
              <w:rPr/>
            </w:pPr>
            <w:r>
              <w:rPr/>
              <w:t xml:space="preserve">Status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5.1.1.</w:t>
            </w:r>
          </w:p>
        </w:tc>
        <w:tc>
          <w:tcPr>
            <w:tcW w:w="9389" w:type="dxa"/>
            <w:tcBorders/>
            <w:shd w:fill="auto" w:val="clear"/>
          </w:tcPr>
          <w:p>
            <w:pPr>
              <w:pStyle w:val="TableContents"/>
              <w:spacing w:before="0" w:after="283"/>
              <w:jc w:val="left"/>
              <w:rPr/>
            </w:pPr>
            <w:r>
              <w:rPr/>
              <w:t xml:space="preserve">The Pledgor is a legal entity duly incorporated and legally acting under the applicable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5.1.2.</w:t>
            </w:r>
          </w:p>
        </w:tc>
        <w:tc>
          <w:tcPr>
            <w:tcW w:w="9389" w:type="dxa"/>
            <w:tcBorders/>
            <w:shd w:fill="auto" w:val="clear"/>
          </w:tcPr>
          <w:p>
            <w:pPr>
              <w:pStyle w:val="TableContents"/>
              <w:spacing w:before="0" w:after="283"/>
              <w:jc w:val="left"/>
              <w:rPr/>
            </w:pPr>
            <w:r>
              <w:rPr/>
              <w:t xml:space="preserve">The Pledgor is the full owner of the property belonging to it and carries out its activities under the applicable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t xml:space="preserve">Legal Capacity and Authority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5.2.1.</w:t>
            </w:r>
          </w:p>
        </w:tc>
        <w:tc>
          <w:tcPr>
            <w:tcW w:w="9389" w:type="dxa"/>
            <w:tcBorders/>
            <w:shd w:fill="auto" w:val="clear"/>
          </w:tcPr>
          <w:p>
            <w:pPr>
              <w:pStyle w:val="TableContents"/>
              <w:spacing w:before="0" w:after="283"/>
              <w:jc w:val="left"/>
              <w:rPr/>
            </w:pPr>
            <w:r>
              <w:rPr/>
              <w:t xml:space="preserve">The Pledgor has the legal capacity and authority to execute and perform this Agreement and the transaction envisaged hereby and has obtained all necessary approvals for execution and performance of this Agreement in the manner provided for by law and its constituent and other internal regulations, including the approval of the transaction provided for herein. A person acting on behalf of the Pledgor may enter into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5.2.2.</w:t>
            </w:r>
          </w:p>
        </w:tc>
        <w:tc>
          <w:tcPr>
            <w:tcW w:w="9389" w:type="dxa"/>
            <w:tcBorders/>
            <w:shd w:fill="auto" w:val="clear"/>
          </w:tcPr>
          <w:p>
            <w:pPr>
              <w:pStyle w:val="TableContents"/>
              <w:spacing w:before="0" w:after="283"/>
              <w:jc w:val="left"/>
              <w:rPr/>
            </w:pPr>
            <w:r>
              <w:rPr/>
              <w:t xml:space="preserve">The pledge created hereunder does not have any signs of a transaction requiring the obtainment by the Pledgor of the consent of an anti-monopoly authority for its performance, in particular, under Federal Law of the Russian Federation No. 135- </w:t>
            </w:r>
            <w:r>
              <w:rPr/>
              <w:drawing>
                <wp:inline distT="0" distB="0" distL="0" distR="0">
                  <wp:extent cx="180975" cy="12382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link="rId36"/>
                          <a:stretch>
                            <a:fillRect/>
                          </a:stretch>
                        </pic:blipFill>
                        <pic:spPr bwMode="auto">
                          <a:xfrm>
                            <a:off x="0" y="0"/>
                            <a:ext cx="180975" cy="123825"/>
                          </a:xfrm>
                          <a:prstGeom prst="rect">
                            <a:avLst/>
                          </a:prstGeom>
                          <a:noFill/>
                          <a:ln w="9525">
                            <a:noFill/>
                            <a:miter lim="800000"/>
                            <a:headEnd/>
                            <a:tailEnd/>
                          </a:ln>
                        </pic:spPr>
                      </pic:pic>
                    </a:graphicData>
                  </a:graphic>
                </wp:inline>
              </w:drawing>
            </w:r>
            <w:r>
              <w:rPr/>
              <w:t xml:space="preserve"> dated July 26, 2006, “On Protection of Competition”;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5.3.</w:t>
            </w:r>
          </w:p>
        </w:tc>
        <w:tc>
          <w:tcPr>
            <w:tcW w:w="9388" w:type="dxa"/>
            <w:tcBorders/>
            <w:shd w:fill="auto" w:val="clear"/>
          </w:tcPr>
          <w:p>
            <w:pPr>
              <w:pStyle w:val="TableContents"/>
              <w:spacing w:before="0" w:after="283"/>
              <w:jc w:val="left"/>
              <w:rPr/>
            </w:pPr>
            <w:r>
              <w:rPr/>
              <w:t xml:space="preserve">Validity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5.3.1.</w:t>
            </w:r>
          </w:p>
        </w:tc>
        <w:tc>
          <w:tcPr>
            <w:tcW w:w="9389" w:type="dxa"/>
            <w:tcBorders/>
            <w:shd w:fill="auto" w:val="clear"/>
          </w:tcPr>
          <w:p>
            <w:pPr>
              <w:pStyle w:val="TableContents"/>
              <w:spacing w:before="0" w:after="283"/>
              <w:jc w:val="left"/>
              <w:rPr/>
            </w:pPr>
            <w:r>
              <w:rPr/>
              <w:t xml:space="preserve">This Agreement is a legitimate, valid, binding and enforceable obligation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5.3.2.</w:t>
            </w:r>
          </w:p>
        </w:tc>
        <w:tc>
          <w:tcPr>
            <w:tcW w:w="9389" w:type="dxa"/>
            <w:tcBorders/>
            <w:shd w:fill="auto" w:val="clear"/>
          </w:tcPr>
          <w:p>
            <w:pPr>
              <w:pStyle w:val="TableContents"/>
              <w:spacing w:before="0" w:after="283"/>
              <w:jc w:val="left"/>
              <w:rPr/>
            </w:pPr>
            <w:r>
              <w:rPr/>
              <w:t xml:space="preserve">This Agreement is drawn up in a form ensuring its enforceability in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5.4.</w:t>
            </w:r>
          </w:p>
        </w:tc>
        <w:tc>
          <w:tcPr>
            <w:tcW w:w="9390" w:type="dxa"/>
            <w:tcBorders/>
            <w:shd w:fill="auto" w:val="clear"/>
          </w:tcPr>
          <w:p>
            <w:pPr>
              <w:pStyle w:val="TableContents"/>
              <w:spacing w:before="0" w:after="283"/>
              <w:jc w:val="left"/>
              <w:rPr/>
            </w:pPr>
            <w:r>
              <w:rPr/>
              <w:t xml:space="preserve">Absence of Contradictions </w:t>
            </w:r>
          </w:p>
        </w:tc>
      </w:tr>
    </w:tbl>
    <w:p>
      <w:pPr>
        <w:pStyle w:val="TextBody"/>
        <w:spacing w:before="120" w:after="0"/>
        <w:rPr>
          <w:rFonts w:ascii="Times New Roman" w:hAnsi="Times New Roman"/>
          <w:sz w:val="20"/>
        </w:rPr>
      </w:pPr>
      <w:r>
        <w:rPr>
          <w:rFonts w:ascii="Times New Roman" w:hAnsi="Times New Roman"/>
          <w:sz w:val="20"/>
        </w:rPr>
        <w:t xml:space="preserve">The execution and performance of this Agreement and the transaction hereunder by the Pledgor do not contradict: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applicable law of the Russian Federation and the Republic of Cyprus or other legislation that, in the reasonable opinion of the Pledgor, is applicable;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its constituent and other internal regulations;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any resolutions of its management bodies;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any other documents or agreements that are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5.5.</w:t>
            </w:r>
          </w:p>
        </w:tc>
        <w:tc>
          <w:tcPr>
            <w:tcW w:w="9389" w:type="dxa"/>
            <w:tcBorders/>
            <w:shd w:fill="auto" w:val="clear"/>
          </w:tcPr>
          <w:p>
            <w:pPr>
              <w:pStyle w:val="TableContents"/>
              <w:spacing w:before="0" w:after="283"/>
              <w:jc w:val="left"/>
              <w:rPr/>
            </w:pPr>
            <w:r>
              <w:rPr/>
              <w:t xml:space="preserve">Title </w:t>
            </w:r>
          </w:p>
        </w:tc>
      </w:tr>
    </w:tbl>
    <w:p>
      <w:pPr>
        <w:pStyle w:val="TextBody"/>
        <w:spacing w:before="120" w:after="0"/>
        <w:rPr>
          <w:rFonts w:ascii="Times New Roman" w:hAnsi="Times New Roman"/>
          <w:sz w:val="20"/>
        </w:rPr>
      </w:pPr>
      <w:r>
        <w:rPr>
          <w:rFonts w:ascii="Times New Roman" w:hAnsi="Times New Roman"/>
          <w:sz w:val="20"/>
        </w:rPr>
        <w:t xml:space="preserve">Except for the pledge arising out of this Agreement, the Pledgor is the sole owner of the Collateral, has an uncontested and unrestricted right of ownership, free from any claims and rights of third parties, demands in respect of such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5.6.</w:t>
            </w:r>
          </w:p>
        </w:tc>
        <w:tc>
          <w:tcPr>
            <w:tcW w:w="9390" w:type="dxa"/>
            <w:tcBorders/>
            <w:shd w:fill="auto" w:val="clear"/>
          </w:tcPr>
          <w:p>
            <w:pPr>
              <w:pStyle w:val="TableContents"/>
              <w:spacing w:before="0" w:after="283"/>
              <w:jc w:val="left"/>
              <w:rPr/>
            </w:pPr>
            <w:r>
              <w:rPr/>
              <w:t xml:space="preserve">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5.6.1.</w:t>
            </w:r>
          </w:p>
        </w:tc>
        <w:tc>
          <w:tcPr>
            <w:tcW w:w="9389" w:type="dxa"/>
            <w:tcBorders/>
            <w:shd w:fill="auto" w:val="clear"/>
          </w:tcPr>
          <w:p>
            <w:pPr>
              <w:pStyle w:val="TableContents"/>
              <w:spacing w:before="0" w:after="283"/>
              <w:jc w:val="left"/>
              <w:rPr/>
            </w:pPr>
            <w:r>
              <w:rPr/>
              <w:t xml:space="preserve">A participatory interest being the Collateral has been duly recognized in the balance sheet of the Pledgor, has been fully paid in accordance with the legislation of the Russian Federation, the Articles of Association and resolutions of the Company’s management bodies, and the Pledgor has no obligations to the Company and/or third parties to pay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5.6.2.</w:t>
            </w:r>
          </w:p>
        </w:tc>
        <w:tc>
          <w:tcPr>
            <w:tcW w:w="9389" w:type="dxa"/>
            <w:tcBorders/>
            <w:shd w:fill="auto" w:val="clear"/>
          </w:tcPr>
          <w:p>
            <w:pPr>
              <w:pStyle w:val="TableContents"/>
              <w:spacing w:before="0" w:after="283"/>
              <w:jc w:val="left"/>
              <w:rPr/>
            </w:pPr>
            <w:r>
              <w:rPr/>
              <w:t xml:space="preserve">Neither the Pledgor, nor the Company provided any option for acquisition, rights of pre-emption, rights of first refusal or any other rights being the right to purchase participatory interest in the authorized capital of the Company, except for such preemptive right of members to acquire a participatory interest as provided for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5.6.3.</w:t>
            </w:r>
          </w:p>
        </w:tc>
        <w:tc>
          <w:tcPr>
            <w:tcW w:w="9389" w:type="dxa"/>
            <w:tcBorders/>
            <w:shd w:fill="auto" w:val="clear"/>
          </w:tcPr>
          <w:p>
            <w:pPr>
              <w:pStyle w:val="TableContents"/>
              <w:spacing w:before="0" w:after="283"/>
              <w:jc w:val="left"/>
              <w:rPr/>
            </w:pPr>
            <w:r>
              <w:rPr/>
              <w:t xml:space="preserve">The constituent documents of the Company do not provide for any restrictions on and prohibitions against the pledge of the Collateral under this Agreement in favor of a third party, transfer of the right to the specified Collateral upon concluding this Agreement and its enforcement, the preemptive right to purchase a participatory interest or a part thereof in the authorized capital by the Company at a price determined in the Articles of Association in advance, except as provided for by law;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5.6.4.</w:t>
            </w:r>
          </w:p>
        </w:tc>
        <w:tc>
          <w:tcPr>
            <w:tcW w:w="9389" w:type="dxa"/>
            <w:tcBorders/>
            <w:shd w:fill="auto" w:val="clear"/>
          </w:tcPr>
          <w:p>
            <w:pPr>
              <w:pStyle w:val="TableContents"/>
              <w:spacing w:before="0" w:after="283"/>
              <w:jc w:val="left"/>
              <w:rPr/>
            </w:pPr>
            <w:r>
              <w:rPr/>
              <w:t xml:space="preserve">The Company has not concluded any agreements on exercising of rights of members with its members;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5.6.5.</w:t>
            </w:r>
          </w:p>
        </w:tc>
        <w:tc>
          <w:tcPr>
            <w:tcW w:w="9388" w:type="dxa"/>
            <w:tcBorders/>
            <w:shd w:fill="auto" w:val="clear"/>
          </w:tcPr>
          <w:p>
            <w:pPr>
              <w:pStyle w:val="TableContents"/>
              <w:spacing w:before="0" w:after="283"/>
              <w:jc w:val="left"/>
              <w:rPr/>
            </w:pPr>
            <w:r>
              <w:rPr/>
              <w:t xml:space="preserve">No court, arbitration or administrative proceedings have been initiated against the Collateral, and no investigative actions have been taken. The Collateral is not seized, restricted or prohibited, nor it is encumbered.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5.7.</w:t>
            </w:r>
          </w:p>
        </w:tc>
        <w:tc>
          <w:tcPr>
            <w:tcW w:w="9388" w:type="dxa"/>
            <w:tcBorders/>
            <w:shd w:fill="auto" w:val="clear"/>
          </w:tcPr>
          <w:p>
            <w:pPr>
              <w:pStyle w:val="TableContents"/>
              <w:spacing w:before="0" w:after="283"/>
              <w:jc w:val="left"/>
              <w:rPr/>
            </w:pPr>
            <w:r>
              <w:rPr/>
              <w:t xml:space="preserve">Registration Requirements </w:t>
            </w:r>
          </w:p>
        </w:tc>
      </w:tr>
    </w:tbl>
    <w:p>
      <w:pPr>
        <w:pStyle w:val="TextBody"/>
        <w:spacing w:before="120" w:after="0"/>
        <w:rPr>
          <w:rFonts w:ascii="Times New Roman" w:hAnsi="Times New Roman"/>
          <w:sz w:val="20"/>
        </w:rPr>
      </w:pPr>
      <w:r>
        <w:rPr>
          <w:rFonts w:ascii="Times New Roman" w:hAnsi="Times New Roman"/>
          <w:sz w:val="20"/>
        </w:rPr>
        <w:t xml:space="preserve">It is not required to perform any notarial actions in connection with this Agreement or to register this Agreement, inter alia, with any governmental authorities or institutions of the Russian Federation and/or the Republic of Cyprus, or to pay any state or registration duties or taxes or levies in connection with this Agreement, except in connection with the provisions of Clause 3.1 and Clause 3.2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5.8.</w:t>
            </w:r>
          </w:p>
        </w:tc>
        <w:tc>
          <w:tcPr>
            <w:tcW w:w="9388" w:type="dxa"/>
            <w:tcBorders/>
            <w:shd w:fill="auto" w:val="clear"/>
          </w:tcPr>
          <w:p>
            <w:pPr>
              <w:pStyle w:val="TableContents"/>
              <w:spacing w:before="0" w:after="283"/>
              <w:jc w:val="left"/>
              <w:rPr/>
            </w:pPr>
            <w:r>
              <w:rPr/>
              <w:t xml:space="preserve">Priority of the Pledge </w:t>
            </w:r>
          </w:p>
        </w:tc>
      </w:tr>
    </w:tbl>
    <w:p>
      <w:pPr>
        <w:pStyle w:val="TextBody"/>
        <w:spacing w:before="120" w:after="0"/>
        <w:rPr>
          <w:rFonts w:ascii="Times New Roman" w:hAnsi="Times New Roman"/>
          <w:sz w:val="20"/>
        </w:rPr>
      </w:pPr>
      <w:r>
        <w:rPr>
          <w:rFonts w:ascii="Times New Roman" w:hAnsi="Times New Roman"/>
          <w:sz w:val="20"/>
        </w:rPr>
        <w:t xml:space="preserve">The pledge hereunder is security for which the Pledgee acting as the Credit Agent under the Loan Agreement has a preemptive enforcement right. Third parties do not have any rights (claims) or other rights to the Collateral.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5.9.</w:t>
            </w:r>
          </w:p>
        </w:tc>
        <w:tc>
          <w:tcPr>
            <w:tcW w:w="9389" w:type="dxa"/>
            <w:tcBorders/>
            <w:shd w:fill="auto" w:val="clear"/>
          </w:tcPr>
          <w:p>
            <w:pPr>
              <w:pStyle w:val="TableContents"/>
              <w:spacing w:before="0" w:after="283"/>
              <w:jc w:val="left"/>
              <w:rPr/>
            </w:pPr>
            <w:r>
              <w:rPr/>
              <w:t xml:space="preserve">Regulated Procurement </w:t>
            </w:r>
          </w:p>
        </w:tc>
      </w:tr>
    </w:tbl>
    <w:p>
      <w:pPr>
        <w:pStyle w:val="TextBody"/>
        <w:spacing w:before="120" w:after="0"/>
        <w:rPr>
          <w:rFonts w:ascii="Times New Roman" w:hAnsi="Times New Roman"/>
          <w:sz w:val="20"/>
        </w:rPr>
      </w:pPr>
      <w:r>
        <w:rPr>
          <w:rFonts w:ascii="Times New Roman" w:hAnsi="Times New Roman"/>
          <w:sz w:val="20"/>
        </w:rPr>
        <w:t xml:space="preserve">The provisions of the Law on Regulated Procurement do not apply to the execution and performance of this Agreement by the Pledgor as of the date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6.</w:t>
            </w:r>
          </w:p>
        </w:tc>
        <w:tc>
          <w:tcPr>
            <w:tcW w:w="9391" w:type="dxa"/>
            <w:tcBorders/>
            <w:shd w:fill="auto" w:val="clear"/>
          </w:tcPr>
          <w:p>
            <w:pPr>
              <w:pStyle w:val="TableContents"/>
              <w:spacing w:before="0" w:after="283"/>
              <w:jc w:val="left"/>
              <w:rPr/>
            </w:pPr>
            <w:r>
              <w:rPr>
                <w:b/>
              </w:rPr>
              <w:t>TERM OF PROVISION OF REPRESENTATIONS OF CIRCUMSTANCES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6.1.</w:t>
            </w:r>
          </w:p>
        </w:tc>
        <w:tc>
          <w:tcPr>
            <w:tcW w:w="9390" w:type="dxa"/>
            <w:tcBorders/>
            <w:shd w:fill="auto" w:val="clear"/>
          </w:tcPr>
          <w:p>
            <w:pPr>
              <w:pStyle w:val="TableContents"/>
              <w:spacing w:before="0" w:after="283"/>
              <w:jc w:val="left"/>
              <w:rPr/>
            </w:pPr>
            <w:r>
              <w:rPr/>
              <w:t xml:space="preserve">The Pledgor shall submit representations of circumstances specified in Article 5 </w:t>
            </w:r>
            <w:r>
              <w:rPr>
                <w:i/>
              </w:rPr>
              <w:t>(Representations of Circumstances of the Pledgor)</w:t>
            </w:r>
            <w:r>
              <w:rPr/>
              <w:t xml:space="preserve"> hereof at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t xml:space="preserve">Except where any representations of circumstances of the Pledgor shall be submitted on a certain date, all representations of circumstances are considered to be submitted by the Pledgor on the date of the Disbursement Request, on each Disbursement Date and on the first day of each 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t xml:space="preserve">If any representations of circumstances are provided again, they are extended to the circumstances existing at the time of their subsequent submission.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6.4.</w:t>
            </w:r>
          </w:p>
        </w:tc>
        <w:tc>
          <w:tcPr>
            <w:tcW w:w="9390" w:type="dxa"/>
            <w:tcBorders/>
            <w:shd w:fill="auto" w:val="clear"/>
          </w:tcPr>
          <w:p>
            <w:pPr>
              <w:pStyle w:val="TableContents"/>
              <w:spacing w:before="0" w:after="283"/>
              <w:jc w:val="left"/>
              <w:rPr/>
            </w:pPr>
            <w:r>
              <w:rPr/>
              <w:t xml:space="preserve">The representations contained in Clause 5.6.5 are given only on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7.</w:t>
            </w:r>
          </w:p>
        </w:tc>
        <w:tc>
          <w:tcPr>
            <w:tcW w:w="9390" w:type="dxa"/>
            <w:tcBorders/>
            <w:shd w:fill="auto" w:val="clear"/>
          </w:tcPr>
          <w:p>
            <w:pPr>
              <w:pStyle w:val="TableContents"/>
              <w:spacing w:before="0" w:after="283"/>
              <w:jc w:val="left"/>
              <w:rPr/>
            </w:pPr>
            <w:r>
              <w:rPr>
                <w:b/>
              </w:rPr>
              <w:t>REIMBURSEMENT FOR DAMAGE AND COSTS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shall pay all taxes, levies, fees and duties to be paid by it in connection with the signing, registration or notarization of this Agreement or any other document relating hereto. If the Pledgee pays such taxes, levies, fees and duties (inter alia, those imposed on the Pledgee), the Pledgor shall reimburse the Pledgee for such costs within 10 (Ten) Business Days from the sending a respective notice to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8.</w:t>
            </w:r>
          </w:p>
        </w:tc>
        <w:tc>
          <w:tcPr>
            <w:tcW w:w="9389" w:type="dxa"/>
            <w:tcBorders/>
            <w:shd w:fill="auto" w:val="clear"/>
          </w:tcPr>
          <w:p>
            <w:pPr>
              <w:pStyle w:val="TableContents"/>
              <w:spacing w:before="0" w:after="283"/>
              <w:jc w:val="left"/>
              <w:rPr/>
            </w:pPr>
            <w:r>
              <w:rPr>
                <w:b/>
              </w:rPr>
              <w:t>FINAL PROVISIONS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8.1.</w:t>
            </w:r>
          </w:p>
        </w:tc>
        <w:tc>
          <w:tcPr>
            <w:tcW w:w="9390" w:type="dxa"/>
            <w:tcBorders/>
            <w:shd w:fill="auto" w:val="clear"/>
          </w:tcPr>
          <w:p>
            <w:pPr>
              <w:pStyle w:val="TableContents"/>
              <w:spacing w:before="0" w:after="283"/>
              <w:jc w:val="left"/>
              <w:rPr/>
            </w:pPr>
            <w:r>
              <w:rPr/>
              <w:t xml:space="preserve">Any messages sent by the Parties under this Agreement shall be made in writing and may be sent by courier, by mail with return receipt, by fax or by e-mail. For the purposes of this Agreement, a message transmitted using electronic means of communication shall be deemed to be in writing.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8.2.</w:t>
            </w:r>
          </w:p>
        </w:tc>
        <w:tc>
          <w:tcPr>
            <w:tcW w:w="9389" w:type="dxa"/>
            <w:tcBorders/>
            <w:shd w:fill="auto" w:val="clear"/>
          </w:tcPr>
          <w:p>
            <w:pPr>
              <w:pStyle w:val="TableContents"/>
              <w:spacing w:before="0" w:after="283"/>
              <w:jc w:val="left"/>
              <w:rPr/>
            </w:pPr>
            <w:r>
              <w:rPr/>
              <w:t xml:space="preserve">Any message or document sent by the Parties in connection with this Agreement shall be deemed to have been received (except for cases of notification in accordance with the laws of the Russian Federation in case of enforcement of the Collateral and other cases expressly provided for by the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after receiving a message in a legible form when sent by fax or by another method which allows to establish reliably that the message is from a respective Party;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upon delivery to the relevant address when sent by courier;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8471" w:type="dxa"/>
            <w:tcBorders/>
            <w:shd w:fill="auto" w:val="clear"/>
          </w:tcPr>
          <w:p>
            <w:pPr>
              <w:pStyle w:val="TableContents"/>
              <w:spacing w:before="0" w:after="283"/>
              <w:jc w:val="left"/>
              <w:rPr/>
            </w:pPr>
            <w:r>
              <w:rPr/>
              <w:t xml:space="preserve">upon delivery to the relevant address or 5 (Five) Business Days after submitting to the post office when sent by mail with return receipt,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bookmarkStart w:id="5" w:name="ex10_4674579_20"/>
            <w:bookmarkEnd w:id="5"/>
            <w:r>
              <w:rPr/>
              <w:t>8.3.</w:t>
            </w:r>
          </w:p>
        </w:tc>
        <w:tc>
          <w:tcPr>
            <w:tcW w:w="9389" w:type="dxa"/>
            <w:tcBorders/>
            <w:shd w:fill="auto" w:val="clear"/>
          </w:tcPr>
          <w:p>
            <w:pPr>
              <w:pStyle w:val="TableContents"/>
              <w:spacing w:before="0" w:after="283"/>
              <w:jc w:val="left"/>
              <w:rPr/>
            </w:pPr>
            <w:r>
              <w:rPr/>
              <w:t xml:space="preserve">Unless otherwise provided for below, the contact details of each Party for all messages in connection with this Agreement are data which such Party reported to the Pledgee acting as the Credit Agent under the Loan Agreement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Contact information of the Pledgor: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3981"/>
        <w:gridCol w:w="337"/>
        <w:gridCol w:w="4151"/>
      </w:tblGrid>
      <w:tr>
        <w:trPr/>
        <w:tc>
          <w:tcPr>
            <w:tcW w:w="3981" w:type="dxa"/>
            <w:tcBorders/>
            <w:shd w:fill="auto" w:val="clear"/>
            <w:vAlign w:val="center"/>
          </w:tcPr>
          <w:p>
            <w:pPr>
              <w:pStyle w:val="TableContents"/>
              <w:spacing w:before="0" w:after="283"/>
              <w:rPr>
                <w:sz w:val="4"/>
                <w:szCs w:val="4"/>
              </w:rPr>
            </w:pPr>
            <w:r>
              <w:rPr>
                <w:sz w:val="4"/>
                <w:szCs w:val="4"/>
              </w:rPr>
            </w:r>
          </w:p>
        </w:tc>
        <w:tc>
          <w:tcPr>
            <w:tcW w:w="337" w:type="dxa"/>
            <w:tcBorders/>
            <w:shd w:fill="auto" w:val="clear"/>
            <w:vAlign w:val="bottom"/>
          </w:tcPr>
          <w:p>
            <w:pPr>
              <w:pStyle w:val="TableContents"/>
              <w:spacing w:before="0" w:after="283"/>
              <w:rPr>
                <w:sz w:val="4"/>
                <w:szCs w:val="4"/>
              </w:rPr>
            </w:pPr>
            <w:r>
              <w:rPr>
                <w:sz w:val="4"/>
                <w:szCs w:val="4"/>
              </w:rPr>
            </w:r>
          </w:p>
        </w:tc>
        <w:tc>
          <w:tcPr>
            <w:tcW w:w="4151" w:type="dxa"/>
            <w:tcBorders/>
            <w:shd w:fill="auto" w:val="clear"/>
            <w:vAlign w:val="center"/>
          </w:tcPr>
          <w:p>
            <w:pPr>
              <w:pStyle w:val="TableContents"/>
              <w:spacing w:before="0" w:after="283"/>
              <w:rPr>
                <w:sz w:val="4"/>
                <w:szCs w:val="4"/>
              </w:rPr>
            </w:pPr>
            <w:r>
              <w:rPr>
                <w:sz w:val="4"/>
                <w:szCs w:val="4"/>
              </w:rPr>
            </w:r>
          </w:p>
        </w:tc>
      </w:tr>
      <w:tr>
        <w:trPr/>
        <w:tc>
          <w:tcPr>
            <w:tcW w:w="3981" w:type="dxa"/>
            <w:tcBorders/>
            <w:shd w:fill="auto" w:val="clear"/>
          </w:tcPr>
          <w:p>
            <w:pPr>
              <w:pStyle w:val="TableContents"/>
              <w:spacing w:before="0" w:after="283"/>
              <w:rPr/>
            </w:pPr>
            <w:r>
              <w:rPr/>
              <w:t>Headhunter FSU Limited</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sz w:val="4"/>
                <w:szCs w:val="4"/>
              </w:rPr>
            </w:pPr>
            <w:r>
              <w:rPr>
                <w:sz w:val="4"/>
                <w:szCs w:val="4"/>
              </w:rPr>
            </w:r>
          </w:p>
        </w:tc>
      </w:tr>
      <w:tr>
        <w:trPr/>
        <w:tc>
          <w:tcPr>
            <w:tcW w:w="3981" w:type="dxa"/>
            <w:tcBorders/>
            <w:shd w:fill="auto" w:val="clear"/>
          </w:tcPr>
          <w:p>
            <w:pPr>
              <w:pStyle w:val="TableContents"/>
              <w:spacing w:before="0" w:after="283"/>
              <w:rPr/>
            </w:pPr>
            <w:r>
              <w:rPr/>
              <w:t>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42 Dositheou, Strovolos 2028, Nicosia, Cyprus</w:t>
            </w:r>
          </w:p>
        </w:tc>
      </w:tr>
      <w:tr>
        <w:trPr/>
        <w:tc>
          <w:tcPr>
            <w:tcW w:w="3981" w:type="dxa"/>
            <w:tcBorders/>
            <w:shd w:fill="auto" w:val="clear"/>
          </w:tcPr>
          <w:p>
            <w:pPr>
              <w:pStyle w:val="TableContents"/>
              <w:spacing w:before="0" w:after="283"/>
              <w:rPr/>
            </w:pPr>
            <w:r>
              <w:rPr/>
              <w:t>Mail 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42 Dositheou, Strovolos 2028, Nicosia, Cyprus</w:t>
            </w:r>
          </w:p>
        </w:tc>
      </w:tr>
      <w:tr>
        <w:trPr/>
        <w:tc>
          <w:tcPr>
            <w:tcW w:w="3981" w:type="dxa"/>
            <w:tcBorders/>
            <w:shd w:fill="auto" w:val="clear"/>
          </w:tcPr>
          <w:p>
            <w:pPr>
              <w:pStyle w:val="TableContents"/>
              <w:spacing w:before="0" w:after="283"/>
              <w:rPr/>
            </w:pPr>
            <w:r>
              <w:rPr/>
              <w:t>Fax:</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+35722679096</w:t>
            </w:r>
          </w:p>
        </w:tc>
      </w:tr>
      <w:tr>
        <w:trPr/>
        <w:tc>
          <w:tcPr>
            <w:tcW w:w="3981" w:type="dxa"/>
            <w:tcBorders/>
            <w:shd w:fill="auto" w:val="clear"/>
          </w:tcPr>
          <w:p>
            <w:pPr>
              <w:pStyle w:val="TableContents"/>
              <w:spacing w:before="0" w:after="283"/>
              <w:rPr/>
            </w:pPr>
            <w:r>
              <w:rPr/>
              <w:t>E-mail:</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u w:val="single"/>
              </w:rPr>
            </w:pPr>
            <w:r>
              <w:rPr>
                <w:u w:val="single"/>
              </w:rPr>
              <w:t>info@fiduserve.com</w:t>
            </w:r>
          </w:p>
        </w:tc>
      </w:tr>
      <w:tr>
        <w:trPr/>
        <w:tc>
          <w:tcPr>
            <w:tcW w:w="3981" w:type="dxa"/>
            <w:tcBorders/>
            <w:shd w:fill="auto" w:val="clear"/>
          </w:tcPr>
          <w:p>
            <w:pPr>
              <w:pStyle w:val="TableContents"/>
              <w:spacing w:before="0" w:after="283"/>
              <w:rPr/>
            </w:pPr>
            <w:r>
              <w:rPr/>
              <w:t>Attn:</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The Directors / Stelios Haralambous</w:t>
            </w:r>
          </w:p>
        </w:tc>
      </w:tr>
      <w:tr>
        <w:trPr>
          <w:trHeight w:val="120" w:hRule="atLeast"/>
        </w:trPr>
        <w:tc>
          <w:tcPr>
            <w:tcW w:w="3981" w:type="dxa"/>
            <w:tcBorders/>
            <w:shd w:fill="auto" w:val="clear"/>
            <w:vAlign w:val="center"/>
          </w:tcPr>
          <w:p>
            <w:pPr>
              <w:pStyle w:val="TableContents"/>
              <w:spacing w:before="0" w:after="283"/>
              <w:rPr>
                <w:sz w:val="4"/>
                <w:szCs w:val="4"/>
              </w:rPr>
            </w:pPr>
            <w:r>
              <w:rPr>
                <w:sz w:val="4"/>
                <w:szCs w:val="4"/>
              </w:rPr>
            </w:r>
          </w:p>
        </w:tc>
        <w:tc>
          <w:tcPr>
            <w:tcW w:w="4488" w:type="dxa"/>
            <w:gridSpan w:val="2"/>
            <w:tcBorders/>
            <w:shd w:fill="auto" w:val="clear"/>
            <w:vAlign w:val="center"/>
          </w:tcPr>
          <w:p>
            <w:pPr>
              <w:pStyle w:val="TableContents"/>
              <w:spacing w:before="0" w:after="283"/>
              <w:rPr>
                <w:sz w:val="4"/>
                <w:szCs w:val="4"/>
              </w:rPr>
            </w:pPr>
            <w:r>
              <w:rPr>
                <w:sz w:val="4"/>
                <w:szCs w:val="4"/>
              </w:rPr>
            </w:r>
          </w:p>
        </w:tc>
      </w:tr>
      <w:tr>
        <w:trPr/>
        <w:tc>
          <w:tcPr>
            <w:tcW w:w="3981" w:type="dxa"/>
            <w:tcBorders/>
            <w:shd w:fill="auto" w:val="clear"/>
          </w:tcPr>
          <w:p>
            <w:pPr>
              <w:pStyle w:val="TableContents"/>
              <w:spacing w:before="0" w:after="283"/>
              <w:rPr/>
            </w:pPr>
            <w:r>
              <w:rPr/>
              <w:t>Contact information of the Pledgee:</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sz w:val="4"/>
                <w:szCs w:val="4"/>
              </w:rPr>
            </w:pPr>
            <w:r>
              <w:rPr>
                <w:sz w:val="4"/>
                <w:szCs w:val="4"/>
              </w:rPr>
            </w:r>
          </w:p>
        </w:tc>
      </w:tr>
      <w:tr>
        <w:trPr>
          <w:trHeight w:val="120" w:hRule="atLeast"/>
        </w:trPr>
        <w:tc>
          <w:tcPr>
            <w:tcW w:w="3981" w:type="dxa"/>
            <w:tcBorders/>
            <w:shd w:fill="auto" w:val="clear"/>
            <w:vAlign w:val="center"/>
          </w:tcPr>
          <w:p>
            <w:pPr>
              <w:pStyle w:val="TableContents"/>
              <w:spacing w:before="0" w:after="283"/>
              <w:rPr>
                <w:sz w:val="4"/>
                <w:szCs w:val="4"/>
              </w:rPr>
            </w:pPr>
            <w:r>
              <w:rPr>
                <w:sz w:val="4"/>
                <w:szCs w:val="4"/>
              </w:rPr>
            </w:r>
          </w:p>
        </w:tc>
        <w:tc>
          <w:tcPr>
            <w:tcW w:w="4488" w:type="dxa"/>
            <w:gridSpan w:val="2"/>
            <w:tcBorders/>
            <w:shd w:fill="auto" w:val="clear"/>
            <w:vAlign w:val="center"/>
          </w:tcPr>
          <w:p>
            <w:pPr>
              <w:pStyle w:val="TableContents"/>
              <w:spacing w:before="0" w:after="283"/>
              <w:rPr>
                <w:sz w:val="4"/>
                <w:szCs w:val="4"/>
              </w:rPr>
            </w:pPr>
            <w:r>
              <w:rPr>
                <w:sz w:val="4"/>
                <w:szCs w:val="4"/>
              </w:rPr>
            </w:r>
          </w:p>
        </w:tc>
      </w:tr>
      <w:tr>
        <w:trPr/>
        <w:tc>
          <w:tcPr>
            <w:tcW w:w="3981" w:type="dxa"/>
            <w:tcBorders/>
            <w:shd w:fill="auto" w:val="clear"/>
          </w:tcPr>
          <w:p>
            <w:pPr>
              <w:pStyle w:val="TableContents"/>
              <w:spacing w:before="0" w:after="283"/>
              <w:rPr/>
            </w:pPr>
            <w:r>
              <w:rPr/>
              <w:t>Bank VTB (Public Joint-Stock Company)</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sz w:val="4"/>
                <w:szCs w:val="4"/>
              </w:rPr>
            </w:pPr>
            <w:r>
              <w:rPr>
                <w:sz w:val="4"/>
                <w:szCs w:val="4"/>
              </w:rPr>
            </w:r>
          </w:p>
        </w:tc>
      </w:tr>
      <w:tr>
        <w:trPr/>
        <w:tc>
          <w:tcPr>
            <w:tcW w:w="3981" w:type="dxa"/>
            <w:tcBorders/>
            <w:shd w:fill="auto" w:val="clear"/>
          </w:tcPr>
          <w:p>
            <w:pPr>
              <w:pStyle w:val="TableContents"/>
              <w:spacing w:before="0" w:after="283"/>
              <w:rPr/>
            </w:pPr>
            <w:r>
              <w:rPr/>
              <w:t>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0"/>
              <w:rPr>
                <w:rFonts w:ascii="Times New Roman" w:hAnsi="Times New Roman"/>
                <w:sz w:val="20"/>
              </w:rPr>
            </w:pPr>
            <w:r>
              <w:rPr>
                <w:rFonts w:ascii="Times New Roman" w:hAnsi="Times New Roman"/>
                <w:sz w:val="20"/>
              </w:rPr>
              <w:t>29, Bolshaya Morskaya St.,</w:t>
            </w:r>
          </w:p>
          <w:p>
            <w:pPr>
              <w:pStyle w:val="TableContents"/>
              <w:spacing w:before="0" w:after="20"/>
              <w:rPr>
                <w:rFonts w:ascii="Times New Roman" w:hAnsi="Times New Roman"/>
                <w:sz w:val="20"/>
              </w:rPr>
            </w:pPr>
            <w:r>
              <w:rPr>
                <w:rFonts w:ascii="Times New Roman" w:hAnsi="Times New Roman"/>
                <w:sz w:val="20"/>
              </w:rPr>
              <w:t>Saint Petersburg, 190000</w:t>
            </w:r>
          </w:p>
        </w:tc>
      </w:tr>
      <w:tr>
        <w:trPr/>
        <w:tc>
          <w:tcPr>
            <w:tcW w:w="3981" w:type="dxa"/>
            <w:tcBorders/>
            <w:shd w:fill="auto" w:val="clear"/>
          </w:tcPr>
          <w:p>
            <w:pPr>
              <w:pStyle w:val="TableContents"/>
              <w:spacing w:before="0" w:after="283"/>
              <w:rPr/>
            </w:pPr>
            <w:r>
              <w:rPr/>
              <w:t>Mail address:</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43 Vorontsovskaya St., bld. 1, Moscow, 109147</w:t>
            </w:r>
          </w:p>
        </w:tc>
      </w:tr>
      <w:tr>
        <w:trPr/>
        <w:tc>
          <w:tcPr>
            <w:tcW w:w="3981" w:type="dxa"/>
            <w:tcBorders/>
            <w:shd w:fill="auto" w:val="clear"/>
          </w:tcPr>
          <w:p>
            <w:pPr>
              <w:pStyle w:val="TableContents"/>
              <w:spacing w:before="0" w:after="283"/>
              <w:rPr/>
            </w:pPr>
            <w:r>
              <w:rPr/>
              <w:t>Fax:</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+7 495 775-54-54</w:t>
            </w:r>
          </w:p>
        </w:tc>
      </w:tr>
      <w:tr>
        <w:trPr/>
        <w:tc>
          <w:tcPr>
            <w:tcW w:w="3981" w:type="dxa"/>
            <w:tcBorders/>
            <w:shd w:fill="auto" w:val="clear"/>
          </w:tcPr>
          <w:p>
            <w:pPr>
              <w:pStyle w:val="TableContents"/>
              <w:spacing w:before="0" w:after="283"/>
              <w:rPr/>
            </w:pPr>
            <w:r>
              <w:rPr/>
              <w:t>Telephone:</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+7 495 956-71-48</w:t>
            </w:r>
          </w:p>
        </w:tc>
      </w:tr>
      <w:tr>
        <w:trPr/>
        <w:tc>
          <w:tcPr>
            <w:tcW w:w="3981" w:type="dxa"/>
            <w:tcBorders/>
            <w:shd w:fill="auto" w:val="clear"/>
          </w:tcPr>
          <w:p>
            <w:pPr>
              <w:pStyle w:val="TableContents"/>
              <w:spacing w:before="0" w:after="283"/>
              <w:rPr/>
            </w:pPr>
            <w:r>
              <w:rPr/>
              <w:t>E-mail:</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u w:val="single"/>
              </w:rPr>
              <w:t>loanadmin@msk.vtb.ru; TM21@msk.vtb.ru</w:t>
            </w:r>
          </w:p>
        </w:tc>
      </w:tr>
      <w:tr>
        <w:trPr/>
        <w:tc>
          <w:tcPr>
            <w:tcW w:w="3981" w:type="dxa"/>
            <w:tcBorders/>
            <w:shd w:fill="auto" w:val="clear"/>
          </w:tcPr>
          <w:p>
            <w:pPr>
              <w:pStyle w:val="TableContents"/>
              <w:spacing w:before="0" w:after="283"/>
              <w:rPr/>
            </w:pPr>
            <w:r>
              <w:rPr/>
              <w:t>Attn:</w:t>
            </w:r>
          </w:p>
        </w:tc>
        <w:tc>
          <w:tcPr>
            <w:tcW w:w="337" w:type="dxa"/>
            <w:tcBorders/>
            <w:shd w:fill="auto" w:val="clear"/>
            <w:vAlign w:val="bottom"/>
          </w:tcPr>
          <w:p>
            <w:pPr>
              <w:pStyle w:val="TableContents"/>
              <w:spacing w:before="0" w:after="283"/>
              <w:rPr/>
            </w:pPr>
            <w:r>
              <w:rPr/>
              <w:t>  </w:t>
            </w:r>
          </w:p>
        </w:tc>
        <w:tc>
          <w:tcPr>
            <w:tcW w:w="4151" w:type="dxa"/>
            <w:tcBorders/>
            <w:shd w:fill="auto" w:val="clear"/>
          </w:tcPr>
          <w:p>
            <w:pPr>
              <w:pStyle w:val="TableContents"/>
              <w:spacing w:before="0" w:after="283"/>
              <w:rPr/>
            </w:pPr>
            <w:r>
              <w:rPr/>
              <w:t>Credit Authority</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Party may change its contact details by sending a respective notice to the other Party at least 5 (Five) Business Days prior to such change.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If a Party specifies a particular division or official as a recipient of a message, such message shall not be considered to be sent if such division or official is not designated as the recipient.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8.4.</w:t>
            </w:r>
          </w:p>
        </w:tc>
        <w:tc>
          <w:tcPr>
            <w:tcW w:w="9388" w:type="dxa"/>
            <w:tcBorders/>
            <w:shd w:fill="auto" w:val="clear"/>
          </w:tcPr>
          <w:p>
            <w:pPr>
              <w:pStyle w:val="TableContents"/>
              <w:spacing w:before="0" w:after="283"/>
              <w:jc w:val="left"/>
              <w:rPr/>
            </w:pPr>
            <w:r>
              <w:rPr/>
              <w:t xml:space="preserve">The Pledgor hereby gives the Pledgee the consent to be liable for performance of the obligations under the Loan Agreement, inter alia, if the Lenders increase the interest rate unilaterally under the terms and conditions of the Loan Agreement, as well as if any amendments are made to the terms and conditions of the Loan Agreement, including, but not limited to, in case of change of any terms or other conditions of repayment of the Loan, interest rates, commissions and fees, conditions of ensuring the performance of obligations under the Loan Agreement, penalties, and shall be liable for a complete fulfillment of the obligations under the Loan Agreement in accordance with the amended terms or conditions of the Loan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8.5.</w:t>
            </w:r>
          </w:p>
        </w:tc>
        <w:tc>
          <w:tcPr>
            <w:tcW w:w="9388" w:type="dxa"/>
            <w:tcBorders/>
            <w:shd w:fill="auto" w:val="clear"/>
          </w:tcPr>
          <w:p>
            <w:pPr>
              <w:pStyle w:val="TableContents"/>
              <w:spacing w:before="0" w:after="283"/>
              <w:jc w:val="left"/>
              <w:rPr/>
            </w:pPr>
            <w:r>
              <w:rPr/>
              <w:t xml:space="preserve">If the Borrower’s rights and obligations under the Loan Agreement are transferred by succession to another person and/or the loan under the Loan Agreement is transferred, the Pledgor hereby expresses its consent to be liable for the new debtor under the Loan Agreement. The transfer of debt under the Loan Agreement does not result in extinction of pledge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8.6.</w:t>
            </w:r>
          </w:p>
        </w:tc>
        <w:tc>
          <w:tcPr>
            <w:tcW w:w="9388" w:type="dxa"/>
            <w:tcBorders/>
            <w:shd w:fill="auto" w:val="clear"/>
          </w:tcPr>
          <w:p>
            <w:pPr>
              <w:pStyle w:val="TableContents"/>
              <w:spacing w:before="0" w:after="283"/>
              <w:jc w:val="left"/>
              <w:rPr/>
            </w:pPr>
            <w:r>
              <w:rPr/>
              <w:t xml:space="preserve">The Pledgor hereby confirms that it is aware of all the terms and conditions of the Loan Agreement, inter alia, all circumstances that are the basis for filing a claim for the Borrower’s early performance of obligations under the Loan Agreement, and there is no excuse for the Pledgor to claim to be unaware.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8.7.</w:t>
            </w:r>
          </w:p>
        </w:tc>
        <w:tc>
          <w:tcPr>
            <w:tcW w:w="9388" w:type="dxa"/>
            <w:tcBorders/>
            <w:shd w:fill="auto" w:val="clear"/>
          </w:tcPr>
          <w:p>
            <w:pPr>
              <w:pStyle w:val="TableContents"/>
              <w:spacing w:before="0" w:after="283"/>
              <w:jc w:val="left"/>
              <w:rPr/>
            </w:pPr>
            <w:r>
              <w:rPr/>
              <w:t xml:space="preserve">The Pledgor shall not have the right to raise any objections against the Pledgee’s claims that may be raised by the Borrower as a borrower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8.8.</w:t>
            </w:r>
          </w:p>
        </w:tc>
        <w:tc>
          <w:tcPr>
            <w:tcW w:w="9389" w:type="dxa"/>
            <w:tcBorders/>
            <w:shd w:fill="auto" w:val="clear"/>
          </w:tcPr>
          <w:p>
            <w:pPr>
              <w:pStyle w:val="TableContents"/>
              <w:spacing w:before="0" w:after="283"/>
              <w:jc w:val="left"/>
              <w:rPr/>
            </w:pPr>
            <w:r>
              <w:rPr/>
              <w:t xml:space="preserve">The Pledgor hereby agrees that if the debt under the Loan Agreement is early claimed or enforcement hereunder occurs, the Pledgee may transfer any information directly or indirectly related to the Agreement to a third party engaged by the Pledgee at its discretion to settle the debt.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8.9.</w:t>
            </w:r>
          </w:p>
        </w:tc>
        <w:tc>
          <w:tcPr>
            <w:tcW w:w="9388" w:type="dxa"/>
            <w:tcBorders/>
            <w:shd w:fill="auto" w:val="clear"/>
          </w:tcPr>
          <w:p>
            <w:pPr>
              <w:pStyle w:val="TableContents"/>
              <w:spacing w:before="0" w:after="283"/>
              <w:jc w:val="left"/>
              <w:rPr/>
            </w:pPr>
            <w:r>
              <w:rPr/>
              <w:t xml:space="preserve">If the Lender under the Loan Agreement cedes its rights and/or transfers obligations under the Loan Agreement and other Financial Documents to another bank, another credit or financial institution, a fund, the Central Bank of the Russian Federation or a third party in accordance with Article 20.2 </w:t>
            </w:r>
            <w:r>
              <w:rPr>
                <w:i/>
              </w:rPr>
              <w:t xml:space="preserve">(Assignment of Rights and Transfer of Obligations by the Lenders) </w:t>
            </w:r>
            <w:r>
              <w:rPr/>
              <w:t>of the Loan Agreement (hereinafter referred to as the “</w:t>
            </w:r>
            <w:r>
              <w:rPr>
                <w:b/>
              </w:rPr>
              <w:t>New Lender” for the purposes of this Clause),</w:t>
            </w:r>
            <w:r>
              <w:rPr/>
              <w:t xml:space="preserve"> then such New Lender becomes the Pledgee under this Agreement provided that a respective entry is made in the EGRUL.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8.10.</w:t>
            </w:r>
          </w:p>
        </w:tc>
        <w:tc>
          <w:tcPr>
            <w:tcW w:w="9388" w:type="dxa"/>
            <w:tcBorders/>
            <w:shd w:fill="auto" w:val="clear"/>
          </w:tcPr>
          <w:p>
            <w:pPr>
              <w:pStyle w:val="TableContents"/>
              <w:spacing w:before="0" w:after="283"/>
              <w:jc w:val="left"/>
              <w:rPr/>
            </w:pPr>
            <w:r>
              <w:rPr/>
              <w:t xml:space="preserve">The Pledgee shall, within 15 (Fifteen) Business Days from the date of a complete fulfillment of the Obligations, at the request of the Pledgor, sign an application together with the Pledgor to the body carrying out the state registration of legal entities, on termination of pledge of the Collateral and perform other actions required by law for termination of pledge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bookmarkStart w:id="6" w:name="ex10_4674579_30"/>
            <w:bookmarkEnd w:id="6"/>
            <w:r>
              <w:rPr/>
              <w:t>8.11.</w:t>
            </w:r>
          </w:p>
        </w:tc>
        <w:tc>
          <w:tcPr>
            <w:tcW w:w="9389" w:type="dxa"/>
            <w:tcBorders/>
            <w:shd w:fill="auto" w:val="clear"/>
          </w:tcPr>
          <w:p>
            <w:pPr>
              <w:pStyle w:val="TableContents"/>
              <w:spacing w:before="0" w:after="283"/>
              <w:jc w:val="left"/>
              <w:rPr/>
            </w:pPr>
            <w:r>
              <w:rPr/>
              <w:t xml:space="preserve">Such material change in circumstances as described in Article 451 of the Civil Code cannot serve as a basis for amending or terminating this Agreement on the initiative of the Pledgor. For the avoidance of doubt, the Parties hereby confirm that this Clause 8.11 does not limit the right of the Parties to modify or terminate this Agreement on the terms and conditions stipulated herein or by agreement of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8.12.</w:t>
            </w:r>
          </w:p>
        </w:tc>
        <w:tc>
          <w:tcPr>
            <w:tcW w:w="9390" w:type="dxa"/>
            <w:tcBorders/>
            <w:shd w:fill="auto" w:val="clear"/>
          </w:tcPr>
          <w:p>
            <w:pPr>
              <w:pStyle w:val="TableContents"/>
              <w:spacing w:before="0" w:after="283"/>
              <w:jc w:val="left"/>
              <w:rPr/>
            </w:pPr>
            <w:r>
              <w:rPr/>
              <w:t xml:space="preserve">This Agreement and the rights and obligations of the Parties arising out of this Agreement shall be governed and construed by the laws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8.13.</w:t>
            </w:r>
          </w:p>
        </w:tc>
        <w:tc>
          <w:tcPr>
            <w:tcW w:w="9390" w:type="dxa"/>
            <w:tcBorders/>
            <w:shd w:fill="auto" w:val="clear"/>
          </w:tcPr>
          <w:p>
            <w:pPr>
              <w:pStyle w:val="TableContents"/>
              <w:spacing w:before="0" w:after="283"/>
              <w:jc w:val="left"/>
              <w:rPr/>
            </w:pPr>
            <w:r>
              <w:rPr/>
              <w:t xml:space="preserve">If any provision hereof becomes invalid or inconsistent with the laws of the Russian Federation due to any changes in the laws of the Russian Federation in effect at the conclusion hereof, all other provisions hereof shall remain valid.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8.14.</w:t>
            </w:r>
          </w:p>
        </w:tc>
        <w:tc>
          <w:tcPr>
            <w:tcW w:w="9389"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8.15.</w:t>
            </w:r>
          </w:p>
        </w:tc>
        <w:tc>
          <w:tcPr>
            <w:tcW w:w="9389" w:type="dxa"/>
            <w:tcBorders/>
            <w:shd w:fill="auto" w:val="clear"/>
          </w:tcPr>
          <w:p>
            <w:pPr>
              <w:pStyle w:val="TableContents"/>
              <w:spacing w:before="0" w:after="283"/>
              <w:jc w:val="left"/>
              <w:rPr/>
            </w:pPr>
            <w:r>
              <w:rPr/>
              <w:t xml:space="preserve">This Agreement shall be subject to notarization. All amendments hereto shall be in writing and notarized.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8.16.</w:t>
            </w:r>
          </w:p>
        </w:tc>
        <w:tc>
          <w:tcPr>
            <w:tcW w:w="9388" w:type="dxa"/>
            <w:tcBorders/>
            <w:shd w:fill="auto" w:val="clear"/>
          </w:tcPr>
          <w:p>
            <w:pPr>
              <w:pStyle w:val="TableContents"/>
              <w:spacing w:before="0" w:after="283"/>
              <w:jc w:val="left"/>
              <w:rPr/>
            </w:pPr>
            <w:r>
              <w:rPr/>
              <w:t xml:space="preserve">The Agreement shall come into force upon being notarized and shall be valid until the Parties have fulfilled their obligations in full.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8.17.</w:t>
            </w:r>
          </w:p>
        </w:tc>
        <w:tc>
          <w:tcPr>
            <w:tcW w:w="9389" w:type="dxa"/>
            <w:tcBorders/>
            <w:shd w:fill="auto" w:val="clear"/>
          </w:tcPr>
          <w:p>
            <w:pPr>
              <w:pStyle w:val="TableContents"/>
              <w:spacing w:before="0" w:after="283"/>
              <w:jc w:val="left"/>
              <w:rPr/>
            </w:pPr>
            <w:r>
              <w:rPr/>
              <w:t xml:space="preserve">This Agreement is made in three counterparts, one shall be kept by Roman Vasilyevich Ryabov, a notary of Moscow, at the address: 9, Krasnoproletarskaya St., Moscow, one for the Pledgee, and one for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8.18.</w:t>
            </w:r>
          </w:p>
        </w:tc>
        <w:tc>
          <w:tcPr>
            <w:tcW w:w="9389" w:type="dxa"/>
            <w:tcBorders/>
            <w:shd w:fill="auto" w:val="clear"/>
          </w:tcPr>
          <w:p>
            <w:pPr>
              <w:pStyle w:val="TableContents"/>
              <w:spacing w:before="0" w:after="283"/>
              <w:jc w:val="left"/>
              <w:rPr/>
            </w:pPr>
            <w:r>
              <w:rPr/>
              <w:t xml:space="preserve">The Parties agree that the Company shall be notified by the Pledgor of the pledge of the Collateral.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8.19.</w:t>
            </w:r>
          </w:p>
        </w:tc>
        <w:tc>
          <w:tcPr>
            <w:tcW w:w="9388" w:type="dxa"/>
            <w:tcBorders/>
            <w:shd w:fill="auto" w:val="clear"/>
          </w:tcPr>
          <w:p>
            <w:pPr>
              <w:pStyle w:val="TableContents"/>
              <w:spacing w:before="0" w:after="283"/>
              <w:jc w:val="left"/>
              <w:rPr/>
            </w:pPr>
            <w:r>
              <w:rPr/>
              <w:t xml:space="preserve">The contents of Articles 334-358 of the Civil Code, Article 22 of Federal Law No. 14- </w:t>
            </w:r>
            <w:r>
              <w:rPr/>
              <w:drawing>
                <wp:inline distT="0" distB="0" distL="0" distR="0">
                  <wp:extent cx="180975" cy="12382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link="rId37"/>
                          <a:stretch>
                            <a:fillRect/>
                          </a:stretch>
                        </pic:blipFill>
                        <pic:spPr bwMode="auto">
                          <a:xfrm>
                            <a:off x="0" y="0"/>
                            <a:ext cx="180975" cy="123825"/>
                          </a:xfrm>
                          <a:prstGeom prst="rect">
                            <a:avLst/>
                          </a:prstGeom>
                          <a:noFill/>
                          <a:ln w="9525">
                            <a:noFill/>
                            <a:miter lim="800000"/>
                            <a:headEnd/>
                            <a:tailEnd/>
                          </a:ln>
                        </pic:spPr>
                      </pic:pic>
                    </a:graphicData>
                  </a:graphic>
                </wp:inline>
              </w:drawing>
            </w:r>
            <w:r>
              <w:rPr/>
              <w:t xml:space="preserve"> “On Limited Liability Companies” dated February 08, 1998, Articles 94.1, 94.2, 94.3, 94.4 of the Fundamental Principles of Legislation of the Russian Federation on the Notarial Services have been explained by the notary to the Parties. </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SIGNATURES OF THE PARTIES </w:t>
      </w:r>
    </w:p>
    <w:p>
      <w:pPr>
        <w:pStyle w:val="TextBody"/>
        <w:spacing w:before="360" w:after="0"/>
        <w:rPr>
          <w:rFonts w:ascii="Times New Roman" w:hAnsi="Times New Roman"/>
          <w:b/>
          <w:sz w:val="20"/>
        </w:rPr>
      </w:pPr>
      <w:r>
        <w:rPr>
          <w:rFonts w:ascii="Times New Roman" w:hAnsi="Times New Roman"/>
          <w:b/>
          <w:sz w:val="20"/>
        </w:rPr>
        <w:t xml:space="preserve">The Pledgor </w:t>
      </w:r>
    </w:p>
    <w:p>
      <w:pPr>
        <w:pStyle w:val="TextBody"/>
        <w:spacing w:before="120" w:after="0"/>
        <w:rPr>
          <w:rFonts w:ascii="Times New Roman" w:hAnsi="Times New Roman"/>
          <w:b/>
          <w:sz w:val="20"/>
        </w:rPr>
      </w:pPr>
      <w:r>
        <w:rPr>
          <w:rFonts w:ascii="Times New Roman" w:hAnsi="Times New Roman"/>
          <w:b/>
          <w:sz w:val="20"/>
        </w:rPr>
        <w:t xml:space="preserve">HEADHUNTER FSU LIMITED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5"/>
        <w:gridCol w:w="202"/>
        <w:gridCol w:w="4797"/>
      </w:tblGrid>
      <w:tr>
        <w:trPr/>
        <w:tc>
          <w:tcPr>
            <w:tcW w:w="5205"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0"/>
              <w:rPr>
                <w:rFonts w:ascii="Times New Roman" w:hAnsi="Times New Roman"/>
                <w:sz w:val="20"/>
              </w:rPr>
            </w:pPr>
            <w:r>
              <w:rPr>
                <w:rFonts w:ascii="Times New Roman" w:hAnsi="Times New Roman"/>
                <w:sz w:val="20"/>
              </w:rPr>
              <w:t>Full name, signature:</w:t>
            </w:r>
          </w:p>
        </w:tc>
        <w:tc>
          <w:tcPr>
            <w:tcW w:w="202"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vAlign w:val="bottom"/>
          </w:tcPr>
          <w:p>
            <w:pPr>
              <w:pStyle w:val="TableContents"/>
              <w:spacing w:before="0" w:after="283"/>
              <w:rPr>
                <w:i/>
              </w:rPr>
            </w:pPr>
            <w:r>
              <w:rPr>
                <w:i/>
              </w:rPr>
              <w:t>Karen Eduardovich Agayan</w:t>
            </w:r>
          </w:p>
        </w:tc>
        <w:tc>
          <w:tcPr>
            <w:tcW w:w="202"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pPr>
            <w:r>
              <w:rPr/>
              <w:t>/</w:t>
            </w:r>
            <w:r>
              <w:rPr>
                <w:i/>
              </w:rPr>
              <w:t>signature</w:t>
            </w:r>
            <w:r>
              <w:rPr/>
              <w:t>/</w:t>
            </w:r>
          </w:p>
        </w:tc>
      </w:tr>
    </w:tbl>
    <w:p>
      <w:pPr>
        <w:pStyle w:val="TextBody"/>
        <w:spacing w:before="240" w:after="0"/>
        <w:rPr>
          <w:rFonts w:ascii="Times New Roman" w:hAnsi="Times New Roman"/>
          <w:sz w:val="20"/>
        </w:rPr>
      </w:pPr>
      <w:r>
        <w:rPr>
          <w:rFonts w:ascii="Times New Roman" w:hAnsi="Times New Roman"/>
          <w:sz w:val="20"/>
        </w:rPr>
        <w:t xml:space="preserve">Position: Attorney-in-Fact </w:t>
      </w:r>
    </w:p>
    <w:p>
      <w:pPr>
        <w:pStyle w:val="TextBody"/>
        <w:spacing w:before="360" w:after="0"/>
        <w:rPr>
          <w:rFonts w:ascii="Times New Roman" w:hAnsi="Times New Roman"/>
          <w:b/>
          <w:sz w:val="20"/>
        </w:rPr>
      </w:pPr>
      <w:r>
        <w:rPr>
          <w:rFonts w:ascii="Times New Roman" w:hAnsi="Times New Roman"/>
          <w:b/>
          <w:sz w:val="20"/>
        </w:rPr>
        <w:t xml:space="preserve">The Pledgee </w:t>
      </w:r>
    </w:p>
    <w:p>
      <w:pPr>
        <w:pStyle w:val="TextBody"/>
        <w:spacing w:before="120" w:after="0"/>
        <w:rPr>
          <w:rFonts w:ascii="Times New Roman" w:hAnsi="Times New Roman"/>
          <w:b/>
          <w:sz w:val="20"/>
        </w:rPr>
      </w:pPr>
      <w:r>
        <w:rPr>
          <w:rFonts w:ascii="Times New Roman" w:hAnsi="Times New Roman"/>
          <w:b/>
          <w:sz w:val="20"/>
        </w:rPr>
        <w:t xml:space="preserve">BANK VTB (PUBLIC JOINT-STOCK COMPANY) </w:t>
      </w:r>
    </w:p>
    <w:p>
      <w:pPr>
        <w:pStyle w:val="TextBody"/>
        <w:spacing w:before="120" w:after="0"/>
        <w:rPr>
          <w:rFonts w:ascii="Times New Roman" w:hAnsi="Times New Roman"/>
          <w:sz w:val="20"/>
        </w:rPr>
      </w:pPr>
      <w:r>
        <w:rPr>
          <w:rFonts w:ascii="Times New Roman" w:hAnsi="Times New Roman"/>
          <w:sz w:val="20"/>
        </w:rPr>
        <w:t xml:space="preserve">Full name, signature: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3"/>
        <w:gridCol w:w="4797"/>
      </w:tblGrid>
      <w:tr>
        <w:trPr/>
        <w:tc>
          <w:tcPr>
            <w:tcW w:w="520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vAlign w:val="bottom"/>
          </w:tcPr>
          <w:p>
            <w:pPr>
              <w:pStyle w:val="TableContents"/>
              <w:spacing w:before="0" w:after="283"/>
              <w:rPr>
                <w:i/>
              </w:rPr>
            </w:pPr>
            <w:r>
              <w:rPr>
                <w:i/>
              </w:rPr>
              <w:t>Vitaly Nikolaevich Buzoverya</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pPr>
            <w:r>
              <w:rPr/>
              <w:t>/</w:t>
            </w:r>
            <w:r>
              <w:rPr>
                <w:i/>
              </w:rPr>
              <w:t>signature</w:t>
            </w:r>
            <w:r>
              <w:rPr/>
              <w:t>/</w:t>
            </w:r>
          </w:p>
        </w:tc>
      </w:tr>
    </w:tbl>
    <w:p>
      <w:pPr>
        <w:pStyle w:val="TextBody"/>
        <w:spacing w:before="240" w:after="0"/>
        <w:rPr>
          <w:rFonts w:ascii="Times New Roman" w:hAnsi="Times New Roman"/>
          <w:sz w:val="20"/>
        </w:rPr>
      </w:pPr>
      <w:r>
        <w:rPr>
          <w:rFonts w:ascii="Times New Roman" w:hAnsi="Times New Roman"/>
          <w:sz w:val="20"/>
        </w:rPr>
        <w:t xml:space="preserve">Position: Attorney-in-Fact </w:t>
      </w:r>
    </w:p>
    <w:p>
      <w:pPr>
        <w:pStyle w:val="TextBody"/>
        <w:spacing w:before="480" w:after="0"/>
        <w:jc w:val="center"/>
        <w:rPr>
          <w:rFonts w:ascii="Times New Roman" w:hAnsi="Times New Roman"/>
          <w:b/>
          <w:sz w:val="20"/>
        </w:rPr>
      </w:pPr>
      <w:r>
        <w:rPr>
          <w:rFonts w:ascii="Times New Roman" w:hAnsi="Times New Roman"/>
          <w:b/>
          <w:sz w:val="20"/>
        </w:rPr>
        <w:t xml:space="preserve">The Russian Federation. </w:t>
      </w:r>
    </w:p>
    <w:p>
      <w:pPr>
        <w:pStyle w:val="TextBody"/>
        <w:spacing w:before="240" w:after="0"/>
        <w:jc w:val="center"/>
        <w:rPr>
          <w:rFonts w:ascii="Times New Roman" w:hAnsi="Times New Roman"/>
          <w:b/>
          <w:sz w:val="20"/>
        </w:rPr>
      </w:pPr>
      <w:r>
        <w:rPr>
          <w:rFonts w:ascii="Times New Roman" w:hAnsi="Times New Roman"/>
          <w:b/>
          <w:sz w:val="20"/>
        </w:rPr>
        <w:t xml:space="preserve">Moscow. </w:t>
      </w:r>
    </w:p>
    <w:p>
      <w:pPr>
        <w:pStyle w:val="TextBody"/>
        <w:spacing w:before="240" w:after="0"/>
        <w:jc w:val="center"/>
        <w:rPr>
          <w:rFonts w:ascii="Times New Roman" w:hAnsi="Times New Roman"/>
          <w:b/>
          <w:sz w:val="20"/>
        </w:rPr>
      </w:pPr>
      <w:r>
        <w:rPr>
          <w:rFonts w:ascii="Times New Roman" w:hAnsi="Times New Roman"/>
          <w:b/>
          <w:sz w:val="20"/>
        </w:rPr>
        <w:t xml:space="preserve">The fifth of October, the year two thousand and seventeen. </w:t>
      </w:r>
    </w:p>
    <w:p>
      <w:pPr>
        <w:pStyle w:val="TextBody"/>
        <w:spacing w:before="240" w:after="0"/>
        <w:rPr>
          <w:rFonts w:ascii="Times New Roman" w:hAnsi="Times New Roman"/>
          <w:sz w:val="20"/>
        </w:rPr>
      </w:pPr>
      <w:r>
        <w:rPr>
          <w:rFonts w:ascii="Times New Roman" w:hAnsi="Times New Roman"/>
          <w:sz w:val="20"/>
        </w:rPr>
        <w:t xml:space="preserve">This agreement is certified by me, Roman Vasilyevich Ryabov, a notary of Moscow. </w:t>
      </w:r>
    </w:p>
    <w:p>
      <w:pPr>
        <w:pStyle w:val="TextBody"/>
        <w:spacing w:before="240" w:after="0"/>
        <w:rPr>
          <w:rFonts w:ascii="Times New Roman" w:hAnsi="Times New Roman"/>
          <w:sz w:val="20"/>
        </w:rPr>
      </w:pPr>
      <w:r>
        <w:rPr>
          <w:rFonts w:ascii="Times New Roman" w:hAnsi="Times New Roman"/>
          <w:sz w:val="20"/>
        </w:rPr>
        <w:t xml:space="preserve">The content of the agreement corresponds to the will of its parties. </w:t>
      </w:r>
    </w:p>
    <w:p>
      <w:pPr>
        <w:pStyle w:val="TextBody"/>
        <w:spacing w:before="240" w:after="0"/>
        <w:rPr>
          <w:rFonts w:ascii="Times New Roman" w:hAnsi="Times New Roman"/>
          <w:sz w:val="20"/>
        </w:rPr>
      </w:pPr>
      <w:r>
        <w:rPr>
          <w:rFonts w:ascii="Times New Roman" w:hAnsi="Times New Roman"/>
          <w:sz w:val="20"/>
        </w:rPr>
        <w:t xml:space="preserve">The agreement was signed before me. </w:t>
      </w:r>
    </w:p>
    <w:p>
      <w:pPr>
        <w:pStyle w:val="TextBody"/>
        <w:spacing w:before="240" w:after="0"/>
        <w:rPr>
          <w:rFonts w:ascii="Times New Roman" w:hAnsi="Times New Roman"/>
          <w:sz w:val="20"/>
        </w:rPr>
      </w:pPr>
      <w:r>
        <w:rPr>
          <w:rFonts w:ascii="Times New Roman" w:hAnsi="Times New Roman"/>
          <w:sz w:val="20"/>
        </w:rPr>
        <w:t xml:space="preserve">The signatories are personally known to me, their capacities have been verified. </w:t>
      </w:r>
    </w:p>
    <w:p>
      <w:pPr>
        <w:pStyle w:val="TextBody"/>
        <w:spacing w:before="120" w:after="0"/>
        <w:rPr>
          <w:rFonts w:ascii="Times New Roman" w:hAnsi="Times New Roman"/>
          <w:sz w:val="20"/>
        </w:rPr>
      </w:pPr>
      <w:r>
        <w:rPr>
          <w:rFonts w:ascii="Times New Roman" w:hAnsi="Times New Roman"/>
          <w:sz w:val="20"/>
        </w:rPr>
        <w:t xml:space="preserve">The legal capacities of the legal entities and the authorities of their representatives have been verified. </w:t>
      </w:r>
    </w:p>
    <w:p>
      <w:pPr>
        <w:pStyle w:val="TextBody"/>
        <w:spacing w:before="240" w:after="0"/>
        <w:rPr>
          <w:rFonts w:ascii="Times New Roman" w:hAnsi="Times New Roman"/>
          <w:sz w:val="20"/>
        </w:rPr>
      </w:pPr>
      <w:r>
        <w:rPr>
          <w:rFonts w:ascii="Times New Roman" w:hAnsi="Times New Roman"/>
          <w:sz w:val="20"/>
        </w:rPr>
        <w:t xml:space="preserve">The title to the property has been verified. </w:t>
      </w:r>
    </w:p>
    <w:p>
      <w:pPr>
        <w:pStyle w:val="TextBody"/>
        <w:spacing w:before="240" w:after="0"/>
        <w:rPr>
          <w:rFonts w:ascii="Times New Roman" w:hAnsi="Times New Roman"/>
          <w:sz w:val="20"/>
        </w:rPr>
      </w:pPr>
      <w:r>
        <w:rPr>
          <w:rFonts w:ascii="Times New Roman" w:hAnsi="Times New Roman"/>
          <w:sz w:val="20"/>
        </w:rPr>
        <w:t xml:space="preserve">Filed in the register under No.: </w:t>
      </w:r>
      <w:r>
        <w:rPr>
          <w:rFonts w:ascii="Times New Roman" w:hAnsi="Times New Roman"/>
          <w:i/>
          <w:sz w:val="20"/>
        </w:rPr>
        <w:t>1-1169</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State fees collected (as per the tariff): </w:t>
      </w:r>
      <w:r>
        <w:rPr>
          <w:rFonts w:ascii="Times New Roman" w:hAnsi="Times New Roman"/>
          <w:i/>
          <w:sz w:val="20"/>
        </w:rPr>
        <w:t xml:space="preserve">350 </w:t>
      </w:r>
      <w:r>
        <w:rPr>
          <w:rFonts w:ascii="Times New Roman" w:hAnsi="Times New Roman"/>
          <w:sz w:val="20"/>
        </w:rPr>
        <w:t xml:space="preserve">rubles 00 kopecks </w:t>
      </w:r>
    </w:p>
    <w:p>
      <w:pPr>
        <w:pStyle w:val="TextBody"/>
        <w:spacing w:before="240" w:after="0"/>
        <w:rPr>
          <w:rFonts w:ascii="Times New Roman" w:hAnsi="Times New Roman"/>
          <w:sz w:val="20"/>
        </w:rPr>
      </w:pPr>
      <w:r>
        <w:rPr>
          <w:rFonts w:ascii="Times New Roman" w:hAnsi="Times New Roman"/>
          <w:sz w:val="20"/>
        </w:rPr>
        <w:t xml:space="preserve">Legal and technical fees paid: </w:t>
      </w:r>
      <w:r>
        <w:rPr>
          <w:rFonts w:ascii="Times New Roman" w:hAnsi="Times New Roman"/>
          <w:i/>
          <w:sz w:val="20"/>
        </w:rPr>
        <w:t xml:space="preserve">17,000 </w:t>
      </w:r>
      <w:r>
        <w:rPr>
          <w:rFonts w:ascii="Times New Roman" w:hAnsi="Times New Roman"/>
          <w:sz w:val="20"/>
        </w:rPr>
        <w:t xml:space="preserve">rubles 00 kopecks </w:t>
      </w:r>
    </w:p>
    <w:p>
      <w:pPr>
        <w:pStyle w:val="TextBody"/>
        <w:spacing w:before="240" w:after="0"/>
        <w:rPr>
          <w:rFonts w:ascii="Times New Roman" w:hAnsi="Times New Roman"/>
          <w:sz w:val="20"/>
        </w:rPr>
      </w:pPr>
      <w:r>
        <w:rPr>
          <w:rFonts w:ascii="Times New Roman" w:hAnsi="Times New Roman"/>
          <w:sz w:val="20"/>
        </w:rPr>
        <w:t xml:space="preserve">Certified at the address: 12, Presnenskaya Naberezhnaya, Moscow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436"/>
        <w:gridCol w:w="104"/>
        <w:gridCol w:w="3131"/>
        <w:gridCol w:w="121"/>
        <w:gridCol w:w="2259"/>
        <w:gridCol w:w="121"/>
        <w:gridCol w:w="2033"/>
      </w:tblGrid>
      <w:tr>
        <w:trPr/>
        <w:tc>
          <w:tcPr>
            <w:tcW w:w="2436" w:type="dxa"/>
            <w:tcBorders/>
            <w:shd w:fill="auto" w:val="clear"/>
            <w:vAlign w:val="center"/>
          </w:tcPr>
          <w:p>
            <w:pPr>
              <w:pStyle w:val="TableContents"/>
              <w:spacing w:before="0" w:after="283"/>
              <w:rPr>
                <w:sz w:val="4"/>
                <w:szCs w:val="4"/>
              </w:rPr>
            </w:pPr>
            <w:r>
              <w:rPr>
                <w:sz w:val="4"/>
                <w:szCs w:val="4"/>
              </w:rPr>
            </w:r>
          </w:p>
        </w:tc>
        <w:tc>
          <w:tcPr>
            <w:tcW w:w="104" w:type="dxa"/>
            <w:tcBorders/>
            <w:shd w:fill="auto" w:val="clear"/>
            <w:vAlign w:val="bottom"/>
          </w:tcPr>
          <w:p>
            <w:pPr>
              <w:pStyle w:val="TableContents"/>
              <w:spacing w:before="0" w:after="283"/>
              <w:rPr>
                <w:sz w:val="4"/>
                <w:szCs w:val="4"/>
              </w:rPr>
            </w:pPr>
            <w:r>
              <w:rPr>
                <w:sz w:val="4"/>
                <w:szCs w:val="4"/>
              </w:rPr>
            </w:r>
          </w:p>
        </w:tc>
        <w:tc>
          <w:tcPr>
            <w:tcW w:w="3131" w:type="dxa"/>
            <w:tcBorders/>
            <w:shd w:fill="auto" w:val="clear"/>
            <w:vAlign w:val="cente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sz w:val="4"/>
                <w:szCs w:val="4"/>
              </w:rPr>
            </w:pPr>
            <w:r>
              <w:rPr>
                <w:sz w:val="4"/>
                <w:szCs w:val="4"/>
              </w:rPr>
            </w:r>
          </w:p>
        </w:tc>
        <w:tc>
          <w:tcPr>
            <w:tcW w:w="2259" w:type="dxa"/>
            <w:tcBorders/>
            <w:shd w:fill="auto" w:val="clear"/>
            <w:vAlign w:val="cente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sz w:val="4"/>
                <w:szCs w:val="4"/>
              </w:rPr>
            </w:pPr>
            <w:r>
              <w:rPr>
                <w:sz w:val="4"/>
                <w:szCs w:val="4"/>
              </w:rPr>
            </w:r>
          </w:p>
        </w:tc>
        <w:tc>
          <w:tcPr>
            <w:tcW w:w="2033" w:type="dxa"/>
            <w:tcBorders/>
            <w:shd w:fill="auto" w:val="clear"/>
            <w:vAlign w:val="center"/>
          </w:tcPr>
          <w:p>
            <w:pPr>
              <w:pStyle w:val="TableContents"/>
              <w:spacing w:before="0" w:after="283"/>
              <w:rPr>
                <w:sz w:val="4"/>
                <w:szCs w:val="4"/>
              </w:rPr>
            </w:pPr>
            <w:r>
              <w:rPr>
                <w:sz w:val="4"/>
                <w:szCs w:val="4"/>
              </w:rPr>
            </w:r>
          </w:p>
        </w:tc>
      </w:tr>
      <w:tr>
        <w:trPr/>
        <w:tc>
          <w:tcPr>
            <w:tcW w:w="2436" w:type="dxa"/>
            <w:tcBorders/>
            <w:shd w:fill="auto" w:val="clear"/>
          </w:tcPr>
          <w:p>
            <w:pPr>
              <w:pStyle w:val="TableContents"/>
              <w:spacing w:before="0" w:after="0"/>
              <w:rPr>
                <w:rFonts w:ascii="Times New Roman" w:hAnsi="Times New Roman"/>
                <w:sz w:val="20"/>
              </w:rPr>
            </w:pPr>
            <w:r>
              <w:rPr>
                <w:rFonts w:ascii="Times New Roman" w:hAnsi="Times New Roman"/>
                <w:sz w:val="20"/>
              </w:rPr>
              <w:t>L.S.</w:t>
            </w:r>
          </w:p>
        </w:tc>
        <w:tc>
          <w:tcPr>
            <w:tcW w:w="104" w:type="dxa"/>
            <w:tcBorders/>
            <w:shd w:fill="auto" w:val="clear"/>
            <w:vAlign w:val="bottom"/>
          </w:tcPr>
          <w:p>
            <w:pPr>
              <w:pStyle w:val="TableContents"/>
              <w:spacing w:before="0" w:after="283"/>
              <w:rPr/>
            </w:pPr>
            <w:r>
              <w:rPr/>
              <w:t> </w:t>
            </w:r>
          </w:p>
        </w:tc>
        <w:tc>
          <w:tcPr>
            <w:tcW w:w="3131" w:type="dxa"/>
            <w:tcBorders/>
            <w:shd w:fill="auto" w:val="clear"/>
            <w:vAlign w:val="bottom"/>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pPr>
            <w:r>
              <w:rPr/>
              <w:t>  </w:t>
            </w:r>
          </w:p>
        </w:tc>
        <w:tc>
          <w:tcPr>
            <w:tcW w:w="2259" w:type="dxa"/>
            <w:tcBorders/>
            <w:shd w:fill="auto" w:val="clear"/>
            <w:vAlign w:val="bottom"/>
          </w:tcPr>
          <w:p>
            <w:pPr>
              <w:pStyle w:val="TableContents"/>
              <w:spacing w:before="0" w:after="283"/>
              <w:jc w:val="right"/>
              <w:rPr/>
            </w:pPr>
            <w:r>
              <w:rPr/>
              <w:t>/</w:t>
            </w:r>
            <w:r>
              <w:rPr>
                <w:i/>
              </w:rPr>
              <w:t>signature</w:t>
            </w:r>
            <w:r>
              <w:rPr/>
              <w:t>/</w:t>
            </w:r>
          </w:p>
        </w:tc>
        <w:tc>
          <w:tcPr>
            <w:tcW w:w="121" w:type="dxa"/>
            <w:tcBorders/>
            <w:shd w:fill="auto" w:val="clear"/>
            <w:vAlign w:val="bottom"/>
          </w:tcPr>
          <w:p>
            <w:pPr>
              <w:pStyle w:val="TableContents"/>
              <w:spacing w:before="0" w:after="283"/>
              <w:rPr/>
            </w:pPr>
            <w:r>
              <w:rPr/>
              <w:t>  </w:t>
            </w:r>
          </w:p>
        </w:tc>
        <w:tc>
          <w:tcPr>
            <w:tcW w:w="2033" w:type="dxa"/>
            <w:tcBorders/>
            <w:shd w:fill="auto" w:val="clear"/>
            <w:vAlign w:val="bottom"/>
          </w:tcPr>
          <w:p>
            <w:pPr>
              <w:pStyle w:val="TableContents"/>
              <w:spacing w:before="0" w:after="283"/>
              <w:jc w:val="right"/>
              <w:rPr/>
            </w:pPr>
            <w:r>
              <w:rPr/>
              <w:t>R. V. Ryabov</w:t>
            </w:r>
          </w:p>
        </w:tc>
      </w:tr>
      <w:tr>
        <w:trPr/>
        <w:tc>
          <w:tcPr>
            <w:tcW w:w="2436" w:type="dxa"/>
            <w:tcBorders/>
            <w:shd w:fill="auto" w:val="clear"/>
            <w:vAlign w:val="bottom"/>
          </w:tcPr>
          <w:p>
            <w:pPr>
              <w:pStyle w:val="TableContents"/>
              <w:spacing w:before="0" w:after="283"/>
              <w:rPr>
                <w:sz w:val="4"/>
                <w:szCs w:val="4"/>
              </w:rPr>
            </w:pPr>
            <w:r>
              <w:rPr>
                <w:sz w:val="4"/>
                <w:szCs w:val="4"/>
              </w:rPr>
            </w:r>
          </w:p>
        </w:tc>
        <w:tc>
          <w:tcPr>
            <w:tcW w:w="104" w:type="dxa"/>
            <w:tcBorders/>
            <w:shd w:fill="auto" w:val="clear"/>
            <w:vAlign w:val="bottom"/>
          </w:tcPr>
          <w:p>
            <w:pPr>
              <w:pStyle w:val="TableContents"/>
              <w:spacing w:before="0" w:after="283"/>
              <w:rPr/>
            </w:pPr>
            <w:r>
              <w:rPr/>
              <w:t> </w:t>
            </w:r>
          </w:p>
        </w:tc>
        <w:tc>
          <w:tcPr>
            <w:tcW w:w="3131" w:type="dxa"/>
            <w:tcBorders/>
            <w:shd w:fill="auto" w:val="clear"/>
            <w:vAlign w:val="bottom"/>
          </w:tcPr>
          <w:p>
            <w:pPr>
              <w:pStyle w:val="TableContents"/>
              <w:spacing w:before="0" w:after="0"/>
              <w:jc w:val="center"/>
              <w:rPr>
                <w:rFonts w:ascii="Times New Roman" w:hAnsi="Times New Roman"/>
                <w:sz w:val="20"/>
              </w:rPr>
            </w:pPr>
            <w:r>
              <w:rPr>
                <w:rFonts w:ascii="Times New Roman" w:hAnsi="Times New Roman"/>
                <w:sz w:val="20"/>
              </w:rPr>
              <w:t>Seal:</w:t>
            </w:r>
          </w:p>
          <w:p>
            <w:pPr>
              <w:pStyle w:val="TableContents"/>
              <w:spacing w:before="0" w:after="0"/>
              <w:jc w:val="center"/>
              <w:rPr>
                <w:rFonts w:ascii="Times New Roman" w:hAnsi="Times New Roman"/>
                <w:sz w:val="20"/>
              </w:rPr>
            </w:pPr>
            <w:r>
              <w:rPr>
                <w:rFonts w:ascii="Times New Roman" w:hAnsi="Times New Roman"/>
                <w:sz w:val="20"/>
              </w:rPr>
              <w:t>[MOSCOW NOTARY</w:t>
            </w:r>
          </w:p>
          <w:p>
            <w:pPr>
              <w:pStyle w:val="TableContents"/>
              <w:spacing w:before="0" w:after="0"/>
              <w:jc w:val="center"/>
              <w:rPr>
                <w:rFonts w:ascii="Times New Roman" w:hAnsi="Times New Roman"/>
                <w:sz w:val="20"/>
              </w:rPr>
            </w:pPr>
            <w:r>
              <w:rPr>
                <w:rFonts w:ascii="Times New Roman" w:hAnsi="Times New Roman"/>
                <w:sz w:val="20"/>
              </w:rPr>
              <w:t>R. V. RYABOV</w:t>
            </w:r>
          </w:p>
          <w:p>
            <w:pPr>
              <w:pStyle w:val="TableContents"/>
              <w:spacing w:before="0" w:after="20"/>
              <w:jc w:val="center"/>
              <w:rPr>
                <w:rFonts w:ascii="Times New Roman" w:hAnsi="Times New Roman"/>
                <w:sz w:val="20"/>
              </w:rPr>
            </w:pPr>
            <w:r>
              <w:rPr>
                <w:rFonts w:ascii="Times New Roman" w:hAnsi="Times New Roman"/>
                <w:sz w:val="20"/>
              </w:rPr>
              <w:t>INN (Taxpayer Identification Number) 770305583110]</w:t>
            </w:r>
          </w:p>
        </w:tc>
        <w:tc>
          <w:tcPr>
            <w:tcW w:w="121" w:type="dxa"/>
            <w:tcBorders/>
            <w:shd w:fill="auto" w:val="clear"/>
            <w:vAlign w:val="bottom"/>
          </w:tcPr>
          <w:p>
            <w:pPr>
              <w:pStyle w:val="TableContents"/>
              <w:spacing w:before="0" w:after="283"/>
              <w:rPr/>
            </w:pPr>
            <w:r>
              <w:rPr/>
              <w:t>  </w:t>
            </w:r>
          </w:p>
        </w:tc>
        <w:tc>
          <w:tcPr>
            <w:tcW w:w="2259" w:type="dxa"/>
            <w:tcBorders/>
            <w:shd w:fill="auto" w:val="clear"/>
            <w:vAlign w:val="bottom"/>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pPr>
            <w:r>
              <w:rPr/>
              <w:t>  </w:t>
            </w:r>
          </w:p>
        </w:tc>
        <w:tc>
          <w:tcPr>
            <w:tcW w:w="2033" w:type="dxa"/>
            <w:tcBorders/>
            <w:shd w:fill="auto" w:val="clear"/>
            <w:vAlign w:val="bottom"/>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[MOSCOW NOTARY </w:t>
      </w:r>
    </w:p>
    <w:p>
      <w:pPr>
        <w:pStyle w:val="TextBody"/>
        <w:spacing w:before="0" w:after="0"/>
        <w:jc w:val="center"/>
        <w:rPr>
          <w:rFonts w:ascii="Times New Roman" w:hAnsi="Times New Roman"/>
          <w:sz w:val="20"/>
        </w:rPr>
      </w:pPr>
      <w:r>
        <w:rPr>
          <w:rFonts w:ascii="Times New Roman" w:hAnsi="Times New Roman"/>
          <w:sz w:val="20"/>
        </w:rPr>
        <w:t xml:space="preserve">R. V. RYABOV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w:t>
      </w:r>
    </w:p>
    <w:p>
      <w:pPr>
        <w:pStyle w:val="TextBody"/>
        <w:spacing w:before="0" w:after="0"/>
        <w:jc w:val="center"/>
        <w:rPr>
          <w:rFonts w:ascii="Times New Roman" w:hAnsi="Times New Roman"/>
          <w:sz w:val="20"/>
        </w:rPr>
      </w:pPr>
      <w:r>
        <w:rPr>
          <w:rFonts w:ascii="Times New Roman" w:hAnsi="Times New Roman"/>
          <w:sz w:val="20"/>
        </w:rPr>
        <w:t xml:space="preserve">770305583110] </w:t>
      </w:r>
    </w:p>
    <w:p>
      <w:pPr>
        <w:pStyle w:val="TextBody"/>
        <w:spacing w:before="240" w:after="0"/>
        <w:jc w:val="right"/>
        <w:rPr>
          <w:rFonts w:ascii="Times New Roman" w:hAnsi="Times New Roman"/>
          <w:sz w:val="20"/>
        </w:rPr>
      </w:pPr>
      <w:r>
        <w:rPr>
          <w:rFonts w:ascii="Times New Roman" w:hAnsi="Times New Roman"/>
          <w:sz w:val="20"/>
        </w:rPr>
        <w:t xml:space="preserve">Stamp: </w:t>
      </w:r>
    </w:p>
    <w:p>
      <w:pPr>
        <w:pStyle w:val="TextBody"/>
        <w:spacing w:before="0" w:after="0"/>
        <w:jc w:val="right"/>
        <w:rPr>
          <w:rFonts w:ascii="Times New Roman" w:hAnsi="Times New Roman"/>
          <w:sz w:val="20"/>
        </w:rPr>
      </w:pPr>
      <w:r>
        <w:rPr>
          <w:rFonts w:ascii="Times New Roman" w:hAnsi="Times New Roman"/>
          <w:sz w:val="20"/>
        </w:rPr>
        <w:t xml:space="preserve">[Bound, numbered and sealed </w:t>
      </w:r>
      <w:r>
        <w:rPr>
          <w:rFonts w:ascii="Times New Roman" w:hAnsi="Times New Roman"/>
          <w:i/>
          <w:sz w:val="20"/>
        </w:rPr>
        <w:t xml:space="preserve">27 (twenty-seven) </w:t>
      </w:r>
      <w:r>
        <w:rPr>
          <w:rFonts w:ascii="Times New Roman" w:hAnsi="Times New Roman"/>
          <w:sz w:val="20"/>
        </w:rPr>
        <w:t xml:space="preserve">sheets] </w:t>
      </w:r>
    </w:p>
    <w:p>
      <w:pPr>
        <w:pStyle w:val="TextBody"/>
        <w:spacing w:before="0" w:after="0"/>
        <w:rPr/>
      </w:pPr>
      <w:r>
        <w:rPr/>
        <w:t> </w:t>
      </w:r>
    </w:p>
    <w:tbl>
      <w:tblPr>
        <w:tblW w:w="2000" w:type="pct"/>
        <w:jc w:val="right"/>
        <w:tblInd w:w="0" w:type="dxa"/>
        <w:tblBorders/>
        <w:tblCellMar>
          <w:top w:w="0" w:type="dxa"/>
          <w:left w:w="0" w:type="dxa"/>
          <w:bottom w:w="0" w:type="dxa"/>
          <w:right w:w="0" w:type="dxa"/>
        </w:tblCellMar>
      </w:tblPr>
      <w:tblGrid>
        <w:gridCol w:w="22"/>
        <w:gridCol w:w="60"/>
        <w:gridCol w:w="1918"/>
        <w:gridCol w:w="60"/>
        <w:gridCol w:w="2022"/>
      </w:tblGrid>
      <w:tr>
        <w:trPr/>
        <w:tc>
          <w:tcPr>
            <w:tcW w:w="22"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1918"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2022" w:type="dxa"/>
            <w:tcBorders/>
            <w:shd w:fill="auto" w:val="clear"/>
            <w:vAlign w:val="center"/>
          </w:tcPr>
          <w:p>
            <w:pPr>
              <w:pStyle w:val="TableContents"/>
              <w:spacing w:before="0" w:after="283"/>
              <w:rPr>
                <w:sz w:val="4"/>
                <w:szCs w:val="4"/>
              </w:rPr>
            </w:pPr>
            <w:r>
              <w:rPr>
                <w:sz w:val="4"/>
                <w:szCs w:val="4"/>
              </w:rPr>
            </w:r>
          </w:p>
        </w:tc>
      </w:tr>
      <w:tr>
        <w:trPr/>
        <w:tc>
          <w:tcPr>
            <w:tcW w:w="22"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pPr>
            <w:r>
              <w:rPr/>
              <w:t> </w:t>
            </w:r>
          </w:p>
        </w:tc>
        <w:tc>
          <w:tcPr>
            <w:tcW w:w="1918" w:type="dxa"/>
            <w:tcBorders/>
            <w:shd w:fill="auto" w:val="clear"/>
            <w:vAlign w:val="bottom"/>
          </w:tcPr>
          <w:p>
            <w:pPr>
              <w:pStyle w:val="TableContents"/>
              <w:spacing w:before="0" w:after="283"/>
              <w:jc w:val="right"/>
              <w:rPr/>
            </w:pPr>
            <w:r>
              <w:rPr/>
              <w:t>Notary</w:t>
            </w:r>
          </w:p>
        </w:tc>
        <w:tc>
          <w:tcPr>
            <w:tcW w:w="60" w:type="dxa"/>
            <w:tcBorders/>
            <w:shd w:fill="auto" w:val="clear"/>
            <w:vAlign w:val="bottom"/>
          </w:tcPr>
          <w:p>
            <w:pPr>
              <w:pStyle w:val="TableContents"/>
              <w:spacing w:before="0" w:after="283"/>
              <w:rPr/>
            </w:pPr>
            <w:r>
              <w:rPr/>
              <w:t> </w:t>
            </w:r>
          </w:p>
        </w:tc>
        <w:tc>
          <w:tcPr>
            <w:tcW w:w="2022" w:type="dxa"/>
            <w:tcBorders/>
            <w:shd w:fill="auto" w:val="clear"/>
            <w:vAlign w:val="bottom"/>
          </w:tcPr>
          <w:p>
            <w:pPr>
              <w:pStyle w:val="TableContents"/>
              <w:pBdr>
                <w:bottom w:val="single" w:sz="2" w:space="1" w:color="000000"/>
              </w:pBdr>
              <w:spacing w:before="0" w:after="20"/>
              <w:jc w:val="right"/>
              <w:rPr>
                <w:rFonts w:ascii="Times New Roman" w:hAnsi="Times New Roman"/>
                <w:sz w:val="22"/>
              </w:rPr>
            </w:pPr>
            <w:r>
              <w:rPr>
                <w:rFonts w:ascii="Times New Roman" w:hAnsi="Times New Roman"/>
                <w:sz w:val="22"/>
              </w:rPr>
              <w:t>/</w:t>
            </w:r>
            <w:r>
              <w:rPr>
                <w:rFonts w:ascii="Times New Roman" w:hAnsi="Times New Roman"/>
                <w:i/>
                <w:sz w:val="22"/>
              </w:rPr>
              <w:t>signature</w:t>
            </w:r>
            <w:r>
              <w:rPr>
                <w:rFonts w:ascii="Times New Roman" w:hAnsi="Times New Roman"/>
                <w:sz w:val="22"/>
              </w:rPr>
              <w:t>/         ]</w:t>
            </w:r>
          </w:p>
        </w:tc>
      </w:tr>
    </w:tbl>
    <w:r>
      <w:br w:type="page"/>
    </w:r>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1320"/>
        <w:gridCol w:w="106"/>
        <w:gridCol w:w="3201"/>
        <w:gridCol w:w="121"/>
        <w:gridCol w:w="2576"/>
        <w:gridCol w:w="121"/>
        <w:gridCol w:w="2760"/>
      </w:tblGrid>
      <w:tr>
        <w:trPr/>
        <w:tc>
          <w:tcPr>
            <w:tcW w:w="1320" w:type="dxa"/>
            <w:tcBorders/>
            <w:shd w:fill="auto" w:val="clear"/>
            <w:vAlign w:val="center"/>
          </w:tcPr>
          <w:p>
            <w:pPr>
              <w:pStyle w:val="TableContents"/>
              <w:spacing w:before="0" w:after="283"/>
              <w:rPr>
                <w:sz w:val="4"/>
                <w:szCs w:val="4"/>
              </w:rPr>
            </w:pPr>
            <w:r>
              <w:rPr>
                <w:sz w:val="4"/>
                <w:szCs w:val="4"/>
              </w:rPr>
            </w:r>
          </w:p>
        </w:tc>
        <w:tc>
          <w:tcPr>
            <w:tcW w:w="106" w:type="dxa"/>
            <w:tcBorders/>
            <w:shd w:fill="auto" w:val="clear"/>
            <w:vAlign w:val="bottom"/>
          </w:tcPr>
          <w:p>
            <w:pPr>
              <w:pStyle w:val="TableContents"/>
              <w:spacing w:before="0" w:after="283"/>
              <w:rPr>
                <w:sz w:val="4"/>
                <w:szCs w:val="4"/>
              </w:rPr>
            </w:pPr>
            <w:r>
              <w:rPr>
                <w:sz w:val="4"/>
                <w:szCs w:val="4"/>
              </w:rPr>
            </w:r>
          </w:p>
        </w:tc>
        <w:tc>
          <w:tcPr>
            <w:tcW w:w="3201" w:type="dxa"/>
            <w:tcBorders/>
            <w:shd w:fill="auto" w:val="clear"/>
            <w:vAlign w:val="cente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sz w:val="4"/>
                <w:szCs w:val="4"/>
              </w:rPr>
            </w:pPr>
            <w:r>
              <w:rPr>
                <w:sz w:val="4"/>
                <w:szCs w:val="4"/>
              </w:rPr>
            </w:r>
          </w:p>
        </w:tc>
        <w:tc>
          <w:tcPr>
            <w:tcW w:w="2576" w:type="dxa"/>
            <w:tcBorders/>
            <w:shd w:fill="auto" w:val="clear"/>
            <w:vAlign w:val="cente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sz w:val="4"/>
                <w:szCs w:val="4"/>
              </w:rPr>
            </w:pPr>
            <w:r>
              <w:rPr>
                <w:sz w:val="4"/>
                <w:szCs w:val="4"/>
              </w:rPr>
            </w:r>
          </w:p>
        </w:tc>
        <w:tc>
          <w:tcPr>
            <w:tcW w:w="2760" w:type="dxa"/>
            <w:tcBorders/>
            <w:shd w:fill="auto" w:val="clear"/>
            <w:vAlign w:val="center"/>
          </w:tcPr>
          <w:p>
            <w:pPr>
              <w:pStyle w:val="TableContents"/>
              <w:spacing w:before="0" w:after="283"/>
              <w:rPr>
                <w:sz w:val="4"/>
                <w:szCs w:val="4"/>
              </w:rPr>
            </w:pPr>
            <w:r>
              <w:rPr>
                <w:sz w:val="4"/>
                <w:szCs w:val="4"/>
              </w:rPr>
            </w:r>
          </w:p>
        </w:tc>
      </w:tr>
      <w:tr>
        <w:trPr/>
        <w:tc>
          <w:tcPr>
            <w:tcW w:w="1320" w:type="dxa"/>
            <w:tcBorders/>
            <w:shd w:fill="auto" w:val="clear"/>
          </w:tcPr>
          <w:p>
            <w:pPr>
              <w:pStyle w:val="TableContents"/>
              <w:spacing w:before="0" w:after="20"/>
              <w:rPr/>
            </w:pPr>
            <w:r>
              <w:rPr/>
              <w:drawing>
                <wp:inline distT="0" distB="0" distL="0" distR="0">
                  <wp:extent cx="781050" cy="819150"/>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link="rId38"/>
                          <a:stretch>
                            <a:fillRect/>
                          </a:stretch>
                        </pic:blipFill>
                        <pic:spPr bwMode="auto">
                          <a:xfrm>
                            <a:off x="0" y="0"/>
                            <a:ext cx="781050" cy="819150"/>
                          </a:xfrm>
                          <a:prstGeom prst="rect">
                            <a:avLst/>
                          </a:prstGeom>
                          <a:noFill/>
                          <a:ln w="9525">
                            <a:noFill/>
                            <a:miter lim="800000"/>
                            <a:headEnd/>
                            <a:tailEnd/>
                          </a:ln>
                        </pic:spPr>
                      </pic:pic>
                    </a:graphicData>
                  </a:graphic>
                </wp:inline>
              </w:drawing>
            </w:r>
            <w:r>
              <w:rPr/>
              <w:t xml:space="preserve"> </w:t>
            </w:r>
          </w:p>
        </w:tc>
        <w:tc>
          <w:tcPr>
            <w:tcW w:w="106" w:type="dxa"/>
            <w:tcBorders/>
            <w:shd w:fill="auto" w:val="clear"/>
            <w:vAlign w:val="bottom"/>
          </w:tcPr>
          <w:p>
            <w:pPr>
              <w:pStyle w:val="TableContents"/>
              <w:spacing w:before="0" w:after="283"/>
              <w:rPr/>
            </w:pPr>
            <w:r>
              <w:rPr/>
              <w:t> </w:t>
            </w:r>
          </w:p>
        </w:tc>
        <w:tc>
          <w:tcPr>
            <w:tcW w:w="3201" w:type="dxa"/>
            <w:tcBorders/>
            <w:shd w:fill="auto" w:val="clear"/>
          </w:tcPr>
          <w:p>
            <w:pPr>
              <w:pStyle w:val="TableContents"/>
              <w:spacing w:before="0" w:after="0"/>
              <w:rPr>
                <w:rFonts w:ascii="Times New Roman" w:hAnsi="Times New Roman"/>
                <w:sz w:val="20"/>
              </w:rPr>
            </w:pPr>
            <w:r>
              <w:rPr>
                <w:rFonts w:ascii="Times New Roman" w:hAnsi="Times New Roman"/>
                <w:sz w:val="20"/>
              </w:rPr>
              <w:t>HERBERT</w:t>
            </w:r>
          </w:p>
          <w:p>
            <w:pPr>
              <w:pStyle w:val="TableContents"/>
              <w:spacing w:before="0" w:after="0"/>
              <w:rPr>
                <w:rFonts w:ascii="Times New Roman" w:hAnsi="Times New Roman"/>
                <w:sz w:val="20"/>
              </w:rPr>
            </w:pPr>
            <w:r>
              <w:rPr>
                <w:rFonts w:ascii="Times New Roman" w:hAnsi="Times New Roman"/>
                <w:sz w:val="20"/>
              </w:rPr>
              <w:t>SMITH</w:t>
            </w:r>
          </w:p>
          <w:p>
            <w:pPr>
              <w:pStyle w:val="TableContents"/>
              <w:spacing w:before="0" w:after="20"/>
              <w:rPr>
                <w:rFonts w:ascii="Times New Roman" w:hAnsi="Times New Roman"/>
                <w:sz w:val="20"/>
              </w:rPr>
            </w:pPr>
            <w:r>
              <w:rPr>
                <w:rFonts w:ascii="Times New Roman" w:hAnsi="Times New Roman"/>
                <w:sz w:val="20"/>
              </w:rPr>
              <w:t>FREEHILLS</w:t>
            </w:r>
          </w:p>
        </w:tc>
        <w:tc>
          <w:tcPr>
            <w:tcW w:w="121" w:type="dxa"/>
            <w:tcBorders/>
            <w:shd w:fill="auto" w:val="clear"/>
            <w:vAlign w:val="bottom"/>
          </w:tcPr>
          <w:p>
            <w:pPr>
              <w:pStyle w:val="TableContents"/>
              <w:spacing w:before="0" w:after="283"/>
              <w:rPr/>
            </w:pPr>
            <w:r>
              <w:rPr/>
              <w:t>  </w:t>
            </w:r>
          </w:p>
        </w:tc>
        <w:tc>
          <w:tcPr>
            <w:tcW w:w="2576" w:type="dxa"/>
            <w:tcBorders/>
            <w:shd w:fill="auto" w:val="clear"/>
            <w:vAlign w:val="bottom"/>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pPr>
            <w:r>
              <w:rPr/>
              <w:t>  </w:t>
            </w:r>
          </w:p>
        </w:tc>
        <w:tc>
          <w:tcPr>
            <w:tcW w:w="2760" w:type="dxa"/>
            <w:tcBorders/>
            <w:shd w:fill="auto" w:val="clear"/>
            <w:vAlign w:val="center"/>
          </w:tcPr>
          <w:p>
            <w:pPr>
              <w:pStyle w:val="TableContents"/>
              <w:spacing w:before="0" w:after="283"/>
              <w:jc w:val="right"/>
              <w:rPr>
                <w:b/>
              </w:rPr>
            </w:pPr>
            <w:r>
              <w:rPr>
                <w:b/>
              </w:rPr>
              <w:t>EXECUTION COPY</w:t>
            </w:r>
          </w:p>
        </w:tc>
      </w:tr>
    </w:tbl>
    <w:p>
      <w:pPr>
        <w:pStyle w:val="TextBody"/>
        <w:spacing w:before="480" w:after="0"/>
        <w:jc w:val="center"/>
        <w:rPr>
          <w:rFonts w:ascii="Times New Roman" w:hAnsi="Times New Roman"/>
          <w:b/>
          <w:sz w:val="20"/>
        </w:rPr>
      </w:pPr>
      <w:r>
        <w:rPr>
          <w:rFonts w:ascii="Times New Roman" w:hAnsi="Times New Roman"/>
          <w:b/>
          <w:sz w:val="20"/>
        </w:rPr>
        <w:t xml:space="preserve">October </w:t>
      </w:r>
      <w:r>
        <w:rPr>
          <w:rFonts w:ascii="Times New Roman" w:hAnsi="Times New Roman"/>
          <w:b/>
          <w:sz w:val="20"/>
          <w:u w:val="single"/>
        </w:rPr>
        <w:t>5</w:t>
      </w:r>
      <w:r>
        <w:rPr>
          <w:rFonts w:ascii="Times New Roman" w:hAnsi="Times New Roman"/>
          <w:b/>
          <w:sz w:val="20"/>
        </w:rPr>
        <w:t xml:space="preserve">, 2017 </w:t>
      </w:r>
    </w:p>
    <w:p>
      <w:pPr>
        <w:pStyle w:val="TextBody"/>
        <w:spacing w:before="480" w:after="0"/>
        <w:jc w:val="center"/>
        <w:rPr>
          <w:rFonts w:ascii="Times New Roman" w:hAnsi="Times New Roman"/>
          <w:b/>
          <w:sz w:val="20"/>
        </w:rPr>
      </w:pPr>
      <w:r>
        <w:rPr>
          <w:rFonts w:ascii="Times New Roman" w:hAnsi="Times New Roman"/>
          <w:b/>
          <w:sz w:val="20"/>
        </w:rPr>
        <w:t xml:space="preserve">HEADHUNTER LIMITED LIABILITY COMPANY </w:t>
      </w:r>
    </w:p>
    <w:p>
      <w:pPr>
        <w:pStyle w:val="TextBody"/>
        <w:spacing w:before="0" w:after="0"/>
        <w:jc w:val="center"/>
        <w:rPr>
          <w:rFonts w:ascii="Times New Roman" w:hAnsi="Times New Roman"/>
          <w:sz w:val="20"/>
        </w:rPr>
      </w:pPr>
      <w:r>
        <w:rPr>
          <w:rFonts w:ascii="Times New Roman" w:hAnsi="Times New Roman"/>
          <w:sz w:val="20"/>
        </w:rPr>
        <w:t xml:space="preserve">as a guarantor under this Agreement </w:t>
      </w:r>
    </w:p>
    <w:p>
      <w:pPr>
        <w:pStyle w:val="TextBody"/>
        <w:spacing w:before="48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0" w:after="0"/>
        <w:jc w:val="center"/>
        <w:rPr>
          <w:rFonts w:ascii="Times New Roman" w:hAnsi="Times New Roman"/>
          <w:sz w:val="20"/>
        </w:rPr>
      </w:pPr>
      <w:r>
        <w:rPr>
          <w:rFonts w:ascii="Times New Roman" w:hAnsi="Times New Roman"/>
          <w:sz w:val="20"/>
        </w:rPr>
        <w:t xml:space="preserve">as a principal under this Agreement </w:t>
      </w:r>
    </w:p>
    <w:p>
      <w:pPr>
        <w:pStyle w:val="TextBody"/>
        <w:spacing w:before="48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jc w:val="center"/>
        <w:rPr>
          <w:rFonts w:ascii="Times New Roman" w:hAnsi="Times New Roman"/>
          <w:sz w:val="20"/>
        </w:rPr>
      </w:pPr>
      <w:r>
        <w:rPr>
          <w:rFonts w:ascii="Times New Roman" w:hAnsi="Times New Roman"/>
          <w:sz w:val="20"/>
        </w:rPr>
        <w:t xml:space="preserve">as a beneficiary under this Agreement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AMENDMENT AGREEMENT No. 1 </w:t>
      </w:r>
    </w:p>
    <w:p>
      <w:pPr>
        <w:pStyle w:val="TextBody"/>
        <w:spacing w:before="240" w:after="0"/>
        <w:jc w:val="center"/>
        <w:rPr>
          <w:rFonts w:ascii="Times New Roman" w:hAnsi="Times New Roman"/>
          <w:b/>
          <w:sz w:val="20"/>
        </w:rPr>
      </w:pPr>
      <w:r>
        <w:rPr>
          <w:rFonts w:ascii="Times New Roman" w:hAnsi="Times New Roman"/>
          <w:b/>
          <w:sz w:val="20"/>
        </w:rPr>
        <w:t xml:space="preserve">to the Independent Guarantee Issue Agreement dated May 16,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88"/>
        <w:gridCol w:w="173"/>
        <w:gridCol w:w="9165"/>
        <w:gridCol w:w="173"/>
        <w:gridCol w:w="60"/>
        <w:gridCol w:w="382"/>
        <w:gridCol w:w="64"/>
      </w:tblGrid>
      <w:tr>
        <w:trPr/>
        <w:tc>
          <w:tcPr>
            <w:tcW w:w="188" w:type="dxa"/>
            <w:tcBorders/>
            <w:shd w:fill="auto" w:val="clear"/>
            <w:vAlign w:val="center"/>
          </w:tcPr>
          <w:p>
            <w:pPr>
              <w:pStyle w:val="TableContents"/>
              <w:spacing w:before="0" w:after="283"/>
              <w:rPr>
                <w:sz w:val="4"/>
                <w:szCs w:val="4"/>
              </w:rPr>
            </w:pPr>
            <w:r>
              <w:rPr>
                <w:sz w:val="4"/>
                <w:szCs w:val="4"/>
              </w:rPr>
            </w:r>
          </w:p>
        </w:tc>
        <w:tc>
          <w:tcPr>
            <w:tcW w:w="173" w:type="dxa"/>
            <w:tcBorders/>
            <w:shd w:fill="auto" w:val="clear"/>
            <w:vAlign w:val="bottom"/>
          </w:tcPr>
          <w:p>
            <w:pPr>
              <w:pStyle w:val="TableContents"/>
              <w:spacing w:before="0" w:after="283"/>
              <w:rPr>
                <w:sz w:val="4"/>
                <w:szCs w:val="4"/>
              </w:rPr>
            </w:pPr>
            <w:r>
              <w:rPr>
                <w:sz w:val="4"/>
                <w:szCs w:val="4"/>
              </w:rPr>
            </w:r>
          </w:p>
        </w:tc>
        <w:tc>
          <w:tcPr>
            <w:tcW w:w="9165" w:type="dxa"/>
            <w:tcBorders/>
            <w:shd w:fill="auto" w:val="clear"/>
            <w:vAlign w:val="center"/>
          </w:tcPr>
          <w:p>
            <w:pPr>
              <w:pStyle w:val="TableContents"/>
              <w:spacing w:before="0" w:after="283"/>
              <w:rPr>
                <w:sz w:val="4"/>
                <w:szCs w:val="4"/>
              </w:rPr>
            </w:pPr>
            <w:r>
              <w:rPr>
                <w:sz w:val="4"/>
                <w:szCs w:val="4"/>
              </w:rPr>
            </w:r>
          </w:p>
        </w:tc>
        <w:tc>
          <w:tcPr>
            <w:tcW w:w="173"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382" w:type="dxa"/>
            <w:tcBorders/>
            <w:shd w:fill="auto" w:val="clear"/>
            <w:vAlign w:val="center"/>
          </w:tcPr>
          <w:p>
            <w:pPr>
              <w:pStyle w:val="TableContents"/>
              <w:spacing w:before="0" w:after="283"/>
              <w:rPr>
                <w:sz w:val="4"/>
                <w:szCs w:val="4"/>
              </w:rPr>
            </w:pPr>
            <w:r>
              <w:rPr>
                <w:sz w:val="4"/>
                <w:szCs w:val="4"/>
              </w:rPr>
            </w:r>
          </w:p>
        </w:tc>
        <w:tc>
          <w:tcPr>
            <w:tcW w:w="64" w:type="dxa"/>
            <w:tcBorders/>
            <w:shd w:fill="auto" w:val="clear"/>
            <w:vAlign w:val="center"/>
          </w:tcPr>
          <w:p>
            <w:pPr>
              <w:pStyle w:val="TableContents"/>
              <w:spacing w:before="0" w:after="283"/>
              <w:rPr>
                <w:sz w:val="4"/>
                <w:szCs w:val="4"/>
              </w:rPr>
            </w:pPr>
            <w:r>
              <w:rPr>
                <w:sz w:val="4"/>
                <w:szCs w:val="4"/>
              </w:rPr>
            </w:r>
          </w:p>
        </w:tc>
      </w:tr>
      <w:tr>
        <w:trPr/>
        <w:tc>
          <w:tcPr>
            <w:tcW w:w="188" w:type="dxa"/>
            <w:tcBorders/>
            <w:shd w:fill="auto" w:val="clear"/>
            <w:vAlign w:val="bottom"/>
          </w:tcPr>
          <w:p>
            <w:pPr>
              <w:pStyle w:val="TableContents"/>
              <w:spacing w:before="0" w:after="283"/>
              <w:rPr>
                <w:b/>
              </w:rPr>
            </w:pPr>
            <w:r>
              <w:rPr>
                <w:b/>
              </w:rPr>
              <w:t>1.</w:t>
            </w:r>
          </w:p>
        </w:tc>
        <w:tc>
          <w:tcPr>
            <w:tcW w:w="173" w:type="dxa"/>
            <w:tcBorders/>
            <w:shd w:fill="auto" w:val="clear"/>
            <w:vAlign w:val="bottom"/>
          </w:tcPr>
          <w:p>
            <w:pPr>
              <w:pStyle w:val="TableContents"/>
              <w:spacing w:before="0" w:after="283"/>
              <w:rPr/>
            </w:pPr>
            <w:r>
              <w:rPr/>
              <w:t>  </w:t>
            </w:r>
          </w:p>
        </w:tc>
        <w:tc>
          <w:tcPr>
            <w:tcW w:w="9165" w:type="dxa"/>
            <w:tcBorders/>
            <w:shd w:fill="auto" w:val="clear"/>
            <w:vAlign w:val="bottom"/>
          </w:tcPr>
          <w:p>
            <w:pPr>
              <w:pStyle w:val="TableContents"/>
              <w:spacing w:before="0" w:after="283"/>
              <w:rPr>
                <w:b/>
              </w:rPr>
            </w:pPr>
            <w:r>
              <w:rPr>
                <w:b/>
              </w:rPr>
              <w:t>DEFINITIONS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118</w:t>
            </w:r>
          </w:p>
        </w:tc>
        <w:tc>
          <w:tcPr>
            <w:tcW w:w="64" w:type="dxa"/>
            <w:tcBorders/>
            <w:shd w:fill="auto" w:val="clear"/>
            <w:vAlign w:val="bottom"/>
          </w:tcPr>
          <w:p>
            <w:pPr>
              <w:pStyle w:val="TableContents"/>
              <w:spacing w:before="0" w:after="283"/>
              <w:rPr/>
            </w:pPr>
            <w:r>
              <w:rPr/>
              <w:t> </w:t>
            </w:r>
          </w:p>
        </w:tc>
      </w:tr>
      <w:tr>
        <w:trPr>
          <w:trHeight w:val="120" w:hRule="atLeast"/>
        </w:trPr>
        <w:tc>
          <w:tcPr>
            <w:tcW w:w="188" w:type="dxa"/>
            <w:tcBorders/>
            <w:shd w:fill="auto" w:val="clear"/>
            <w:vAlign w:val="center"/>
          </w:tcPr>
          <w:p>
            <w:pPr>
              <w:pStyle w:val="TableContents"/>
              <w:spacing w:before="0" w:after="283"/>
              <w:rPr>
                <w:sz w:val="4"/>
                <w:szCs w:val="4"/>
              </w:rPr>
            </w:pPr>
            <w:r>
              <w:rPr>
                <w:sz w:val="4"/>
                <w:szCs w:val="4"/>
              </w:rPr>
            </w:r>
          </w:p>
        </w:tc>
        <w:tc>
          <w:tcPr>
            <w:tcW w:w="933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188" w:type="dxa"/>
            <w:tcBorders/>
            <w:shd w:fill="auto" w:val="clear"/>
            <w:vAlign w:val="bottom"/>
          </w:tcPr>
          <w:p>
            <w:pPr>
              <w:pStyle w:val="TableContents"/>
              <w:spacing w:before="0" w:after="283"/>
              <w:rPr>
                <w:b/>
              </w:rPr>
            </w:pPr>
            <w:r>
              <w:rPr>
                <w:b/>
              </w:rPr>
              <w:t>2.</w:t>
            </w:r>
          </w:p>
        </w:tc>
        <w:tc>
          <w:tcPr>
            <w:tcW w:w="173" w:type="dxa"/>
            <w:tcBorders/>
            <w:shd w:fill="auto" w:val="clear"/>
            <w:vAlign w:val="bottom"/>
          </w:tcPr>
          <w:p>
            <w:pPr>
              <w:pStyle w:val="TableContents"/>
              <w:spacing w:before="0" w:after="283"/>
              <w:rPr/>
            </w:pPr>
            <w:r>
              <w:rPr/>
              <w:t>  </w:t>
            </w:r>
          </w:p>
        </w:tc>
        <w:tc>
          <w:tcPr>
            <w:tcW w:w="9165" w:type="dxa"/>
            <w:tcBorders/>
            <w:shd w:fill="auto" w:val="clear"/>
            <w:vAlign w:val="bottom"/>
          </w:tcPr>
          <w:p>
            <w:pPr>
              <w:pStyle w:val="TableContents"/>
              <w:spacing w:before="0" w:after="283"/>
              <w:rPr>
                <w:b/>
              </w:rPr>
            </w:pPr>
            <w:r>
              <w:rPr>
                <w:b/>
              </w:rPr>
              <w:t>AMENDMENTS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119</w:t>
            </w:r>
          </w:p>
        </w:tc>
        <w:tc>
          <w:tcPr>
            <w:tcW w:w="64" w:type="dxa"/>
            <w:tcBorders/>
            <w:shd w:fill="auto" w:val="clear"/>
            <w:vAlign w:val="bottom"/>
          </w:tcPr>
          <w:p>
            <w:pPr>
              <w:pStyle w:val="TableContents"/>
              <w:spacing w:before="0" w:after="283"/>
              <w:rPr/>
            </w:pPr>
            <w:r>
              <w:rPr/>
              <w:t> </w:t>
            </w:r>
          </w:p>
        </w:tc>
      </w:tr>
      <w:tr>
        <w:trPr>
          <w:trHeight w:val="120" w:hRule="atLeast"/>
        </w:trPr>
        <w:tc>
          <w:tcPr>
            <w:tcW w:w="188" w:type="dxa"/>
            <w:tcBorders/>
            <w:shd w:fill="auto" w:val="clear"/>
            <w:vAlign w:val="center"/>
          </w:tcPr>
          <w:p>
            <w:pPr>
              <w:pStyle w:val="TableContents"/>
              <w:spacing w:before="0" w:after="283"/>
              <w:rPr>
                <w:sz w:val="4"/>
                <w:szCs w:val="4"/>
              </w:rPr>
            </w:pPr>
            <w:r>
              <w:rPr>
                <w:sz w:val="4"/>
                <w:szCs w:val="4"/>
              </w:rPr>
            </w:r>
          </w:p>
        </w:tc>
        <w:tc>
          <w:tcPr>
            <w:tcW w:w="933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188" w:type="dxa"/>
            <w:tcBorders/>
            <w:shd w:fill="auto" w:val="clear"/>
            <w:vAlign w:val="bottom"/>
          </w:tcPr>
          <w:p>
            <w:pPr>
              <w:pStyle w:val="TableContents"/>
              <w:spacing w:before="0" w:after="283"/>
              <w:rPr>
                <w:b/>
              </w:rPr>
            </w:pPr>
            <w:r>
              <w:rPr>
                <w:b/>
              </w:rPr>
              <w:t>3.</w:t>
            </w:r>
          </w:p>
        </w:tc>
        <w:tc>
          <w:tcPr>
            <w:tcW w:w="173" w:type="dxa"/>
            <w:tcBorders/>
            <w:shd w:fill="auto" w:val="clear"/>
            <w:vAlign w:val="bottom"/>
          </w:tcPr>
          <w:p>
            <w:pPr>
              <w:pStyle w:val="TableContents"/>
              <w:spacing w:before="0" w:after="283"/>
              <w:rPr/>
            </w:pPr>
            <w:r>
              <w:rPr/>
              <w:t>  </w:t>
            </w:r>
          </w:p>
        </w:tc>
        <w:tc>
          <w:tcPr>
            <w:tcW w:w="9165" w:type="dxa"/>
            <w:tcBorders/>
            <w:shd w:fill="auto" w:val="clear"/>
            <w:vAlign w:val="bottom"/>
          </w:tcPr>
          <w:p>
            <w:pPr>
              <w:pStyle w:val="TableContents"/>
              <w:spacing w:before="0" w:after="283"/>
              <w:rPr>
                <w:b/>
              </w:rPr>
            </w:pPr>
            <w:r>
              <w:rPr>
                <w:b/>
              </w:rPr>
              <w:t>LIMITATIONS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119</w:t>
            </w:r>
          </w:p>
        </w:tc>
        <w:tc>
          <w:tcPr>
            <w:tcW w:w="64" w:type="dxa"/>
            <w:tcBorders/>
            <w:shd w:fill="auto" w:val="clear"/>
            <w:vAlign w:val="bottom"/>
          </w:tcPr>
          <w:p>
            <w:pPr>
              <w:pStyle w:val="TableContents"/>
              <w:spacing w:before="0" w:after="283"/>
              <w:rPr/>
            </w:pPr>
            <w:r>
              <w:rPr/>
              <w:t> </w:t>
            </w:r>
          </w:p>
        </w:tc>
      </w:tr>
      <w:tr>
        <w:trPr>
          <w:trHeight w:val="120" w:hRule="atLeast"/>
        </w:trPr>
        <w:tc>
          <w:tcPr>
            <w:tcW w:w="188" w:type="dxa"/>
            <w:tcBorders/>
            <w:shd w:fill="auto" w:val="clear"/>
            <w:vAlign w:val="center"/>
          </w:tcPr>
          <w:p>
            <w:pPr>
              <w:pStyle w:val="TableContents"/>
              <w:spacing w:before="0" w:after="283"/>
              <w:rPr>
                <w:sz w:val="4"/>
                <w:szCs w:val="4"/>
              </w:rPr>
            </w:pPr>
            <w:r>
              <w:rPr>
                <w:sz w:val="4"/>
                <w:szCs w:val="4"/>
              </w:rPr>
            </w:r>
          </w:p>
        </w:tc>
        <w:tc>
          <w:tcPr>
            <w:tcW w:w="933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188" w:type="dxa"/>
            <w:tcBorders/>
            <w:shd w:fill="auto" w:val="clear"/>
            <w:vAlign w:val="bottom"/>
          </w:tcPr>
          <w:p>
            <w:pPr>
              <w:pStyle w:val="TableContents"/>
              <w:spacing w:before="0" w:after="283"/>
              <w:rPr>
                <w:b/>
              </w:rPr>
            </w:pPr>
            <w:r>
              <w:rPr>
                <w:b/>
              </w:rPr>
              <w:t>4.</w:t>
            </w:r>
          </w:p>
        </w:tc>
        <w:tc>
          <w:tcPr>
            <w:tcW w:w="173" w:type="dxa"/>
            <w:tcBorders/>
            <w:shd w:fill="auto" w:val="clear"/>
            <w:vAlign w:val="bottom"/>
          </w:tcPr>
          <w:p>
            <w:pPr>
              <w:pStyle w:val="TableContents"/>
              <w:spacing w:before="0" w:after="283"/>
              <w:rPr/>
            </w:pPr>
            <w:r>
              <w:rPr/>
              <w:t>  </w:t>
            </w:r>
          </w:p>
        </w:tc>
        <w:tc>
          <w:tcPr>
            <w:tcW w:w="9165" w:type="dxa"/>
            <w:tcBorders/>
            <w:shd w:fill="auto" w:val="clear"/>
            <w:vAlign w:val="bottom"/>
          </w:tcPr>
          <w:p>
            <w:pPr>
              <w:pStyle w:val="TableContents"/>
              <w:spacing w:before="0" w:after="283"/>
              <w:rPr>
                <w:b/>
              </w:rPr>
            </w:pPr>
            <w:r>
              <w:rPr>
                <w:b/>
              </w:rPr>
              <w:t>REPRESENTATIONS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120</w:t>
            </w:r>
          </w:p>
        </w:tc>
        <w:tc>
          <w:tcPr>
            <w:tcW w:w="64" w:type="dxa"/>
            <w:tcBorders/>
            <w:shd w:fill="auto" w:val="clear"/>
            <w:vAlign w:val="bottom"/>
          </w:tcPr>
          <w:p>
            <w:pPr>
              <w:pStyle w:val="TableContents"/>
              <w:spacing w:before="0" w:after="283"/>
              <w:rPr/>
            </w:pPr>
            <w:r>
              <w:rPr/>
              <w:t> </w:t>
            </w:r>
          </w:p>
        </w:tc>
      </w:tr>
      <w:tr>
        <w:trPr>
          <w:trHeight w:val="120" w:hRule="atLeast"/>
        </w:trPr>
        <w:tc>
          <w:tcPr>
            <w:tcW w:w="188" w:type="dxa"/>
            <w:tcBorders/>
            <w:shd w:fill="auto" w:val="clear"/>
            <w:vAlign w:val="center"/>
          </w:tcPr>
          <w:p>
            <w:pPr>
              <w:pStyle w:val="TableContents"/>
              <w:spacing w:before="0" w:after="283"/>
              <w:rPr>
                <w:sz w:val="4"/>
                <w:szCs w:val="4"/>
              </w:rPr>
            </w:pPr>
            <w:r>
              <w:rPr>
                <w:sz w:val="4"/>
                <w:szCs w:val="4"/>
              </w:rPr>
            </w:r>
          </w:p>
        </w:tc>
        <w:tc>
          <w:tcPr>
            <w:tcW w:w="933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188" w:type="dxa"/>
            <w:tcBorders/>
            <w:shd w:fill="auto" w:val="clear"/>
            <w:vAlign w:val="bottom"/>
          </w:tcPr>
          <w:p>
            <w:pPr>
              <w:pStyle w:val="TableContents"/>
              <w:spacing w:before="0" w:after="283"/>
              <w:rPr>
                <w:b/>
              </w:rPr>
            </w:pPr>
            <w:r>
              <w:rPr>
                <w:b/>
              </w:rPr>
              <w:t>5.</w:t>
            </w:r>
          </w:p>
        </w:tc>
        <w:tc>
          <w:tcPr>
            <w:tcW w:w="173" w:type="dxa"/>
            <w:tcBorders/>
            <w:shd w:fill="auto" w:val="clear"/>
            <w:vAlign w:val="bottom"/>
          </w:tcPr>
          <w:p>
            <w:pPr>
              <w:pStyle w:val="TableContents"/>
              <w:spacing w:before="0" w:after="283"/>
              <w:rPr/>
            </w:pPr>
            <w:r>
              <w:rPr/>
              <w:t>  </w:t>
            </w:r>
          </w:p>
        </w:tc>
        <w:tc>
          <w:tcPr>
            <w:tcW w:w="9165" w:type="dxa"/>
            <w:tcBorders/>
            <w:shd w:fill="auto" w:val="clear"/>
            <w:vAlign w:val="bottom"/>
          </w:tcPr>
          <w:p>
            <w:pPr>
              <w:pStyle w:val="TableContents"/>
              <w:spacing w:before="0" w:after="283"/>
              <w:rPr>
                <w:b/>
              </w:rPr>
            </w:pPr>
            <w:r>
              <w:rPr>
                <w:b/>
              </w:rPr>
              <w:t>APPLICABLE LAW</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120</w:t>
            </w:r>
          </w:p>
        </w:tc>
        <w:tc>
          <w:tcPr>
            <w:tcW w:w="64" w:type="dxa"/>
            <w:tcBorders/>
            <w:shd w:fill="auto" w:val="clear"/>
            <w:vAlign w:val="bottom"/>
          </w:tcPr>
          <w:p>
            <w:pPr>
              <w:pStyle w:val="TableContents"/>
              <w:spacing w:before="0" w:after="283"/>
              <w:rPr/>
            </w:pPr>
            <w:r>
              <w:rPr/>
              <w:t> </w:t>
            </w:r>
          </w:p>
        </w:tc>
      </w:tr>
      <w:tr>
        <w:trPr>
          <w:trHeight w:val="120" w:hRule="atLeast"/>
        </w:trPr>
        <w:tc>
          <w:tcPr>
            <w:tcW w:w="188" w:type="dxa"/>
            <w:tcBorders/>
            <w:shd w:fill="auto" w:val="clear"/>
            <w:vAlign w:val="center"/>
          </w:tcPr>
          <w:p>
            <w:pPr>
              <w:pStyle w:val="TableContents"/>
              <w:spacing w:before="0" w:after="283"/>
              <w:rPr>
                <w:sz w:val="4"/>
                <w:szCs w:val="4"/>
              </w:rPr>
            </w:pPr>
            <w:r>
              <w:rPr>
                <w:sz w:val="4"/>
                <w:szCs w:val="4"/>
              </w:rPr>
            </w:r>
          </w:p>
        </w:tc>
        <w:tc>
          <w:tcPr>
            <w:tcW w:w="933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188" w:type="dxa"/>
            <w:tcBorders/>
            <w:shd w:fill="auto" w:val="clear"/>
            <w:vAlign w:val="bottom"/>
          </w:tcPr>
          <w:p>
            <w:pPr>
              <w:pStyle w:val="TableContents"/>
              <w:spacing w:before="0" w:after="283"/>
              <w:rPr>
                <w:b/>
              </w:rPr>
            </w:pPr>
            <w:r>
              <w:rPr>
                <w:b/>
              </w:rPr>
              <w:t>6.</w:t>
            </w:r>
          </w:p>
        </w:tc>
        <w:tc>
          <w:tcPr>
            <w:tcW w:w="173" w:type="dxa"/>
            <w:tcBorders/>
            <w:shd w:fill="auto" w:val="clear"/>
            <w:vAlign w:val="bottom"/>
          </w:tcPr>
          <w:p>
            <w:pPr>
              <w:pStyle w:val="TableContents"/>
              <w:spacing w:before="0" w:after="283"/>
              <w:rPr/>
            </w:pPr>
            <w:r>
              <w:rPr/>
              <w:t>  </w:t>
            </w:r>
          </w:p>
        </w:tc>
        <w:tc>
          <w:tcPr>
            <w:tcW w:w="9165" w:type="dxa"/>
            <w:tcBorders/>
            <w:shd w:fill="auto" w:val="clear"/>
            <w:vAlign w:val="bottom"/>
          </w:tcPr>
          <w:p>
            <w:pPr>
              <w:pStyle w:val="TableContents"/>
              <w:spacing w:before="0" w:after="283"/>
              <w:rPr>
                <w:b/>
              </w:rPr>
            </w:pPr>
            <w:r>
              <w:rPr>
                <w:b/>
              </w:rPr>
              <w:t>DISPUTE SETTLEMENT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120</w:t>
            </w:r>
          </w:p>
        </w:tc>
        <w:tc>
          <w:tcPr>
            <w:tcW w:w="64" w:type="dxa"/>
            <w:tcBorders/>
            <w:shd w:fill="auto" w:val="clear"/>
            <w:vAlign w:val="bottom"/>
          </w:tcPr>
          <w:p>
            <w:pPr>
              <w:pStyle w:val="TableContents"/>
              <w:spacing w:before="0" w:after="283"/>
              <w:rPr/>
            </w:pPr>
            <w:r>
              <w:rPr/>
              <w:t> </w:t>
            </w:r>
          </w:p>
        </w:tc>
      </w:tr>
      <w:tr>
        <w:trPr>
          <w:trHeight w:val="120" w:hRule="atLeast"/>
        </w:trPr>
        <w:tc>
          <w:tcPr>
            <w:tcW w:w="188" w:type="dxa"/>
            <w:tcBorders/>
            <w:shd w:fill="auto" w:val="clear"/>
            <w:vAlign w:val="center"/>
          </w:tcPr>
          <w:p>
            <w:pPr>
              <w:pStyle w:val="TableContents"/>
              <w:spacing w:before="0" w:after="283"/>
              <w:rPr>
                <w:sz w:val="4"/>
                <w:szCs w:val="4"/>
              </w:rPr>
            </w:pPr>
            <w:r>
              <w:rPr>
                <w:sz w:val="4"/>
                <w:szCs w:val="4"/>
              </w:rPr>
            </w:r>
          </w:p>
        </w:tc>
        <w:tc>
          <w:tcPr>
            <w:tcW w:w="933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188" w:type="dxa"/>
            <w:tcBorders/>
            <w:shd w:fill="auto" w:val="clear"/>
            <w:vAlign w:val="bottom"/>
          </w:tcPr>
          <w:p>
            <w:pPr>
              <w:pStyle w:val="TableContents"/>
              <w:spacing w:before="0" w:after="283"/>
              <w:rPr>
                <w:b/>
              </w:rPr>
            </w:pPr>
            <w:r>
              <w:rPr>
                <w:b/>
              </w:rPr>
              <w:t>7.</w:t>
            </w:r>
          </w:p>
        </w:tc>
        <w:tc>
          <w:tcPr>
            <w:tcW w:w="173" w:type="dxa"/>
            <w:tcBorders/>
            <w:shd w:fill="auto" w:val="clear"/>
            <w:vAlign w:val="bottom"/>
          </w:tcPr>
          <w:p>
            <w:pPr>
              <w:pStyle w:val="TableContents"/>
              <w:spacing w:before="0" w:after="283"/>
              <w:rPr/>
            </w:pPr>
            <w:r>
              <w:rPr/>
              <w:t>  </w:t>
            </w:r>
          </w:p>
        </w:tc>
        <w:tc>
          <w:tcPr>
            <w:tcW w:w="9165" w:type="dxa"/>
            <w:tcBorders/>
            <w:shd w:fill="auto" w:val="clear"/>
            <w:vAlign w:val="bottom"/>
          </w:tcPr>
          <w:p>
            <w:pPr>
              <w:pStyle w:val="TableContents"/>
              <w:spacing w:before="0" w:after="283"/>
              <w:rPr>
                <w:b/>
              </w:rPr>
            </w:pPr>
            <w:r>
              <w:rPr>
                <w:b/>
              </w:rPr>
              <w:t>EXECUTION</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120</w:t>
            </w:r>
          </w:p>
        </w:tc>
        <w:tc>
          <w:tcPr>
            <w:tcW w:w="64" w:type="dxa"/>
            <w:tcBorders/>
            <w:shd w:fill="auto" w:val="clear"/>
            <w:vAlign w:val="bottom"/>
          </w:tcPr>
          <w:p>
            <w:pPr>
              <w:pStyle w:val="TableContents"/>
              <w:spacing w:before="0" w:after="283"/>
              <w:rPr/>
            </w:pPr>
            <w:r>
              <w:rPr/>
              <w:t> </w:t>
            </w:r>
          </w:p>
        </w:tc>
      </w:tr>
      <w:tr>
        <w:trPr>
          <w:trHeight w:val="120" w:hRule="atLeast"/>
        </w:trPr>
        <w:tc>
          <w:tcPr>
            <w:tcW w:w="9526" w:type="dxa"/>
            <w:gridSpan w:val="3"/>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9526"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APPENDIX 1 REVISED INDEPENDENT GUARANTEE ISSUE AGREEMENT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2" w:type="dxa"/>
            <w:tcBorders/>
            <w:shd w:fill="auto" w:val="clear"/>
            <w:vAlign w:val="bottom"/>
          </w:tcPr>
          <w:p>
            <w:pPr>
              <w:pStyle w:val="TableContents"/>
              <w:spacing w:before="0" w:after="283"/>
              <w:jc w:val="right"/>
              <w:rPr>
                <w:b/>
              </w:rPr>
            </w:pPr>
            <w:r>
              <w:rPr>
                <w:b/>
              </w:rPr>
              <w:t>121</w:t>
            </w:r>
          </w:p>
        </w:tc>
        <w:tc>
          <w:tcPr>
            <w:tcW w:w="64"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AMENDMENT AGREEMENT No.</w:t>
      </w:r>
      <w:r>
        <w:rPr>
          <w:rFonts w:ascii="Times New Roman" w:hAnsi="Times New Roman"/>
          <w:sz w:val="20"/>
        </w:rPr>
        <w:t> </w:t>
      </w:r>
      <w:r>
        <w:rPr>
          <w:rFonts w:ascii="Times New Roman" w:hAnsi="Times New Roman"/>
          <w:b/>
          <w:sz w:val="20"/>
        </w:rPr>
        <w:t xml:space="preserve">1 TO THE INDEPENDENT GUARANTEE ISSUE AGREEMENT </w:t>
      </w:r>
      <w:r>
        <w:rPr>
          <w:rFonts w:ascii="Times New Roman" w:hAnsi="Times New Roman"/>
          <w:sz w:val="20"/>
        </w:rPr>
        <w:t>(the “</w:t>
      </w:r>
      <w:r>
        <w:rPr>
          <w:rFonts w:ascii="Times New Roman" w:hAnsi="Times New Roman"/>
          <w:b/>
          <w:sz w:val="20"/>
        </w:rPr>
        <w:t>Agreement”</w:t>
      </w:r>
      <w:r>
        <w:rPr>
          <w:rFonts w:ascii="Times New Roman" w:hAnsi="Times New Roman"/>
          <w:sz w:val="20"/>
        </w:rPr>
        <w:t>) has been executed on October</w:t>
      </w:r>
      <w:r>
        <w:rPr>
          <w:rFonts w:ascii="Times New Roman" w:hAnsi="Times New Roman"/>
          <w:sz w:val="20"/>
          <w:u w:val="single"/>
        </w:rPr>
        <w:t> 5</w:t>
      </w:r>
      <w:r>
        <w:rPr>
          <w:rFonts w:ascii="Times New Roman" w:hAnsi="Times New Roman"/>
          <w:sz w:val="20"/>
        </w:rPr>
        <w:t xml:space="preserve">,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w:t>
            </w:r>
          </w:p>
        </w:tc>
        <w:tc>
          <w:tcPr>
            <w:tcW w:w="9389" w:type="dxa"/>
            <w:tcBorders/>
            <w:shd w:fill="auto" w:val="clear"/>
          </w:tcPr>
          <w:p>
            <w:pPr>
              <w:pStyle w:val="TableContents"/>
              <w:spacing w:before="0" w:after="283"/>
              <w:jc w:val="left"/>
              <w:rPr/>
            </w:pPr>
            <w:r>
              <w:rPr>
                <w:b/>
              </w:rPr>
              <w:t xml:space="preserve">HEADHUNTER LIMITED LIABILITY COMPANY, </w:t>
            </w:r>
            <w:r>
              <w:rPr/>
              <w:t>a limited liability company incorporated under the laws of the Russian Federation, registration number1067761906805, located at: 9, Godovikova St., bld. 10, Moscow, the Russian Federation, as the guarantor hereunder (the “</w:t>
            </w:r>
            <w:r>
              <w:rPr>
                <w:b/>
              </w:rPr>
              <w:t>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ZEMENIK LIMITED LIABILITY COMPANY,</w:t>
            </w:r>
            <w:r>
              <w:rPr/>
              <w:t xml:space="preserve">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the Russian Federation, 125319, as the principal hereunder and the Borrower under the Loan Agreement (the “</w:t>
            </w:r>
            <w:r>
              <w:rPr>
                <w:b/>
              </w:rPr>
              <w:t>Borrower”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w:t>
            </w:r>
          </w:p>
        </w:tc>
        <w:tc>
          <w:tcPr>
            <w:tcW w:w="9388" w:type="dxa"/>
            <w:tcBorders/>
            <w:shd w:fill="auto" w:val="clear"/>
          </w:tcPr>
          <w:p>
            <w:pPr>
              <w:pStyle w:val="TableContents"/>
              <w:spacing w:before="0" w:after="283"/>
              <w:jc w:val="left"/>
              <w:rPr/>
            </w:pPr>
            <w:r>
              <w:rPr>
                <w:b/>
              </w:rPr>
              <w:t>BANK VTB (PUBLIC JOINT-STOCK COMPANY)</w:t>
            </w:r>
            <w:r>
              <w:rPr/>
              <w:t>, a public joint-stock company incorporated under the laws of the Russian Federation, registered in the Unified State Register of Legal Entities (EGRUL) under number (Primary State Registration Number (OGRN)): 1027739609391, with its office at the address: 29, Bolshaya Morskaya St., Saint Petersburg, Russia, 190000, as the beneficiary hereunder and the Credit Agent, Organizer and Original Lender under the Loan Agreement (the “</w:t>
            </w:r>
            <w:r>
              <w:rPr>
                <w:b/>
              </w:rPr>
              <w:t>Original Lender</w:t>
            </w:r>
            <w:r>
              <w:rPr/>
              <w:t>” and the “</w:t>
            </w:r>
            <w:r>
              <w:rPr>
                <w:b/>
              </w:rPr>
              <w:t>Credit Agent</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The Original Lender as a credit agent, organizer and original lender and the Borrower as a borrower have entered into the Syndicated Loan Agreement dated May 16, 2016, as amended by Amendment Agreement No. 1 dated December 14, 2016, Amendment Agreement No. 2 dated June 28, 2017, and Amendment Agreement No. 3 dated October </w:t>
            </w:r>
            <w:r>
              <w:rPr>
                <w:u w:val="single"/>
              </w:rPr>
              <w:t>5</w:t>
            </w:r>
            <w:r>
              <w:rPr/>
              <w:t>, 2017, (hereinafter referred to as “</w:t>
            </w:r>
            <w:r>
              <w:rPr>
                <w:b/>
              </w:rPr>
              <w:t>Amendment Agreement No.</w:t>
            </w:r>
            <w:r>
              <w:rPr/>
              <w:t> </w:t>
            </w:r>
            <w:r>
              <w:rPr>
                <w:b/>
              </w:rPr>
              <w:t>3</w:t>
            </w:r>
            <w:r>
              <w:rPr/>
              <w:t xml:space="preserve">”) by which the Lender and the Borrower agreed to amend the Loan Agreement, inter alia, to increase a loan amount up to RUB 7,000,000,000 (seven billion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The Parties entered into the Independent Guarantee Issue Agreement dated May 16, 2016, (the “</w:t>
            </w:r>
            <w:r>
              <w:rPr>
                <w:b/>
              </w:rPr>
              <w:t>Independent Guarantee Issue Agreement</w:t>
            </w:r>
            <w:r>
              <w:rPr/>
              <w:t>”), and the Guarantor issued an independent guarantee dated May 16, 2016, in favor of the Original Lender under the Guarantee Issue Agreement (the “</w:t>
            </w:r>
            <w:r>
              <w:rPr>
                <w:b/>
              </w:rPr>
              <w:t>Guarantee”).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Guarantor hereby confirms that it is aware of all the terms and conditions of the Loan Agreement as amended by Amendment Agreement No. 3 and does not have the right to invoke the fact that it was not aware of such terms and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Parties hereby agree to make such amendments to the Independent Guarantee Issue Agreement and to the Guarantee as specified herein to ensure the fulfillment of the Borrower’s obligations under the Loan Agreement as amended by Amendment Agreement No. 3. </w:t>
            </w:r>
          </w:p>
        </w:tc>
      </w:tr>
    </w:tbl>
    <w:p>
      <w:pPr>
        <w:pStyle w:val="TextBody"/>
        <w:spacing w:before="360" w:after="0"/>
        <w:rPr>
          <w:rFonts w:ascii="Times New Roman" w:hAnsi="Times New Roman"/>
          <w:sz w:val="20"/>
        </w:rPr>
      </w:pPr>
      <w:r>
        <w:rPr>
          <w:rFonts w:ascii="Times New Roman" w:hAnsi="Times New Roman"/>
          <w:b/>
          <w:sz w:val="20"/>
        </w:rPr>
        <w:t>THE PARTIES HAVE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Agreement: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Revised Guarantee”</w:t>
      </w:r>
      <w:r>
        <w:rPr>
          <w:rFonts w:ascii="Times New Roman" w:hAnsi="Times New Roman"/>
          <w:sz w:val="20"/>
        </w:rPr>
        <w:t xml:space="preserve"> has the meaning specified in Clause 2(b) below. </w:t>
      </w:r>
    </w:p>
    <w:p>
      <w:pPr>
        <w:pStyle w:val="TextBody"/>
        <w:spacing w:before="120" w:after="0"/>
        <w:rPr/>
      </w:pPr>
      <w:r>
        <w:rPr/>
        <w:t>“</w:t>
      </w:r>
      <w:r>
        <w:rPr>
          <w:rFonts w:ascii="Times New Roman" w:hAnsi="Times New Roman"/>
          <w:b/>
          <w:sz w:val="20"/>
        </w:rPr>
        <w:t>Revised Independent Guarantee Issue Agreement”</w:t>
      </w:r>
      <w:r>
        <w:rPr>
          <w:rFonts w:ascii="Times New Roman" w:hAnsi="Times New Roman"/>
          <w:sz w:val="20"/>
        </w:rPr>
        <w:t xml:space="preserve"> means the Independent Guarantee Issue Agreement as amended hereby, in the form of Appendix 1 </w:t>
      </w:r>
      <w:r>
        <w:rPr>
          <w:rFonts w:ascii="Times New Roman" w:hAnsi="Times New Roman"/>
          <w:i/>
          <w:sz w:val="20"/>
        </w:rPr>
        <w:t>(Revised Independent Guarantee Issue Agreement)</w:t>
      </w:r>
      <w:r>
        <w:rPr>
          <w:rFonts w:ascii="Times New Roman" w:hAnsi="Times New Roman"/>
          <w:sz w:val="20"/>
        </w:rPr>
        <w:t xml:space="preserve">.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has the meaning specified in Clause (A) of the Preamble. </w:t>
      </w:r>
    </w:p>
    <w:p>
      <w:pPr>
        <w:pStyle w:val="TextBody"/>
        <w:spacing w:before="120" w:after="0"/>
        <w:rPr/>
      </w:pPr>
      <w:r>
        <w:rPr/>
        <w:t>“</w:t>
      </w:r>
      <w:r>
        <w:rPr>
          <w:rFonts w:ascii="Times New Roman" w:hAnsi="Times New Roman"/>
          <w:b/>
          <w:sz w:val="20"/>
        </w:rPr>
        <w:t>Party”</w:t>
      </w:r>
      <w:r>
        <w:rPr>
          <w:rFonts w:ascii="Times New Roman" w:hAnsi="Times New Roman"/>
          <w:sz w:val="20"/>
        </w:rPr>
        <w:t xml:space="preserve"> means a party hereto.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the context requires otherwise, any capitalized terms used in the Loan Agreement and the Independent Guarantee Issue Agreement which are not defined herein have the same meaning as in the Loan Agreement and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1.3.</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120" w:after="0"/>
        <w:rPr>
          <w:rFonts w:ascii="Times New Roman" w:hAnsi="Times New Roman"/>
          <w:sz w:val="20"/>
        </w:rPr>
      </w:pPr>
      <w:r>
        <w:rPr>
          <w:rFonts w:ascii="Times New Roman" w:hAnsi="Times New Roman"/>
          <w:sz w:val="20"/>
        </w:rPr>
        <w:t>The provisions of Article 1.2 (</w:t>
      </w:r>
      <w:r>
        <w:rPr>
          <w:rFonts w:ascii="Times New Roman" w:hAnsi="Times New Roman"/>
          <w:i/>
          <w:sz w:val="20"/>
        </w:rPr>
        <w:t>Interpretation</w:t>
      </w:r>
      <w:r>
        <w:rPr>
          <w:rFonts w:ascii="Times New Roman" w:hAnsi="Times New Roman"/>
          <w:sz w:val="20"/>
        </w:rPr>
        <w:t xml:space="preserve">) of the Loan Agreement shall apply to this Agreement as if they are written in this Agreement; any references to Articles, Clauses and Appendices shall be deemed references to Articles, Clauses and Appendices hereof, unless the context requires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is a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Parties agree that the Independent Guarantee Issue Agreement shall be amended as specified in Appendix 1 (</w:t>
            </w:r>
            <w:r>
              <w:rPr>
                <w:i/>
              </w:rPr>
              <w:t>Revised Independent Guarantee Issue Agreement</w:t>
            </w:r>
            <w:r>
              <w:rPr/>
              <w:t xml:space="preserve">) since the date of this Agreement; the rights and obligations of the Parties under the Independent Guarantee Issue Agreement shall be governed and construed under the Revised Independent Guarantee Issue Agreement since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The Guarantor shall amend the Guarantee to reflect changes in the Secured Obligations and other amendments that are made to the Independent Guarantee Issue Agreement in accordance with Clause (a) above (taking into account such amendments, hereinafter referred to as the “</w:t>
            </w:r>
            <w:r>
              <w:rPr>
                <w:b/>
              </w:rPr>
              <w:t>Revised Guarantee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amendments to the Independent Guarantee Issue Agreement hereunder shall be limited to the amendments specified in Article 2 </w:t>
            </w:r>
            <w:r>
              <w:rPr>
                <w:i/>
              </w:rPr>
              <w:t>(Amendments)</w:t>
            </w:r>
            <w:r>
              <w:rPr/>
              <w:t>. No other provisions of the Independent Guarantee Issue Agreement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hereby agrees to be liable for the obligations of the Borrower arising out of the Loan Agreement, for the avoidance of doubt, inter alia, taking into account the amendments introduced by Amendment Agreement No. 3, and confirms that the Guarantee is valid, has full legal force, and the Guarantor continues its due fulfillment of the obligations under the Revised Guarantee in accordance with its terms and conditions, as well as with the terms and conditions of the Revised Independent Guarantee Issue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Agreement does not relieve the Guarantor of any obligations under the Independent Guarantee Issue Agreement or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4.</w:t>
            </w:r>
          </w:p>
        </w:tc>
        <w:tc>
          <w:tcPr>
            <w:tcW w:w="9391"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The Guarantor grants the Original Lender the representations of circumstances set forth in Article 3 (</w:t>
            </w:r>
            <w:r>
              <w:rPr>
                <w:i/>
              </w:rPr>
              <w:t>Representations of Circumstances of the Guarantor</w:t>
            </w:r>
            <w:r>
              <w:rPr/>
              <w:t xml:space="preserve">) of the Independent Guarantee Issue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Any representations of circumstances specified in Clause (a) above shall be provided by the Guarantor on the date of this Agreement with a reference to the circumstances existing on the date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references to the Independent Guarantee Issue Agreement in such representations of circumstances as provided according to Clause (a) above shall be deemed as including, inter alia, references 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6.</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has been made in 3 (three) counterparts of equal legal effect, all of which together shall constitute one and the same instrument, one counterpart for each Party. </w:t>
      </w:r>
    </w:p>
    <w:p>
      <w:pPr>
        <w:pStyle w:val="TextBody"/>
        <w:spacing w:before="120" w:after="0"/>
        <w:rPr>
          <w:rFonts w:ascii="Times New Roman" w:hAnsi="Times New Roman"/>
          <w:sz w:val="20"/>
        </w:rPr>
      </w:pPr>
      <w:r>
        <w:rPr>
          <w:rFonts w:ascii="Times New Roman" w:hAnsi="Times New Roman"/>
          <w:sz w:val="20"/>
        </w:rPr>
        <w:t xml:space="preserve">This Agreement has been entered into on the date stated at the beginning of this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REVISED INDEPENDENT GUARANTEE ISSUE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HEADHUNTER LIMITED LIABILITY COMPANY </w:t>
      </w:r>
    </w:p>
    <w:p>
      <w:pPr>
        <w:pStyle w:val="TextBody"/>
        <w:spacing w:before="120" w:after="0"/>
        <w:jc w:val="center"/>
        <w:rPr>
          <w:rFonts w:ascii="Times New Roman" w:hAnsi="Times New Roman"/>
          <w:sz w:val="20"/>
        </w:rPr>
      </w:pPr>
      <w:r>
        <w:rPr>
          <w:rFonts w:ascii="Times New Roman" w:hAnsi="Times New Roman"/>
          <w:sz w:val="20"/>
        </w:rPr>
        <w:t xml:space="preserve">as a guarantor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120" w:after="0"/>
        <w:jc w:val="center"/>
        <w:rPr>
          <w:rFonts w:ascii="Times New Roman" w:hAnsi="Times New Roman"/>
          <w:sz w:val="20"/>
        </w:rPr>
      </w:pPr>
      <w:r>
        <w:rPr>
          <w:rFonts w:ascii="Times New Roman" w:hAnsi="Times New Roman"/>
          <w:sz w:val="20"/>
        </w:rPr>
        <w:t xml:space="preserve">as a principal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120" w:after="0"/>
        <w:jc w:val="center"/>
        <w:rPr>
          <w:rFonts w:ascii="Times New Roman" w:hAnsi="Times New Roman"/>
          <w:sz w:val="20"/>
        </w:rPr>
      </w:pPr>
      <w:r>
        <w:rPr>
          <w:rFonts w:ascii="Times New Roman" w:hAnsi="Times New Roman"/>
          <w:sz w:val="20"/>
        </w:rPr>
        <w:t xml:space="preserve">as a beneficiary under this Agreement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INDEPENDENT GUARANTEE ISSUE AGREEMENT </w:t>
      </w:r>
    </w:p>
    <w:p>
      <w:pPr>
        <w:pStyle w:val="TextBody"/>
        <w:spacing w:before="240" w:after="0"/>
        <w:jc w:val="center"/>
        <w:rPr>
          <w:rFonts w:ascii="Times New Roman" w:hAnsi="Times New Roman"/>
          <w:b/>
          <w:sz w:val="20"/>
        </w:rPr>
      </w:pPr>
      <w:r>
        <w:rPr>
          <w:rFonts w:ascii="Times New Roman" w:hAnsi="Times New Roman"/>
          <w:b/>
          <w:sz w:val="20"/>
        </w:rPr>
        <w:t xml:space="preserve">of May 16,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sz w:val="20"/>
        </w:rPr>
      </w:pPr>
      <w:r>
        <w:rPr>
          <w:rFonts w:ascii="Times New Roman" w:hAnsi="Times New Roman"/>
          <w:sz w:val="20"/>
        </w:rPr>
        <w:t xml:space="preserve">as amended by: </w:t>
      </w:r>
    </w:p>
    <w:p>
      <w:pPr>
        <w:pStyle w:val="TextBody"/>
        <w:spacing w:before="120" w:after="0"/>
        <w:jc w:val="center"/>
        <w:rPr>
          <w:rFonts w:ascii="Times New Roman" w:hAnsi="Times New Roman"/>
          <w:sz w:val="20"/>
        </w:rPr>
      </w:pPr>
      <w:r>
        <w:rPr>
          <w:rFonts w:ascii="Times New Roman" w:hAnsi="Times New Roman"/>
          <w:sz w:val="20"/>
        </w:rPr>
        <w:t xml:space="preserve">Amendment Agreement No. 1 dated October </w:t>
      </w:r>
      <w:r>
        <w:rPr>
          <w:rFonts w:ascii="Times New Roman" w:hAnsi="Times New Roman"/>
          <w:sz w:val="20"/>
          <w:u w:val="single"/>
        </w:rPr>
        <w:t>5</w:t>
      </w:r>
      <w:r>
        <w:rPr>
          <w:rFonts w:ascii="Times New Roman" w:hAnsi="Times New Roman"/>
          <w:sz w:val="20"/>
        </w:rPr>
        <w:t xml:space="preserve">, 2017 </w:t>
      </w:r>
    </w:p>
    <w:p>
      <w:pPr>
        <w:pStyle w:val="TextBody"/>
        <w:spacing w:before="24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86"/>
        <w:gridCol w:w="174"/>
        <w:gridCol w:w="9063"/>
        <w:gridCol w:w="174"/>
        <w:gridCol w:w="60"/>
        <w:gridCol w:w="385"/>
        <w:gridCol w:w="63"/>
      </w:tblGrid>
      <w:tr>
        <w:trPr/>
        <w:tc>
          <w:tcPr>
            <w:tcW w:w="286" w:type="dxa"/>
            <w:tcBorders/>
            <w:shd w:fill="auto" w:val="clear"/>
            <w:vAlign w:val="center"/>
          </w:tcPr>
          <w:p>
            <w:pPr>
              <w:pStyle w:val="TableContents"/>
              <w:spacing w:before="0" w:after="283"/>
              <w:rPr>
                <w:sz w:val="4"/>
                <w:szCs w:val="4"/>
              </w:rPr>
            </w:pPr>
            <w:r>
              <w:rPr>
                <w:sz w:val="4"/>
                <w:szCs w:val="4"/>
              </w:rPr>
            </w:r>
          </w:p>
        </w:tc>
        <w:tc>
          <w:tcPr>
            <w:tcW w:w="174" w:type="dxa"/>
            <w:tcBorders/>
            <w:shd w:fill="auto" w:val="clear"/>
            <w:vAlign w:val="bottom"/>
          </w:tcPr>
          <w:p>
            <w:pPr>
              <w:pStyle w:val="TableContents"/>
              <w:spacing w:before="0" w:after="283"/>
              <w:rPr>
                <w:sz w:val="4"/>
                <w:szCs w:val="4"/>
              </w:rPr>
            </w:pPr>
            <w:r>
              <w:rPr>
                <w:sz w:val="4"/>
                <w:szCs w:val="4"/>
              </w:rPr>
            </w:r>
          </w:p>
        </w:tc>
        <w:tc>
          <w:tcPr>
            <w:tcW w:w="9063" w:type="dxa"/>
            <w:tcBorders/>
            <w:shd w:fill="auto" w:val="clear"/>
            <w:vAlign w:val="center"/>
          </w:tcPr>
          <w:p>
            <w:pPr>
              <w:pStyle w:val="TableContents"/>
              <w:spacing w:before="0" w:after="283"/>
              <w:rPr>
                <w:sz w:val="4"/>
                <w:szCs w:val="4"/>
              </w:rPr>
            </w:pPr>
            <w:r>
              <w:rPr>
                <w:sz w:val="4"/>
                <w:szCs w:val="4"/>
              </w:rPr>
            </w:r>
          </w:p>
        </w:tc>
        <w:tc>
          <w:tcPr>
            <w:tcW w:w="174"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385"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1.</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TERMS AND DEFINITIONS</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124</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2.</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INDEPENDENT GUARANTEE AND REIMBURSEMENT OF LOSSES</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128</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3.</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REPRESENTATIONS OF GUARANTOR’S CIRCUMSTANCES</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129</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4.</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OBLIGATIONS AND LIABILITY OF THE GUARANTOR</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132</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5.</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VALIDITY TERM</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142</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6.</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PAYMENT CLAIM, PAYMENTS, TAXES AND CURRENCY</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143</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7.</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NOTICES</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145</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8.</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MISCELLANEOUS</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147</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9.</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CLAIM ASSIGNMENT AND DEBT TRANSFER</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147</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10.</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APPLICABLE LAW</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148</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11.</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DISPUTE SETTLEMENT</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148</w:t>
            </w:r>
          </w:p>
        </w:tc>
        <w:tc>
          <w:tcPr>
            <w:tcW w:w="63" w:type="dxa"/>
            <w:tcBorders/>
            <w:shd w:fill="auto" w:val="clear"/>
            <w:vAlign w:val="bottom"/>
          </w:tcPr>
          <w:p>
            <w:pPr>
              <w:pStyle w:val="TableContents"/>
              <w:spacing w:before="0" w:after="283"/>
              <w:rPr/>
            </w:pPr>
            <w:r>
              <w:rPr/>
              <w:t> </w:t>
            </w:r>
          </w:p>
        </w:tc>
      </w:tr>
      <w:tr>
        <w:trPr>
          <w:trHeight w:val="120" w:hRule="atLeast"/>
        </w:trPr>
        <w:tc>
          <w:tcPr>
            <w:tcW w:w="286" w:type="dxa"/>
            <w:tcBorders/>
            <w:shd w:fill="auto" w:val="clear"/>
            <w:vAlign w:val="center"/>
          </w:tcPr>
          <w:p>
            <w:pPr>
              <w:pStyle w:val="TableContents"/>
              <w:spacing w:before="0" w:after="283"/>
              <w:rPr>
                <w:sz w:val="4"/>
                <w:szCs w:val="4"/>
              </w:rPr>
            </w:pPr>
            <w:r>
              <w:rPr>
                <w:sz w:val="4"/>
                <w:szCs w:val="4"/>
              </w:rPr>
            </w:r>
          </w:p>
        </w:tc>
        <w:tc>
          <w:tcPr>
            <w:tcW w:w="9237" w:type="dxa"/>
            <w:gridSpan w:val="2"/>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286" w:type="dxa"/>
            <w:tcBorders/>
            <w:shd w:fill="auto" w:val="clear"/>
            <w:vAlign w:val="bottom"/>
          </w:tcPr>
          <w:p>
            <w:pPr>
              <w:pStyle w:val="TableContents"/>
              <w:spacing w:before="0" w:after="283"/>
              <w:rPr>
                <w:b/>
              </w:rPr>
            </w:pPr>
            <w:r>
              <w:rPr>
                <w:b/>
              </w:rPr>
              <w:t>12.</w:t>
            </w:r>
          </w:p>
        </w:tc>
        <w:tc>
          <w:tcPr>
            <w:tcW w:w="174"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COUNTERPARTS</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148</w:t>
            </w:r>
          </w:p>
        </w:tc>
        <w:tc>
          <w:tcPr>
            <w:tcW w:w="63" w:type="dxa"/>
            <w:tcBorders/>
            <w:shd w:fill="auto" w:val="clear"/>
            <w:vAlign w:val="bottom"/>
          </w:tcPr>
          <w:p>
            <w:pPr>
              <w:pStyle w:val="TableContents"/>
              <w:spacing w:before="0" w:after="283"/>
              <w:rPr/>
            </w:pPr>
            <w:r>
              <w:rPr/>
              <w:t> </w:t>
            </w:r>
          </w:p>
        </w:tc>
      </w:tr>
      <w:tr>
        <w:trPr>
          <w:trHeight w:val="120" w:hRule="atLeast"/>
        </w:trPr>
        <w:tc>
          <w:tcPr>
            <w:tcW w:w="9523" w:type="dxa"/>
            <w:gridSpan w:val="3"/>
            <w:tcBorders/>
            <w:shd w:fill="auto" w:val="clear"/>
            <w:vAlign w:val="center"/>
          </w:tcPr>
          <w:p>
            <w:pPr>
              <w:pStyle w:val="TableContents"/>
              <w:spacing w:before="0" w:after="283"/>
              <w:rPr>
                <w:sz w:val="4"/>
                <w:szCs w:val="4"/>
              </w:rPr>
            </w:pPr>
            <w:r>
              <w:rPr>
                <w:sz w:val="4"/>
                <w:szCs w:val="4"/>
              </w:rPr>
            </w:r>
          </w:p>
        </w:tc>
        <w:tc>
          <w:tcPr>
            <w:tcW w:w="682" w:type="dxa"/>
            <w:gridSpan w:val="4"/>
            <w:tcBorders/>
            <w:shd w:fill="auto" w:val="clear"/>
            <w:vAlign w:val="center"/>
          </w:tcPr>
          <w:p>
            <w:pPr>
              <w:pStyle w:val="TableContents"/>
              <w:spacing w:before="0" w:after="283"/>
              <w:rPr>
                <w:sz w:val="4"/>
                <w:szCs w:val="4"/>
              </w:rPr>
            </w:pPr>
            <w:r>
              <w:rPr>
                <w:sz w:val="4"/>
                <w:szCs w:val="4"/>
              </w:rPr>
            </w:r>
          </w:p>
        </w:tc>
      </w:tr>
      <w:tr>
        <w:trPr/>
        <w:tc>
          <w:tcPr>
            <w:tcW w:w="952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APPENDIX 1 TERMS OF THE LOAN AGREEMENT</w:t>
            </w:r>
          </w:p>
        </w:tc>
        <w:tc>
          <w:tcPr>
            <w:tcW w:w="174"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5" w:type="dxa"/>
            <w:tcBorders/>
            <w:shd w:fill="auto" w:val="clear"/>
            <w:vAlign w:val="bottom"/>
          </w:tcPr>
          <w:p>
            <w:pPr>
              <w:pStyle w:val="TableContents"/>
              <w:spacing w:before="0" w:after="283"/>
              <w:jc w:val="right"/>
              <w:rPr>
                <w:b/>
              </w:rPr>
            </w:pPr>
            <w:r>
              <w:rPr>
                <w:b/>
              </w:rPr>
              <w:t>149</w:t>
            </w:r>
          </w:p>
        </w:tc>
        <w:tc>
          <w:tcPr>
            <w:tcW w:w="63"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INDEPENDENT GUARANTEE ISSUE AGREEMENT</w:t>
      </w:r>
      <w:r>
        <w:rPr>
          <w:rFonts w:ascii="Times New Roman" w:hAnsi="Times New Roman"/>
          <w:sz w:val="20"/>
        </w:rPr>
        <w:t xml:space="preserve"> (the “</w:t>
      </w:r>
      <w:r>
        <w:rPr>
          <w:rFonts w:ascii="Times New Roman" w:hAnsi="Times New Roman"/>
          <w:b/>
          <w:sz w:val="20"/>
        </w:rPr>
        <w:t>Agreement”</w:t>
      </w:r>
      <w:r>
        <w:rPr>
          <w:rFonts w:ascii="Times New Roman" w:hAnsi="Times New Roman"/>
          <w:sz w:val="20"/>
        </w:rPr>
        <w:t xml:space="preserve">) has been executed on May 16, 2016,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w:t>
            </w:r>
          </w:p>
        </w:tc>
        <w:tc>
          <w:tcPr>
            <w:tcW w:w="9389" w:type="dxa"/>
            <w:tcBorders/>
            <w:shd w:fill="auto" w:val="clear"/>
          </w:tcPr>
          <w:p>
            <w:pPr>
              <w:pStyle w:val="TableContents"/>
              <w:spacing w:before="0" w:after="283"/>
              <w:jc w:val="left"/>
              <w:rPr/>
            </w:pPr>
            <w:r>
              <w:rPr>
                <w:b/>
              </w:rPr>
              <w:t>HEADHUNTER LIMITED LIABILITY COMPANY,</w:t>
            </w:r>
            <w:r>
              <w:rPr/>
              <w:t xml:space="preserve"> a limited liability company incorporated under the laws of the Russian Federation, registration number1067761906805, located at: 9, Godovikova St., bld. 10, Moscow, the Russian Federation, represented by </w:t>
            </w:r>
            <w:r>
              <w:rPr>
                <w:b/>
              </w:rPr>
              <w:t>Mikhail Alexandrovich Zhukov,</w:t>
            </w:r>
            <w:r>
              <w:rPr/>
              <w:t xml:space="preserve"> acting under the Articles of Association, as the guarantor hereunder (the “</w:t>
            </w:r>
            <w:r>
              <w:rPr>
                <w:b/>
              </w:rPr>
              <w:t>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ZEMENIK LIMITED LIABILITY COMPANY,</w:t>
            </w:r>
            <w:r>
              <w:rPr/>
              <w:t xml:space="preserve">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125319, the Russian Federation, represented by </w:t>
            </w:r>
            <w:r>
              <w:rPr>
                <w:b/>
              </w:rPr>
              <w:t>Karen Eduardovich Agayan</w:t>
            </w:r>
            <w:r>
              <w:rPr/>
              <w:t>, acting under the Articles of Association, as the principal hereunder and the Borrower under the Loan Agreement (the “</w:t>
            </w:r>
            <w:r>
              <w:rPr>
                <w:b/>
              </w:rPr>
              <w:t>Borrower”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w:t>
            </w:r>
          </w:p>
        </w:tc>
        <w:tc>
          <w:tcPr>
            <w:tcW w:w="9389" w:type="dxa"/>
            <w:tcBorders/>
            <w:shd w:fill="auto" w:val="clear"/>
          </w:tcPr>
          <w:p>
            <w:pPr>
              <w:pStyle w:val="TableContents"/>
              <w:spacing w:before="0" w:after="283"/>
              <w:jc w:val="left"/>
              <w:rPr/>
            </w:pPr>
            <w:r>
              <w:rPr>
                <w:b/>
              </w:rPr>
              <w:t>BANK VTB (PUBLIC JOINT-STOCK COMPANY)</w:t>
            </w:r>
            <w:r>
              <w:rPr/>
              <w:t xml:space="preserve">, a public joint-stock company incorporated under the laws of the Russian Federation, registered in the Unified State Register of Legal Entities (EGRUL) under number (Primary State Registration Number (OGRN)): 1027739609391, located at: 29, Bolshaya Morskaya St., Saint Petersburg, the Russian Federation, 190000, represented by </w:t>
            </w:r>
            <w:r>
              <w:rPr>
                <w:b/>
              </w:rPr>
              <w:t>Vitaly Nikolaevich Buzoverya</w:t>
            </w:r>
            <w:r>
              <w:rPr/>
              <w:t xml:space="preserve">, acting under Power of Attorney 350000/25- </w:t>
            </w:r>
            <w:r>
              <w:rPr/>
              <w:drawing>
                <wp:inline distT="0" distB="0" distL="0" distR="0">
                  <wp:extent cx="123825" cy="133350"/>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link="rId39"/>
                          <a:stretch>
                            <a:fillRect/>
                          </a:stretch>
                        </pic:blipFill>
                        <pic:spPr bwMode="auto">
                          <a:xfrm>
                            <a:off x="0" y="0"/>
                            <a:ext cx="123825" cy="133350"/>
                          </a:xfrm>
                          <a:prstGeom prst="rect">
                            <a:avLst/>
                          </a:prstGeom>
                          <a:noFill/>
                          <a:ln w="9525">
                            <a:noFill/>
                            <a:miter lim="800000"/>
                            <a:headEnd/>
                            <a:tailEnd/>
                          </a:ln>
                        </pic:spPr>
                      </pic:pic>
                    </a:graphicData>
                  </a:graphic>
                </wp:inline>
              </w:drawing>
            </w:r>
            <w:r>
              <w:rPr/>
              <w:t xml:space="preserve"> ”, certified on January 14, 2016, under register number 2-25, as the beneficiary under this Agreement and the Credit Agent, Organizer and Original Lender under the Loan Agreement (the “</w:t>
            </w:r>
            <w:r>
              <w:rPr>
                <w:b/>
              </w:rPr>
              <w:t>Original Lender</w:t>
            </w:r>
            <w:r>
              <w:rPr/>
              <w:t>” and the “</w:t>
            </w:r>
            <w:r>
              <w:rPr>
                <w:b/>
              </w:rPr>
              <w:t>Credit Agent</w:t>
            </w:r>
            <w:r>
              <w:rPr/>
              <w:t xml:space="preserve">”) </w:t>
            </w:r>
          </w:p>
        </w:tc>
      </w:tr>
    </w:tbl>
    <w:p>
      <w:pPr>
        <w:pStyle w:val="TextBody"/>
        <w:spacing w:before="240" w:after="0"/>
        <w:rPr>
          <w:rFonts w:ascii="Times New Roman" w:hAnsi="Times New Roman"/>
          <w:sz w:val="20"/>
        </w:rPr>
      </w:pPr>
      <w:r>
        <w:rPr>
          <w:rFonts w:ascii="Times New Roman" w:hAnsi="Times New Roman"/>
          <w:b/>
          <w:sz w:val="20"/>
        </w:rPr>
        <w:t>The Guarantor, the Borrower and the Original Lender</w:t>
      </w:r>
      <w:r>
        <w:rPr>
          <w:rFonts w:ascii="Times New Roman" w:hAnsi="Times New Roman"/>
          <w:sz w:val="20"/>
        </w:rPr>
        <w:t xml:space="preserve"> shall hereinafter be referred to as the “</w:t>
      </w:r>
      <w:r>
        <w:rPr>
          <w:rFonts w:ascii="Times New Roman" w:hAnsi="Times New Roman"/>
          <w:b/>
          <w:sz w:val="20"/>
        </w:rPr>
        <w:t>Parties</w:t>
      </w:r>
      <w:r>
        <w:rPr>
          <w:rFonts w:ascii="Times New Roman" w:hAnsi="Times New Roman"/>
          <w:sz w:val="20"/>
        </w:rPr>
        <w:t>”, and individually as a “</w:t>
      </w:r>
      <w:r>
        <w:rPr>
          <w:rFonts w:ascii="Times New Roman" w:hAnsi="Times New Roman"/>
          <w:b/>
          <w:sz w:val="20"/>
        </w:rPr>
        <w:t>Party</w:t>
      </w:r>
      <w:r>
        <w:rPr>
          <w:rFonts w:ascii="Times New Roman" w:hAnsi="Times New Roman"/>
          <w:sz w:val="20"/>
        </w:rPr>
        <w:t xml:space="preserve">”. </w:t>
      </w:r>
    </w:p>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According to the Loan Agreement, the Original Lender agrees to grant the Borrower funds in Rubles in an aggregate amount not exceeding RUB 7,000,000,000 (seven billion Rubles) on the terms and conditions stipulated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One of the preconditions for granting of the Loan to the Borrower under the Loan Agreement is execution of this Agreement and issue of the Guarantee by the Guarantor in favor of the Original Lender.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This Agreement and the Guarantee are Financial Documents as defined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(D)</w:t>
            </w:r>
          </w:p>
        </w:tc>
        <w:tc>
          <w:tcPr>
            <w:tcW w:w="9388" w:type="dxa"/>
            <w:tcBorders/>
            <w:shd w:fill="auto" w:val="clear"/>
          </w:tcPr>
          <w:p>
            <w:pPr>
              <w:pStyle w:val="TableContents"/>
              <w:spacing w:before="0" w:after="283"/>
              <w:jc w:val="left"/>
              <w:rPr/>
            </w:pPr>
            <w:r>
              <w:rPr/>
              <w:t xml:space="preserve">The Guarantor hereby confirms that it is aware of all the terms and conditions of the Loan Agreement and does not have the right to invoke the fact that it was not aware of such terms and conditions of the Loan Agreement. </w:t>
            </w:r>
          </w:p>
        </w:tc>
      </w:tr>
    </w:tbl>
    <w:p>
      <w:pPr>
        <w:pStyle w:val="TextBody"/>
        <w:spacing w:before="36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the Parties have agreed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b/>
              </w:rPr>
            </w:pPr>
            <w:r>
              <w:rPr>
                <w:b/>
              </w:rPr>
              <w:t>1.</w:t>
            </w:r>
          </w:p>
        </w:tc>
        <w:tc>
          <w:tcPr>
            <w:tcW w:w="9698" w:type="dxa"/>
            <w:tcBorders/>
            <w:shd w:fill="auto" w:val="clear"/>
          </w:tcPr>
          <w:p>
            <w:pPr>
              <w:pStyle w:val="TableContents"/>
              <w:spacing w:before="0" w:after="283"/>
              <w:jc w:val="left"/>
              <w:rPr>
                <w:b/>
              </w:rPr>
            </w:pPr>
            <w:r>
              <w:rPr>
                <w:b/>
              </w:rPr>
              <w:t xml:space="preserve">TERMS AND DEFINITIONS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All capitalized terms used in this Agreement (including the Preamble) have the meanings specified in the Loan Agreement (the definitions for the terms of the Loan Agreement are contained in Appendix 1 (</w:t>
      </w:r>
      <w:r>
        <w:rPr>
          <w:rFonts w:ascii="Times New Roman" w:hAnsi="Times New Roman"/>
          <w:i/>
          <w:sz w:val="20"/>
        </w:rPr>
        <w:t>Terms of the Loan Agreement</w:t>
      </w:r>
      <w:r>
        <w:rPr>
          <w:rFonts w:ascii="Times New Roman" w:hAnsi="Times New Roman"/>
          <w:sz w:val="20"/>
        </w:rPr>
        <w:t xml:space="preserve">)) unless the Agreement or the context requires otherwise, while: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Reimbursement for the Amounts Paid under the Guarantee” </w:t>
      </w:r>
      <w:r>
        <w:rPr>
          <w:rFonts w:ascii="Times New Roman" w:hAnsi="Times New Roman"/>
          <w:sz w:val="20"/>
        </w:rPr>
        <w:t xml:space="preserve">means reimbursement by the Borrower to the Guarantor for amounts paid by the Guarantor in connection with the performance of its obligations under the Guarantee and (or) under this Agreement, in accordance with paragraph 1 Article 379 of the Civil Code. </w:t>
      </w:r>
    </w:p>
    <w:p>
      <w:pPr>
        <w:pStyle w:val="TextBody"/>
        <w:spacing w:before="120" w:after="0"/>
        <w:rPr/>
      </w:pPr>
      <w:r>
        <w:rPr/>
        <w:t>“</w:t>
      </w:r>
      <w:r>
        <w:rPr>
          <w:rFonts w:ascii="Times New Roman" w:hAnsi="Times New Roman"/>
          <w:b/>
          <w:sz w:val="20"/>
        </w:rPr>
        <w:t xml:space="preserve">Guarantee” </w:t>
      </w:r>
      <w:r>
        <w:rPr>
          <w:rFonts w:ascii="Times New Roman" w:hAnsi="Times New Roman"/>
          <w:sz w:val="20"/>
        </w:rPr>
        <w:t xml:space="preserve">means an independent guarantee issued by the Guarantor at the request of the Borrower to the Original Lender on the Issue Date in accordance with the terms and conditions of this Agreement in the form and content as satisfactory to the Original Lender. </w:t>
      </w:r>
    </w:p>
    <w:p>
      <w:pPr>
        <w:pStyle w:val="TextBody"/>
        <w:spacing w:before="120" w:after="0"/>
        <w:rPr/>
      </w:pPr>
      <w:r>
        <w:rPr/>
        <w:t>“</w:t>
      </w:r>
      <w:r>
        <w:rPr>
          <w:rFonts w:ascii="Times New Roman" w:hAnsi="Times New Roman"/>
          <w:b/>
          <w:sz w:val="20"/>
        </w:rPr>
        <w:t xml:space="preserve">Issue Date” </w:t>
      </w:r>
      <w:r>
        <w:rPr>
          <w:rFonts w:ascii="Times New Roman" w:hAnsi="Times New Roman"/>
          <w:sz w:val="20"/>
        </w:rPr>
        <w:t xml:space="preserve">means such date of issue of the Guarantee as specified in the Guarantee. </w:t>
      </w:r>
    </w:p>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means a syndicated loan agreement concluded on May 16, 2016, between the Original Lender as the Credit Agent, Organizer and Original Lender and the Borrower as the Borrower in an aggregate amount not exceeding RUB 7,000,000,000 (seven billion Rubles) as amended by Amendment Agreement No. 1 dated December 14, 2016, and Amendment Agreement No. 2 dated June 28, 2017, and Amendment Agreement No. 3. </w:t>
      </w:r>
    </w:p>
    <w:p>
      <w:pPr>
        <w:pStyle w:val="TextBody"/>
        <w:spacing w:before="120" w:after="0"/>
        <w:rPr/>
      </w:pPr>
      <w:r>
        <w:rPr/>
        <w:t>“</w:t>
      </w:r>
      <w:r>
        <w:rPr>
          <w:rFonts w:ascii="Times New Roman" w:hAnsi="Times New Roman"/>
          <w:b/>
          <w:sz w:val="20"/>
        </w:rPr>
        <w:t>Secured Obligations”</w:t>
      </w:r>
      <w:r>
        <w:rPr>
          <w:rFonts w:ascii="Times New Roman" w:hAnsi="Times New Roman"/>
          <w:sz w:val="20"/>
        </w:rPr>
        <w:t xml:space="preserve"> means all current and future pecuniary obligations of the Borrower to the Lenders under the Loan Agreement (taking into account all amendments to the Loan Agreement and all provided preliminary consents and waivers of the Lenders under the Loan Agreement), including the Borrower’s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payment of an aggregate principal of the Loan not exceeding RUB 7,000,000,000 (Seven billion Rubles)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payment of interest due under Article 9 (</w:t>
            </w:r>
            <w:r>
              <w:rPr>
                <w:i/>
              </w:rPr>
              <w:t>Interest</w:t>
            </w:r>
            <w:r>
              <w:rPr/>
              <w:t xml:space="preserve">) of the Loan Agreement at an annual interest rate equal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0"/>
        <w:gridCol w:w="816"/>
        <w:gridCol w:w="5818"/>
      </w:tblGrid>
      <w:tr>
        <w:trPr/>
        <w:tc>
          <w:tcPr>
            <w:tcW w:w="3570"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w:t>
            </w:r>
          </w:p>
        </w:tc>
        <w:tc>
          <w:tcPr>
            <w:tcW w:w="5818"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5"/>
        <w:gridCol w:w="5818"/>
      </w:tblGrid>
      <w:tr>
        <w:trPr/>
        <w:tc>
          <w:tcPr>
            <w:tcW w:w="3571"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w:t>
            </w:r>
          </w:p>
        </w:tc>
        <w:tc>
          <w:tcPr>
            <w:tcW w:w="5818"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payment of a penalty according to Article 9.4 (</w:t>
            </w:r>
            <w:r>
              <w:rPr>
                <w:rFonts w:ascii="Times New Roman" w:hAnsi="Times New Roman"/>
                <w:i/>
                <w:sz w:val="20"/>
              </w:rPr>
              <w:t>Penalty</w:t>
            </w:r>
            <w:r>
              <w:rPr>
                <w:rFonts w:ascii="Times New Roman" w:hAnsi="Times New Roman"/>
                <w:sz w:val="20"/>
              </w:rPr>
              <w:t xml:space="preserve">) of the Loan Agreement due if the Borrower fails to timely fulfill an obligation of payment of any amount due under the Financial Document; such penalty being 2/365 interest rate established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4"/>
        <w:gridCol w:w="8470"/>
      </w:tblGrid>
      <w:tr>
        <w:trPr/>
        <w:tc>
          <w:tcPr>
            <w:tcW w:w="1734" w:type="dxa"/>
            <w:tcBorders/>
            <w:shd w:fill="auto" w:val="clear"/>
            <w:vAlign w:val="center"/>
          </w:tcPr>
          <w:p>
            <w:pPr>
              <w:pStyle w:val="TableContents"/>
              <w:spacing w:before="0" w:after="283"/>
              <w:rPr/>
            </w:pPr>
            <w:r>
              <w:rPr/>
              <w:t> </w:t>
            </w:r>
          </w:p>
        </w:tc>
        <w:tc>
          <w:tcPr>
            <w:tcW w:w="8470" w:type="dxa"/>
            <w:tcBorders/>
            <w:shd w:fill="auto" w:val="clear"/>
          </w:tcPr>
          <w:p>
            <w:pPr>
              <w:pStyle w:val="TableContents"/>
              <w:spacing w:before="0" w:after="283"/>
              <w:jc w:val="left"/>
              <w:rPr/>
            </w:pPr>
            <w:r>
              <w:rPr/>
              <w:t>under Article 9.1 (</w:t>
            </w:r>
            <w:r>
              <w:rPr>
                <w:i/>
              </w:rPr>
              <w:t>Interest Calculation</w:t>
            </w:r>
            <w:r>
              <w:rPr/>
              <w:t>) of the Loan Agreement taking into account the provisions of Article 9.2 (</w:t>
            </w:r>
            <w:r>
              <w:rPr>
                <w:i/>
              </w:rPr>
              <w:t>Margin Adjustment</w:t>
            </w:r>
            <w:r>
              <w:rPr/>
              <w:t xml:space="preserve">) 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6" w:type="dxa"/>
            <w:tcBorders/>
            <w:shd w:fill="auto" w:val="clear"/>
          </w:tcPr>
          <w:p>
            <w:pPr>
              <w:pStyle w:val="TableContents"/>
              <w:spacing w:before="0" w:after="283"/>
              <w:jc w:val="left"/>
              <w:rPr/>
            </w:pPr>
            <w:r>
              <w:rPr/>
              <w:t>payment of reimbursement for funds available for granting the Loan under Article 11.1 (</w:t>
            </w:r>
            <w:r>
              <w:rPr>
                <w:i/>
              </w:rPr>
              <w:t>Fee for the Obligation under the 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such consideration being accrued for the Disbursement Period of Tranche A and the Disbursement Period of Tranche B, respectively, and paid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in respect of the Unused Loan Limit of Tranche B, on the last Business Day of each calendar month within the Disbursement Period of Tranche B or on the last day of the Disbursement Period of Tranche B, whichever occurs first. </w:t>
            </w:r>
          </w:p>
        </w:tc>
      </w:tr>
    </w:tbl>
    <w:p>
      <w:pPr>
        <w:pStyle w:val="TextBody"/>
        <w:spacing w:before="120" w:after="0"/>
        <w:rPr>
          <w:rFonts w:ascii="Times New Roman" w:hAnsi="Times New Roman"/>
          <w:sz w:val="20"/>
        </w:rPr>
      </w:pPr>
      <w:r>
        <w:rPr>
          <w:rFonts w:ascii="Times New Roman" w:hAnsi="Times New Roman"/>
          <w:sz w:val="20"/>
        </w:rPr>
        <w:t xml:space="preserve">A fee for the obligation of granting of the Loan shall not apply to the Unused Loan Limit in terms of Tranche B and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payment of a Lenders’ consideration for granting the Loan under Article 11.2 (</w:t>
            </w:r>
            <w:r>
              <w:rPr>
                <w:i/>
              </w:rPr>
              <w:t>Loan Extension Fee</w:t>
            </w:r>
            <w:r>
              <w:rPr/>
              <w:t xml:space="preserve">) 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0.25 (zero point two five) percent of Tranche D prior to the Disbursement Date of a respective Tranche;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reimbursement to the Parties to the Financing for any costs or losses to be reimbursed under Articles 14.1 (</w:t>
            </w:r>
            <w:r>
              <w:rPr>
                <w:i/>
              </w:rPr>
              <w:t>Reimbursement for Currency Costs</w:t>
            </w:r>
            <w:r>
              <w:rPr/>
              <w:t>), 14.3 (</w:t>
            </w:r>
            <w:r>
              <w:rPr>
                <w:i/>
              </w:rPr>
              <w:t>Reimbursement for Costs of the Credit Agent</w:t>
            </w:r>
            <w:r>
              <w:rPr/>
              <w:t>) and 14.4 (</w:t>
            </w:r>
            <w:r>
              <w:rPr>
                <w:i/>
              </w:rPr>
              <w:t>Transaction-Related Costs</w:t>
            </w:r>
            <w:r>
              <w:rPr/>
              <w:t>), 14.5 (</w:t>
            </w:r>
            <w:r>
              <w:rPr>
                <w:i/>
              </w:rPr>
              <w:t>Amendment Costs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incurred by a Party to the Financing because of a mandatory performance of any Financial Document or protection of its rights under the Financial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t>reimbursement to the Parties to the Financing for any expenses under Article 14.2 (</w:t>
            </w:r>
            <w:r>
              <w:rPr>
                <w:i/>
              </w:rPr>
              <w:t>Reimbursement for Other Costs</w:t>
            </w:r>
            <w:r>
              <w:rPr/>
              <w:t xml:space="preserve">) of the Loan Agreement incurred by a Party to the Financing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occurrence of the Event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impossibility to grant the Loan to the Borrower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Borrower’s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3" w:type="dxa"/>
            <w:tcBorders/>
            <w:shd w:fill="auto" w:val="clear"/>
          </w:tcPr>
          <w:p>
            <w:pPr>
              <w:pStyle w:val="TableContents"/>
              <w:spacing w:before="0" w:after="283"/>
              <w:jc w:val="left"/>
              <w:rPr/>
            </w:pPr>
            <w:r>
              <w:rPr/>
              <w:t xml:space="preserve">full return of any funds obtained by the Borrower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120" w:after="0"/>
        <w:rPr/>
      </w:pPr>
      <w:r>
        <w:rPr/>
        <w:t>“</w:t>
      </w:r>
      <w:r>
        <w:rPr>
          <w:rFonts w:ascii="Times New Roman" w:hAnsi="Times New Roman"/>
          <w:b/>
          <w:sz w:val="20"/>
        </w:rPr>
        <w:t>Event of Default”</w:t>
      </w:r>
      <w:r>
        <w:rPr>
          <w:rFonts w:ascii="Times New Roman" w:hAnsi="Times New Roman"/>
          <w:sz w:val="20"/>
        </w:rPr>
        <w:t xml:space="preserve"> means any event or circumstance specified in Article 21 (</w:t>
      </w:r>
      <w:r>
        <w:rPr>
          <w:rFonts w:ascii="Times New Roman" w:hAnsi="Times New Roman"/>
          <w:i/>
          <w:sz w:val="20"/>
        </w:rPr>
        <w:t>Events of Default</w:t>
      </w:r>
      <w:r>
        <w:rPr>
          <w:rFonts w:ascii="Times New Roman" w:hAnsi="Times New Roman"/>
          <w:sz w:val="20"/>
        </w:rPr>
        <w:t xml:space="preserve">) of the Loan Agreement.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to the Loan Agreement dated October </w:t>
      </w:r>
      <w:r>
        <w:rPr>
          <w:rFonts w:ascii="Times New Roman" w:hAnsi="Times New Roman"/>
          <w:sz w:val="20"/>
          <w:u w:val="single"/>
        </w:rPr>
        <w:t>5</w:t>
      </w:r>
      <w:r>
        <w:rPr>
          <w:rFonts w:ascii="Times New Roman" w:hAnsi="Times New Roman"/>
          <w:sz w:val="20"/>
        </w:rPr>
        <w:t xml:space="preserve">, 2017. </w:t>
      </w:r>
    </w:p>
    <w:p>
      <w:pPr>
        <w:pStyle w:val="TextBody"/>
        <w:spacing w:before="120" w:after="0"/>
        <w:rPr/>
      </w:pPr>
      <w:r>
        <w:rPr/>
        <w:t>“</w:t>
      </w:r>
      <w:r>
        <w:rPr>
          <w:rFonts w:ascii="Times New Roman" w:hAnsi="Times New Roman"/>
          <w:b/>
          <w:sz w:val="20"/>
        </w:rPr>
        <w:t>Guarantee Validity Term”</w:t>
      </w:r>
      <w:r>
        <w:rPr>
          <w:rFonts w:ascii="Times New Roman" w:hAnsi="Times New Roman"/>
          <w:sz w:val="20"/>
        </w:rPr>
        <w:t xml:space="preserve"> means a period from the Issue Date to the date specified in Article 5.1 (</w:t>
      </w:r>
      <w:r>
        <w:rPr>
          <w:rFonts w:ascii="Times New Roman" w:hAnsi="Times New Roman"/>
          <w:i/>
          <w:sz w:val="20"/>
        </w:rPr>
        <w:t>Validity Term</w:t>
      </w:r>
      <w:r>
        <w:rPr>
          <w:rFonts w:ascii="Times New Roman" w:hAnsi="Times New Roman"/>
          <w:sz w:val="20"/>
        </w:rPr>
        <w:t xml:space="preserve">). </w:t>
      </w:r>
    </w:p>
    <w:p>
      <w:pPr>
        <w:pStyle w:val="TextBody"/>
        <w:spacing w:before="120" w:after="0"/>
        <w:rPr/>
      </w:pPr>
      <w:r>
        <w:rPr/>
        <w:t>“</w:t>
      </w:r>
      <w:r>
        <w:rPr>
          <w:rFonts w:ascii="Times New Roman" w:hAnsi="Times New Roman"/>
          <w:b/>
          <w:sz w:val="20"/>
        </w:rPr>
        <w:t>Guarantee Amount”</w:t>
      </w:r>
      <w:r>
        <w:rPr>
          <w:rFonts w:ascii="Times New Roman" w:hAnsi="Times New Roman"/>
          <w:sz w:val="20"/>
        </w:rPr>
        <w:t xml:space="preserve"> means an amount of RUB 10,300,000,000 (ten billion three hundred million Rubles). </w:t>
      </w:r>
    </w:p>
    <w:p>
      <w:pPr>
        <w:pStyle w:val="TextBody"/>
        <w:spacing w:before="120" w:after="0"/>
        <w:rPr/>
      </w:pPr>
      <w:r>
        <w:rPr/>
        <w:t>“</w:t>
      </w:r>
      <w:r>
        <w:rPr>
          <w:rFonts w:ascii="Times New Roman" w:hAnsi="Times New Roman"/>
          <w:b/>
          <w:sz w:val="20"/>
        </w:rPr>
        <w:t>Payment Claim”</w:t>
      </w:r>
      <w:r>
        <w:rPr>
          <w:rFonts w:ascii="Times New Roman" w:hAnsi="Times New Roman"/>
          <w:sz w:val="20"/>
        </w:rPr>
        <w:t xml:space="preserve"> means a written notice which is sent by the Original Lender (or by the Credit Agent acting on behalf of the Lenders, after accession of rights (claims) under this Agreement and the Guarantee according to Article 9.2 (</w:t>
      </w:r>
      <w:r>
        <w:rPr>
          <w:rFonts w:ascii="Times New Roman" w:hAnsi="Times New Roman"/>
          <w:i/>
          <w:sz w:val="20"/>
        </w:rPr>
        <w:t>Transfer Rights by the Lenders</w:t>
      </w:r>
      <w:r>
        <w:rPr>
          <w:rFonts w:ascii="Times New Roman" w:hAnsi="Times New Roman"/>
          <w:sz w:val="20"/>
        </w:rPr>
        <w:t xml:space="preserve">)) to the Guarantor and contains: (i) an indication of a particular violation of the Secured Obligations entailing payment under the Guarantee; (ii) a claim for the Guarantor to make payments provided for by this Agreement and the Guarantee within such amount and period as specified in such notice, as well as details of the bank account to which the Guarantor shall make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this Agreement, unless the context requires otherwise: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until the Original Lender assigns its rights (claims) under this Agreement and the Guarantee to any person to whom it assigns its rights under the Loan Agreement pursuant to Article 9.2 (</w:t>
            </w:r>
            <w:r>
              <w:rPr>
                <w:i/>
              </w:rPr>
              <w:t>Transfer of Rights by the Lenders</w:t>
            </w:r>
            <w:r>
              <w:rPr/>
              <w:t xml:space="preserve">), all references to the Credit Agent and the Lenders shall mean references to the Original Lender. For the avoidance of doubt, this Clause (a) does not limit the obligations of the Guarantor provided for by Clause (b) of Article 9.2;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a reference to the Credit Agent, the Organizer, the Financing Party, the Original Lender, the Lender, the Borrower, the Guarantor or a Party also implies a reference to their successors by virtue of law, the Loan Agreement or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6" w:type="dxa"/>
            <w:tcBorders/>
            <w:shd w:fill="auto" w:val="clear"/>
          </w:tcPr>
          <w:p>
            <w:pPr>
              <w:pStyle w:val="TableContents"/>
              <w:spacing w:before="0" w:after="283"/>
              <w:jc w:val="left"/>
              <w:rPr/>
            </w:pPr>
            <w:r>
              <w:rPr/>
              <w:t xml:space="preserve">a document in a harmonized form means a document agreed in writing by the Credit Agent and the Guarantor or a document drawn up in a form acceptable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assets include existing or future property, income and rights of any kind;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w:t>
            </w:r>
          </w:p>
        </w:tc>
        <w:tc>
          <w:tcPr>
            <w:tcW w:w="7555" w:type="dxa"/>
            <w:tcBorders/>
            <w:shd w:fill="auto" w:val="clear"/>
          </w:tcPr>
          <w:p>
            <w:pPr>
              <w:pStyle w:val="TableContents"/>
              <w:spacing w:before="0" w:after="283"/>
              <w:jc w:val="left"/>
              <w:rPr/>
            </w:pPr>
            <w:r>
              <w:rPr/>
              <w:t xml:space="preserve">a reference to the Financial Document or another agreement, document or financial instrument implies such Financial Document or another agreement, document or financial instrument as amended from time to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(vi)</w:t>
            </w:r>
          </w:p>
        </w:tc>
        <w:tc>
          <w:tcPr>
            <w:tcW w:w="7553" w:type="dxa"/>
            <w:tcBorders/>
            <w:shd w:fill="auto" w:val="clear"/>
          </w:tcPr>
          <w:p>
            <w:pPr>
              <w:pStyle w:val="TableContents"/>
              <w:spacing w:before="0" w:after="283"/>
              <w:jc w:val="left"/>
              <w:rPr/>
            </w:pPr>
            <w:r>
              <w:rPr/>
              <w:t xml:space="preserve">a person includes any individual, legal entity, governmental authority, government or state;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(vii)</w:t>
            </w:r>
          </w:p>
        </w:tc>
        <w:tc>
          <w:tcPr>
            <w:tcW w:w="7552" w:type="dxa"/>
            <w:tcBorders/>
            <w:shd w:fill="auto" w:val="clear"/>
          </w:tcPr>
          <w:p>
            <w:pPr>
              <w:pStyle w:val="TableContents"/>
              <w:spacing w:before="0" w:after="283"/>
              <w:jc w:val="left"/>
              <w:rPr/>
            </w:pPr>
            <w:r>
              <w:rPr/>
              <w:t>“</w:t>
            </w:r>
            <w:r>
              <w:rPr/>
              <w:t xml:space="preserve">laws” means any law, ordinance, decree, order, resolution, provision, rule, commissioner orders, requirements or recommendations of any legislative or executive state, municipal, interstate or international authority, ministry, department, service, agency or committee or any judicial body, as well as standards and rules of self-regulatory organizations that are mandatory for members of such self-regulating organizations (exclusively with respect to members of such self-regulating organizations);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(viii)</w:t>
            </w:r>
          </w:p>
        </w:tc>
        <w:tc>
          <w:tcPr>
            <w:tcW w:w="7552" w:type="dxa"/>
            <w:tcBorders/>
            <w:shd w:fill="auto" w:val="clear"/>
          </w:tcPr>
          <w:p>
            <w:pPr>
              <w:pStyle w:val="TableContents"/>
              <w:spacing w:before="0" w:after="283"/>
              <w:jc w:val="left"/>
              <w:rPr/>
            </w:pPr>
            <w:r>
              <w:rPr/>
              <w:t xml:space="preserve">a reference to a legislative provision means a reference to such a provision as amended from time to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(ix)</w:t>
            </w:r>
          </w:p>
        </w:tc>
        <w:tc>
          <w:tcPr>
            <w:tcW w:w="7554" w:type="dxa"/>
            <w:tcBorders/>
            <w:shd w:fill="auto" w:val="clear"/>
          </w:tcPr>
          <w:p>
            <w:pPr>
              <w:pStyle w:val="TableContents"/>
              <w:spacing w:before="0" w:after="283"/>
              <w:jc w:val="left"/>
              <w:rPr/>
            </w:pPr>
            <w:r>
              <w:rPr/>
              <w:t xml:space="preserve">it is understood that the words “include” and “including”, as well as the expression “inter alia” are accompanied by the words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(x)</w:t>
            </w:r>
          </w:p>
        </w:tc>
        <w:tc>
          <w:tcPr>
            <w:tcW w:w="7555" w:type="dxa"/>
            <w:tcBorders/>
            <w:shd w:fill="auto" w:val="clear"/>
          </w:tcPr>
          <w:p>
            <w:pPr>
              <w:pStyle w:val="TableContents"/>
              <w:spacing w:before="0" w:after="283"/>
              <w:jc w:val="left"/>
              <w:rPr/>
            </w:pPr>
            <w:r>
              <w:rPr/>
              <w:t xml:space="preserve">Article, Sub-Clause, Clause or Appendix means a reference to an Article, Sub-Clause, Clause of this Agreement or an Appendix hereto;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(xi)</w:t>
            </w:r>
          </w:p>
        </w:tc>
        <w:tc>
          <w:tcPr>
            <w:tcW w:w="7555" w:type="dxa"/>
            <w:tcBorders/>
            <w:shd w:fill="auto" w:val="clear"/>
          </w:tcPr>
          <w:p>
            <w:pPr>
              <w:pStyle w:val="TableContents"/>
              <w:spacing w:before="0" w:after="283"/>
              <w:jc w:val="left"/>
              <w:rPr/>
            </w:pPr>
            <w:r>
              <w:rPr/>
              <w:t xml:space="preserve">an indication of time means Moscow time, unless otherwise specifically indicated in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(xii)</w:t>
            </w:r>
          </w:p>
        </w:tc>
        <w:tc>
          <w:tcPr>
            <w:tcW w:w="7551" w:type="dxa"/>
            <w:tcBorders/>
            <w:shd w:fill="auto" w:val="clear"/>
          </w:tcPr>
          <w:p>
            <w:pPr>
              <w:pStyle w:val="TableContents"/>
              <w:spacing w:before="0" w:after="283"/>
              <w:jc w:val="left"/>
              <w:rPr/>
            </w:pPr>
            <w:r>
              <w:rPr/>
              <w:t>the term “</w:t>
            </w:r>
            <w:r>
              <w:rPr>
                <w:b/>
              </w:rPr>
              <w:t>debt</w:t>
            </w:r>
            <w:r>
              <w:rPr/>
              <w:t xml:space="preserve">” includes any obligation (including, but not limited to a guarantee-based obligation) to pay or return cash, including, but not limited to any contingent transaction;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(xiii)</w:t>
            </w:r>
          </w:p>
        </w:tc>
        <w:tc>
          <w:tcPr>
            <w:tcW w:w="7553" w:type="dxa"/>
            <w:tcBorders/>
            <w:shd w:fill="auto" w:val="clear"/>
          </w:tcPr>
          <w:p>
            <w:pPr>
              <w:pStyle w:val="TableContents"/>
              <w:spacing w:before="0" w:after="283"/>
              <w:jc w:val="left"/>
              <w:rPr/>
            </w:pPr>
            <w:r>
              <w:rPr/>
              <w:t xml:space="preserve">a reference to the Lenders is a reference to all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headings in this Agreement shall not be deemed as affecting its 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w:t>
            </w:r>
          </w:p>
        </w:tc>
        <w:tc>
          <w:tcPr>
            <w:tcW w:w="9390" w:type="dxa"/>
            <w:tcBorders/>
            <w:shd w:fill="auto" w:val="clear"/>
          </w:tcPr>
          <w:p>
            <w:pPr>
              <w:pStyle w:val="TableContents"/>
              <w:spacing w:before="0" w:after="283"/>
              <w:jc w:val="left"/>
              <w:rPr>
                <w:b/>
              </w:rPr>
            </w:pPr>
            <w:r>
              <w:rPr>
                <w:b/>
              </w:rPr>
              <w:t xml:space="preserve">INDEPENDENT GUARANTEE AND REIMBURSEMENT OF LOSSES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w:t>
            </w:r>
          </w:p>
        </w:tc>
        <w:tc>
          <w:tcPr>
            <w:tcW w:w="9388" w:type="dxa"/>
            <w:tcBorders/>
            <w:shd w:fill="auto" w:val="clear"/>
          </w:tcPr>
          <w:p>
            <w:pPr>
              <w:pStyle w:val="TableContents"/>
              <w:spacing w:before="0" w:after="283"/>
              <w:jc w:val="left"/>
              <w:rPr/>
            </w:pPr>
            <w:r>
              <w:rPr>
                <w:b/>
              </w:rPr>
              <w:t>Independent Guarantee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at the request of the Borrower, issue a Guarantee and hereby undertakes to pay such amount within the Guarantee Amount as specified in the Payment Claim to the Original Lender (or to pay such amount to the Credit Agent for distribution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among the Lenders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if the Borrower fails to fulfill the Secured Obligations, regardless of the validity of the Loan Agreement, the Secured Obligations, as well as relations between the Guarantor and the Borrower, and other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2.2.</w:t>
            </w:r>
          </w:p>
        </w:tc>
        <w:tc>
          <w:tcPr>
            <w:tcW w:w="9390" w:type="dxa"/>
            <w:tcBorders/>
            <w:shd w:fill="auto" w:val="clear"/>
          </w:tcPr>
          <w:p>
            <w:pPr>
              <w:pStyle w:val="TableContents"/>
              <w:spacing w:before="0" w:after="283"/>
              <w:jc w:val="left"/>
              <w:rPr/>
            </w:pPr>
            <w:r>
              <w:rPr>
                <w:b/>
              </w:rPr>
              <w:t>Reimbursement for Losses</w:t>
            </w:r>
            <w:r>
              <w:rPr/>
              <w:t xml:space="preserve"> </w:t>
            </w:r>
          </w:p>
        </w:tc>
      </w:tr>
    </w:tbl>
    <w:p>
      <w:pPr>
        <w:pStyle w:val="TextBody"/>
        <w:spacing w:before="120" w:after="0"/>
        <w:rPr>
          <w:rFonts w:ascii="Times New Roman" w:hAnsi="Times New Roman"/>
          <w:sz w:val="20"/>
        </w:rPr>
      </w:pPr>
      <w:r>
        <w:rPr>
          <w:rFonts w:ascii="Times New Roman" w:hAnsi="Times New Roman"/>
          <w:sz w:val="20"/>
        </w:rPr>
        <w:t>In accordance with Article 4061 of the Civil Code, the Guarantor hereby undertakes an independent and primary obligation to the Lenders that if any Secured Obligation is or becomes invalid, illegal and (or) unenforceable, the Guarantor shall, at the request of the Credit Agent, unconditionally reimburse each of the Lenders for an amount of any expenses, commissions, costs and losses (except for loss of profit) that they incur (inter alia, as the Lender, Organizer and Credit Agent) as a result of non-payment of any amount which would have been payable under the Loan Agreement as of the date of such payment or performance of an obligation if such invalidity, illegality and (or) unenforceability of the Secured Obligations did not occur. Any amounts payable by the Guarantor in accordance with this Article 2.2 shall not exceed the amount that the Guarantor would have to pay under Article 2.1 (</w:t>
      </w:r>
      <w:r>
        <w:rPr>
          <w:rFonts w:ascii="Times New Roman" w:hAnsi="Times New Roman"/>
          <w:i/>
          <w:sz w:val="20"/>
        </w:rPr>
        <w:t>Independent Guarantee</w:t>
      </w:r>
      <w:r>
        <w:rPr>
          <w:rFonts w:ascii="Times New Roman" w:hAnsi="Times New Roman"/>
          <w:sz w:val="20"/>
        </w:rPr>
        <w:t xml:space="preserve">), as if the claimed amount was subject to reimbursement pursuant to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b/>
              </w:rPr>
            </w:pPr>
            <w:r>
              <w:rPr>
                <w:b/>
              </w:rPr>
              <w:t xml:space="preserve">REPRESENTATIONS OF GUARANTOR’S CIRCUMSTANCES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b/>
              </w:rPr>
              <w:t>Guarantor’s Representations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submit the Original Lender the representations of circumstances specified in this Article 3. The Original Lender relies on such representations of circumstances of the Guarantor, and their credibility is of fundamental importance to the Original Lender.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8"/>
        <w:gridCol w:w="8472"/>
      </w:tblGrid>
      <w:tr>
        <w:trPr/>
        <w:tc>
          <w:tcPr>
            <w:tcW w:w="81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Status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is a legal entity duly incorporated and legally acting under the laws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 Guarantor is the full owner of the property belonging to it and carries out its activities under the applicable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Legal Capacity and Authority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has the legal capacity and authority to enter into and perform this Agreement, the Guarantee and each Financial Document to which the Guarantor is party and the transactions provided for thereby; and the Guarantor obtained all necessary approvals for the execution and performance of this Agreement, the Guarantee and each Financial Document to which the Guarantor is a party, in the manner provided for by law and the Guarantor’s constituent and other internal regulations, including approval of transactions provided for in this Agreement, the Guarantee and each Financial Document to which the Guarantor is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A person acting on behalf of the Guarantor has the authority to enter into this Agreement, the Guarantee and each Financial Document to which the Guarantor is a party.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8471" w:type="dxa"/>
            <w:tcBorders/>
            <w:shd w:fill="auto" w:val="clear"/>
          </w:tcPr>
          <w:p>
            <w:pPr>
              <w:pStyle w:val="TableContents"/>
              <w:spacing w:before="0" w:after="283"/>
              <w:jc w:val="left"/>
              <w:rPr/>
            </w:pPr>
            <w:r>
              <w:rPr/>
              <w:t xml:space="preserve">Validity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This Agreement, the Guarantee and each Financial Document to which the Guarantor is a party are a legitimate, valid, binding and enforceable obligation of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This Agreement, the Guarantee and each Financial Document to which the Guarantor is a party are drawn up in a form ensuring the enforceability thereof in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6" w:type="dxa"/>
            <w:tcBorders/>
            <w:shd w:fill="auto" w:val="clear"/>
          </w:tcPr>
          <w:p>
            <w:pPr>
              <w:pStyle w:val="TableContents"/>
              <w:spacing w:before="0" w:after="283"/>
              <w:jc w:val="left"/>
              <w:rPr/>
            </w:pPr>
            <w:r>
              <w:rPr/>
              <w:t xml:space="preserve">Absence of Contradictions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 xml:space="preserve">The execution and performance of this Agreement, the Guarantee and each Financial Document to which the Guarantor is a party and the transactions thereunder by the Guarantor do not contradict: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any applicable laws;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its constituent and other internal regulations;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any resolutions of its management bodies;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(iv)</w:t>
            </w:r>
          </w:p>
        </w:tc>
        <w:tc>
          <w:tcPr>
            <w:tcW w:w="7553" w:type="dxa"/>
            <w:tcBorders/>
            <w:shd w:fill="auto" w:val="clear"/>
          </w:tcPr>
          <w:p>
            <w:pPr>
              <w:pStyle w:val="TableContents"/>
              <w:spacing w:before="0" w:after="283"/>
              <w:jc w:val="left"/>
              <w:rPr/>
            </w:pPr>
            <w:r>
              <w:rPr/>
              <w:t xml:space="preserve">any other documents or agreements that are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3" w:type="dxa"/>
            <w:tcBorders/>
            <w:shd w:fill="auto" w:val="clear"/>
          </w:tcPr>
          <w:p>
            <w:pPr>
              <w:pStyle w:val="TableContents"/>
              <w:spacing w:before="0" w:after="283"/>
              <w:jc w:val="left"/>
              <w:rPr/>
            </w:pPr>
            <w:r>
              <w:rPr/>
              <w:t xml:space="preserve">Compliance with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The Guarantor’s business shall comply with the applicable laws in all aspects that the Credit Agent considers significant. The Guarantor shall timely submit tax returns and pay taxes in such terms and in such amounts as provided for by any applicable laws in all aspects that the Credit Agent considers significant.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 xml:space="preserve">Absence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execution or performance of this Agreement, the Guarantee and each Financial Document to which the Guarantor is a party and the transactions thereunder does not and will not result in any Default;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There are no other events or circumstances constituting a default under any document that is binding on the Guarantor or sets limits on the disposal of its property, and which have or are reasonably likely to have the Material Negative Impact.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7"/>
        <w:gridCol w:w="8475"/>
      </w:tblGrid>
      <w:tr>
        <w:trPr/>
        <w:tc>
          <w:tcPr>
            <w:tcW w:w="81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(g)</w:t>
            </w:r>
          </w:p>
        </w:tc>
        <w:tc>
          <w:tcPr>
            <w:tcW w:w="8475" w:type="dxa"/>
            <w:tcBorders/>
            <w:shd w:fill="auto" w:val="clear"/>
          </w:tcPr>
          <w:p>
            <w:pPr>
              <w:pStyle w:val="TableContents"/>
              <w:spacing w:before="0" w:after="283"/>
              <w:jc w:val="left"/>
              <w:rPr/>
            </w:pPr>
            <w:r>
              <w:rPr/>
              <w:t xml:space="preserve">Permits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As of the date of this Agreement, the Guarantor has obtained and maintains all the permits and consents required in connection with the conclusion, performance, maintenance, enforceability of this Agreement, the Guarantee, each Financial Document, to which the Guarantor is a party, and the transactions thereunder and introduction of the above-mentioned documents and transactions as evidence in trials.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(h)</w:t>
            </w:r>
          </w:p>
        </w:tc>
        <w:tc>
          <w:tcPr>
            <w:tcW w:w="8474" w:type="dxa"/>
            <w:tcBorders/>
            <w:shd w:fill="auto" w:val="clear"/>
          </w:tcPr>
          <w:p>
            <w:pPr>
              <w:pStyle w:val="TableContents"/>
              <w:spacing w:before="0" w:after="283"/>
              <w:jc w:val="left"/>
              <w:rPr/>
            </w:pPr>
            <w:r>
              <w:rPr/>
              <w:t xml:space="preserve">Registration Requirements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5" w:type="dxa"/>
            <w:tcBorders/>
            <w:shd w:fill="auto" w:val="clear"/>
          </w:tcPr>
          <w:p>
            <w:pPr>
              <w:pStyle w:val="TableContents"/>
              <w:spacing w:before="0" w:after="283"/>
              <w:jc w:val="left"/>
              <w:rPr/>
            </w:pPr>
            <w:r>
              <w:rPr/>
              <w:t xml:space="preserve">It is not required to perform any notarial acts or to register this Agreement or the Guarantee, inter alia, with any government authorities or institutions of the Russian Federation, or to pay respective duties in connection with this Agreement and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Financial Statements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The most recent financial statements of the Group (and each member of the Group) provided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7"/>
        <w:gridCol w:w="6636"/>
      </w:tblGrid>
      <w:tr>
        <w:trPr/>
        <w:tc>
          <w:tcPr>
            <w:tcW w:w="265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are prepared in accordance with the Applicable Accounting Standards;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7"/>
        <w:gridCol w:w="6635"/>
      </w:tblGrid>
      <w:tr>
        <w:trPr/>
        <w:tc>
          <w:tcPr>
            <w:tcW w:w="265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in all material respects, reliably reflect its financial position (if applicable, on a consolidated basis) as of the date of the preparation thereof, except, in each case, where otherwise indicated in such financial statements.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There have been no events that could have the Material Negative Impact since the date on which the financial statements referred to in Clause (a) above are prepared.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18"/>
        <w:gridCol w:w="8475"/>
      </w:tblGrid>
      <w:tr>
        <w:trPr/>
        <w:tc>
          <w:tcPr>
            <w:tcW w:w="81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(j)</w:t>
            </w:r>
          </w:p>
        </w:tc>
        <w:tc>
          <w:tcPr>
            <w:tcW w:w="8475" w:type="dxa"/>
            <w:tcBorders/>
            <w:shd w:fill="auto" w:val="clear"/>
          </w:tcPr>
          <w:p>
            <w:pPr>
              <w:pStyle w:val="TableContents"/>
              <w:spacing w:before="0" w:after="283"/>
              <w:jc w:val="left"/>
              <w:rPr/>
            </w:pPr>
            <w:r>
              <w:rPr/>
              <w:t xml:space="preserve">Judicial Proceedings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4" w:type="dxa"/>
            <w:tcBorders/>
            <w:shd w:fill="auto" w:val="clear"/>
          </w:tcPr>
          <w:p>
            <w:pPr>
              <w:pStyle w:val="TableContents"/>
              <w:spacing w:before="0" w:after="283"/>
              <w:jc w:val="left"/>
              <w:rPr/>
            </w:pPr>
            <w:r>
              <w:rPr/>
              <w:t xml:space="preserve">No judicial, arbitration or administrative proceedings against the Guarantor are initiated or, to the best of the knowledge of the Guarantor, are expected to be initiated; and there are taken no investigative actions as a result of which any adverse resolutions that can have the Material Negative Impact are made or are highly likely to be made.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(k)</w:t>
            </w:r>
          </w:p>
        </w:tc>
        <w:tc>
          <w:tcPr>
            <w:tcW w:w="8474" w:type="dxa"/>
            <w:tcBorders/>
            <w:shd w:fill="auto" w:val="clear"/>
          </w:tcPr>
          <w:p>
            <w:pPr>
              <w:pStyle w:val="TableContents"/>
              <w:spacing w:before="0" w:after="283"/>
              <w:jc w:val="left"/>
              <w:rPr/>
            </w:pPr>
            <w:r>
              <w:rPr/>
              <w:t xml:space="preserve">Information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7"/>
        <w:gridCol w:w="7556"/>
      </w:tblGrid>
      <w:tr>
        <w:trPr/>
        <w:tc>
          <w:tcPr>
            <w:tcW w:w="173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All such actual information having, in the opinion of the Credit Agent, the essential value as submitted by the Guarantor to the Parties to the Financing in connection with the Financial Documents to which the Guarantor is a party is true and accurate as of the submission date or (as the case may be) on a date (if any) which is indicated as the submission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Guarantor did not conceal any information which, if disclosed, would lead to the fact that any other information specified in Sub-Clause (i) above would become unreliable or misleading to a material extent in the opinion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As of the date of this Agreement and the first Disbursement Date from the date of provision of the information specified in Clause (i) above, there were no circumstances that, if disclosed, would lead to the fact that the provided information would become unreliable or misleading to a material extent in the opinion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3"/>
        <w:gridCol w:w="8476"/>
      </w:tblGrid>
      <w:tr>
        <w:trPr/>
        <w:tc>
          <w:tcPr>
            <w:tcW w:w="81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(l)</w:t>
            </w:r>
          </w:p>
        </w:tc>
        <w:tc>
          <w:tcPr>
            <w:tcW w:w="8476" w:type="dxa"/>
            <w:tcBorders/>
            <w:shd w:fill="auto" w:val="clear"/>
          </w:tcPr>
          <w:p>
            <w:pPr>
              <w:pStyle w:val="TableContents"/>
              <w:spacing w:before="0" w:after="283"/>
              <w:jc w:val="left"/>
              <w:rPr/>
            </w:pPr>
            <w:r>
              <w:rPr/>
              <w:t xml:space="preserve">Loans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4" w:type="dxa"/>
            <w:tcBorders/>
            <w:shd w:fill="auto" w:val="clear"/>
          </w:tcPr>
          <w:p>
            <w:pPr>
              <w:pStyle w:val="TableContents"/>
              <w:spacing w:before="0" w:after="283"/>
              <w:jc w:val="left"/>
              <w:rPr/>
            </w:pPr>
            <w:r>
              <w:rPr/>
              <w:t xml:space="preserve">The Guarantor did not provide any loans to third parties that are not the Debtors, except for the Permitted Loans.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(m)</w:t>
            </w:r>
          </w:p>
        </w:tc>
        <w:tc>
          <w:tcPr>
            <w:tcW w:w="8471" w:type="dxa"/>
            <w:tcBorders/>
            <w:shd w:fill="auto" w:val="clear"/>
          </w:tcPr>
          <w:p>
            <w:pPr>
              <w:pStyle w:val="TableContents"/>
              <w:spacing w:before="0" w:after="283"/>
              <w:jc w:val="left"/>
              <w:rPr/>
            </w:pPr>
            <w:r>
              <w:rPr/>
              <w:t xml:space="preserve">Levies and Duties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5" w:type="dxa"/>
            <w:tcBorders/>
            <w:shd w:fill="auto" w:val="clear"/>
          </w:tcPr>
          <w:p>
            <w:pPr>
              <w:pStyle w:val="TableContents"/>
              <w:spacing w:before="0" w:after="283"/>
              <w:jc w:val="left"/>
              <w:rPr/>
            </w:pPr>
            <w:r>
              <w:rPr/>
              <w:t xml:space="preserve">No state or registration duties or taxes or levies in connection with this Agreement and the Guarantee must be paid as of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(n)</w:t>
            </w:r>
          </w:p>
        </w:tc>
        <w:tc>
          <w:tcPr>
            <w:tcW w:w="8474" w:type="dxa"/>
            <w:tcBorders/>
            <w:shd w:fill="auto" w:val="clear"/>
          </w:tcPr>
          <w:p>
            <w:pPr>
              <w:pStyle w:val="TableContents"/>
              <w:spacing w:before="0" w:after="283"/>
              <w:jc w:val="left"/>
              <w:rPr/>
            </w:pPr>
            <w:r>
              <w:rPr/>
              <w:t xml:space="preserve">Regulated Procurement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8471" w:type="dxa"/>
            <w:tcBorders/>
            <w:shd w:fill="auto" w:val="clear"/>
          </w:tcPr>
          <w:p>
            <w:pPr>
              <w:pStyle w:val="TableContents"/>
              <w:spacing w:before="0" w:after="283"/>
              <w:jc w:val="left"/>
              <w:rPr/>
            </w:pPr>
            <w:r>
              <w:rPr/>
              <w:t xml:space="preserve">No provisions of the Law on Regulated Procurement are applied to the execution and performance of this Agreement, the Guarantee and the Financial Documents to which the Guarantor is a party, by the Guarantor as of the date of this Agreement. The Guarantor does not give this representation concerning application of the Law on Regulated Procurement to any Party to the Financing.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w:t>
            </w:r>
          </w:p>
        </w:tc>
        <w:tc>
          <w:tcPr>
            <w:tcW w:w="9389" w:type="dxa"/>
            <w:tcBorders/>
            <w:shd w:fill="auto" w:val="clear"/>
          </w:tcPr>
          <w:p>
            <w:pPr>
              <w:pStyle w:val="TableContents"/>
              <w:spacing w:before="0" w:after="283"/>
              <w:jc w:val="left"/>
              <w:rPr/>
            </w:pPr>
            <w:r>
              <w:rPr>
                <w:b/>
              </w:rPr>
              <w:t>Term of Provision of Representations of Guarantor’s Circumstances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The Guarantor shall submit the representations of circumstances specified in this Article 3 as of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6" w:type="dxa"/>
            <w:tcBorders/>
            <w:shd w:fill="auto" w:val="clear"/>
          </w:tcPr>
          <w:p>
            <w:pPr>
              <w:pStyle w:val="TableContents"/>
              <w:spacing w:before="0" w:after="283"/>
              <w:jc w:val="left"/>
              <w:rPr/>
            </w:pPr>
            <w:r>
              <w:rPr/>
              <w:t xml:space="preserve">Except where any Representations of Circumstances shall be submitted on a certain date, all Representations of Circumstances are considered to be submitted by the Guarantor subsequently on the date of each Disbursement Request, on each Disbursement Date and on the first day of each 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If any Representations of Circumstances are provided again, they are extended to the circumstances existing at the time of their subsequent submission.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4.</w:t>
            </w:r>
          </w:p>
        </w:tc>
        <w:tc>
          <w:tcPr>
            <w:tcW w:w="9695" w:type="dxa"/>
            <w:tcBorders/>
            <w:shd w:fill="auto" w:val="clear"/>
          </w:tcPr>
          <w:p>
            <w:pPr>
              <w:pStyle w:val="TableContents"/>
              <w:spacing w:before="0" w:after="283"/>
              <w:jc w:val="left"/>
              <w:rPr>
                <w:b/>
              </w:rPr>
            </w:pPr>
            <w:r>
              <w:rPr>
                <w:b/>
              </w:rPr>
              <w:t xml:space="preserve">OBLIGATIONS AND LIABILITY OF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w:t>
            </w:r>
          </w:p>
        </w:tc>
        <w:tc>
          <w:tcPr>
            <w:tcW w:w="9388" w:type="dxa"/>
            <w:tcBorders/>
            <w:shd w:fill="auto" w:val="clear"/>
          </w:tcPr>
          <w:p>
            <w:pPr>
              <w:pStyle w:val="TableContents"/>
              <w:spacing w:before="0" w:after="283"/>
              <w:jc w:val="left"/>
              <w:rPr/>
            </w:pPr>
            <w:r>
              <w:rPr>
                <w:b/>
              </w:rPr>
              <w:t>Obligations of the Guarantor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is obliged for the entire Guarantee Validity Term in respect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b/>
              </w:rPr>
              <w:t>Financial Statements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5" w:type="dxa"/>
            <w:tcBorders/>
            <w:shd w:fill="auto" w:val="clear"/>
          </w:tcPr>
          <w:p>
            <w:pPr>
              <w:pStyle w:val="TableContents"/>
              <w:spacing w:before="0" w:after="283"/>
              <w:jc w:val="left"/>
              <w:rPr/>
            </w:pPr>
            <w:r>
              <w:rPr/>
              <w:t xml:space="preserve">The Guarantor shall ensure that the Borrower provides the Credit Agent with a number of certified copies of the following documents that is sufficient for all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consolidated financial statements of the Group for each fiscal year approved by the Auditors and prepared in accordance with IFRS as soon as they become available, but in any case, within 180 (one hundred and eighty) days from the end date of such fiscal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consolidated financial statements of the Group for each fiscal half a year reviewed by the Auditors and prepared in accordance with IFRS as soon as they become available, but in any case, within 120 (one hundred and twenty) days from the end date of such fiscal half a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the Group’s management statements for each quarter of the relevant fiscal year (including a profit and loss statement, a balance sheet and a cash flow statement) prepared in accordance with IFRS as soon as they become available, but in any case, within 60 (sixty) days from the end of such quarter of the relevant fiscal year;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the financial statements (including a profit and loss statement, a balance sheet and a cash flow statement) of the Borrower and Headhunter for each quarter of the relevant fiscal year prepared under RAS as soon as they become available, but in any case, within 40 (forty) days from the end date of such quarter of the relevant fiscal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b/>
              </w:rPr>
              <w:t>Requirements to the Financial Statements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3" w:type="dxa"/>
            <w:tcBorders/>
            <w:shd w:fill="auto" w:val="clear"/>
          </w:tcPr>
          <w:p>
            <w:pPr>
              <w:pStyle w:val="TableContents"/>
              <w:spacing w:before="0" w:after="283"/>
              <w:jc w:val="left"/>
              <w:rPr/>
            </w:pPr>
            <w:r>
              <w:rPr/>
              <w:t>The Guarantor shall ensure that each set of financial statements provided in accordance with Article 17.1 (</w:t>
            </w:r>
            <w:r>
              <w:rPr>
                <w:i/>
              </w:rPr>
              <w:t>Financial Statements</w:t>
            </w:r>
            <w:r>
              <w:rPr/>
              <w:t xml:space="preserve">) of the Loan Agreement is prepared using the same accounting principles and for the same accounting periods that applied in preparation of the last reported Group financial statements (except for a possible change in accounting for capitalization of internal development). If any Debtor notifies the Credit Agent of any changes in accounting principles or reporting periods, the Guarantor agrees to ensure that its Auditors and auditors of the relevant Debtor provide the Credit Agent with: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a description of the changes to be made in the relevant financial statements in order to reflect changes in accounting principles and reporting periods that applied in preparation of the Original Financial Statements of the Group or the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information in a form and content that meet the requirements of the Credit Agent and are sufficient to ensure that the Lenders can verify that the Borrower complies with the requirements of Article 18 (</w:t>
            </w:r>
            <w:r>
              <w:rPr>
                <w:i/>
              </w:rPr>
              <w:t>Financial Indicator Compliance Obligation</w:t>
            </w:r>
            <w:r>
              <w:rPr/>
              <w:t xml:space="preserve">) of the Loan Agreement and can adequately assess the Debtor’s financial position in accordance with the current financial statements compared to the Original Financial Statements of such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b/>
              </w:rPr>
              <w:t>Information: Other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provide the Credit Agent with: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6"/>
        <w:gridCol w:w="6636"/>
      </w:tblGrid>
      <w:tr>
        <w:trPr/>
        <w:tc>
          <w:tcPr>
            <w:tcW w:w="265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simultaneously with sending to addressees, copies of all documents sent to all Guarantor’s lenders, or in case of any circumstances that have the Material Negative Impact, copies of all documents sent to all Guarantor’s members;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immediately after it becomes aware of the following facts, but within 5 Business Days from the date on which it becomes aware of such facts, details of any judicial, commercial, arbitration or administrative proceedings, including any investigative actions which result in or are highly likely to result in making any decisions, as a result of which the Group’s expenses will exceed 2.5 (two point five) percent of the Consolidated EBITDA;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7"/>
        <w:gridCol w:w="6633"/>
      </w:tblGrid>
      <w:tr>
        <w:trPr/>
        <w:tc>
          <w:tcPr>
            <w:tcW w:w="265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6633" w:type="dxa"/>
            <w:tcBorders/>
            <w:shd w:fill="auto" w:val="clear"/>
          </w:tcPr>
          <w:p>
            <w:pPr>
              <w:pStyle w:val="TableContents"/>
              <w:spacing w:before="0" w:after="283"/>
              <w:jc w:val="left"/>
              <w:rPr/>
            </w:pPr>
            <w:r>
              <w:rPr/>
              <w:t xml:space="preserve">immediately upon its request, but within 5 (five) days from the date of the request, such additional information on the financial position and economic activities of any member of the Group that the Credit Agent may require in the interests of any Party to the Financing.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Guarantor shall notify the Credit Agent in writing of any of the following events immediately after the Guarantor becomes aware of them: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4" w:type="dxa"/>
            <w:tcBorders/>
            <w:shd w:fill="auto" w:val="clear"/>
          </w:tcPr>
          <w:p>
            <w:pPr>
              <w:pStyle w:val="TableContents"/>
              <w:spacing w:before="0" w:after="283"/>
              <w:jc w:val="left"/>
              <w:rPr/>
            </w:pPr>
            <w:r>
              <w:rPr/>
              <w:t xml:space="preserve">filing of a bankruptcy petition against the Pledgor to an arbitration court,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6"/>
        <w:gridCol w:w="6634"/>
      </w:tblGrid>
      <w:tr>
        <w:trPr/>
        <w:tc>
          <w:tcPr>
            <w:tcW w:w="265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6634" w:type="dxa"/>
            <w:tcBorders/>
            <w:shd w:fill="auto" w:val="clear"/>
          </w:tcPr>
          <w:p>
            <w:pPr>
              <w:pStyle w:val="TableContents"/>
              <w:spacing w:before="0" w:after="283"/>
              <w:jc w:val="left"/>
              <w:rPr/>
            </w:pPr>
            <w:r>
              <w:rPr/>
              <w:t xml:space="preserve">publication of a notice of the intention to apply with such petition in the manner prescribed by law;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6634" w:type="dxa"/>
            <w:tcBorders/>
            <w:shd w:fill="auto" w:val="clear"/>
          </w:tcPr>
          <w:p>
            <w:pPr>
              <w:pStyle w:val="TableContents"/>
              <w:spacing w:before="0" w:after="283"/>
              <w:jc w:val="left"/>
              <w:rPr/>
            </w:pPr>
            <w:r>
              <w:rPr/>
              <w:t xml:space="preserve">impending filing of a bankruptcy petition on the basis of a received notice from a person intending to apply.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b/>
              </w:rPr>
              <w:t>Auditors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5" w:type="dxa"/>
            <w:tcBorders/>
            <w:shd w:fill="auto" w:val="clear"/>
          </w:tcPr>
          <w:p>
            <w:pPr>
              <w:pStyle w:val="TableContents"/>
              <w:spacing w:before="0" w:after="283"/>
              <w:jc w:val="left"/>
              <w:rPr/>
            </w:pPr>
            <w:r>
              <w:rPr/>
              <w:t xml:space="preserve">The Guarantor shall not change its Auditors without the consent of the Majority of the Lenders, except for the Auditors for the financial statements of the Group and of its members prepared in accordance with IFRS, approved or authorized pursuant 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b/>
              </w:rPr>
              <w:t>Notice of Default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notify the Credit Agent of any Default (and measures, if any, to eliminate such Default) immediately after it becomes aware of this fact if the Borrower has not notified the Credit Agent of such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At the request of the Credit Agent, the Guarantor agrees to submit to the Credit Agent an application signed by the sole executive body or an authorized representative of the Guarantor certifying that the Default has been eliminated or, if the Default continues, explaining the measures taken to eliminate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4" w:type="dxa"/>
            <w:tcBorders/>
            <w:shd w:fill="auto" w:val="clear"/>
          </w:tcPr>
          <w:p>
            <w:pPr>
              <w:pStyle w:val="TableContents"/>
              <w:spacing w:before="0" w:after="283"/>
              <w:jc w:val="left"/>
              <w:rPr/>
            </w:pPr>
            <w:r>
              <w:rPr>
                <w:b/>
              </w:rPr>
              <w:t>Client Data Verification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The Guarantor shall provide and undertakes to ensure that each of its Subsidiaries provides the Credit Agent with information and documents for the purposes of Article 17.8 (</w:t>
            </w:r>
            <w:r>
              <w:rPr>
                <w:i/>
              </w:rPr>
              <w:t>Client Data Verification</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b/>
              </w:rPr>
              <w:t>Permissions and Corporate Approvals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timely receive, maintain and comply with and undertakes to ensure that each of its Subsidiaries timely receives, maintains and complies with the terms and conditions of any permits, consents and corporate approvals required by any applicable law in order to fulfill its obligations under the Financial Documents to which it is a party and to enable the use of the Financial Documents as evidence in arbitration proceedings and in courts of relevant jurisdictions, including arbitration courts.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Except for obtaining of a license to work with personal data in the Republic of Azerbaijan, the Guarantor shall timely receive, maintain and comply with and undertakes to ensure that each of its Subsidiaries timely receives, maintains and complies with any permits, consents required under any applicable laws to conduct business activities of any member of the Group in the manner in which such business is carried out.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(h)</w:t>
            </w:r>
          </w:p>
        </w:tc>
        <w:tc>
          <w:tcPr>
            <w:tcW w:w="8476" w:type="dxa"/>
            <w:tcBorders/>
            <w:shd w:fill="auto" w:val="clear"/>
          </w:tcPr>
          <w:p>
            <w:pPr>
              <w:pStyle w:val="TableContents"/>
              <w:spacing w:before="0" w:after="283"/>
              <w:jc w:val="left"/>
              <w:rPr/>
            </w:pPr>
            <w:r>
              <w:rPr>
                <w:b/>
              </w:rPr>
              <w:t>Prohibition Against Encumbrance of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4" w:type="dxa"/>
            <w:tcBorders/>
            <w:shd w:fill="auto" w:val="clear"/>
          </w:tcPr>
          <w:p>
            <w:pPr>
              <w:pStyle w:val="TableContents"/>
              <w:spacing w:before="0" w:after="283"/>
              <w:jc w:val="left"/>
              <w:rPr/>
            </w:pPr>
            <w:r>
              <w:rPr/>
              <w:t xml:space="preserve">The Guarantor shall not create or allow and undertakes to ensure that each of the Subsidiaries of the Guarantor does not create or allow any Encumbrance on its assets without the prior written consent of the Credit Agent, except for: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Encumbrance of assets (except for those specified in Clause (d) below, without double counting) whose aggregate book value at any time does not exceed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Encumbrance arising under the Security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any Encumbrance arising by virtue of law in the ordinary course of business;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any Encumbrance in the form of the right to debit funds from an account with a prior acceptance by the payer or a similar debiting right if this results in debiting of such funds in an amount of not more than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8473" w:type="dxa"/>
            <w:tcBorders/>
            <w:shd w:fill="auto" w:val="clear"/>
          </w:tcPr>
          <w:p>
            <w:pPr>
              <w:pStyle w:val="TableContents"/>
              <w:spacing w:before="0" w:after="283"/>
              <w:jc w:val="left"/>
              <w:rPr/>
            </w:pPr>
            <w:r>
              <w:rPr>
                <w:b/>
              </w:rPr>
              <w:t>Asset Disposal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4" w:type="dxa"/>
            <w:tcBorders/>
            <w:shd w:fill="auto" w:val="clear"/>
          </w:tcPr>
          <w:p>
            <w:pPr>
              <w:pStyle w:val="TableContents"/>
              <w:spacing w:before="0" w:after="283"/>
              <w:jc w:val="left"/>
              <w:rPr/>
            </w:pPr>
            <w:r>
              <w:rPr/>
              <w:t xml:space="preserve">The Borrower shall not sell, lease or otherwise dispose of any of its assets or property without the prior written consent of the Credit Agent and undertakes to ensure that any Subsidiary of the Borrower does not sell, lease or otherwise dispose of any of its assets or property without the prior written consent of the Credit Agent, except for: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disposal of assets or property in the ordinary course of business;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disposal of assets or property as part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disposal of assets or property as part of restructuring due to the right of ownership to HEADHUNTER.KZ LLP;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disposal of assets or property of the members of the Group in such aggregate book or market value (whichever is greater) obtained as a result of one or more transactions made during each consecutive 12 (twelve) months, as does not exceed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w:t>
            </w:r>
          </w:p>
        </w:tc>
        <w:tc>
          <w:tcPr>
            <w:tcW w:w="7553" w:type="dxa"/>
            <w:tcBorders/>
            <w:shd w:fill="auto" w:val="clear"/>
          </w:tcPr>
          <w:p>
            <w:pPr>
              <w:pStyle w:val="TableContents"/>
              <w:spacing w:before="0" w:after="283"/>
              <w:jc w:val="left"/>
              <w:rPr/>
            </w:pPr>
            <w:r>
              <w:rPr/>
              <w:t>disposal of shares of CV Keskus OU (a company registered at: Mustamae tee 46, Tallinna linn, Harju maakond 10621, registration number: 11325768) provided that the After-disposal Debt Ratio does not exceed the Debt Ratio as of the last Settlement Date. In order to comply with the After-Disposal Debt Ratio, the Guarantor (or another member of the Group) may, prior to payment of funds (obtained from CV Keskus OU shares sale) to another member of the Group or shareholders of Zemenik Trading, allocate a part of such funds (obtained from disposal of shares of CV Keskus OU) to a partial repayment of the Outstanding Loan under Article 8.3 (</w:t>
            </w:r>
            <w:r>
              <w:rPr>
                <w:i/>
              </w:rPr>
              <w:t>Voluntary Early Repayment of the Outstanding Loan</w:t>
            </w:r>
            <w:r>
              <w:rPr/>
              <w:t>) of the Loan Agreement. The Borrower shall, within 5 (five) Business Days prior to the disposal of the shares of CV Keskus OU to the Credit Agent, submit the Credit Agent a certificate proving the Borrower’s fulfillment of the terms and conditions provided for in Clause (e) Article 19.3 (</w:t>
            </w:r>
            <w:r>
              <w:rPr>
                <w:i/>
              </w:rPr>
              <w:t>Asset Disposal</w:t>
            </w:r>
            <w:r>
              <w:rPr/>
              <w:t xml:space="preserve">) of the Loan Agreement. The Borrower or another member of the Group may pay funds obtained from disposal of shares of CV Keskus OU, to the shareholders of Zemenik Trading according to the disposal results only once.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w:t>
            </w:r>
          </w:p>
        </w:tc>
        <w:tc>
          <w:tcPr>
            <w:tcW w:w="7555" w:type="dxa"/>
            <w:tcBorders/>
            <w:shd w:fill="auto" w:val="clear"/>
          </w:tcPr>
          <w:p>
            <w:pPr>
              <w:pStyle w:val="TableContents"/>
              <w:spacing w:before="0" w:after="283"/>
              <w:jc w:val="left"/>
              <w:rPr/>
            </w:pPr>
            <w:r>
              <w:rPr/>
              <w:t xml:space="preserve">disposal of shares or participatory interest in the authorized capital of a member of the Group that is not the Debtor, except for CV Keskus OU, provided that after such disposal: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8"/>
        <w:gridCol w:w="6634"/>
      </w:tblGrid>
      <w:tr>
        <w:trPr/>
        <w:tc>
          <w:tcPr>
            <w:tcW w:w="265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6634" w:type="dxa"/>
            <w:tcBorders/>
            <w:shd w:fill="auto" w:val="clear"/>
          </w:tcPr>
          <w:p>
            <w:pPr>
              <w:pStyle w:val="TableContents"/>
              <w:spacing w:before="0" w:after="283"/>
              <w:jc w:val="left"/>
              <w:rPr/>
            </w:pPr>
            <w:r>
              <w:rPr/>
              <w:t xml:space="preserve">The Debt Indicator (as defined below) does not exceed 2.0:1;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7"/>
        <w:gridCol w:w="6633"/>
      </w:tblGrid>
      <w:tr>
        <w:trPr/>
        <w:tc>
          <w:tcPr>
            <w:tcW w:w="265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6633" w:type="dxa"/>
            <w:tcBorders/>
            <w:shd w:fill="auto" w:val="clear"/>
          </w:tcPr>
          <w:p>
            <w:pPr>
              <w:pStyle w:val="TableContents"/>
              <w:spacing w:before="0" w:after="283"/>
              <w:jc w:val="left"/>
              <w:rPr/>
            </w:pPr>
            <w:r>
              <w:rPr/>
              <w:t xml:space="preserve">after payment of the Allocated Amount, the Debt Indicator does not increase in comparison with the Debt Ratio as of the last Settlement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t xml:space="preserve">The disposal under this Clause (vi) must be carried out at arm’s length and subject to the terms and conditions provided for in Clause (f) Article 19.3 (Asset Disposal)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t xml:space="preserve">A member of the Group alienating the Alienated Group Member may, without the consent of the Credit Agent, pay the Allocated Amount in an amount that does not entail a violation of the financial indicator provided for in Sub-Clauses (A) and (B) of this Clause (vi). The Allocated Amount may be paid according to the results of the sale of the Alienated Group Member only once. A seller of the Alienated Group Member may use any funds remaining after payment of the Allocated Amount in consultation with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(vii)</w:t>
            </w:r>
          </w:p>
        </w:tc>
        <w:tc>
          <w:tcPr>
            <w:tcW w:w="7552" w:type="dxa"/>
            <w:tcBorders/>
            <w:shd w:fill="auto" w:val="clear"/>
          </w:tcPr>
          <w:p>
            <w:pPr>
              <w:pStyle w:val="TableContents"/>
              <w:spacing w:before="0" w:after="283"/>
              <w:jc w:val="left"/>
              <w:rPr/>
            </w:pPr>
            <w:r>
              <w:rPr/>
              <w:t xml:space="preserve">For the purposes of Clauses (v) and (vi) above, the following definitions have the following meaning: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7555" w:type="dxa"/>
            <w:tcBorders/>
            <w:shd w:fill="auto" w:val="clear"/>
          </w:tcPr>
          <w:p>
            <w:pPr>
              <w:pStyle w:val="TableContents"/>
              <w:spacing w:before="0" w:after="283"/>
              <w:jc w:val="left"/>
              <w:rPr/>
            </w:pPr>
            <w:r>
              <w:rPr/>
              <w:t>“</w:t>
            </w:r>
            <w:r>
              <w:rPr>
                <w:b/>
              </w:rPr>
              <w:t>Group Cash”</w:t>
            </w:r>
            <w:r>
              <w:rPr/>
              <w:t xml:space="preserve"> means the Cash and Cash Equivalent belonging to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t>“</w:t>
            </w:r>
            <w:r>
              <w:rPr>
                <w:b/>
              </w:rPr>
              <w:t xml:space="preserve">Cash of the Alienated Group Member” </w:t>
            </w:r>
            <w:r>
              <w:rPr/>
              <w:t xml:space="preserve">means the Cash and Cash Equivalent belonging to the Alienated Group Member.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3" w:type="dxa"/>
            <w:tcBorders/>
            <w:shd w:fill="auto" w:val="clear"/>
          </w:tcPr>
          <w:p>
            <w:pPr>
              <w:pStyle w:val="TableContents"/>
              <w:spacing w:before="0" w:after="283"/>
              <w:jc w:val="left"/>
              <w:rPr/>
            </w:pPr>
            <w:r>
              <w:rPr/>
              <w:t>“</w:t>
            </w:r>
            <w:r>
              <w:rPr>
                <w:b/>
              </w:rPr>
              <w:t>Alienated Group Member”</w:t>
            </w:r>
            <w:r>
              <w:rPr/>
              <w:t xml:space="preserve"> means a Group member which is not the Debtor (except for CV Keskus OU) whose shares or participatory interest in the authorized capital are to be disposed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3" w:type="dxa"/>
            <w:tcBorders/>
            <w:shd w:fill="auto" w:val="clear"/>
          </w:tcPr>
          <w:p>
            <w:pPr>
              <w:pStyle w:val="TableContents"/>
              <w:spacing w:before="0" w:after="283"/>
              <w:jc w:val="left"/>
              <w:rPr/>
            </w:pPr>
            <w:r>
              <w:rPr/>
              <w:t>“</w:t>
            </w:r>
            <w:r>
              <w:rPr>
                <w:b/>
              </w:rPr>
              <w:t>Debt Indicator”</w:t>
            </w:r>
            <w:r>
              <w:rPr/>
              <w:t xml:space="preserve"> means the ratio of the Net Debt to the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2" w:type="dxa"/>
            <w:tcBorders/>
            <w:shd w:fill="auto" w:val="clear"/>
          </w:tcPr>
          <w:p>
            <w:pPr>
              <w:pStyle w:val="TableContents"/>
              <w:spacing w:before="0" w:after="283"/>
              <w:jc w:val="left"/>
              <w:rPr/>
            </w:pPr>
            <w:r>
              <w:rPr/>
              <w:t>“</w:t>
            </w:r>
            <w:r>
              <w:rPr>
                <w:b/>
              </w:rPr>
              <w:t>After-Disposal Debt Ratio”</w:t>
            </w:r>
            <w:r>
              <w:rPr/>
              <w:t xml:space="preserve"> means an indicator calculated in case of disposal of shares or participatory interest in the authorized capital of a member of the Group (hereinafter referred to as the “Alienated Group Member”) by the following formula: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t xml:space="preserve">After-Disposal Debt Ratio = (A - B - C)/p - 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t xml:space="preserve">where: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    </w:t>
            </w:r>
          </w:p>
        </w:tc>
        <w:tc>
          <w:tcPr>
            <w:tcW w:w="7552" w:type="dxa"/>
            <w:tcBorders/>
            <w:shd w:fill="auto" w:val="clear"/>
          </w:tcPr>
          <w:p>
            <w:pPr>
              <w:pStyle w:val="TableContents"/>
              <w:spacing w:before="0" w:after="283"/>
              <w:jc w:val="left"/>
              <w:rPr/>
            </w:pPr>
            <w:r>
              <w:rPr>
                <w:b/>
              </w:rPr>
              <w:t>A</w:t>
            </w:r>
            <w:r>
              <w:rPr/>
              <w:t xml:space="preserve"> means the Consolidated Net Debt as of the last Settlement Date; </w:t>
            </w:r>
          </w:p>
        </w:tc>
      </w:tr>
    </w:tbl>
    <w:p>
      <w:pPr>
        <w:pStyle w:val="TextBody"/>
        <w:spacing w:before="0" w:after="0"/>
        <w:rPr/>
      </w:pPr>
      <w:r>
        <w:rPr/>
        <w: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3" w:type="dxa"/>
            <w:tcBorders/>
            <w:shd w:fill="auto" w:val="clear"/>
          </w:tcPr>
          <w:p>
            <w:pPr>
              <w:pStyle w:val="TableContents"/>
              <w:spacing w:before="0" w:after="283"/>
              <w:jc w:val="left"/>
              <w:rPr/>
            </w:pPr>
            <w:r>
              <w:rPr>
                <w:b/>
              </w:rPr>
              <w:t xml:space="preserve">B </w:t>
            </w:r>
            <w:r>
              <w:rPr/>
              <w:t xml:space="preserve">means an amount of the part of the Outstanding Loan repaid by the Borrower in advance at the expense of funds obtained from the disposal of shares or participatory interest in the authorized capital of the Alienated Group Member;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b/>
              </w:rPr>
              <w:t>C</w:t>
            </w:r>
            <w:r>
              <w:rPr/>
              <w:t xml:space="preserve"> means the Loan repaid by the Borrower within a period commencing on the expiry date of the last Settlement Period and ending on the day of submission of the certificate containing the calculation of a relevant After-Disposal Debt Ratio;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    </w:t>
            </w:r>
          </w:p>
        </w:tc>
        <w:tc>
          <w:tcPr>
            <w:tcW w:w="7552" w:type="dxa"/>
            <w:tcBorders/>
            <w:shd w:fill="auto" w:val="clear"/>
          </w:tcPr>
          <w:p>
            <w:pPr>
              <w:pStyle w:val="TableContents"/>
              <w:spacing w:before="0" w:after="283"/>
              <w:jc w:val="left"/>
              <w:rPr/>
            </w:pPr>
            <w:r>
              <w:rPr>
                <w:b/>
              </w:rPr>
              <w:t>D</w:t>
            </w:r>
            <w:r>
              <w:rPr/>
              <w:t xml:space="preserve"> means such Consolidated EBITDA for the most recent Settlement Date as determined in accordance with such Group’s latest financial statements for the relevant Settlement Period as prepared in accordance with IFRS and provided to the     Credit Agent under Clause (a) or (b) of Article 17.1 (Financial Statements) of the Loan Agreement (or which was to be provided to the Credit Agent under the reporting terms provided for in Clause (a) or (b) of Article 17.1 (Financial Reporting)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    </w:t>
            </w:r>
          </w:p>
        </w:tc>
        <w:tc>
          <w:tcPr>
            <w:tcW w:w="7552" w:type="dxa"/>
            <w:tcBorders/>
            <w:shd w:fill="auto" w:val="clear"/>
          </w:tcPr>
          <w:p>
            <w:pPr>
              <w:pStyle w:val="TableContents"/>
              <w:spacing w:before="0" w:after="283"/>
              <w:jc w:val="left"/>
              <w:rPr/>
            </w:pPr>
            <w:r>
              <w:rPr>
                <w:b/>
              </w:rPr>
              <w:t xml:space="preserve">E </w:t>
            </w:r>
            <w:r>
              <w:rPr/>
              <w:t xml:space="preserve">means the EBITDA of the Alienated Group Member calculated on the basis of the management statements of the company of the Alienated Group Member as of the last Settlement Date using a calculation procedure similar to the calculation method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t>“</w:t>
            </w:r>
            <w:r>
              <w:rPr>
                <w:b/>
              </w:rPr>
              <w:t>Purchase Price”</w:t>
            </w:r>
            <w:r>
              <w:rPr/>
              <w:t xml:space="preserve"> means cash that is actually received as a result of sale of the Alienated Group Member.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3" w:type="dxa"/>
            <w:tcBorders/>
            <w:shd w:fill="auto" w:val="clear"/>
          </w:tcPr>
          <w:p>
            <w:pPr>
              <w:pStyle w:val="TableContents"/>
              <w:spacing w:before="0" w:after="283"/>
              <w:jc w:val="left"/>
              <w:rPr/>
            </w:pPr>
            <w:r>
              <w:rPr/>
              <w:t>“</w:t>
            </w:r>
            <w:r>
              <w:rPr>
                <w:b/>
              </w:rPr>
              <w:t xml:space="preserve">Allocated Amount” </w:t>
            </w:r>
            <w:r>
              <w:rPr/>
              <w:t xml:space="preserve">means a cash amount to be paid to the shareholders of Zemenik Trading as a result of disposal of the Alienated Group Member.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7554" w:type="dxa"/>
            <w:tcBorders/>
            <w:shd w:fill="auto" w:val="clear"/>
          </w:tcPr>
          <w:p>
            <w:pPr>
              <w:pStyle w:val="TableContents"/>
              <w:spacing w:before="0" w:after="283"/>
              <w:jc w:val="left"/>
              <w:rPr/>
            </w:pPr>
            <w:r>
              <w:rPr/>
              <w:t>“</w:t>
            </w:r>
            <w:r>
              <w:rPr>
                <w:b/>
              </w:rPr>
              <w:t>Cash Amount”</w:t>
            </w:r>
            <w:r>
              <w:rPr/>
              <w:t xml:space="preserve"> means an amount calculated as the difference between the Group Cash, the Cash of the Alienated Group Member and the Allocated Amount, plus the Purchase Price.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    </w:t>
            </w:r>
          </w:p>
        </w:tc>
        <w:tc>
          <w:tcPr>
            <w:tcW w:w="7552" w:type="dxa"/>
            <w:tcBorders/>
            <w:shd w:fill="auto" w:val="clear"/>
          </w:tcPr>
          <w:p>
            <w:pPr>
              <w:pStyle w:val="TableContents"/>
              <w:spacing w:before="0" w:after="283"/>
              <w:jc w:val="left"/>
              <w:rPr/>
            </w:pPr>
            <w:r>
              <w:rPr/>
              <w:t>“</w:t>
            </w:r>
            <w:r>
              <w:rPr>
                <w:b/>
              </w:rPr>
              <w:t>Net Debt”</w:t>
            </w:r>
            <w:r>
              <w:rPr/>
              <w:t xml:space="preserve"> means the difference between the Group’s Financial Indebtedness (taking into account the Group’s Financial Indebtedness to the Alienated Group Member recognized effectively after the disposal of the Alienated Group Member) and an amount of the Financial Indebtedness of the Alienated Group Member (excluding the Financial Indebtedness of the Alienated Group Member to other members of the Group) and the Cash Amount.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    </w:t>
            </w:r>
          </w:p>
        </w:tc>
        <w:tc>
          <w:tcPr>
            <w:tcW w:w="7552" w:type="dxa"/>
            <w:tcBorders/>
            <w:shd w:fill="auto" w:val="clear"/>
          </w:tcPr>
          <w:p>
            <w:pPr>
              <w:pStyle w:val="TableContents"/>
              <w:spacing w:before="0" w:after="283"/>
              <w:jc w:val="left"/>
              <w:rPr/>
            </w:pPr>
            <w:r>
              <w:rPr/>
              <w:t>“</w:t>
            </w:r>
            <w:r>
              <w:rPr>
                <w:b/>
              </w:rPr>
              <w:t>EBITDA”</w:t>
            </w:r>
            <w:r>
              <w:rPr/>
              <w:t xml:space="preserve"> means the difference between the Consolidated EBITDA and the EBITDA of the Alienated Group Member.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18"/>
        <w:gridCol w:w="8475"/>
      </w:tblGrid>
      <w:tr>
        <w:trPr/>
        <w:tc>
          <w:tcPr>
            <w:tcW w:w="81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(j)</w:t>
            </w:r>
          </w:p>
        </w:tc>
        <w:tc>
          <w:tcPr>
            <w:tcW w:w="8475" w:type="dxa"/>
            <w:tcBorders/>
            <w:shd w:fill="auto" w:val="clear"/>
          </w:tcPr>
          <w:p>
            <w:pPr>
              <w:pStyle w:val="TableContents"/>
              <w:spacing w:before="0" w:after="283"/>
              <w:jc w:val="left"/>
              <w:rPr/>
            </w:pPr>
            <w:r>
              <w:rPr>
                <w:b/>
              </w:rPr>
              <w:t>Acquisition of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4" w:type="dxa"/>
            <w:tcBorders/>
            <w:shd w:fill="auto" w:val="clear"/>
          </w:tcPr>
          <w:p>
            <w:pPr>
              <w:pStyle w:val="TableContents"/>
              <w:spacing w:before="0" w:after="283"/>
              <w:jc w:val="left"/>
              <w:rPr/>
            </w:pPr>
            <w:r>
              <w:rPr/>
              <w:t xml:space="preserve">The Guarantor shall not purchase any assets without the prior written consent of the Credit Agent and undertakes to ensure that no Subsidiary purchases any assets without the prior written consent of the Credit Agent, except for the acquisition of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in the ordinary course of business;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as part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as part of restructuring due to the right of ownership to HEADHUNTER.KZ LLP;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by a member of the Group in such total amount paid by the member of the Group due to one or more transactions made during each consecutive 12 (twelve) months, as does not exceed 7.5 (seven point five) percent of the Consolidated EBITDA;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5"/>
        <w:gridCol w:w="7555"/>
      </w:tblGrid>
      <w:tr>
        <w:trPr/>
        <w:tc>
          <w:tcPr>
            <w:tcW w:w="173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(v)</w:t>
            </w:r>
          </w:p>
        </w:tc>
        <w:tc>
          <w:tcPr>
            <w:tcW w:w="7555" w:type="dxa"/>
            <w:tcBorders/>
            <w:shd w:fill="auto" w:val="clear"/>
          </w:tcPr>
          <w:p>
            <w:pPr>
              <w:pStyle w:val="TableContents"/>
              <w:spacing w:before="0" w:after="283"/>
              <w:jc w:val="left"/>
              <w:rPr/>
            </w:pPr>
            <w:r>
              <w:rPr/>
              <w:t xml:space="preserve">purchased through the Permitted Financial Indebtedness.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(k)</w:t>
            </w:r>
          </w:p>
        </w:tc>
        <w:tc>
          <w:tcPr>
            <w:tcW w:w="8472" w:type="dxa"/>
            <w:tcBorders/>
            <w:shd w:fill="auto" w:val="clear"/>
          </w:tcPr>
          <w:p>
            <w:pPr>
              <w:pStyle w:val="TableContents"/>
              <w:spacing w:before="0" w:after="283"/>
              <w:jc w:val="left"/>
              <w:rPr/>
            </w:pPr>
            <w:r>
              <w:rPr>
                <w:b/>
              </w:rPr>
              <w:t>Arm’s Length Transactions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may conclude deals with any persons only at arm’s length and undertakes to ensure that any of its Subsidiaries concludes deals with any person only at arm’s length.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Clause (a) does not cover any transactions with the Debtors.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17"/>
        <w:gridCol w:w="8476"/>
      </w:tblGrid>
      <w:tr>
        <w:trPr/>
        <w:tc>
          <w:tcPr>
            <w:tcW w:w="81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(l)</w:t>
            </w:r>
          </w:p>
        </w:tc>
        <w:tc>
          <w:tcPr>
            <w:tcW w:w="8476" w:type="dxa"/>
            <w:tcBorders/>
            <w:shd w:fill="auto" w:val="clear"/>
          </w:tcPr>
          <w:p>
            <w:pPr>
              <w:pStyle w:val="TableContents"/>
              <w:spacing w:before="0" w:after="283"/>
              <w:jc w:val="left"/>
              <w:rPr/>
            </w:pPr>
            <w:r>
              <w:rPr>
                <w:b/>
              </w:rPr>
              <w:t>Lending</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    </w:t>
            </w:r>
          </w:p>
        </w:tc>
        <w:tc>
          <w:tcPr>
            <w:tcW w:w="8471" w:type="dxa"/>
            <w:tcBorders/>
            <w:shd w:fill="auto" w:val="clear"/>
          </w:tcPr>
          <w:p>
            <w:pPr>
              <w:pStyle w:val="TableContents"/>
              <w:spacing w:before="0" w:after="283"/>
              <w:jc w:val="left"/>
              <w:rPr/>
            </w:pPr>
            <w:r>
              <w:rPr/>
              <w:t xml:space="preserve">Except for the Permitted Loans, the Guarantor is not entitled to act as a lender in respect of any Financial Indebtedness without the prior written consent of the Credit Agent and undertakes to ensure that any of its Subsidiaries does not act as a lender in respect of any Financial Indebtedness without the prior written consent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(m)</w:t>
            </w:r>
          </w:p>
        </w:tc>
        <w:tc>
          <w:tcPr>
            <w:tcW w:w="8472" w:type="dxa"/>
            <w:tcBorders/>
            <w:shd w:fill="auto" w:val="clear"/>
          </w:tcPr>
          <w:p>
            <w:pPr>
              <w:pStyle w:val="TableContents"/>
              <w:spacing w:before="0" w:after="283"/>
              <w:jc w:val="left"/>
              <w:rPr/>
            </w:pPr>
            <w:r>
              <w:rPr>
                <w:b/>
              </w:rPr>
              <w:t>Provision of Guarantees and Suretyships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is not entitled to act as a guarantor or surety for the obligations of any person without the prior written consent of the Credit Agent and undertakes to ensure that any of its Subsidiaries does not act as a guarantor or surety for the obligations of any person without the prior written consent of the Credit Agent;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 provisions of Clause (i) above do not apply when such guarantee or suretyship secures the performance of the obligations of another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created through the Permitted Financial Indebtedness;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claims under such guarantee or suretyship are subordinated to the obligations of the Guarantor under the Financial Documents pursuant to the Intercreditor Agreement, in any case without double counting.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(n)</w:t>
            </w:r>
          </w:p>
        </w:tc>
        <w:tc>
          <w:tcPr>
            <w:tcW w:w="8474" w:type="dxa"/>
            <w:tcBorders/>
            <w:shd w:fill="auto" w:val="clear"/>
          </w:tcPr>
          <w:p>
            <w:pPr>
              <w:pStyle w:val="TableContents"/>
              <w:spacing w:before="0" w:after="283"/>
              <w:jc w:val="left"/>
              <w:rPr/>
            </w:pPr>
            <w:r>
              <w:rPr>
                <w:b/>
              </w:rPr>
              <w:t>Financial Indebtedness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    </w:t>
            </w:r>
          </w:p>
        </w:tc>
        <w:tc>
          <w:tcPr>
            <w:tcW w:w="8470" w:type="dxa"/>
            <w:tcBorders/>
            <w:shd w:fill="auto" w:val="clear"/>
          </w:tcPr>
          <w:p>
            <w:pPr>
              <w:pStyle w:val="TableContents"/>
              <w:spacing w:before="0" w:after="283"/>
              <w:jc w:val="left"/>
              <w:rPr/>
            </w:pPr>
            <w:r>
              <w:rPr/>
              <w:t xml:space="preserve">The Guarantor shall not enter into any transactions which will result in the Financial Indebtedness for the Guarantor and shall not allow the existence of an overdue Financial Indebtedness, and undertakes to ensure that any of its Subsidiaries does not enter into any transaction which will result in the Financial Indebtedness for the Borrower’s Subsidiary and shall not allow the existence of an overdue Financial Indebtedness without the prior written consent of the Credit Agent, except for the Permitted Financial Indebtedness.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(o)</w:t>
            </w:r>
          </w:p>
        </w:tc>
        <w:tc>
          <w:tcPr>
            <w:tcW w:w="8472" w:type="dxa"/>
            <w:tcBorders/>
            <w:shd w:fill="auto" w:val="clear"/>
          </w:tcPr>
          <w:p>
            <w:pPr>
              <w:pStyle w:val="TableContents"/>
              <w:spacing w:before="0" w:after="283"/>
              <w:jc w:val="left"/>
              <w:rPr/>
            </w:pPr>
            <w:r>
              <w:rPr>
                <w:b/>
              </w:rPr>
              <w:t>Fulfillment of Subsequent Conditions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3" w:type="dxa"/>
            <w:tcBorders/>
            <w:shd w:fill="auto" w:val="clear"/>
          </w:tcPr>
          <w:p>
            <w:pPr>
              <w:pStyle w:val="TableContents"/>
              <w:spacing w:before="0" w:after="283"/>
              <w:jc w:val="left"/>
              <w:rPr/>
            </w:pPr>
            <w:r>
              <w:rPr/>
              <w:t>The Guarantor shall comply with and undertakes to ensure that any of its Subsidiaries complies with the terms and conditions set forth in the Loan Agreement, all related subsequent conditions specified in Part 2 of Appendix 2 (</w:t>
            </w:r>
            <w:r>
              <w:rPr>
                <w:i/>
              </w:rPr>
              <w:t>Requirements to the Borrower for Obtaining a Loan under Tranche A and Tranche B</w:t>
            </w:r>
            <w:r>
              <w:rPr/>
              <w:t xml:space="preserve">) to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(p)</w:t>
            </w:r>
          </w:p>
        </w:tc>
        <w:tc>
          <w:tcPr>
            <w:tcW w:w="8470" w:type="dxa"/>
            <w:tcBorders/>
            <w:shd w:fill="auto" w:val="clear"/>
          </w:tcPr>
          <w:p>
            <w:pPr>
              <w:pStyle w:val="TableContents"/>
              <w:spacing w:before="0" w:after="283"/>
              <w:jc w:val="left"/>
              <w:rPr/>
            </w:pPr>
            <w:r>
              <w:rPr>
                <w:b/>
              </w:rPr>
              <w:t>Net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5" w:type="dxa"/>
            <w:tcBorders/>
            <w:shd w:fill="auto" w:val="clear"/>
          </w:tcPr>
          <w:p>
            <w:pPr>
              <w:pStyle w:val="TableContents"/>
              <w:spacing w:before="0" w:after="283"/>
              <w:jc w:val="left"/>
              <w:rPr/>
            </w:pPr>
            <w:r>
              <w:rPr/>
              <w:t xml:space="preserve">The Guarantor shall ensure that such amount of the net assets of the Borrower and Headhunter as determined under the financial statements provided pursuant to Clause 17.1 (d) of the Loan Agreement is positive at the end of each fiscal half a year during the validity term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(q)</w:t>
            </w:r>
          </w:p>
        </w:tc>
        <w:tc>
          <w:tcPr>
            <w:tcW w:w="8470" w:type="dxa"/>
            <w:tcBorders/>
            <w:shd w:fill="auto" w:val="clear"/>
          </w:tcPr>
          <w:p>
            <w:pPr>
              <w:pStyle w:val="TableContents"/>
              <w:spacing w:before="0" w:after="283"/>
              <w:jc w:val="left"/>
              <w:rPr/>
            </w:pPr>
            <w:r>
              <w:rPr>
                <w:b/>
              </w:rPr>
              <w:t>Change of Business Activity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5" w:type="dxa"/>
            <w:tcBorders/>
            <w:shd w:fill="auto" w:val="clear"/>
          </w:tcPr>
          <w:p>
            <w:pPr>
              <w:pStyle w:val="TableContents"/>
              <w:spacing w:before="0" w:after="283"/>
              <w:jc w:val="left"/>
              <w:rPr/>
            </w:pPr>
            <w:r>
              <w:rPr/>
              <w:t xml:space="preserve">The Guarantor shall not make any significant changes in the main areas of its economic activities and undertakes to ensure that each of its Subsidiaries does not make any significant changes in the main areas of its economic activities without the prior written consent of the Credit Agent. For the avoidance of doubt, this Clause (q) does not apply to the reduction or termination of the economic activities of Headhunter as a result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(r)</w:t>
            </w:r>
          </w:p>
        </w:tc>
        <w:tc>
          <w:tcPr>
            <w:tcW w:w="8471" w:type="dxa"/>
            <w:tcBorders/>
            <w:shd w:fill="auto" w:val="clear"/>
          </w:tcPr>
          <w:p>
            <w:pPr>
              <w:pStyle w:val="TableContents"/>
              <w:spacing w:before="0" w:after="283"/>
              <w:jc w:val="left"/>
              <w:rPr/>
            </w:pPr>
            <w:r>
              <w:rPr>
                <w:b/>
              </w:rPr>
              <w:t>Existing Business Contracts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 xml:space="preserve">The Guarantor shall maintain the Existing Business Contracts up to the Final Redemption Date or, if it is commercially justified, conclude new contracts on similar terms at least one month before the expiration of the Existing Business Contracts.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(s)</w:t>
            </w:r>
          </w:p>
        </w:tc>
        <w:tc>
          <w:tcPr>
            <w:tcW w:w="8476" w:type="dxa"/>
            <w:tcBorders/>
            <w:shd w:fill="auto" w:val="clear"/>
          </w:tcPr>
          <w:p>
            <w:pPr>
              <w:pStyle w:val="TableContents"/>
              <w:spacing w:before="0" w:after="283"/>
              <w:jc w:val="left"/>
              <w:rPr/>
            </w:pPr>
            <w:r>
              <w:rPr>
                <w:b/>
              </w:rPr>
              <w:t>Taxation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5"/>
        <w:gridCol w:w="8473"/>
      </w:tblGrid>
      <w:tr>
        <w:trPr/>
        <w:tc>
          <w:tcPr>
            <w:tcW w:w="816"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    </w:t>
            </w:r>
          </w:p>
        </w:tc>
        <w:tc>
          <w:tcPr>
            <w:tcW w:w="8473" w:type="dxa"/>
            <w:tcBorders/>
            <w:shd w:fill="auto" w:val="clear"/>
          </w:tcPr>
          <w:p>
            <w:pPr>
              <w:pStyle w:val="TableContents"/>
              <w:spacing w:before="0" w:after="283"/>
              <w:jc w:val="left"/>
              <w:rPr/>
            </w:pPr>
            <w:r>
              <w:rPr/>
              <w:t>The Guarantor shall pay taxes and levies in a timely manner under the laws of the Russian Federation (hereinafter referred to as the “</w:t>
            </w:r>
            <w:r>
              <w:rPr>
                <w:b/>
              </w:rPr>
              <w:t>Mandatory Payments</w:t>
            </w:r>
            <w:r>
              <w:rPr/>
              <w:t xml:space="preserve">”) and shall ensure that each of its Subsidiaries timely pays the Mandatory Payments in accordance with the applicable law, with the exception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Mandatory Payments which are contested by the Guarantor or any of its Subsidiaries in the manner prescribed by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the Mandatory Payments and costs for their contestation, for which there were created reserves recognized in the most recent financial statements submitted to the Credit Agent pursuant to Article 17.1 (</w:t>
            </w:r>
            <w:r>
              <w:rPr>
                <w:i/>
              </w:rPr>
              <w:t>Financial Statements</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a case where failure to pay such Mandatory Payments will not have the Material Negative Impact.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(t)</w:t>
            </w:r>
          </w:p>
        </w:tc>
        <w:tc>
          <w:tcPr>
            <w:tcW w:w="8474" w:type="dxa"/>
            <w:tcBorders/>
            <w:shd w:fill="auto" w:val="clear"/>
          </w:tcPr>
          <w:p>
            <w:pPr>
              <w:pStyle w:val="TableContents"/>
              <w:spacing w:before="0" w:after="283"/>
              <w:jc w:val="left"/>
              <w:rPr/>
            </w:pPr>
            <w:r>
              <w:rPr>
                <w:b/>
              </w:rPr>
              <w:t>Equal Status of Obligations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 xml:space="preserve">The Guarantor shall ensure that its obligations hereunder (when they are to be fulfilled) shall be deemed to be of the same class as its other existing and future unsecured payment obligations and that any of its Subsidiaries shall ensure that the Guarantor’s obligations hereunder (when they are to be fulfilled) shall be deemed to be of the same class as other existing and future unsecured payment obligations of such Subsidiary, except for any obligations, whose primary satisfaction is directly provided for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(u)</w:t>
            </w:r>
          </w:p>
        </w:tc>
        <w:tc>
          <w:tcPr>
            <w:tcW w:w="8474" w:type="dxa"/>
            <w:tcBorders/>
            <w:shd w:fill="auto" w:val="clear"/>
          </w:tcPr>
          <w:p>
            <w:pPr>
              <w:pStyle w:val="TableContents"/>
              <w:spacing w:before="0" w:after="283"/>
              <w:jc w:val="left"/>
              <w:rPr/>
            </w:pPr>
            <w:r>
              <w:rPr>
                <w:b/>
              </w:rPr>
              <w:t>Group Structure Scheme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 xml:space="preserve">The Guarantor shall ensure maintaining the existing structure of the Group in accordance with the Group Structure Scheme. This obligation does not apply to any actions permitted or provided for under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(v)</w:t>
            </w:r>
          </w:p>
        </w:tc>
        <w:tc>
          <w:tcPr>
            <w:tcW w:w="8472" w:type="dxa"/>
            <w:tcBorders/>
            <w:shd w:fill="auto" w:val="clear"/>
          </w:tcPr>
          <w:p>
            <w:pPr>
              <w:pStyle w:val="TableContents"/>
              <w:spacing w:before="0" w:after="283"/>
              <w:jc w:val="left"/>
              <w:rPr/>
            </w:pPr>
            <w:r>
              <w:rPr>
                <w:b/>
              </w:rPr>
              <w:t>Access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 xml:space="preserve">When the Default occurs and remains uneliminated or when there are sufficient grounds for the Credit Agent to believe that the Default may occur, the Guarantor shall, at the request of the Credit Agent, provide (and ensure that each of its Subsidiaries provides) the Credit Agent and/or its auditors or other professional advisers free access to its premises, assets and primary accounting and tax accounting documents (on paper or electronic media), including issue of powers of attorney for the persons concerned, as well as organize a meeting with the Group management.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(w)</w:t>
            </w:r>
          </w:p>
        </w:tc>
        <w:tc>
          <w:tcPr>
            <w:tcW w:w="8470" w:type="dxa"/>
            <w:tcBorders/>
            <w:shd w:fill="auto" w:val="clear"/>
          </w:tcPr>
          <w:p>
            <w:pPr>
              <w:pStyle w:val="TableContents"/>
              <w:spacing w:before="0" w:after="283"/>
              <w:jc w:val="left"/>
              <w:rPr/>
            </w:pPr>
            <w:r>
              <w:rPr>
                <w:b/>
              </w:rPr>
              <w:t>Additional General Obligations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 xml:space="preserve">The Guarantor shall, at the request of any Party to the Financing, at its own expense, take any actions and sign any documents and ensure that any of its Subsidiaries, at such Subsidiary’s own expense, takes any action and signs any documents necessary to ensure the validity and proper performance of the Financial Documents. In particular, the Guarantor shall, at its own expense, at the request of the Credit Agent, ensure: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taking all actions necessary to ensure the validity of the Borrower’s Pledge Agreement and the Headhunter’s Pledge Agreement if any Lender other than the Original Lender acquires any rights (claims) to the Borrower and (or) obligations to grant the Loan pursuant to the provisions of Article 22.2 (</w:t>
            </w:r>
            <w:r>
              <w:rPr>
                <w:i/>
              </w:rPr>
              <w:t>Assignment of Rights and Transfer of Obligations by the Lenders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entering into supplementary agreements to the Borrower’s Pledge Agreement and the Headhunter’s Pledge Agreement (on such terms and conditions as acceptable to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4.2.</w:t>
            </w:r>
          </w:p>
        </w:tc>
        <w:tc>
          <w:tcPr>
            <w:tcW w:w="9390" w:type="dxa"/>
            <w:tcBorders/>
            <w:shd w:fill="auto" w:val="clear"/>
          </w:tcPr>
          <w:p>
            <w:pPr>
              <w:pStyle w:val="TableContents"/>
              <w:spacing w:before="0" w:after="283"/>
              <w:jc w:val="left"/>
              <w:rPr/>
            </w:pPr>
            <w:r>
              <w:rPr>
                <w:b/>
              </w:rPr>
              <w:t>Irrevocability of the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Guarantor under this Agreement and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are an irrevocable security according to the provisions of Article 5.1 (</w:t>
            </w:r>
            <w:r>
              <w:rPr>
                <w:i/>
              </w:rPr>
              <w:t>Validity Term</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supplement any other security and are unimpaired by any other security that is now or hereafter provided to the Lenders for all or any of the Secured Obligations;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are not affected by any reorganization of the Guarantor and (or) the Borrower, including, but not limited to, any changes in the legal form of the Guarantor and/or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continue to be valid during any liquidation or insolvency (bankruptcy) procedure initiated against the Guarantor and (or) the Borrower, or during any reorganization of the Guarantor and (or) the Borrower to the extent permitted by the applicable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 xml:space="preserve">continue to be valid until terminated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4.3.</w:t>
            </w:r>
          </w:p>
        </w:tc>
        <w:tc>
          <w:tcPr>
            <w:tcW w:w="9389" w:type="dxa"/>
            <w:tcBorders/>
            <w:shd w:fill="auto" w:val="clear"/>
          </w:tcPr>
          <w:p>
            <w:pPr>
              <w:pStyle w:val="TableContents"/>
              <w:spacing w:before="0" w:after="283"/>
              <w:jc w:val="left"/>
              <w:rPr/>
            </w:pPr>
            <w:r>
              <w:rPr>
                <w:b/>
              </w:rPr>
              <w:t>Material Change in Circumstances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Such material change in circumstances as described in Article 451 of the Civil Code does not justify revoking of the Guarantee, amending or terminating this Agreement on the initiative of the Guarantor and (or) the Borrower.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4.4.</w:t>
            </w:r>
          </w:p>
        </w:tc>
        <w:tc>
          <w:tcPr>
            <w:tcW w:w="9389" w:type="dxa"/>
            <w:tcBorders/>
            <w:shd w:fill="auto" w:val="clear"/>
          </w:tcPr>
          <w:p>
            <w:pPr>
              <w:pStyle w:val="TableContents"/>
              <w:spacing w:before="0" w:after="283"/>
              <w:jc w:val="left"/>
              <w:rPr/>
            </w:pPr>
            <w:r>
              <w:rPr>
                <w:b/>
              </w:rPr>
              <w:t>Waiver of Defense against Claims of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Any dispute between the Guarantor, the Borrower and (or) any other Debtor, as well as between the Guarantor, the Borrower and (or) any other Debtor, on the one hand, and the Lenders, on the other hand, does not relieve the Guarantor from fulfilling the obligations under this Agreement and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is not entitled: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to file any such counterclaims or objections against any claims of the Lenders which the Borrower or another Debtor could submit;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to fail to fulfill any obligations under this Agreement and the Guarantee or postpone their fulfillment, referring to the existence of any dispute between the Borrower or another Debtor, on the one hand, and the Lenders, on the other hand.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4.5.</w:t>
            </w:r>
          </w:p>
        </w:tc>
        <w:tc>
          <w:tcPr>
            <w:tcW w:w="9388" w:type="dxa"/>
            <w:tcBorders/>
            <w:shd w:fill="auto" w:val="clear"/>
          </w:tcPr>
          <w:p>
            <w:pPr>
              <w:pStyle w:val="TableContents"/>
              <w:spacing w:before="0" w:after="283"/>
              <w:jc w:val="left"/>
              <w:rPr/>
            </w:pPr>
            <w:r>
              <w:rPr>
                <w:b/>
              </w:rPr>
              <w:t>Change in the Secured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hereby expresses its consent to be jointly liable with the Borrower, irrespective of whether the terms and conditions of the Loan Agreement will be amended in any way, including any amendments leading to an increase in the volume of the Secured Obligations or other adverse consequences for the Guarantor. No additional written consent of the Guarantor is required for such amendment.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4.6.</w:t>
            </w:r>
          </w:p>
        </w:tc>
        <w:tc>
          <w:tcPr>
            <w:tcW w:w="9390"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Guarantor may not revoke or amend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term or condition of this Agreement and the Guarantee may be amended by a written agreement signed by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In case of any amendment to the terms and conditions of the Loan Agreement, the Guarantor and the Borrower shall, at the request of the Credit Agent, enter into an agreement with the Lender within a period agreed by the Parties to make relevant amendments to this Agreement and the Guarantee if, according to the current legislation (including the judicial practice then existing) such amendments are necessary for the Guarantee to remain valid and to ensure the complete fulfillment of the Secured Obligations, taking into account amendments to the Loan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4.7.</w:t>
            </w:r>
          </w:p>
        </w:tc>
        <w:tc>
          <w:tcPr>
            <w:tcW w:w="9390" w:type="dxa"/>
            <w:tcBorders/>
            <w:shd w:fill="auto" w:val="clear"/>
          </w:tcPr>
          <w:p>
            <w:pPr>
              <w:pStyle w:val="TableContents"/>
              <w:spacing w:before="0" w:after="283"/>
              <w:jc w:val="left"/>
              <w:rPr/>
            </w:pPr>
            <w:r>
              <w:rPr>
                <w:b/>
              </w:rPr>
              <w:t>Reimbursement to the 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Guarantor hereby confirms that the Lender’s claims (filed directly by the Lender or through the Credit Agent) under the Loan Agreement shall take precedence over the Guarantor’s claims with respect to the Reimbursement for the Amounts Paid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hereby undertakes: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9"/>
        <w:gridCol w:w="7554"/>
      </w:tblGrid>
      <w:tr>
        <w:trPr/>
        <w:tc>
          <w:tcPr>
            <w:tcW w:w="1731"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not to file any claims against the Borrower for the Reimbursement for the Amounts Paid under the Guarantee until the Secured Obligations are fully repaid;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until the Secured Obligations are fully repaid, to refrain from assignment or any other transfer of its claims of the Reimbursement for the Amounts Paid under the Guarantee, and from encumbrance of such claims in favor of third parties (excluding the Credit Agent and (or) the Lenders in connection with the Loan Agreement), without the prior written consent of the Credit Agent acting under the provisions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without prejudice to the other provisions of this Agreement, if the Guarantor receives the Reimbursement for the Amounts Paid under the Guarantee in violation of the terms or conditions of this Agreement, to immediately transfer the amount received by the Guarantor as a result of the Reimbursement for the Amounts Paid under the Guarantee to the Credit Agent’s Account.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In accordance with the provisions of Article 309.1 paragraph 2 of the Civil Code, after the Guarantor’s transfer of an amount received by the Guarantor as a result of the Reimbursement for the Amounts Paid under the Guarantee to the Credit Agent’s Account, the Lenders’ claim to the Borrower in the relevant part passes to the Guarantor. The Guarantor that has transferred such amount to the Credit Agent’s Account may file such claim to the Borrower only after the Secured Obligations are fully repaid.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Until the Secured Obligations are fully repaid, the Borrower undertakes to refrain from the Reimbursement for the Amounts Paid under the Guarantee, without the prior written consent of the Credit Agent acting pursuant to a resolution of the Qualified Majority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5.</w:t>
            </w:r>
          </w:p>
        </w:tc>
        <w:tc>
          <w:tcPr>
            <w:tcW w:w="9390" w:type="dxa"/>
            <w:tcBorders/>
            <w:shd w:fill="auto" w:val="clear"/>
          </w:tcPr>
          <w:p>
            <w:pPr>
              <w:pStyle w:val="TableContents"/>
              <w:spacing w:before="0" w:after="283"/>
              <w:jc w:val="left"/>
              <w:rPr/>
            </w:pPr>
            <w:r>
              <w:rPr>
                <w:b/>
              </w:rPr>
              <w:t>VALIDITY TERM</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5.1.</w:t>
            </w:r>
          </w:p>
        </w:tc>
        <w:tc>
          <w:tcPr>
            <w:tcW w:w="9390" w:type="dxa"/>
            <w:tcBorders/>
            <w:shd w:fill="auto" w:val="clear"/>
          </w:tcPr>
          <w:p>
            <w:pPr>
              <w:pStyle w:val="TableContents"/>
              <w:spacing w:before="0" w:after="283"/>
              <w:jc w:val="left"/>
              <w:rPr/>
            </w:pPr>
            <w:r>
              <w:rPr>
                <w:b/>
              </w:rPr>
              <w:t>Validity Term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Guarantee is issued for a period from the Issue Date through a date that occurs after 96 months from the date of Amendment Agreement No. 3. This Agreement shall become effective on the date of its signing indicated at the beginning of this Agreement, and shall remain in force until the obligations under the Guarantee issued hereunder are completely fulfilled.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5.2.</w:t>
            </w:r>
          </w:p>
        </w:tc>
        <w:tc>
          <w:tcPr>
            <w:tcW w:w="9388" w:type="dxa"/>
            <w:tcBorders/>
            <w:shd w:fill="auto" w:val="clear"/>
          </w:tcPr>
          <w:p>
            <w:pPr>
              <w:pStyle w:val="TableContents"/>
              <w:spacing w:before="0" w:after="283"/>
              <w:jc w:val="left"/>
              <w:rPr/>
            </w:pPr>
            <w:r>
              <w:rPr>
                <w:b/>
              </w:rPr>
              <w:t>Continuing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Guarantor under this Agreement and the Guarantee are permanent and are not considered fulfilled by any partial payment or partial fulfillment of all or any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6.</w:t>
            </w:r>
          </w:p>
        </w:tc>
        <w:tc>
          <w:tcPr>
            <w:tcW w:w="9392" w:type="dxa"/>
            <w:tcBorders/>
            <w:shd w:fill="auto" w:val="clear"/>
          </w:tcPr>
          <w:p>
            <w:pPr>
              <w:pStyle w:val="TableContents"/>
              <w:spacing w:before="0" w:after="283"/>
              <w:jc w:val="left"/>
              <w:rPr/>
            </w:pPr>
            <w:r>
              <w:rPr>
                <w:b/>
              </w:rPr>
              <w:t>PAYMENT CLAIM, PAYMENTS, TAXES AND CURRENCY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6.1.</w:t>
            </w:r>
          </w:p>
        </w:tc>
        <w:tc>
          <w:tcPr>
            <w:tcW w:w="9390" w:type="dxa"/>
            <w:tcBorders/>
            <w:shd w:fill="auto" w:val="clear"/>
          </w:tcPr>
          <w:p>
            <w:pPr>
              <w:pStyle w:val="TableContents"/>
              <w:spacing w:before="0" w:after="283"/>
              <w:jc w:val="left"/>
              <w:rPr/>
            </w:pPr>
            <w:r>
              <w:rPr>
                <w:b/>
              </w:rPr>
              <w:t>Payment Claim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the Secured Obligations are not fulfilled, as specified in Article 2 (Independent Guarantee and Reimbursement of Losses), the Original Lender (or, after assignment under this Agreement and the Guarantee in accordance with Article 9.2 (Transfer of Rights by the Lenders), the Credit Agent acting on behalf of the Lenders) shall send the Guarantor a Payment Claim and a copy of the notice of the Original Lender or the Credit Agent, respectively, sent to the Borrower under Article 21.18 (Acceleration) of the Loan Agreement. The Guarantor shall make a payment against the Payment Claim within a period not exceeding 5 (five) Business Days from the date when the Guarantor receives the Payment Claim.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b/>
              </w:rPr>
              <w:t>Accounts for Receipt of Payments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obligations of the Guarantor set forth in Article 6.1 (</w:t>
            </w:r>
            <w:r>
              <w:rPr>
                <w:i/>
              </w:rPr>
              <w:t>Payment Claim</w:t>
            </w:r>
            <w:r>
              <w:rPr/>
              <w:t>) are fulfilled by payment of an amount specified in the Payment Claim to the account of the Original Lender (or after assignment of rights (claims) under this Agreement and the Guarantee in accordance with Article 9.2 (</w:t>
            </w:r>
            <w:r>
              <w:rPr>
                <w:i/>
              </w:rPr>
              <w:t>Transfer of Rights by the Lenders</w:t>
            </w:r>
            <w:r>
              <w:rPr/>
              <w:t xml:space="preserve">), to the account of the Credit Agent acting on behalf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amounts received by the Credit Agent are to be allocated among the Lenders by the Credit Agent in accordance with the Proportional Share of each Lender in the manner provided for in the Loan Agreement. The provisions of this Clause shall come into force from the assignment of the rights (claims) under this Agreement and the Guarantee by the Original Lender in accordance with Article 9.2 (Transfer of Rights by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b/>
              </w:rPr>
              <w:t>Payments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amounts due to the Lenders under this Agreement and the Guarantee shall be paid by the Guarantor to the Original Lender to the account of the Original Lender in Rubles (or after assignment of rights (claims) under this Agreement and the Guarantee in accordance with Article 9.2 (Transfer of Rights by the Lenders) to the Credit Agent to the Credit Agent’s account for allocation among the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6.4.</w:t>
            </w:r>
          </w:p>
        </w:tc>
        <w:tc>
          <w:tcPr>
            <w:tcW w:w="9388" w:type="dxa"/>
            <w:tcBorders/>
            <w:shd w:fill="auto" w:val="clear"/>
          </w:tcPr>
          <w:p>
            <w:pPr>
              <w:pStyle w:val="TableContents"/>
              <w:spacing w:before="0" w:after="283"/>
              <w:jc w:val="left"/>
              <w:rPr/>
            </w:pPr>
            <w:r>
              <w:rPr>
                <w:b/>
              </w:rPr>
              <w:t>Performance of the Guarantor’s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pecuniary obligations of the Guarantor under this Agreement and the Guarantee shall be deemed fulfilled on the date of crediting of funds in Rubles to the account of the Original Lender in Rubles (or, after assignment of rights (claims) under this Agreement and the Guarantee in accordance with Article 9.2 (Transfer of Rights by the Lenders), to the Credit Agent’s account for allocation among the Lenders). If this Agreement, the Guarantee or any other Financial Document establishes the time prior to which the Guarantor’s obligations are to be fulfilled, the Guarantor shall ensure before the set deadline that funds are credited to the account of the Original Lender (or, after assignment of rights (claims) under this Agreement and the Guarantee in accordance with Article 9.2 (Transfer of Rights by the Lenders), to the Credit Agent’s account).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6.5.</w:t>
            </w:r>
          </w:p>
        </w:tc>
        <w:tc>
          <w:tcPr>
            <w:tcW w:w="9388" w:type="dxa"/>
            <w:tcBorders/>
            <w:shd w:fill="auto" w:val="clear"/>
          </w:tcPr>
          <w:p>
            <w:pPr>
              <w:pStyle w:val="TableContents"/>
              <w:spacing w:before="0" w:after="283"/>
              <w:jc w:val="left"/>
              <w:rPr/>
            </w:pPr>
            <w:r>
              <w:rPr>
                <w:b/>
              </w:rPr>
              <w:t>Withholding and Deduction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payments made by the Guarantor under this Agreement and the Guarantee shall be without any deductions or withholdings, except for the deductions and withholdings expressly established by the applicable law. If the current legislation contains a requirement for any deductions or withholdings in respect of payments provided for in this Agreement and the Guarantee, the Guarantor shall: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ensure that such deductions or withholdings do not exceed an amount provided for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promptly pay the Original Lender (or, after assignment of rights (claims) under this Agreement and the Guarantee in accordance with Article 9.2 (Transfer of Rights by the Lenders), to the Credit Agent for allocation among the Lenders) an additional amount so that the total amount received by the Lenders is equal to the amount that would have been received by the Lenders if such deductions or withholdings were not made.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6.6.</w:t>
            </w:r>
          </w:p>
        </w:tc>
        <w:tc>
          <w:tcPr>
            <w:tcW w:w="9389" w:type="dxa"/>
            <w:tcBorders/>
            <w:shd w:fill="auto" w:val="clear"/>
          </w:tcPr>
          <w:p>
            <w:pPr>
              <w:pStyle w:val="TableContents"/>
              <w:spacing w:before="0" w:after="283"/>
              <w:jc w:val="left"/>
              <w:rPr/>
            </w:pPr>
            <w:r>
              <w:rPr>
                <w:b/>
              </w:rPr>
              <w:t>Receipt of Payments in Other Currencies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make all payments under this Agreement and the Guarantee in Rubles, except for compensation to the Lenders of any costs incurred in connection with this Agreement and with the Guarantee, which shall be paid by the Guarantor in the same currency in which they arose (the “</w:t>
      </w:r>
      <w:r>
        <w:rPr>
          <w:rFonts w:ascii="Times New Roman" w:hAnsi="Times New Roman"/>
          <w:b/>
          <w:sz w:val="20"/>
        </w:rPr>
        <w:t>Agreement Currency</w:t>
      </w:r>
      <w:r>
        <w:rPr>
          <w:rFonts w:ascii="Times New Roman" w:hAnsi="Times New Roman"/>
          <w:sz w:val="20"/>
        </w:rPr>
        <w:t>”) if payments in such currency do not contradict the legislation. The payment obligations of the Guarantor are deemed to be performed only if the respective amounts are received by the Credit Agent in the Agreement Currency. If any amounts under this Agreement and the Guarantee are received against the obligations of the Guarantor in a currency other than the Agreement Currency, and the Original Lender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the Credit Agent) converts the received amount into the Agreement Currency, the Guarantor shall reimburse the Original Lender or the Credit Agent, respectively, for its expenses related to the conversion of the received amount to the Agreement Currency (at an internal currency rate of the Bank of the Account) and compensate the difference between an amount due from the Guarantor in the Agreement Currency and an amount received by the Credit Agent as a result of converting the funds received from the Guarantor into the Agreement Currency.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6.7.</w:t>
            </w:r>
          </w:p>
        </w:tc>
        <w:tc>
          <w:tcPr>
            <w:tcW w:w="9390" w:type="dxa"/>
            <w:tcBorders/>
            <w:shd w:fill="auto" w:val="clear"/>
          </w:tcPr>
          <w:p>
            <w:pPr>
              <w:pStyle w:val="TableContents"/>
              <w:spacing w:before="0" w:after="283"/>
              <w:jc w:val="left"/>
              <w:rPr/>
            </w:pPr>
            <w:r>
              <w:rPr>
                <w:b/>
              </w:rPr>
              <w:t>Prohibition of Set-Off or Counterclaim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Performance of the Guarantor’s obligations to make any payments provided for in this Agreement and the Guarantee is not a counterclaim for performance of the Lenders’ obligations in the meaning of Article 328 of the Civil Code. The obligations of the Guarantor to make any payments provided for by this Agreement and the Guarantee may not be stopped by offsetting any counterclaims of the Guarantor to the Lenders. The Parties agree in accordance with Article 411 of the Civil Code that the Guarantor may not terminate the claims of the Lenders to the Guarantor by set-off.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6.8.</w:t>
            </w:r>
          </w:p>
        </w:tc>
        <w:tc>
          <w:tcPr>
            <w:tcW w:w="9388" w:type="dxa"/>
            <w:tcBorders/>
            <w:shd w:fill="auto" w:val="clear"/>
          </w:tcPr>
          <w:p>
            <w:pPr>
              <w:pStyle w:val="TableContents"/>
              <w:spacing w:before="0" w:after="283"/>
              <w:jc w:val="left"/>
              <w:rPr/>
            </w:pPr>
            <w:r>
              <w:rPr>
                <w:b/>
              </w:rPr>
              <w:t>Maturity Date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any maturity date under this Agreement or the Guarantee falls on a day other than a Business Day, such payment must be made on the previous Business Day. </w:t>
      </w:r>
    </w:p>
    <w:p>
      <w:pPr>
        <w:pStyle w:val="TextBody"/>
        <w:spacing w:before="0" w:after="0"/>
        <w:rPr/>
      </w:pPr>
      <w:r>
        <w:rPr/>
        <w: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6.9.</w:t>
            </w:r>
          </w:p>
        </w:tc>
        <w:tc>
          <w:tcPr>
            <w:tcW w:w="9388" w:type="dxa"/>
            <w:tcBorders/>
            <w:shd w:fill="auto" w:val="clear"/>
          </w:tcPr>
          <w:p>
            <w:pPr>
              <w:pStyle w:val="TableContents"/>
              <w:spacing w:before="0" w:after="283"/>
              <w:jc w:val="left"/>
              <w:rPr/>
            </w:pPr>
            <w:r>
              <w:rPr>
                <w:b/>
              </w:rPr>
              <w:t>Value-Added Tax</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amounts payable under this Agreement and the Guarantee by the Guarantor to any Lender are specified without VAT. If VAT is payable, the Guarantor shall pay an amount of VAT (at a rate effective at the date of payment) to the Lenders (in addition to any amounts payable).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6.10.</w:t>
            </w:r>
          </w:p>
        </w:tc>
        <w:tc>
          <w:tcPr>
            <w:tcW w:w="9389" w:type="dxa"/>
            <w:tcBorders/>
            <w:shd w:fill="auto" w:val="clear"/>
          </w:tcPr>
          <w:p>
            <w:pPr>
              <w:pStyle w:val="TableContents"/>
              <w:spacing w:before="0" w:after="283"/>
              <w:jc w:val="left"/>
              <w:rPr/>
            </w:pPr>
            <w:r>
              <w:rPr>
                <w:b/>
              </w:rPr>
              <w:t>Use of Received Funds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funds received by the Lenders under this Agreement and the Guarantee shall be used by the Lenders to settle the Secured Obligations in accordance with the order of priority specified in the Loan Agreement respectively; each Lender shall receive part of the money received by the Lenders under this Agreement and the Guarantee according to its Proportional Share; no rights of the Lenders to recover any underpaid amounts from the Guarantor or any other persons, as provided for in the Loan Agreement, shall be infringed; and the Guarantor may not prevent such use. </w:t>
      </w:r>
    </w:p>
    <w:p>
      <w:pPr>
        <w:pStyle w:val="TextBody"/>
        <w:spacing w:before="120" w:after="0"/>
        <w:rPr>
          <w:rFonts w:ascii="Times New Roman" w:hAnsi="Times New Roman"/>
          <w:sz w:val="20"/>
        </w:rPr>
      </w:pPr>
      <w:r>
        <w:rPr>
          <w:rFonts w:ascii="Times New Roman" w:hAnsi="Times New Roman"/>
          <w:sz w:val="20"/>
        </w:rPr>
        <w:t xml:space="preserve">Any surplus cash remaining after the full performance of the Secured Obligations (that is, the full payment of principal, interest and commissions payable by the Borrower, but not paid, as well as any other payments due under the Loan Agreement) shall, within 3 (Three) Business Days from the date of receipt of the bank details from the Guarantor, be paid to the Guarantor according to the bank details specified by 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7.</w:t>
            </w:r>
          </w:p>
        </w:tc>
        <w:tc>
          <w:tcPr>
            <w:tcW w:w="9390" w:type="dxa"/>
            <w:tcBorders/>
            <w:shd w:fill="auto" w:val="clear"/>
          </w:tcPr>
          <w:p>
            <w:pPr>
              <w:pStyle w:val="TableContents"/>
              <w:spacing w:before="0" w:after="283"/>
              <w:jc w:val="left"/>
              <w:rPr/>
            </w:pPr>
            <w:r>
              <w:rPr>
                <w:b/>
              </w:rPr>
              <w:t>NOTICES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7.1.</w:t>
            </w:r>
          </w:p>
        </w:tc>
        <w:tc>
          <w:tcPr>
            <w:tcW w:w="9390" w:type="dxa"/>
            <w:tcBorders/>
            <w:shd w:fill="auto" w:val="clear"/>
          </w:tcPr>
          <w:p>
            <w:pPr>
              <w:pStyle w:val="TableContents"/>
              <w:spacing w:before="0" w:after="283"/>
              <w:jc w:val="left"/>
              <w:rPr/>
            </w:pPr>
            <w:r>
              <w:rPr>
                <w:b/>
              </w:rPr>
              <w:t>Written Form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messages sent by the Parties under this Agreement and the Guarantee shall be in writing and may be sent by courier, by mail with return receipt, and, unless otherwise provided, by fax or by other means enabling to reliably establish that a message is from a Party to this Agreement. For the purposes of this Agreement and the Guarantee, a message transmitted using electronic means of communication shall be deemed to be in writing.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7.2.</w:t>
            </w:r>
          </w:p>
        </w:tc>
        <w:tc>
          <w:tcPr>
            <w:tcW w:w="9389" w:type="dxa"/>
            <w:tcBorders/>
            <w:shd w:fill="auto" w:val="clear"/>
          </w:tcPr>
          <w:p>
            <w:pPr>
              <w:pStyle w:val="TableContents"/>
              <w:spacing w:before="0" w:after="283"/>
              <w:jc w:val="left"/>
              <w:rPr/>
            </w:pPr>
            <w:r>
              <w:rPr>
                <w:b/>
              </w:rPr>
              <w:t>Addresses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Unless otherwise provided for below, the contact details of each Party for all messages in connection with this Loan Agreement and the Guarantee are data which such Party reported to the Credit Agent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Contact details of the Guarantor: </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3"/>
        <w:gridCol w:w="4797"/>
      </w:tblGrid>
      <w:tr>
        <w:trPr/>
        <w:tc>
          <w:tcPr>
            <w:tcW w:w="520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10204"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HEADHUNTER LIMITED  LIABILITY COMPANY</w:t>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  </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pPr>
            <w:r>
              <w:rPr/>
              <w:t>9, Godovikova St., bld. 10, Moscow, the Russian Federation</w:t>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Fax:   </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pPr>
            <w:r>
              <w:rPr/>
              <w:t>+7 495 788-68-70</w:t>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E-mail:   </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pPr>
            <w:r>
              <w:rPr/>
              <w:t>zhukov@hh.ru</w:t>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Attn:    </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pPr>
            <w:r>
              <w:rPr/>
              <w:t>Mikhail Alexandrovich Zhukov</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Contact details of the Borrower: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1185"/>
        <w:gridCol w:w="253"/>
        <w:gridCol w:w="7031"/>
      </w:tblGrid>
      <w:tr>
        <w:trPr/>
        <w:tc>
          <w:tcPr>
            <w:tcW w:w="1185" w:type="dxa"/>
            <w:tcBorders/>
            <w:shd w:fill="auto" w:val="clear"/>
            <w:vAlign w:val="center"/>
          </w:tcPr>
          <w:p>
            <w:pPr>
              <w:pStyle w:val="TableContents"/>
              <w:spacing w:before="0" w:after="283"/>
              <w:rPr>
                <w:sz w:val="4"/>
                <w:szCs w:val="4"/>
              </w:rPr>
            </w:pPr>
            <w:r>
              <w:rPr>
                <w:sz w:val="4"/>
                <w:szCs w:val="4"/>
              </w:rPr>
            </w:r>
          </w:p>
        </w:tc>
        <w:tc>
          <w:tcPr>
            <w:tcW w:w="253" w:type="dxa"/>
            <w:tcBorders/>
            <w:shd w:fill="auto" w:val="clear"/>
            <w:vAlign w:val="bottom"/>
          </w:tcPr>
          <w:p>
            <w:pPr>
              <w:pStyle w:val="TableContents"/>
              <w:spacing w:before="0" w:after="283"/>
              <w:rPr>
                <w:sz w:val="4"/>
                <w:szCs w:val="4"/>
              </w:rPr>
            </w:pPr>
            <w:r>
              <w:rPr>
                <w:sz w:val="4"/>
                <w:szCs w:val="4"/>
              </w:rPr>
            </w:r>
          </w:p>
        </w:tc>
        <w:tc>
          <w:tcPr>
            <w:tcW w:w="7031" w:type="dxa"/>
            <w:tcBorders/>
            <w:shd w:fill="auto" w:val="clear"/>
            <w:vAlign w:val="center"/>
          </w:tcPr>
          <w:p>
            <w:pPr>
              <w:pStyle w:val="TableContents"/>
              <w:spacing w:before="0" w:after="283"/>
              <w:rPr>
                <w:sz w:val="4"/>
                <w:szCs w:val="4"/>
              </w:rPr>
            </w:pPr>
            <w:r>
              <w:rPr>
                <w:sz w:val="4"/>
                <w:szCs w:val="4"/>
              </w:rPr>
            </w:r>
          </w:p>
        </w:tc>
      </w:tr>
      <w:tr>
        <w:trPr>
          <w:trHeight w:val="120" w:hRule="atLeast"/>
        </w:trPr>
        <w:tc>
          <w:tcPr>
            <w:tcW w:w="8469" w:type="dxa"/>
            <w:gridSpan w:val="3"/>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tcPr>
          <w:p>
            <w:pPr>
              <w:pStyle w:val="TableContents"/>
              <w:spacing w:before="0" w:after="283"/>
              <w:rPr/>
            </w:pPr>
            <w:r>
              <w:rPr>
                <w:b/>
              </w:rPr>
              <w:t>Zemenik Limited Liability Company</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Address:</w:t>
            </w:r>
          </w:p>
        </w:tc>
        <w:tc>
          <w:tcPr>
            <w:tcW w:w="253" w:type="dxa"/>
            <w:tcBorders/>
            <w:shd w:fill="auto" w:val="clear"/>
            <w:vAlign w:val="bottom"/>
          </w:tcPr>
          <w:p>
            <w:pPr>
              <w:pStyle w:val="TableContents"/>
              <w:spacing w:before="0" w:after="283"/>
              <w:rPr/>
            </w:pPr>
            <w:r>
              <w:rPr/>
              <w:t>  </w:t>
            </w:r>
          </w:p>
        </w:tc>
        <w:tc>
          <w:tcPr>
            <w:tcW w:w="7031" w:type="dxa"/>
            <w:tcBorders/>
            <w:shd w:fill="auto" w:val="clear"/>
          </w:tcPr>
          <w:p>
            <w:pPr>
              <w:pStyle w:val="TableContents"/>
              <w:spacing w:before="0" w:after="283"/>
              <w:rPr/>
            </w:pPr>
            <w:r>
              <w:rPr/>
              <w:t>4 Akademika Ilyushina St., bld. 1, office 54, Moscow, the Russian Federation, 125319</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Fax:</w:t>
            </w:r>
          </w:p>
        </w:tc>
        <w:tc>
          <w:tcPr>
            <w:tcW w:w="253" w:type="dxa"/>
            <w:tcBorders/>
            <w:shd w:fill="auto" w:val="clear"/>
            <w:vAlign w:val="bottom"/>
          </w:tcPr>
          <w:p>
            <w:pPr>
              <w:pStyle w:val="TableContents"/>
              <w:spacing w:before="0" w:after="283"/>
              <w:rPr/>
            </w:pPr>
            <w:r>
              <w:rPr/>
              <w:t>  </w:t>
            </w:r>
          </w:p>
        </w:tc>
        <w:tc>
          <w:tcPr>
            <w:tcW w:w="7031" w:type="dxa"/>
            <w:tcBorders/>
            <w:shd w:fill="auto" w:val="clear"/>
          </w:tcPr>
          <w:p>
            <w:pPr>
              <w:pStyle w:val="TableContents"/>
              <w:spacing w:before="0" w:after="283"/>
              <w:rPr/>
            </w:pPr>
            <w:r>
              <w:rPr/>
              <w:t>+7 495 974-64-27</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E-mail:</w:t>
            </w:r>
          </w:p>
        </w:tc>
        <w:tc>
          <w:tcPr>
            <w:tcW w:w="253" w:type="dxa"/>
            <w:tcBorders/>
            <w:shd w:fill="auto" w:val="clear"/>
            <w:vAlign w:val="bottom"/>
          </w:tcPr>
          <w:p>
            <w:pPr>
              <w:pStyle w:val="TableContents"/>
              <w:spacing w:before="0" w:after="283"/>
              <w:rPr/>
            </w:pPr>
            <w:r>
              <w:rPr/>
              <w:t>  </w:t>
            </w:r>
          </w:p>
        </w:tc>
        <w:tc>
          <w:tcPr>
            <w:tcW w:w="7031" w:type="dxa"/>
            <w:tcBorders/>
            <w:shd w:fill="auto" w:val="clear"/>
          </w:tcPr>
          <w:p>
            <w:pPr>
              <w:pStyle w:val="TableContents"/>
              <w:spacing w:before="0" w:after="283"/>
              <w:rPr/>
            </w:pPr>
            <w:r>
              <w:rPr/>
              <w:t>karen.agayan@arpartners.ru</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Attn:</w:t>
            </w:r>
          </w:p>
        </w:tc>
        <w:tc>
          <w:tcPr>
            <w:tcW w:w="253" w:type="dxa"/>
            <w:tcBorders/>
            <w:shd w:fill="auto" w:val="clear"/>
            <w:vAlign w:val="bottom"/>
          </w:tcPr>
          <w:p>
            <w:pPr>
              <w:pStyle w:val="TableContents"/>
              <w:spacing w:before="0" w:after="283"/>
              <w:rPr/>
            </w:pPr>
            <w:r>
              <w:rPr/>
              <w:t>  </w:t>
            </w:r>
          </w:p>
        </w:tc>
        <w:tc>
          <w:tcPr>
            <w:tcW w:w="7031" w:type="dxa"/>
            <w:tcBorders/>
            <w:shd w:fill="auto" w:val="clear"/>
          </w:tcPr>
          <w:p>
            <w:pPr>
              <w:pStyle w:val="TableContents"/>
              <w:spacing w:before="0" w:after="283"/>
              <w:rPr/>
            </w:pPr>
            <w:r>
              <w:rPr/>
              <w:t>Karen Eduardovich Agayan</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Contact details of the Original Lender: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1185"/>
        <w:gridCol w:w="254"/>
        <w:gridCol w:w="7030"/>
      </w:tblGrid>
      <w:tr>
        <w:trPr/>
        <w:tc>
          <w:tcPr>
            <w:tcW w:w="1185" w:type="dxa"/>
            <w:tcBorders/>
            <w:shd w:fill="auto" w:val="clear"/>
            <w:vAlign w:val="center"/>
          </w:tcPr>
          <w:p>
            <w:pPr>
              <w:pStyle w:val="TableContents"/>
              <w:spacing w:before="0" w:after="283"/>
              <w:rPr>
                <w:sz w:val="4"/>
                <w:szCs w:val="4"/>
              </w:rPr>
            </w:pPr>
            <w:r>
              <w:rPr>
                <w:sz w:val="4"/>
                <w:szCs w:val="4"/>
              </w:rPr>
            </w:r>
          </w:p>
        </w:tc>
        <w:tc>
          <w:tcPr>
            <w:tcW w:w="254" w:type="dxa"/>
            <w:tcBorders/>
            <w:shd w:fill="auto" w:val="clear"/>
            <w:vAlign w:val="bottom"/>
          </w:tcPr>
          <w:p>
            <w:pPr>
              <w:pStyle w:val="TableContents"/>
              <w:spacing w:before="0" w:after="283"/>
              <w:rPr>
                <w:sz w:val="4"/>
                <w:szCs w:val="4"/>
              </w:rPr>
            </w:pPr>
            <w:r>
              <w:rPr>
                <w:sz w:val="4"/>
                <w:szCs w:val="4"/>
              </w:rPr>
            </w:r>
          </w:p>
        </w:tc>
        <w:tc>
          <w:tcPr>
            <w:tcW w:w="7030" w:type="dxa"/>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tcPr>
          <w:p>
            <w:pPr>
              <w:pStyle w:val="TableContents"/>
              <w:spacing w:before="0" w:after="283"/>
              <w:rPr>
                <w:b/>
              </w:rPr>
            </w:pPr>
            <w:r>
              <w:rPr>
                <w:b/>
              </w:rPr>
              <w:t>BANK VTB (PUBLIC JOINT-STOCK COMPANY)</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Location:</w:t>
            </w:r>
          </w:p>
        </w:tc>
        <w:tc>
          <w:tcPr>
            <w:tcW w:w="254" w:type="dxa"/>
            <w:tcBorders/>
            <w:shd w:fill="auto" w:val="clear"/>
            <w:vAlign w:val="bottom"/>
          </w:tcPr>
          <w:p>
            <w:pPr>
              <w:pStyle w:val="TableContents"/>
              <w:spacing w:before="0" w:after="283"/>
              <w:rPr/>
            </w:pPr>
            <w:r>
              <w:rPr/>
              <w:t>  </w:t>
            </w:r>
          </w:p>
        </w:tc>
        <w:tc>
          <w:tcPr>
            <w:tcW w:w="7030" w:type="dxa"/>
            <w:tcBorders/>
            <w:shd w:fill="auto" w:val="clear"/>
          </w:tcPr>
          <w:p>
            <w:pPr>
              <w:pStyle w:val="TableContents"/>
              <w:spacing w:before="0" w:after="283"/>
              <w:rPr/>
            </w:pPr>
            <w:r>
              <w:rPr/>
              <w:t>29, Bolshaya Morskaya St., Saint Petersburg, the Russian Federation, 190000</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Mail address:</w:t>
            </w:r>
          </w:p>
        </w:tc>
        <w:tc>
          <w:tcPr>
            <w:tcW w:w="254" w:type="dxa"/>
            <w:tcBorders/>
            <w:shd w:fill="auto" w:val="clear"/>
            <w:vAlign w:val="bottom"/>
          </w:tcPr>
          <w:p>
            <w:pPr>
              <w:pStyle w:val="TableContents"/>
              <w:spacing w:before="0" w:after="283"/>
              <w:rPr/>
            </w:pPr>
            <w:r>
              <w:rPr/>
              <w:t>  </w:t>
            </w:r>
          </w:p>
        </w:tc>
        <w:tc>
          <w:tcPr>
            <w:tcW w:w="7030" w:type="dxa"/>
            <w:tcBorders/>
            <w:shd w:fill="auto" w:val="clear"/>
          </w:tcPr>
          <w:p>
            <w:pPr>
              <w:pStyle w:val="TableContents"/>
              <w:spacing w:before="0" w:after="283"/>
              <w:rPr/>
            </w:pPr>
            <w:r>
              <w:rPr/>
              <w:t>43 Vorontsovskaya St., bld. 1, Moscow, 109147</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Telex:</w:t>
            </w:r>
          </w:p>
        </w:tc>
        <w:tc>
          <w:tcPr>
            <w:tcW w:w="254" w:type="dxa"/>
            <w:tcBorders/>
            <w:shd w:fill="auto" w:val="clear"/>
            <w:vAlign w:val="bottom"/>
          </w:tcPr>
          <w:p>
            <w:pPr>
              <w:pStyle w:val="TableContents"/>
              <w:spacing w:before="0" w:after="283"/>
              <w:rPr/>
            </w:pPr>
            <w:r>
              <w:rPr/>
              <w:t>  </w:t>
            </w:r>
          </w:p>
        </w:tc>
        <w:tc>
          <w:tcPr>
            <w:tcW w:w="7030" w:type="dxa"/>
            <w:tcBorders/>
            <w:shd w:fill="auto" w:val="clear"/>
          </w:tcPr>
          <w:p>
            <w:pPr>
              <w:pStyle w:val="TableContents"/>
              <w:spacing w:before="0" w:after="283"/>
              <w:rPr/>
            </w:pPr>
            <w:r>
              <w:rPr/>
              <w:t>412362 BFTR RU</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Telephone:</w:t>
            </w:r>
          </w:p>
        </w:tc>
        <w:tc>
          <w:tcPr>
            <w:tcW w:w="254" w:type="dxa"/>
            <w:tcBorders/>
            <w:shd w:fill="auto" w:val="clear"/>
            <w:vAlign w:val="bottom"/>
          </w:tcPr>
          <w:p>
            <w:pPr>
              <w:pStyle w:val="TableContents"/>
              <w:spacing w:before="0" w:after="283"/>
              <w:rPr/>
            </w:pPr>
            <w:r>
              <w:rPr/>
              <w:t>  </w:t>
            </w:r>
          </w:p>
        </w:tc>
        <w:tc>
          <w:tcPr>
            <w:tcW w:w="7030" w:type="dxa"/>
            <w:tcBorders/>
            <w:shd w:fill="auto" w:val="clear"/>
          </w:tcPr>
          <w:p>
            <w:pPr>
              <w:pStyle w:val="TableContents"/>
              <w:spacing w:before="0" w:after="283"/>
              <w:rPr/>
            </w:pPr>
            <w:r>
              <w:rPr/>
              <w:t>+7 495 956-71-48</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Fax:</w:t>
            </w:r>
          </w:p>
        </w:tc>
        <w:tc>
          <w:tcPr>
            <w:tcW w:w="254" w:type="dxa"/>
            <w:tcBorders/>
            <w:shd w:fill="auto" w:val="clear"/>
            <w:vAlign w:val="bottom"/>
          </w:tcPr>
          <w:p>
            <w:pPr>
              <w:pStyle w:val="TableContents"/>
              <w:spacing w:before="0" w:after="283"/>
              <w:rPr/>
            </w:pPr>
            <w:r>
              <w:rPr/>
              <w:t>  </w:t>
            </w:r>
          </w:p>
        </w:tc>
        <w:tc>
          <w:tcPr>
            <w:tcW w:w="7030" w:type="dxa"/>
            <w:tcBorders/>
            <w:shd w:fill="auto" w:val="clear"/>
          </w:tcPr>
          <w:p>
            <w:pPr>
              <w:pStyle w:val="TableContents"/>
              <w:spacing w:before="0" w:after="283"/>
              <w:rPr/>
            </w:pPr>
            <w:r>
              <w:rPr/>
              <w:t>+7 495 775-54-54</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E-mail:</w:t>
            </w:r>
          </w:p>
        </w:tc>
        <w:tc>
          <w:tcPr>
            <w:tcW w:w="254" w:type="dxa"/>
            <w:tcBorders/>
            <w:shd w:fill="auto" w:val="clear"/>
            <w:vAlign w:val="bottom"/>
          </w:tcPr>
          <w:p>
            <w:pPr>
              <w:pStyle w:val="TableContents"/>
              <w:spacing w:before="0" w:after="283"/>
              <w:rPr/>
            </w:pPr>
            <w:r>
              <w:rPr/>
              <w:t>  </w:t>
            </w:r>
          </w:p>
        </w:tc>
        <w:tc>
          <w:tcPr>
            <w:tcW w:w="7030" w:type="dxa"/>
            <w:tcBorders/>
            <w:shd w:fill="auto" w:val="clear"/>
          </w:tcPr>
          <w:p>
            <w:pPr>
              <w:pStyle w:val="TableContents"/>
              <w:spacing w:before="0" w:after="283"/>
              <w:rPr/>
            </w:pPr>
            <w:r>
              <w:rPr/>
              <w:t>loanadmin@msk.vtb.ru, TM21@msk.vtb.ru</w:t>
            </w:r>
          </w:p>
        </w:tc>
      </w:tr>
      <w:tr>
        <w:trPr>
          <w:trHeight w:val="120" w:hRule="atLeast"/>
        </w:trPr>
        <w:tc>
          <w:tcPr>
            <w:tcW w:w="1185" w:type="dxa"/>
            <w:tcBorders/>
            <w:shd w:fill="auto" w:val="clear"/>
            <w:vAlign w:val="center"/>
          </w:tcPr>
          <w:p>
            <w:pPr>
              <w:pStyle w:val="TableContents"/>
              <w:spacing w:before="0" w:after="283"/>
              <w:rPr>
                <w:sz w:val="4"/>
                <w:szCs w:val="4"/>
              </w:rPr>
            </w:pPr>
            <w:r>
              <w:rPr>
                <w:sz w:val="4"/>
                <w:szCs w:val="4"/>
              </w:rPr>
            </w:r>
          </w:p>
        </w:tc>
        <w:tc>
          <w:tcPr>
            <w:tcW w:w="7284" w:type="dxa"/>
            <w:gridSpan w:val="2"/>
            <w:tcBorders/>
            <w:shd w:fill="auto" w:val="clear"/>
            <w:vAlign w:val="center"/>
          </w:tcPr>
          <w:p>
            <w:pPr>
              <w:pStyle w:val="TableContents"/>
              <w:spacing w:before="0" w:after="283"/>
              <w:rPr>
                <w:sz w:val="4"/>
                <w:szCs w:val="4"/>
              </w:rPr>
            </w:pPr>
            <w:r>
              <w:rPr>
                <w:sz w:val="4"/>
                <w:szCs w:val="4"/>
              </w:rPr>
            </w:r>
          </w:p>
        </w:tc>
      </w:tr>
      <w:tr>
        <w:trPr/>
        <w:tc>
          <w:tcPr>
            <w:tcW w:w="1185" w:type="dxa"/>
            <w:tcBorders/>
            <w:shd w:fill="auto" w:val="clear"/>
          </w:tcPr>
          <w:p>
            <w:pPr>
              <w:pStyle w:val="TableContents"/>
              <w:spacing w:before="0" w:after="283"/>
              <w:rPr/>
            </w:pPr>
            <w:r>
              <w:rPr/>
              <w:t>Attn:</w:t>
            </w:r>
          </w:p>
        </w:tc>
        <w:tc>
          <w:tcPr>
            <w:tcW w:w="254" w:type="dxa"/>
            <w:tcBorders/>
            <w:shd w:fill="auto" w:val="clear"/>
            <w:vAlign w:val="bottom"/>
          </w:tcPr>
          <w:p>
            <w:pPr>
              <w:pStyle w:val="TableContents"/>
              <w:spacing w:before="0" w:after="283"/>
              <w:rPr/>
            </w:pPr>
            <w:r>
              <w:rPr/>
              <w:t>  </w:t>
            </w:r>
          </w:p>
        </w:tc>
        <w:tc>
          <w:tcPr>
            <w:tcW w:w="7030" w:type="dxa"/>
            <w:tcBorders/>
            <w:shd w:fill="auto" w:val="clear"/>
          </w:tcPr>
          <w:p>
            <w:pPr>
              <w:pStyle w:val="TableContents"/>
              <w:spacing w:before="0" w:after="283"/>
              <w:rPr/>
            </w:pPr>
            <w:r>
              <w:rPr/>
              <w:t>Credit Authority</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Any Party may change its contact details sending the Credit Agent an appropriate notice at least 5 (five) Business Days prior to such change. The Credit Agent shall notify all other Parties of any change in contact details.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(f)</w:t>
            </w:r>
          </w:p>
        </w:tc>
        <w:tc>
          <w:tcPr>
            <w:tcW w:w="8471" w:type="dxa"/>
            <w:tcBorders/>
            <w:shd w:fill="auto" w:val="clear"/>
          </w:tcPr>
          <w:p>
            <w:pPr>
              <w:pStyle w:val="TableContents"/>
              <w:spacing w:before="0" w:after="283"/>
              <w:jc w:val="left"/>
              <w:rPr/>
            </w:pPr>
            <w:r>
              <w:rPr/>
              <w:t xml:space="preserve">If a Party specifies a particular division or official as a recipient of a message, such message shall not be considered to be sent if such division or official is not designated as the recipient.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7.3.</w:t>
            </w:r>
          </w:p>
        </w:tc>
        <w:tc>
          <w:tcPr>
            <w:tcW w:w="9390" w:type="dxa"/>
            <w:tcBorders/>
            <w:shd w:fill="auto" w:val="clear"/>
          </w:tcPr>
          <w:p>
            <w:pPr>
              <w:pStyle w:val="TableContents"/>
              <w:spacing w:before="0" w:after="283"/>
              <w:jc w:val="left"/>
              <w:rPr/>
            </w:pPr>
            <w:r>
              <w:rPr>
                <w:b/>
              </w:rPr>
              <w:t>Notice Delivery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message or document sent by a Party to another Party in connection with this Agreement and the Guarantee shall be deemed to have been received (except for a notice sent in accordance with the laws of the Russian Federation in case of filing of any claims under the Guarantee and any other cases expressly provided for by the Agreement and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after receiving a message in a legible form when sent by fax or by another method which allows to establish reliably that the message is from a Party hereto; or upon delivery to the appropriate address when sent by courier;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upon delivery to the appropriate address or after 5 (five) Business Days after submitting to the post office when sent by mail with return receipt,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All notices sent by the Guarantor or to the Guarantor’s address shall be transmitted through the Credit Agent.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7.4.</w:t>
            </w:r>
          </w:p>
        </w:tc>
        <w:tc>
          <w:tcPr>
            <w:tcW w:w="9389" w:type="dxa"/>
            <w:tcBorders/>
            <w:shd w:fill="auto" w:val="clear"/>
          </w:tcPr>
          <w:p>
            <w:pPr>
              <w:pStyle w:val="TableContents"/>
              <w:spacing w:before="0" w:after="283"/>
              <w:jc w:val="left"/>
              <w:rPr/>
            </w:pPr>
            <w:r>
              <w:rPr>
                <w:b/>
              </w:rPr>
              <w:t>Language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notice or message sent by a Party in connection with this Agreement and the Guarantee must be in the Russian language. For the avoidance of doubt, the text is in Russian and may be accompanied by a translation into English; the text in Russian shall prevail.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8.</w:t>
            </w:r>
          </w:p>
        </w:tc>
        <w:tc>
          <w:tcPr>
            <w:tcW w:w="9391" w:type="dxa"/>
            <w:tcBorders/>
            <w:shd w:fill="auto" w:val="clear"/>
          </w:tcPr>
          <w:p>
            <w:pPr>
              <w:pStyle w:val="TableContents"/>
              <w:spacing w:before="0" w:after="283"/>
              <w:jc w:val="left"/>
              <w:rPr/>
            </w:pPr>
            <w:r>
              <w:rPr>
                <w:b/>
              </w:rPr>
              <w:t>MISCELLANEOUS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w:t>
            </w:r>
          </w:p>
        </w:tc>
        <w:tc>
          <w:tcPr>
            <w:tcW w:w="9389" w:type="dxa"/>
            <w:tcBorders/>
            <w:shd w:fill="auto" w:val="clear"/>
          </w:tcPr>
          <w:p>
            <w:pPr>
              <w:pStyle w:val="TableContents"/>
              <w:spacing w:before="0" w:after="283"/>
              <w:jc w:val="left"/>
              <w:rPr/>
            </w:pPr>
            <w:r>
              <w:rPr>
                <w:b/>
              </w:rPr>
              <w:t>Partial Invalidity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any provision of this Agreement is or becomes illegal, invalid or unenforceable, this does not affect the legality, validity or enforceability of any other provision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8.2.</w:t>
            </w:r>
          </w:p>
        </w:tc>
        <w:tc>
          <w:tcPr>
            <w:tcW w:w="9389" w:type="dxa"/>
            <w:tcBorders/>
            <w:shd w:fill="auto" w:val="clear"/>
          </w:tcPr>
          <w:p>
            <w:pPr>
              <w:pStyle w:val="TableContents"/>
              <w:spacing w:before="0" w:after="283"/>
              <w:jc w:val="left"/>
              <w:rPr/>
            </w:pPr>
            <w:r>
              <w:rPr>
                <w:b/>
              </w:rPr>
              <w:t>Wording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Parties acknowledge that the terms and conditions of this Agreement, as well as its wording, have been jointly determined by the Parties, each Party was equally able to influence the content of this Agreement based on its own reasonable interests.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9.</w:t>
            </w:r>
          </w:p>
        </w:tc>
        <w:tc>
          <w:tcPr>
            <w:tcW w:w="9391"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9.1.</w:t>
            </w:r>
          </w:p>
        </w:tc>
        <w:tc>
          <w:tcPr>
            <w:tcW w:w="9389"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Neither the Guarantor nor the Borrower may assign its rights or transfer the debt under this Agreement and the Guarantee or otherwise dispose of any of its rights and (or) obligations under this Agreement and the Guarantee without the written consent of all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9.2.</w:t>
            </w:r>
          </w:p>
        </w:tc>
        <w:tc>
          <w:tcPr>
            <w:tcW w:w="9389" w:type="dxa"/>
            <w:tcBorders/>
            <w:shd w:fill="auto" w:val="clear"/>
          </w:tcPr>
          <w:p>
            <w:pPr>
              <w:pStyle w:val="TableContents"/>
              <w:spacing w:before="0" w:after="283"/>
              <w:jc w:val="left"/>
              <w:rPr/>
            </w:pPr>
            <w:r>
              <w:rPr>
                <w:b/>
              </w:rPr>
              <w:t>Transfer of Rights by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Lender may, without the consent of the Guarantor and the Borrower, assign all or part of its rights (claims) under this Agreement and the Guarantee to any person to whom it has assigned its rights under the Loan Agreement, in accordance with the requirements established by Article 22.2 (</w:t>
            </w:r>
            <w:r>
              <w:rPr>
                <w:i/>
              </w:rPr>
              <w:t>Assignment of Rights and Transfer of Obligations by the Lenders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If the Lender assigns its rights (claims) under Clause (a) above, the Lenders that have wholly or partially assigned the rights (claims) under this Agreement and the Guarantee become beneficiaries under this Agreement and the Guarantee issued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If the Lender assigns its rights (claims) under Clause (a) above, the Guarantor shall, at its own expense, take any actions and sign any documents necessary for the purposes of exercising and protecting the rights of the Lenders as beneficiaries under the Guarantee provided for by this Agreement and the Guarantee issued hereunder. In particular, the Guarantor shall, at its own expense, at the request of the Credit Agent, ensure: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taking all actions necessary to ensure the validity of this Agreement and the Guarantee issued hereunder;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entering into a new Independent Guarantee Issue Agreement with the Lenders and issuing a new Independent Guarantee on the terms and conditions similar to those of this Agreement and the Guarantee issued hereunder.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9.3.</w:t>
            </w:r>
          </w:p>
        </w:tc>
        <w:tc>
          <w:tcPr>
            <w:tcW w:w="9389" w:type="dxa"/>
            <w:tcBorders/>
            <w:shd w:fill="auto" w:val="clear"/>
          </w:tcPr>
          <w:p>
            <w:pPr>
              <w:pStyle w:val="TableContents"/>
              <w:spacing w:before="0" w:after="283"/>
              <w:jc w:val="left"/>
              <w:rPr/>
            </w:pPr>
            <w:r>
              <w:rPr>
                <w:b/>
              </w:rPr>
              <w:t>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the Borrower assigns or transfers its debt (in whole or in part) under the Loan Agreement (with the consent of all Lenders) to another person under the terms and conditions provided for in the Loan Agreement or transfers the Borrower’s obligations under the Loan Agreement to another person through a universal succession, the Guarantor hereby expresses its consent to such assignment or transfer of the debt and agrees to be jointly liable with the new borrower in the amount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10.</w:t>
            </w:r>
          </w:p>
        </w:tc>
        <w:tc>
          <w:tcPr>
            <w:tcW w:w="9388"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11.</w:t>
            </w:r>
          </w:p>
        </w:tc>
        <w:tc>
          <w:tcPr>
            <w:tcW w:w="9389"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12.</w:t>
            </w:r>
          </w:p>
        </w:tc>
        <w:tc>
          <w:tcPr>
            <w:tcW w:w="9388" w:type="dxa"/>
            <w:tcBorders/>
            <w:shd w:fill="auto" w:val="clear"/>
          </w:tcPr>
          <w:p>
            <w:pPr>
              <w:pStyle w:val="TableContents"/>
              <w:spacing w:before="0" w:after="283"/>
              <w:jc w:val="left"/>
              <w:rPr/>
            </w:pPr>
            <w:r>
              <w:rPr>
                <w:b/>
              </w:rPr>
              <w:t>COUNTERPARTS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has been made in 3 (three) counterparts of equal legal effect, all of which together shall constitute one and the same instrument, one counterpart for each Party.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TERMS OF THE LOAN AGREEMENT </w:t>
      </w:r>
    </w:p>
    <w:p>
      <w:pPr>
        <w:pStyle w:val="TextBody"/>
        <w:spacing w:before="240" w:after="0"/>
        <w:rPr>
          <w:rFonts w:ascii="Times New Roman" w:hAnsi="Times New Roman"/>
          <w:sz w:val="20"/>
        </w:rPr>
      </w:pPr>
      <w:r>
        <w:rPr>
          <w:rFonts w:ascii="Times New Roman" w:hAnsi="Times New Roman"/>
          <w:sz w:val="20"/>
        </w:rPr>
        <w:t>In the Loan Agreement, except where the context otherwise requires: “</w:t>
      </w:r>
      <w:r>
        <w:rPr>
          <w:rFonts w:ascii="Times New Roman" w:hAnsi="Times New Roman"/>
          <w:b/>
          <w:sz w:val="20"/>
        </w:rPr>
        <w:t xml:space="preserve">Auditors”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(a)</w:t>
            </w:r>
          </w:p>
        </w:tc>
        <w:tc>
          <w:tcPr>
            <w:tcW w:w="9392" w:type="dxa"/>
            <w:tcBorders/>
            <w:shd w:fill="auto" w:val="clear"/>
          </w:tcPr>
          <w:p>
            <w:pPr>
              <w:pStyle w:val="TableContents"/>
              <w:spacing w:before="0" w:after="283"/>
              <w:jc w:val="left"/>
              <w:rPr/>
            </w:pPr>
            <w:r>
              <w:rPr/>
              <w:t xml:space="preserve">KPMG Joint-Stock Company, Deloitte CIS Holdings Limited, PricewaterhouseCoopers Consulting LLC, or Ernst &amp; Young Global Limited for the financial statements of the Group and its members prepared under IFRS;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any company listed in Clause (a) above, Moore Stephens LLC, FinExpertiza LLC, BDO CJSC, FBK LLC, and 2K - Business Consulting CJSC, and any other audit firm approved by the Majority of the Lenders for the financial statements of members of the Group prepared under any Applicable Accounting Standards other than IFRS. </w:t>
            </w:r>
          </w:p>
        </w:tc>
      </w:tr>
    </w:tbl>
    <w:p>
      <w:pPr>
        <w:pStyle w:val="TextBody"/>
        <w:spacing w:before="240" w:after="0"/>
        <w:rPr/>
      </w:pPr>
      <w:r>
        <w:rPr/>
        <w:t>“</w:t>
      </w:r>
      <w:r>
        <w:rPr>
          <w:rFonts w:ascii="Times New Roman" w:hAnsi="Times New Roman"/>
          <w:b/>
          <w:sz w:val="20"/>
        </w:rPr>
        <w:t>Affiliate”</w:t>
      </w:r>
      <w:r>
        <w:rPr>
          <w:rFonts w:ascii="Times New Roman" w:hAnsi="Times New Roman"/>
          <w:sz w:val="20"/>
        </w:rPr>
        <w:t xml:space="preserve"> means a Subsidiary or an Associated Company of such person or a Holding Company of such person or any other Subsidiary or Associated Company of such Holding Company. </w:t>
      </w:r>
    </w:p>
    <w:p>
      <w:pPr>
        <w:pStyle w:val="TextBody"/>
        <w:spacing w:before="240" w:after="0"/>
        <w:rPr/>
      </w:pPr>
      <w:r>
        <w:rPr/>
        <w:t>“</w:t>
      </w:r>
      <w:r>
        <w:rPr>
          <w:rFonts w:ascii="Times New Roman" w:hAnsi="Times New Roman"/>
          <w:b/>
          <w:sz w:val="20"/>
        </w:rPr>
        <w:t xml:space="preserve">Basel II” </w:t>
      </w:r>
      <w:r>
        <w:rPr>
          <w:rFonts w:ascii="Times New Roman" w:hAnsi="Times New Roman"/>
          <w:sz w:val="20"/>
        </w:rPr>
        <w:t xml:space="preserve">means the recommendations contained in the document adopted by the Basel Committee on Banking Supervision in June 2004 “International Convergence of Capital Measurement and Capital Standards: a Revised Framework”. </w:t>
      </w:r>
    </w:p>
    <w:p>
      <w:pPr>
        <w:pStyle w:val="TextBody"/>
        <w:spacing w:before="240" w:after="0"/>
        <w:rPr/>
      </w:pPr>
      <w:r>
        <w:rPr/>
        <w:t>“</w:t>
      </w:r>
      <w:r>
        <w:rPr>
          <w:rFonts w:ascii="Times New Roman" w:hAnsi="Times New Roman"/>
          <w:b/>
          <w:sz w:val="20"/>
        </w:rPr>
        <w:t>Basel III”</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the recommendations contained in the documents published by the Basel Committee on Banking Supervision in December 2010: “Basel III: A Global Regulatory Framework for More Resilient Banks and Banking Systems”, “Basel III: International framework for liquidity risk measurement, standards and monitoring” and “Guidance for national authorities operating the countercyclical capital buffer”, as amended;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such recommendations for global systemically important banks as contained in a document published by the Basel Committee on Banking Supervision in November 2011 “Global systemically important banks: Assessment methodology and the additional loss absorbency requirement. Consultative Document”, as amended;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(c)</w:t>
            </w:r>
          </w:p>
        </w:tc>
        <w:tc>
          <w:tcPr>
            <w:tcW w:w="9389" w:type="dxa"/>
            <w:tcBorders/>
            <w:shd w:fill="auto" w:val="clear"/>
          </w:tcPr>
          <w:p>
            <w:pPr>
              <w:pStyle w:val="TableContents"/>
              <w:spacing w:before="0" w:after="283"/>
              <w:jc w:val="left"/>
              <w:rPr/>
            </w:pPr>
            <w:r>
              <w:rPr/>
              <w:t xml:space="preserve">any other documents, explanations or standards published by the Basel Committee on Banking Supervision with respect of Basel III. </w:t>
            </w:r>
          </w:p>
        </w:tc>
      </w:tr>
    </w:tbl>
    <w:p>
      <w:pPr>
        <w:pStyle w:val="TextBody"/>
        <w:spacing w:before="240" w:after="0"/>
        <w:rPr/>
      </w:pPr>
      <w:r>
        <w:rPr/>
        <w:t>“</w:t>
      </w:r>
      <w:r>
        <w:rPr>
          <w:rFonts w:ascii="Times New Roman" w:hAnsi="Times New Roman"/>
          <w:b/>
          <w:sz w:val="20"/>
        </w:rPr>
        <w:t xml:space="preserve">Majority of the Lenders”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in a period up to the Settlement Date, the Lenders whose Loan Limits together amount to 75 (seventy-five) percent or more of the Aggregate Loan Limit;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if there is no Outstanding Loan and the Aggregate Loan Limit has been reduced to zero, the Lenders whose Loan Limits together amount to 75 (seventy-five) percent or more of the Aggregate Loan Limit immediately prior to the date of such reduction;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in any other period of time, the Lenders whose participation in the Outstanding Loan, their Unused Loan Limit and the Amount to be provided together amount to 75 (seventy-five) percent or more of the total amount of the Outstanding Loan, the Aggregate Unused Loan Limit and the Amount to be granted by all Lenders. </w:t>
            </w:r>
          </w:p>
        </w:tc>
      </w:tr>
    </w:tbl>
    <w:p>
      <w:pPr>
        <w:pStyle w:val="TextBody"/>
        <w:spacing w:before="240" w:after="0"/>
        <w:rPr/>
      </w:pPr>
      <w:r>
        <w:rPr/>
        <w:t>“</w:t>
      </w:r>
      <w:r>
        <w:rPr>
          <w:rFonts w:ascii="Times New Roman" w:hAnsi="Times New Roman"/>
          <w:b/>
          <w:sz w:val="20"/>
        </w:rPr>
        <w:t xml:space="preserve">Revenue” </w:t>
      </w:r>
      <w:r>
        <w:rPr>
          <w:rFonts w:ascii="Times New Roman" w:hAnsi="Times New Roman"/>
          <w:sz w:val="20"/>
        </w:rPr>
        <w:t>means, in relation to any Debtor, the revenue of such Debtor determined under the financial statements prepared pursuant to the Applicable Accounting Standards and provided under Article 17.1 (</w:t>
      </w:r>
      <w:r>
        <w:rPr>
          <w:rFonts w:ascii="Times New Roman" w:hAnsi="Times New Roman"/>
          <w:i/>
          <w:sz w:val="20"/>
        </w:rPr>
        <w:t>Financial Statements</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Guarantor”</w:t>
      </w:r>
      <w:r>
        <w:rPr>
          <w:rFonts w:ascii="Times New Roman" w:hAnsi="Times New Roman"/>
          <w:sz w:val="20"/>
        </w:rPr>
        <w:t xml:space="preserve"> means each of HeadHunter FSU, Zemenik Trading, and Headhunter, and each Additional Guarantor. </w:t>
      </w:r>
    </w:p>
    <w:p>
      <w:pPr>
        <w:pStyle w:val="TextBody"/>
        <w:spacing w:before="240" w:after="0"/>
        <w:rPr>
          <w:rFonts w:ascii="Times New Roman" w:hAnsi="Times New Roman"/>
          <w:b/>
          <w:sz w:val="20"/>
        </w:rPr>
      </w:pPr>
      <w:r>
        <w:rPr>
          <w:rFonts w:ascii="Times New Roman" w:hAnsi="Times New Roman"/>
          <w:b/>
          <w:sz w:val="20"/>
        </w:rPr>
        <w:t xml:space="preserve">Contracting State to a Double Taxation Agreement </w:t>
      </w:r>
    </w:p>
    <w:p>
      <w:pPr>
        <w:pStyle w:val="TextBody"/>
        <w:spacing w:before="120" w:after="0"/>
        <w:rPr>
          <w:rFonts w:ascii="Times New Roman" w:hAnsi="Times New Roman"/>
          <w:sz w:val="20"/>
        </w:rPr>
      </w:pPr>
      <w:r>
        <w:rPr>
          <w:rFonts w:ascii="Times New Roman" w:hAnsi="Times New Roman"/>
          <w:sz w:val="20"/>
        </w:rPr>
        <w:t xml:space="preserve">means a state that has entered into the Double Taxation Agreement with the Russian Federation. </w:t>
      </w:r>
    </w:p>
    <w:p>
      <w:pPr>
        <w:pStyle w:val="TextBody"/>
        <w:spacing w:before="240" w:after="0"/>
        <w:rPr/>
      </w:pPr>
      <w:r>
        <w:rPr/>
        <w:t>“</w:t>
      </w:r>
      <w:r>
        <w:rPr>
          <w:rFonts w:ascii="Times New Roman" w:hAnsi="Times New Roman"/>
          <w:b/>
          <w:sz w:val="20"/>
        </w:rPr>
        <w:t xml:space="preserve">Civil Code” </w:t>
      </w:r>
      <w:r>
        <w:rPr>
          <w:rFonts w:ascii="Times New Roman" w:hAnsi="Times New Roman"/>
          <w:sz w:val="20"/>
        </w:rPr>
        <w:t xml:space="preserve">means the Civil Code of the Russian Federation. </w:t>
      </w:r>
    </w:p>
    <w:p>
      <w:pPr>
        <w:pStyle w:val="TextBody"/>
        <w:spacing w:before="240" w:after="0"/>
        <w:rPr/>
      </w:pPr>
      <w:r>
        <w:rPr/>
        <w:t>“</w:t>
      </w:r>
      <w:r>
        <w:rPr>
          <w:rFonts w:ascii="Times New Roman" w:hAnsi="Times New Roman"/>
          <w:b/>
          <w:sz w:val="20"/>
        </w:rPr>
        <w:t xml:space="preserve">Group” </w:t>
      </w:r>
      <w:r>
        <w:rPr>
          <w:rFonts w:ascii="Times New Roman" w:hAnsi="Times New Roman"/>
          <w:sz w:val="20"/>
        </w:rPr>
        <w:t xml:space="preserve">means, for the purposes of this Agreement, Zemenik Trading, as well as the Subsidiaries of Zemenik Trading whose financial statements are consolidated with the financial statements of Zemenik Trading under IFRS in the relevant period of time. </w:t>
      </w:r>
    </w:p>
    <w:p>
      <w:pPr>
        <w:pStyle w:val="TextBody"/>
        <w:spacing w:before="240" w:after="0"/>
        <w:rPr/>
      </w:pPr>
      <w:r>
        <w:rPr/>
        <w:t>“</w:t>
      </w:r>
      <w:r>
        <w:rPr>
          <w:rFonts w:ascii="Times New Roman" w:hAnsi="Times New Roman"/>
          <w:b/>
          <w:sz w:val="20"/>
        </w:rPr>
        <w:t xml:space="preserve">Disbursement Date” </w:t>
      </w:r>
      <w:r>
        <w:rPr>
          <w:rFonts w:ascii="Times New Roman" w:hAnsi="Times New Roman"/>
          <w:sz w:val="20"/>
        </w:rPr>
        <w:t xml:space="preserve">means every date on which the Credit Agent transfers the Loan or its part specified in the Disbursement Request to the account of the Borrower. </w:t>
      </w:r>
    </w:p>
    <w:p>
      <w:pPr>
        <w:pStyle w:val="TextBody"/>
        <w:spacing w:before="240" w:after="0"/>
        <w:rPr/>
      </w:pPr>
      <w:r>
        <w:rPr/>
        <w:t>“</w:t>
      </w:r>
      <w:r>
        <w:rPr>
          <w:rFonts w:ascii="Times New Roman" w:hAnsi="Times New Roman"/>
          <w:b/>
          <w:sz w:val="20"/>
        </w:rPr>
        <w:t>Date of the Final Redemption of Tranche A and Tranche B”</w:t>
      </w:r>
      <w:r>
        <w:rPr>
          <w:rFonts w:ascii="Times New Roman" w:hAnsi="Times New Roman"/>
          <w:sz w:val="20"/>
        </w:rPr>
        <w:t xml:space="preserve"> means a date coming in 1,824 (one thousand eight hundred and twenty-four) calendar days from the date of this Agreement. </w:t>
      </w:r>
    </w:p>
    <w:p>
      <w:pPr>
        <w:pStyle w:val="TextBody"/>
        <w:spacing w:before="240" w:after="0"/>
        <w:rPr/>
      </w:pPr>
      <w:r>
        <w:rPr/>
        <w:t>“</w:t>
      </w:r>
      <w:r>
        <w:rPr>
          <w:rFonts w:ascii="Times New Roman" w:hAnsi="Times New Roman"/>
          <w:b/>
          <w:sz w:val="20"/>
        </w:rPr>
        <w:t>Date of the Final Redemption of Tranche C and Tranche D”</w:t>
      </w:r>
      <w:r>
        <w:rPr>
          <w:rFonts w:ascii="Times New Roman" w:hAnsi="Times New Roman"/>
          <w:sz w:val="20"/>
        </w:rPr>
        <w:t xml:space="preserve"> means a date coming in 1,825 (one thousand eight hundred and twenty-five) calendar days from the date of Amendment Agreement No. 3. </w:t>
      </w:r>
    </w:p>
    <w:p>
      <w:pPr>
        <w:pStyle w:val="TextBody"/>
        <w:spacing w:before="240" w:after="0"/>
        <w:rPr/>
      </w:pPr>
      <w:r>
        <w:rPr/>
        <w:t>“</w:t>
      </w:r>
      <w:r>
        <w:rPr>
          <w:rFonts w:ascii="Times New Roman" w:hAnsi="Times New Roman"/>
          <w:b/>
          <w:sz w:val="20"/>
        </w:rPr>
        <w:t>Interest Payment Date”</w:t>
      </w:r>
      <w:r>
        <w:rPr>
          <w:rFonts w:ascii="Times New Roman" w:hAnsi="Times New Roman"/>
          <w:sz w:val="20"/>
        </w:rPr>
        <w:t xml:space="preserve"> means March 31, June 30, September 30 and December 31 of each year; and if the relevant day is not a Business Day, “Interest Payment Date” means the Business Day preceding a day specified above. </w:t>
      </w:r>
    </w:p>
    <w:p>
      <w:pPr>
        <w:pStyle w:val="TextBody"/>
        <w:spacing w:before="240" w:after="0"/>
        <w:rPr/>
      </w:pPr>
      <w:r>
        <w:rPr/>
        <w:t>“</w:t>
      </w:r>
      <w:r>
        <w:rPr>
          <w:rFonts w:ascii="Times New Roman" w:hAnsi="Times New Roman"/>
          <w:b/>
          <w:sz w:val="20"/>
        </w:rPr>
        <w:t>Cash”</w:t>
      </w:r>
      <w:r>
        <w:rPr>
          <w:rFonts w:ascii="Times New Roman" w:hAnsi="Times New Roman"/>
          <w:sz w:val="20"/>
        </w:rPr>
        <w:t xml:space="preserve"> has the meaning specified for this term in IFRS. “</w:t>
      </w:r>
      <w:r>
        <w:rPr>
          <w:rFonts w:ascii="Times New Roman" w:hAnsi="Times New Roman"/>
          <w:b/>
          <w:sz w:val="20"/>
        </w:rPr>
        <w:t>Pledge Agreement”</w:t>
      </w:r>
      <w:r>
        <w:rPr>
          <w:rFonts w:ascii="Times New Roman" w:hAnsi="Times New Roman"/>
          <w:sz w:val="20"/>
        </w:rPr>
        <w:t xml:space="preserve"> means each of the following contracts: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the Borrower’s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the Headhunter’s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(c)</w:t>
            </w:r>
          </w:p>
        </w:tc>
        <w:tc>
          <w:tcPr>
            <w:tcW w:w="9389" w:type="dxa"/>
            <w:tcBorders/>
            <w:shd w:fill="auto" w:val="clear"/>
          </w:tcPr>
          <w:p>
            <w:pPr>
              <w:pStyle w:val="TableContents"/>
              <w:spacing w:before="0" w:after="283"/>
              <w:jc w:val="left"/>
              <w:rPr/>
            </w:pPr>
            <w:r>
              <w:rPr/>
              <w:t xml:space="preserve">the Headhunter FSU’s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(d)</w:t>
            </w:r>
          </w:p>
        </w:tc>
        <w:tc>
          <w:tcPr>
            <w:tcW w:w="9391" w:type="dxa"/>
            <w:tcBorders/>
            <w:shd w:fill="auto" w:val="clear"/>
          </w:tcPr>
          <w:p>
            <w:pPr>
              <w:pStyle w:val="TableContents"/>
              <w:spacing w:before="0" w:after="283"/>
              <w:jc w:val="left"/>
              <w:rPr/>
            </w:pPr>
            <w:r>
              <w:rPr/>
              <w:t xml:space="preserve">the Zemenik Trading’s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each Supplementary Pledge Agreement. </w:t>
            </w:r>
          </w:p>
        </w:tc>
      </w:tr>
    </w:tbl>
    <w:p>
      <w:pPr>
        <w:pStyle w:val="TextBody"/>
        <w:spacing w:before="240" w:after="0"/>
        <w:rPr/>
      </w:pPr>
      <w:r>
        <w:rPr/>
        <w:t>“</w:t>
      </w:r>
      <w:r>
        <w:rPr>
          <w:rFonts w:ascii="Times New Roman" w:hAnsi="Times New Roman"/>
          <w:b/>
          <w:sz w:val="20"/>
        </w:rPr>
        <w:t>Borrower’s Pledge Agreement”</w:t>
      </w:r>
      <w:r>
        <w:rPr>
          <w:rFonts w:ascii="Times New Roman" w:hAnsi="Times New Roman"/>
          <w:sz w:val="20"/>
        </w:rPr>
        <w:t xml:space="preserve"> means an agreement of pledge of a participatory interest in the authorized capital of the Borrower governed by the Russian law, executed between the Lenders and Zemenik Trading to ensure performance of the Borrower’s obligations hereunder. </w:t>
      </w:r>
    </w:p>
    <w:p>
      <w:pPr>
        <w:pStyle w:val="TextBody"/>
        <w:spacing w:before="240" w:after="0"/>
        <w:rPr/>
      </w:pPr>
      <w:r>
        <w:rPr/>
        <w:t>“</w:t>
      </w:r>
      <w:r>
        <w:rPr>
          <w:rFonts w:ascii="Times New Roman" w:hAnsi="Times New Roman"/>
          <w:b/>
          <w:sz w:val="20"/>
        </w:rPr>
        <w:t>Headhunter’s Pledge Agreement”</w:t>
      </w:r>
      <w:r>
        <w:rPr>
          <w:rFonts w:ascii="Times New Roman" w:hAnsi="Times New Roman"/>
          <w:sz w:val="20"/>
        </w:rPr>
        <w:t xml:space="preserve"> means an agreement of pledge of a participatory interest in the authorized capital of the Headhunter governed by the Russian law, executed between the Lenders and Headhunter FSU to ensure performance of the Borrower’s obligations hereunder. </w:t>
      </w:r>
    </w:p>
    <w:p>
      <w:pPr>
        <w:pStyle w:val="TextBody"/>
        <w:spacing w:before="240" w:after="0"/>
        <w:rPr/>
      </w:pPr>
      <w:r>
        <w:rPr/>
        <w:t>“</w:t>
      </w:r>
      <w:r>
        <w:rPr>
          <w:rFonts w:ascii="Times New Roman" w:hAnsi="Times New Roman"/>
          <w:b/>
          <w:sz w:val="20"/>
        </w:rPr>
        <w:t>Headhunter FSU’s Pledge Agreement”</w:t>
      </w:r>
      <w:r>
        <w:rPr>
          <w:rFonts w:ascii="Times New Roman" w:hAnsi="Times New Roman"/>
          <w:sz w:val="20"/>
        </w:rPr>
        <w:t xml:space="preserve"> means an agreement of pledge of shares in Headhunter FSU governed by the Cyprus law, executed between the Lenders and the Borrower to ensure performance of the Borrower’s obligations hereunder. </w:t>
      </w:r>
    </w:p>
    <w:p>
      <w:pPr>
        <w:pStyle w:val="TextBody"/>
        <w:spacing w:before="240" w:after="0"/>
        <w:rPr/>
      </w:pPr>
      <w:r>
        <w:rPr/>
        <w:t>“</w:t>
      </w:r>
      <w:r>
        <w:rPr>
          <w:rFonts w:ascii="Times New Roman" w:hAnsi="Times New Roman"/>
          <w:b/>
          <w:sz w:val="20"/>
        </w:rPr>
        <w:t>Zemenik Trading’s Pledge Agreement”</w:t>
      </w:r>
      <w:r>
        <w:rPr>
          <w:rFonts w:ascii="Times New Roman" w:hAnsi="Times New Roman"/>
          <w:sz w:val="20"/>
        </w:rPr>
        <w:t xml:space="preserve"> means each agreement of pledge of shares in Zemenik Trading governed by the Cyprus law, executed between the Lenders, Highworld and ELQ Investors VIII to ensure performance of the Borrower’s obligations hereunder.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Sale and Purchase Agreement 1”</w:t>
      </w:r>
      <w:r>
        <w:rPr>
          <w:rFonts w:ascii="Times New Roman" w:hAnsi="Times New Roman"/>
          <w:sz w:val="20"/>
        </w:rPr>
        <w:t xml:space="preserve"> means an agreement of sale and purchase of 100 (one hundred) shares in the authorized capital of HeadHunter FSU executed between the Seller as the seller and Zemenik Trading as the buyer on February 24, 2016. </w:t>
      </w:r>
    </w:p>
    <w:p>
      <w:pPr>
        <w:pStyle w:val="TextBody"/>
        <w:spacing w:before="240" w:after="0"/>
        <w:rPr/>
      </w:pPr>
      <w:r>
        <w:rPr/>
        <w:t>“</w:t>
      </w:r>
      <w:r>
        <w:rPr>
          <w:rFonts w:ascii="Times New Roman" w:hAnsi="Times New Roman"/>
          <w:b/>
          <w:sz w:val="20"/>
        </w:rPr>
        <w:t>Sale and Purchase Agreement 2”</w:t>
      </w:r>
      <w:r>
        <w:rPr>
          <w:rFonts w:ascii="Times New Roman" w:hAnsi="Times New Roman"/>
          <w:sz w:val="20"/>
        </w:rPr>
        <w:t xml:space="preserve"> means an agreement of sale and purchase of 50 (fifty) percent minus one share in the authorized capital of HeadHunter FSU executed between Zemenik Trading as the seller and the Borrower as the buyer and providing for payment through such accounts of parties to Sale and Purchase Agreement 2 as opened with the Credit Agent, RCB Bank Ltd. (Cyprus) or with any banks affiliated to the Credit Agent. </w:t>
      </w:r>
    </w:p>
    <w:p>
      <w:pPr>
        <w:pStyle w:val="TextBody"/>
        <w:spacing w:before="240" w:after="0"/>
        <w:rPr/>
      </w:pPr>
      <w:r>
        <w:rPr/>
        <w:t>“</w:t>
      </w:r>
      <w:r>
        <w:rPr>
          <w:rFonts w:ascii="Times New Roman" w:hAnsi="Times New Roman"/>
          <w:b/>
          <w:sz w:val="20"/>
        </w:rPr>
        <w:t>Double Taxation Agreement”</w:t>
      </w:r>
      <w:r>
        <w:rPr>
          <w:rFonts w:ascii="Times New Roman" w:hAnsi="Times New Roman"/>
          <w:sz w:val="20"/>
        </w:rPr>
        <w:t xml:space="preserve"> means a double taxation agreement between a foreign state and the Russian Federation which provides for a full or partial exemption from payment of income tax in the Russian Federation for such income as paid to foreign organizations and provided for in this Agreement. </w:t>
      </w:r>
    </w:p>
    <w:p>
      <w:pPr>
        <w:pStyle w:val="TextBody"/>
        <w:spacing w:before="240" w:after="0"/>
        <w:rPr/>
      </w:pPr>
      <w:r>
        <w:rPr/>
        <w:t>“</w:t>
      </w:r>
      <w:r>
        <w:rPr>
          <w:rFonts w:ascii="Times New Roman" w:hAnsi="Times New Roman"/>
          <w:b/>
          <w:sz w:val="20"/>
        </w:rPr>
        <w:t>Security Agreement”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each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each Independent Guarantee;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each Supplementary Guarantee. </w:t>
            </w:r>
          </w:p>
        </w:tc>
      </w:tr>
    </w:tbl>
    <w:p>
      <w:pPr>
        <w:pStyle w:val="TextBody"/>
        <w:spacing w:before="240" w:after="0"/>
        <w:rPr/>
      </w:pPr>
      <w:r>
        <w:rPr/>
        <w:t>“</w:t>
      </w:r>
      <w:r>
        <w:rPr>
          <w:rFonts w:ascii="Times New Roman" w:hAnsi="Times New Roman"/>
          <w:b/>
          <w:sz w:val="20"/>
        </w:rPr>
        <w:t>Lender’s Assignment Agreement”</w:t>
      </w:r>
      <w:r>
        <w:rPr>
          <w:rFonts w:ascii="Times New Roman" w:hAnsi="Times New Roman"/>
          <w:sz w:val="20"/>
        </w:rPr>
        <w:t xml:space="preserve"> means an agreement made primarily in the form of Appendix 4 (</w:t>
      </w:r>
      <w:r>
        <w:rPr>
          <w:rFonts w:ascii="Times New Roman" w:hAnsi="Times New Roman"/>
          <w:i/>
          <w:sz w:val="20"/>
        </w:rPr>
        <w:t>Form of the Lender’s Assignment Agreement</w:t>
      </w:r>
      <w:r>
        <w:rPr>
          <w:rFonts w:ascii="Times New Roman" w:hAnsi="Times New Roman"/>
          <w:sz w:val="20"/>
        </w:rPr>
        <w:t>) or in any other form by virtue of which the Existing Lender (as defined in Article 22 (</w:t>
      </w:r>
      <w:r>
        <w:rPr>
          <w:rFonts w:ascii="Times New Roman" w:hAnsi="Times New Roman"/>
          <w:i/>
          <w:sz w:val="20"/>
        </w:rPr>
        <w:t>Substitution of Parties</w:t>
      </w:r>
      <w:r>
        <w:rPr>
          <w:rFonts w:ascii="Times New Roman" w:hAnsi="Times New Roman"/>
          <w:sz w:val="20"/>
        </w:rPr>
        <w:t>) assigns its rights and (or) transfers its obligations under this Agreement to the New Lender (as defined in Article 22 (</w:t>
      </w:r>
      <w:r>
        <w:rPr>
          <w:rFonts w:ascii="Times New Roman" w:hAnsi="Times New Roman"/>
          <w:i/>
          <w:sz w:val="20"/>
        </w:rPr>
        <w:t>Substitution of Parties</w:t>
      </w:r>
      <w:r>
        <w:rPr>
          <w:rFonts w:ascii="Times New Roman" w:hAnsi="Times New Roman"/>
          <w:sz w:val="20"/>
        </w:rPr>
        <w:t xml:space="preserve">)). </w:t>
      </w:r>
    </w:p>
    <w:p>
      <w:pPr>
        <w:pStyle w:val="TextBody"/>
        <w:spacing w:before="240" w:after="0"/>
        <w:rPr/>
      </w:pPr>
      <w:r>
        <w:rPr/>
        <w:t>“</w:t>
      </w:r>
      <w:r>
        <w:rPr>
          <w:rFonts w:ascii="Times New Roman" w:hAnsi="Times New Roman"/>
          <w:b/>
          <w:sz w:val="20"/>
        </w:rPr>
        <w:t>Document Related to the Reorganization”</w:t>
      </w:r>
      <w:r>
        <w:rPr>
          <w:rFonts w:ascii="Times New Roman" w:hAnsi="Times New Roman"/>
          <w:sz w:val="20"/>
        </w:rPr>
        <w:t xml:space="preserve"> has the meaning specified in Amendment Agreement No. 2. </w:t>
      </w:r>
    </w:p>
    <w:p>
      <w:pPr>
        <w:pStyle w:val="TextBody"/>
        <w:spacing w:before="240" w:after="0"/>
        <w:rPr/>
      </w:pPr>
      <w:r>
        <w:rPr/>
        <w:t>“</w:t>
      </w:r>
      <w:r>
        <w:rPr>
          <w:rFonts w:ascii="Times New Roman" w:hAnsi="Times New Roman"/>
          <w:b/>
          <w:sz w:val="20"/>
        </w:rPr>
        <w:t>Equity Instruments of the Group”</w:t>
      </w:r>
      <w:r>
        <w:rPr>
          <w:rFonts w:ascii="Times New Roman" w:hAnsi="Times New Roman"/>
          <w:sz w:val="20"/>
        </w:rPr>
        <w:t xml:space="preserve"> means shares or participatory interests in the authorized capital of any member of the Group, as well as options or other instruments securing the right of their owner to acquire or receive shares or participatory interests in the authorized capital of any member of the Group. </w:t>
      </w:r>
    </w:p>
    <w:p>
      <w:pPr>
        <w:pStyle w:val="TextBody"/>
        <w:spacing w:before="240" w:after="0"/>
        <w:rPr/>
      </w:pPr>
      <w:r>
        <w:rPr/>
        <w:t>“</w:t>
      </w:r>
      <w:r>
        <w:rPr>
          <w:rFonts w:ascii="Times New Roman" w:hAnsi="Times New Roman"/>
          <w:b/>
          <w:sz w:val="20"/>
        </w:rPr>
        <w:t xml:space="preserve">Debtor” </w:t>
      </w:r>
      <w:r>
        <w:rPr>
          <w:rFonts w:ascii="Times New Roman" w:hAnsi="Times New Roman"/>
          <w:sz w:val="20"/>
        </w:rPr>
        <w:t xml:space="preserve">means the Borrower and each Guarantor. </w:t>
      </w:r>
    </w:p>
    <w:p>
      <w:pPr>
        <w:pStyle w:val="TextBody"/>
        <w:spacing w:before="240" w:after="0"/>
        <w:rPr/>
      </w:pPr>
      <w:r>
        <w:rPr/>
        <w:t>“</w:t>
      </w:r>
      <w:r>
        <w:rPr>
          <w:rFonts w:ascii="Times New Roman" w:hAnsi="Times New Roman"/>
          <w:b/>
          <w:sz w:val="20"/>
        </w:rPr>
        <w:t xml:space="preserve">Highworld’s Dollar Loan” </w:t>
      </w:r>
      <w:r>
        <w:rPr>
          <w:rFonts w:ascii="Times New Roman" w:hAnsi="Times New Roman"/>
          <w:sz w:val="20"/>
        </w:rPr>
        <w:t xml:space="preserve">means a loan of USD 27,031,978 granted under a loan agreement between Zemenik Trading (as the borrower) and Highworld (as the lender) on February 24, 2016. </w:t>
      </w:r>
    </w:p>
    <w:p>
      <w:pPr>
        <w:pStyle w:val="TextBody"/>
        <w:spacing w:before="240" w:after="0"/>
        <w:rPr/>
      </w:pPr>
      <w:r>
        <w:rPr/>
        <w:t>“</w:t>
      </w:r>
      <w:r>
        <w:rPr>
          <w:rFonts w:ascii="Times New Roman" w:hAnsi="Times New Roman"/>
          <w:b/>
          <w:sz w:val="20"/>
        </w:rPr>
        <w:t>Supplementary Guarantee”</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Additional Guarantor”</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Supplementary Pledge Agreement”</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Subsidiary”</w:t>
      </w:r>
      <w:r>
        <w:rPr>
          <w:rFonts w:ascii="Times New Roman" w:hAnsi="Times New Roman"/>
          <w:sz w:val="20"/>
        </w:rPr>
        <w:t xml:space="preserve"> means any legal entity, if another (parent) company or partnership: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owns the majority of voting rights in such legal entity;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has an equity participation and may appoint or dismiss the majority of members of the executive body of such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is entitled to exert a dominant influence on such legal entity by virtue of the provisions contained in the constituent documents of such legal entity or in a management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is a member (shareholder) of such legal entity and independently or jointly (with other members) controls the majority of votes in this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(e)</w:t>
            </w:r>
          </w:p>
        </w:tc>
        <w:tc>
          <w:tcPr>
            <w:tcW w:w="9389" w:type="dxa"/>
            <w:tcBorders/>
            <w:shd w:fill="auto" w:val="clear"/>
          </w:tcPr>
          <w:p>
            <w:pPr>
              <w:pStyle w:val="TableContents"/>
              <w:spacing w:before="0" w:after="283"/>
              <w:jc w:val="left"/>
              <w:rPr/>
            </w:pPr>
            <w:r>
              <w:rPr/>
              <w:t xml:space="preserve">controls such legal entity, </w:t>
            </w:r>
          </w:p>
        </w:tc>
      </w:tr>
    </w:tbl>
    <w:p>
      <w:pPr>
        <w:pStyle w:val="TextBody"/>
        <w:spacing w:before="240" w:after="0"/>
        <w:rPr>
          <w:rFonts w:ascii="Times New Roman" w:hAnsi="Times New Roman"/>
          <w:sz w:val="20"/>
        </w:rPr>
      </w:pPr>
      <w:r>
        <w:rPr>
          <w:rFonts w:ascii="Times New Roman" w:hAnsi="Times New Roman"/>
          <w:sz w:val="20"/>
        </w:rPr>
        <w:t xml:space="preserve">including any legal entity whose authorized capital shares or participatory interests are subject to the Encumbrance, and the ownership of such encumbered shares or participatory interests is registered by virtue of such Encumbrance in favor of the secured party or a nominee acting in favor of such party. </w:t>
      </w:r>
    </w:p>
    <w:p>
      <w:pPr>
        <w:pStyle w:val="TextBody"/>
        <w:spacing w:before="240" w:after="0"/>
        <w:rPr/>
      </w:pPr>
      <w:r>
        <w:rPr/>
        <w:t>“</w:t>
      </w:r>
      <w:r>
        <w:rPr>
          <w:rFonts w:ascii="Times New Roman" w:hAnsi="Times New Roman"/>
          <w:b/>
          <w:sz w:val="20"/>
        </w:rPr>
        <w:t>Associated Company”</w:t>
      </w:r>
      <w:r>
        <w:rPr>
          <w:rFonts w:ascii="Times New Roman" w:hAnsi="Times New Roman"/>
          <w:sz w:val="20"/>
        </w:rPr>
        <w:t xml:space="preserve"> means any legal entity in which the first legal entity owns 20 (twenty) percent or more (but not more than 50 (fifty) percent) of the authorized capital. </w:t>
      </w:r>
    </w:p>
    <w:p>
      <w:pPr>
        <w:pStyle w:val="TextBody"/>
        <w:spacing w:before="240" w:after="0"/>
        <w:rPr/>
      </w:pPr>
      <w:r>
        <w:rPr/>
        <w:t>“</w:t>
      </w:r>
      <w:r>
        <w:rPr>
          <w:rFonts w:ascii="Times New Roman" w:hAnsi="Times New Roman"/>
          <w:b/>
          <w:sz w:val="20"/>
        </w:rPr>
        <w:t>Representations of Circumstances”</w:t>
      </w:r>
      <w:r>
        <w:rPr>
          <w:rFonts w:ascii="Times New Roman" w:hAnsi="Times New Roman"/>
          <w:sz w:val="20"/>
        </w:rPr>
        <w:t xml:space="preserve"> means the representations of the Borrower in Article 16 (</w:t>
      </w:r>
      <w:r>
        <w:rPr>
          <w:rFonts w:ascii="Times New Roman" w:hAnsi="Times New Roman"/>
          <w:i/>
          <w:sz w:val="20"/>
        </w:rPr>
        <w:t>Representations of Circumstances</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Bankruptcy Law” </w:t>
      </w:r>
      <w:r>
        <w:rPr>
          <w:rFonts w:ascii="Times New Roman" w:hAnsi="Times New Roman"/>
          <w:sz w:val="20"/>
        </w:rPr>
        <w:t xml:space="preserve">means Federal Law of the Russian Federation No. 127- </w:t>
      </w:r>
      <w:r>
        <w:rPr>
          <w:rFonts w:ascii="Times New Roman" w:hAnsi="Times New Roman"/>
          <w:sz w:val="20"/>
        </w:rPr>
        <w:drawing>
          <wp:inline distT="0" distB="0" distL="0" distR="0">
            <wp:extent cx="718820" cy="359410"/>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link="rId40"/>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October 26, 2002, “On Insolvency (Bankruptcy)”. </w:t>
      </w:r>
    </w:p>
    <w:p>
      <w:pPr>
        <w:pStyle w:val="TextBody"/>
        <w:spacing w:before="240" w:after="0"/>
        <w:rPr/>
      </w:pPr>
      <w:r>
        <w:rPr/>
        <w:t>“</w:t>
      </w:r>
      <w:r>
        <w:rPr>
          <w:rFonts w:ascii="Times New Roman" w:hAnsi="Times New Roman"/>
          <w:b/>
          <w:sz w:val="20"/>
        </w:rPr>
        <w:t xml:space="preserve">Law on Credit Histories” </w:t>
      </w:r>
      <w:r>
        <w:rPr>
          <w:rFonts w:ascii="Times New Roman" w:hAnsi="Times New Roman"/>
          <w:sz w:val="20"/>
        </w:rPr>
        <w:t xml:space="preserve">means Federal Law of the Russian Federation No. 218- </w:t>
      </w:r>
      <w:r>
        <w:rPr>
          <w:rFonts w:ascii="Times New Roman" w:hAnsi="Times New Roman"/>
          <w:sz w:val="20"/>
        </w:rPr>
        <w:drawing>
          <wp:inline distT="0" distB="0" distL="0" distR="0">
            <wp:extent cx="718820" cy="359410"/>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link="rId41"/>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December 30, 2004, “On Credit Histories”. </w:t>
      </w:r>
    </w:p>
    <w:p>
      <w:pPr>
        <w:pStyle w:val="TextBody"/>
        <w:spacing w:before="240" w:after="0"/>
        <w:rPr/>
      </w:pPr>
      <w:r>
        <w:rPr/>
        <w:t>“</w:t>
      </w:r>
      <w:r>
        <w:rPr>
          <w:rFonts w:ascii="Times New Roman" w:hAnsi="Times New Roman"/>
          <w:b/>
          <w:sz w:val="20"/>
        </w:rPr>
        <w:t xml:space="preserve">Law on Regulated Procurement” </w:t>
      </w:r>
      <w:r>
        <w:rPr>
          <w:rFonts w:ascii="Times New Roman" w:hAnsi="Times New Roman"/>
          <w:sz w:val="20"/>
        </w:rPr>
        <w:t xml:space="preserve">means Federal Law of the Russian Federation No. 223- </w:t>
      </w:r>
      <w:r>
        <w:rPr>
          <w:rFonts w:ascii="Times New Roman" w:hAnsi="Times New Roman"/>
          <w:sz w:val="20"/>
        </w:rPr>
        <w:drawing>
          <wp:inline distT="0" distB="0" distL="0" distR="0">
            <wp:extent cx="718820" cy="359410"/>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link="rId42"/>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dated July 18, 2011, “On Procurement of Goods, Works, Services by Separate Types of Legal Entities” </w:t>
      </w:r>
    </w:p>
    <w:p>
      <w:pPr>
        <w:pStyle w:val="TextBody"/>
        <w:spacing w:before="240" w:after="0"/>
        <w:rPr/>
      </w:pPr>
      <w:r>
        <w:rPr/>
        <w:t>“</w:t>
      </w:r>
      <w:r>
        <w:rPr>
          <w:rFonts w:ascii="Times New Roman" w:hAnsi="Times New Roman"/>
          <w:b/>
          <w:sz w:val="20"/>
        </w:rPr>
        <w:t xml:space="preserve">Pledgor” </w:t>
      </w:r>
      <w:r>
        <w:rPr>
          <w:rFonts w:ascii="Times New Roman" w:hAnsi="Times New Roman"/>
          <w:sz w:val="20"/>
        </w:rPr>
        <w:t xml:space="preserve">means the Borrower, HeadHunter FSU, Zemenik Trading, Highworld, and ELQ Investors VIII, as well as each pledgor under each Supplementary Pledge Agreement. </w:t>
      </w:r>
    </w:p>
    <w:p>
      <w:pPr>
        <w:pStyle w:val="TextBody"/>
        <w:spacing w:before="240" w:after="0"/>
        <w:rPr/>
      </w:pPr>
      <w:r>
        <w:rPr/>
        <w:t>“</w:t>
      </w:r>
      <w:r>
        <w:rPr>
          <w:rFonts w:ascii="Times New Roman" w:hAnsi="Times New Roman"/>
          <w:b/>
          <w:sz w:val="20"/>
        </w:rPr>
        <w:t xml:space="preserve">Disbursement Request” </w:t>
      </w:r>
      <w:r>
        <w:rPr>
          <w:rFonts w:ascii="Times New Roman" w:hAnsi="Times New Roman"/>
          <w:sz w:val="20"/>
        </w:rPr>
        <w:t>means such request of the Borrower for disbursement of the Loan as prepared in general in the form of Appendix 3 (</w:t>
      </w:r>
      <w:r>
        <w:rPr>
          <w:rFonts w:ascii="Times New Roman" w:hAnsi="Times New Roman"/>
          <w:i/>
          <w:sz w:val="20"/>
        </w:rPr>
        <w:t>Form of the Disbursement Request</w:t>
      </w:r>
      <w:r>
        <w:rPr>
          <w:rFonts w:ascii="Times New Roman" w:hAnsi="Times New Roman"/>
          <w:sz w:val="20"/>
        </w:rPr>
        <w:t xml:space="preserve">). </w:t>
      </w:r>
    </w:p>
    <w:p>
      <w:pPr>
        <w:pStyle w:val="TextBody"/>
        <w:spacing w:before="240" w:after="0"/>
        <w:rPr/>
      </w:pPr>
      <w:r>
        <w:rPr/>
        <w:t>“</w:t>
      </w:r>
      <w:r>
        <w:rPr>
          <w:rFonts w:ascii="Times New Roman" w:hAnsi="Times New Roman"/>
          <w:b/>
          <w:sz w:val="20"/>
        </w:rPr>
        <w:t>Intellectual Property”</w:t>
      </w:r>
      <w:r>
        <w:rPr>
          <w:rFonts w:ascii="Times New Roman" w:hAnsi="Times New Roman"/>
          <w:sz w:val="20"/>
        </w:rPr>
        <w:t xml:space="preserve"> means the Trademarks of the Debtors, domain names (including the Websites of the Debtors) registered in the name of Group’s members, a database and other intellectual property, the rights to which belong to Group’s members specified in Appendix 8 (</w:t>
      </w:r>
      <w:r>
        <w:rPr>
          <w:rFonts w:ascii="Times New Roman" w:hAnsi="Times New Roman"/>
          <w:i/>
          <w:sz w:val="20"/>
        </w:rPr>
        <w:t>Intellectual Property</w:t>
      </w:r>
      <w:r>
        <w:rPr>
          <w:rFonts w:ascii="Times New Roman" w:hAnsi="Times New Roman"/>
          <w:sz w:val="20"/>
        </w:rPr>
        <w:t xml:space="preserve">), and similar significant intellectual property owned by the Additional Guarantors (if such Additional Guarantors are not the Debtors at the date of this Agreement). </w:t>
      </w:r>
    </w:p>
    <w:p>
      <w:pPr>
        <w:pStyle w:val="TextBody"/>
        <w:spacing w:before="240" w:after="0"/>
        <w:rPr/>
      </w:pPr>
      <w:r>
        <w:rPr/>
        <w:t>“</w:t>
      </w:r>
      <w:r>
        <w:rPr>
          <w:rFonts w:ascii="Times New Roman" w:hAnsi="Times New Roman"/>
          <w:b/>
          <w:sz w:val="20"/>
        </w:rPr>
        <w:t>Exceptional Income or Expenses”</w:t>
      </w:r>
      <w:r>
        <w:rPr>
          <w:rFonts w:ascii="Times New Roman" w:hAnsi="Times New Roman"/>
          <w:sz w:val="20"/>
        </w:rPr>
        <w:t xml:space="preserve"> means any income or expenses arising out of extraordinary circumstances of the Debtor’s business and recognized as such by a resolution of the Majority of the Lenders. </w:t>
      </w:r>
    </w:p>
    <w:p>
      <w:pPr>
        <w:pStyle w:val="TextBody"/>
        <w:spacing w:before="240" w:after="0"/>
        <w:rPr/>
      </w:pPr>
      <w:r>
        <w:rPr/>
        <w:t>“</w:t>
      </w:r>
      <w:r>
        <w:rPr>
          <w:rFonts w:ascii="Times New Roman" w:hAnsi="Times New Roman"/>
          <w:b/>
          <w:sz w:val="20"/>
        </w:rPr>
        <w:t xml:space="preserve">Key Rate”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with respect to each Interest Period, a key rate established by the Central Bank of the Russian Federation and effective as of each day of the Interest Period;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with respect to any other period, a key rate established by the Central Bank of the Russian Federation effective as of each day of such period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and determined daily based on the data on the website of the Central Bank of the Russian Federation on the Internet at www.cbr.ru or, if changed, on any other official website of the Central Bank of the Russian Federation. If the Central Bank of the Russian Federation abolishes or ceases to use a key rate and if it is needed to determine pricing conditions for provision of financing to credit institutions of the Russian Federation, the Key Rate shall be a similar rate established by the Central Bank of the Russian Federation for pricing of refinancing through repo transactions and (or) against non-market assets. </w:t>
      </w:r>
    </w:p>
    <w:p>
      <w:pPr>
        <w:pStyle w:val="TextBody"/>
        <w:spacing w:before="240" w:after="0"/>
        <w:rPr/>
      </w:pPr>
      <w:r>
        <w:rPr/>
        <w:t>“</w:t>
      </w:r>
      <w:r>
        <w:rPr>
          <w:rFonts w:ascii="Times New Roman" w:hAnsi="Times New Roman"/>
          <w:b/>
          <w:sz w:val="20"/>
        </w:rPr>
        <w:t xml:space="preserve">Consolidated Net Debt” </w:t>
      </w:r>
      <w:r>
        <w:rPr>
          <w:rFonts w:ascii="Times New Roman" w:hAnsi="Times New Roman"/>
          <w:sz w:val="20"/>
        </w:rPr>
        <w:t>has the meaning specified in Article 18.7 (</w:t>
      </w:r>
      <w:r>
        <w:rPr>
          <w:rFonts w:ascii="Times New Roman" w:hAnsi="Times New Roman"/>
          <w:i/>
          <w:sz w:val="20"/>
        </w:rPr>
        <w:t>Definitions</w:t>
      </w:r>
      <w:r>
        <w:rPr>
          <w:rFonts w:ascii="Times New Roman" w:hAnsi="Times New Roman"/>
          <w:sz w:val="20"/>
        </w:rPr>
        <w:t xml:space="preserve">). </w:t>
      </w:r>
    </w:p>
    <w:p>
      <w:pPr>
        <w:pStyle w:val="TextBody"/>
        <w:spacing w:before="240" w:after="0"/>
        <w:rPr/>
      </w:pPr>
      <w:r>
        <w:rPr/>
        <w:t>“</w:t>
      </w:r>
      <w:r>
        <w:rPr>
          <w:rFonts w:ascii="Times New Roman" w:hAnsi="Times New Roman"/>
          <w:b/>
          <w:sz w:val="20"/>
        </w:rPr>
        <w:t>Consolidated EBIT”</w:t>
      </w:r>
      <w:r>
        <w:rPr>
          <w:rFonts w:ascii="Times New Roman" w:hAnsi="Times New Roman"/>
          <w:sz w:val="20"/>
        </w:rPr>
        <w:t xml:space="preserve"> means such Group’s consolidated profit before tax for the Settlement Period as adjusted taking into account termination of transactions occurring during the Settlement Period: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before deduction of any amounts related to financial expenses;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without taking into account any amounts related to the interest to be received by any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after deducting profits or adding losses of any member of the Group relating to non-controlling participatory interests;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without taking into account positive or negative unrealized exchange rate differences;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without taking into account gains or losses arising out of a revaluation of any asset or a decrease in the carrying amount of any asset when it is disposed of by any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(f)</w:t>
            </w:r>
          </w:p>
        </w:tc>
        <w:tc>
          <w:tcPr>
            <w:tcW w:w="9392" w:type="dxa"/>
            <w:tcBorders/>
            <w:shd w:fill="auto" w:val="clear"/>
          </w:tcPr>
          <w:p>
            <w:pPr>
              <w:pStyle w:val="TableContents"/>
              <w:spacing w:before="0" w:after="283"/>
              <w:jc w:val="left"/>
              <w:rPr/>
            </w:pPr>
            <w:r>
              <w:rPr/>
              <w:t xml:space="preserve">without taking into account an expected return on the assets of a pension plan;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(g)</w:t>
            </w:r>
          </w:p>
        </w:tc>
        <w:tc>
          <w:tcPr>
            <w:tcW w:w="9390" w:type="dxa"/>
            <w:tcBorders/>
            <w:shd w:fill="auto" w:val="clear"/>
          </w:tcPr>
          <w:p>
            <w:pPr>
              <w:pStyle w:val="TableContents"/>
              <w:spacing w:before="0" w:after="283"/>
              <w:jc w:val="left"/>
              <w:rPr/>
            </w:pPr>
            <w:r>
              <w:rPr/>
              <w:t xml:space="preserve">without taking into account any non-monetary gains or losses from the Incentive Plans Based on the Group’s Equity Instruments;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exclusively for the Settlement Periods ending on June 30, 2016, December 31, 2016, and June 30, 2017, without taking into account the Transaction Costs. </w:t>
            </w:r>
          </w:p>
        </w:tc>
      </w:tr>
    </w:tbl>
    <w:p>
      <w:pPr>
        <w:pStyle w:val="TextBody"/>
        <w:spacing w:before="240" w:after="0"/>
        <w:rPr/>
      </w:pPr>
      <w:r>
        <w:rPr/>
        <w:t>“</w:t>
      </w:r>
      <w:r>
        <w:rPr>
          <w:rFonts w:ascii="Times New Roman" w:hAnsi="Times New Roman"/>
          <w:b/>
          <w:sz w:val="20"/>
        </w:rPr>
        <w:t>Consolidated EBITDA”</w:t>
      </w:r>
      <w:r>
        <w:rPr>
          <w:rFonts w:ascii="Times New Roman" w:hAnsi="Times New Roman"/>
          <w:sz w:val="20"/>
        </w:rPr>
        <w:t xml:space="preserve"> means such Consolidated EBIT for the Settlement Period as adjusted by adding the following amounts, provided that these amounts were not taken into account when calculating EBIT: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any amounts related to depreciation and impairment of fixed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any amounts related to impairment of goodwill;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any amounts related to depreciation and impairment of other non-fixed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for the purpose of determining the financial indicators specified in Clause (a) of Article 9.2 (</w:t>
            </w:r>
            <w:r>
              <w:rPr>
                <w:i/>
              </w:rPr>
              <w:t>Margin Adjustment</w:t>
            </w:r>
            <w:r>
              <w:rPr/>
              <w:t xml:space="preserve">), advertising costs incurred in 2016 in an amount of up to RUB 200,000,000. </w:t>
            </w:r>
          </w:p>
        </w:tc>
      </w:tr>
    </w:tbl>
    <w:p>
      <w:pPr>
        <w:pStyle w:val="TextBody"/>
        <w:spacing w:before="240" w:after="0"/>
        <w:rPr/>
      </w:pPr>
      <w:r>
        <w:rPr/>
        <w:t>“</w:t>
      </w:r>
      <w:r>
        <w:rPr>
          <w:rFonts w:ascii="Times New Roman" w:hAnsi="Times New Roman"/>
          <w:b/>
          <w:sz w:val="20"/>
        </w:rPr>
        <w:t>Confidential Information”</w:t>
      </w:r>
      <w:r>
        <w:rPr>
          <w:rFonts w:ascii="Times New Roman" w:hAnsi="Times New Roman"/>
          <w:sz w:val="20"/>
        </w:rPr>
        <w:t xml:space="preserve"> means any such information (including personal data) in any form (including oral information, and any documents and information recorded or stored as electronic files or on any other media) on any Debtor, Pledgor or member of the Group, the Financial Documents, or the Loan which becomes known to a Party to the Financing or which is obtained by any person intending to become a Party to the Financing, from: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any member of the Group or its adviser;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another Party to the Financing or its adviser if the information has been received by such a Party to the Financing from any member of the Group or its adviser, </w:t>
            </w:r>
          </w:p>
        </w:tc>
      </w:tr>
    </w:tbl>
    <w:p>
      <w:pPr>
        <w:pStyle w:val="TextBody"/>
        <w:spacing w:before="120" w:after="0"/>
        <w:rPr>
          <w:rFonts w:ascii="Times New Roman" w:hAnsi="Times New Roman"/>
          <w:sz w:val="20"/>
        </w:rPr>
      </w:pPr>
      <w:r>
        <w:rPr>
          <w:rFonts w:ascii="Times New Roman" w:hAnsi="Times New Roman"/>
          <w:sz w:val="20"/>
        </w:rPr>
        <w:t xml:space="preserve">except for any information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4"/>
        <w:gridCol w:w="8475"/>
      </w:tblGrid>
      <w:tr>
        <w:trPr/>
        <w:tc>
          <w:tcPr>
            <w:tcW w:w="815"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8475" w:type="dxa"/>
            <w:tcBorders/>
            <w:shd w:fill="auto" w:val="clear"/>
          </w:tcPr>
          <w:p>
            <w:pPr>
              <w:pStyle w:val="TableContents"/>
              <w:spacing w:before="0" w:after="283"/>
              <w:jc w:val="left"/>
              <w:rPr/>
            </w:pPr>
            <w:r>
              <w:rPr/>
              <w:t>is or becomes available to an unrestricted circle of persons other than as a result of a violation of the terms and conditions of Article 28 (</w:t>
            </w:r>
            <w:r>
              <w:rPr>
                <w:i/>
              </w:rPr>
              <w:t>Confidentiality</w:t>
            </w:r>
            <w:r>
              <w:rPr/>
              <w:t xml:space="preserve">) by a Party to the Financing;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(ii)</w:t>
            </w:r>
          </w:p>
        </w:tc>
        <w:tc>
          <w:tcPr>
            <w:tcW w:w="8474" w:type="dxa"/>
            <w:tcBorders/>
            <w:shd w:fill="auto" w:val="clear"/>
          </w:tcPr>
          <w:p>
            <w:pPr>
              <w:pStyle w:val="TableContents"/>
              <w:spacing w:before="0" w:after="283"/>
              <w:jc w:val="left"/>
              <w:rPr/>
            </w:pPr>
            <w:r>
              <w:rPr/>
              <w:t xml:space="preserve">was known to a Party to the Financing prior to a date of disclosure to it or its adviser of such information or has been legally received by a Party to the Financing or its adviser after such date from a source, to the knowledge of such Party to the Financing, not associated with the Group, and that in any case, to the knowledge of such Party to the Financing, was not obtained due to breach of a confidentiality obligation. </w:t>
            </w:r>
          </w:p>
        </w:tc>
      </w:tr>
    </w:tbl>
    <w:p>
      <w:pPr>
        <w:pStyle w:val="TextBody"/>
        <w:spacing w:before="240" w:after="0"/>
        <w:rPr/>
      </w:pPr>
      <w:r>
        <w:rPr/>
        <w:t>“</w:t>
      </w:r>
      <w:r>
        <w:rPr>
          <w:rFonts w:ascii="Times New Roman" w:hAnsi="Times New Roman"/>
          <w:b/>
          <w:sz w:val="20"/>
        </w:rPr>
        <w:t xml:space="preserve">Loan” </w:t>
      </w:r>
      <w:r>
        <w:rPr>
          <w:rFonts w:ascii="Times New Roman" w:hAnsi="Times New Roman"/>
          <w:sz w:val="20"/>
        </w:rPr>
        <w:t xml:space="preserve">means funds within the Aggregate Loan Limit granted by the Lenders to the Borrower under this Agreement as Tranche A, Tranche B, Tranche C, and Tranche D. </w:t>
      </w:r>
    </w:p>
    <w:p>
      <w:pPr>
        <w:pStyle w:val="TextBody"/>
        <w:spacing w:before="360" w:after="0"/>
        <w:rPr/>
      </w:pPr>
      <w:r>
        <w:rPr/>
        <w:t>“</w:t>
      </w:r>
      <w:r>
        <w:rPr>
          <w:rFonts w:ascii="Times New Roman" w:hAnsi="Times New Roman"/>
          <w:b/>
          <w:sz w:val="20"/>
        </w:rPr>
        <w:t>Lender”</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any Original Lender;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any banks or other credit or other organizations (except for any person belonging to the Borrower’s Group) which acquire the rights of claim to the Borrower and (or) the obligation to grant the Loan under the provisions of Article 22.2 (</w:t>
            </w:r>
            <w:r>
              <w:rPr>
                <w:i/>
              </w:rPr>
              <w:t>Assignment of Rights and Transfer of Obligations by the Lenders</w:t>
            </w:r>
            <w:r>
              <w:rPr/>
              <w:t xml:space="preserve">) and the current laws. </w:t>
            </w:r>
          </w:p>
        </w:tc>
      </w:tr>
    </w:tbl>
    <w:p>
      <w:pPr>
        <w:pStyle w:val="TextBody"/>
        <w:spacing w:before="240" w:after="0"/>
        <w:rPr/>
      </w:pPr>
      <w:r>
        <w:rPr/>
        <w:t>“</w:t>
      </w:r>
      <w:r>
        <w:rPr>
          <w:rFonts w:ascii="Times New Roman" w:hAnsi="Times New Roman"/>
          <w:b/>
          <w:sz w:val="20"/>
        </w:rPr>
        <w:t xml:space="preserve">Loan Limit” </w:t>
      </w:r>
      <w:r>
        <w:rPr>
          <w:rFonts w:ascii="Times New Roman" w:hAnsi="Times New Roman"/>
          <w:sz w:val="20"/>
        </w:rPr>
        <w:t xml:space="preserve">means an amount of money: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with respect to the Original Lender, which the Original Lender shall grant the Borrower as a loan within Tranche A, Tranche B, Tranche C, and Tranche D under the terms and conditions of this Agreement and specified in the table in Appendix 1 (</w:t>
            </w:r>
            <w:r>
              <w:rPr>
                <w:i/>
              </w:rPr>
              <w:t>List of Original Lenders and Loan Limits</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with respect to any other Lender, which such Lender shall grant the Borrower by virtue of an Original Lender’s transfer to it of the obligation to grant the Loan to the Borrower </w:t>
            </w:r>
          </w:p>
        </w:tc>
      </w:tr>
    </w:tbl>
    <w:p>
      <w:pPr>
        <w:pStyle w:val="TextBody"/>
        <w:spacing w:before="120" w:after="0"/>
        <w:rPr>
          <w:rFonts w:ascii="Times New Roman" w:hAnsi="Times New Roman"/>
          <w:sz w:val="20"/>
        </w:rPr>
      </w:pPr>
      <w:r>
        <w:rPr>
          <w:rFonts w:ascii="Times New Roman" w:hAnsi="Times New Roman"/>
          <w:sz w:val="20"/>
        </w:rPr>
        <w:t xml:space="preserve">and which may be changed under the terms and conditions hereof. </w:t>
      </w:r>
    </w:p>
    <w:p>
      <w:pPr>
        <w:pStyle w:val="TextBody"/>
        <w:spacing w:before="240" w:after="0"/>
        <w:rPr/>
      </w:pPr>
      <w:r>
        <w:rPr/>
        <w:t>“</w:t>
      </w:r>
      <w:r>
        <w:rPr>
          <w:rFonts w:ascii="Times New Roman" w:hAnsi="Times New Roman"/>
          <w:b/>
          <w:sz w:val="20"/>
        </w:rPr>
        <w:t>Margin”</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3"/>
        <w:gridCol w:w="8476"/>
      </w:tblGrid>
      <w:tr>
        <w:trPr/>
        <w:tc>
          <w:tcPr>
            <w:tcW w:w="81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8"/>
        <w:gridCol w:w="8472"/>
      </w:tblGrid>
      <w:tr>
        <w:trPr/>
        <w:tc>
          <w:tcPr>
            <w:tcW w:w="81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8472"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Intercreditor Agreement”</w:t>
      </w:r>
      <w:r>
        <w:rPr>
          <w:rFonts w:ascii="Times New Roman" w:hAnsi="Times New Roman"/>
          <w:sz w:val="20"/>
        </w:rPr>
        <w:t xml:space="preserve"> means the Subordination Agreement executed on or about the date of this Agreement between the Borrower, Zemenik Trading, HeadHunter FSU, Headhunter and the Lenders on the priority of claims of the lenders. </w:t>
      </w:r>
    </w:p>
    <w:p>
      <w:pPr>
        <w:pStyle w:val="TextBody"/>
        <w:spacing w:before="240" w:after="0"/>
        <w:rPr/>
      </w:pPr>
      <w:r>
        <w:rPr/>
        <w:t>“</w:t>
      </w:r>
      <w:r>
        <w:rPr>
          <w:rFonts w:ascii="Times New Roman" w:hAnsi="Times New Roman"/>
          <w:b/>
          <w:sz w:val="20"/>
        </w:rPr>
        <w:t>IFRS”</w:t>
      </w:r>
      <w:r>
        <w:rPr>
          <w:rFonts w:ascii="Times New Roman" w:hAnsi="Times New Roman"/>
          <w:sz w:val="20"/>
        </w:rPr>
        <w:t xml:space="preserve"> means the international accounting standards referred to in Regulation No. 1606/2002 adopted by the European Parliament and the Council of Europe on July 19, 2002, insofar as applicable to respective financial statements. </w:t>
      </w:r>
    </w:p>
    <w:p>
      <w:pPr>
        <w:pStyle w:val="TextBody"/>
        <w:spacing w:before="240" w:after="0"/>
        <w:rPr/>
      </w:pPr>
      <w:r>
        <w:rPr/>
        <w:t>“</w:t>
      </w:r>
      <w:r>
        <w:rPr>
          <w:rFonts w:ascii="Times New Roman" w:hAnsi="Times New Roman"/>
          <w:b/>
          <w:sz w:val="20"/>
        </w:rPr>
        <w:t xml:space="preserve">Tax” </w:t>
      </w:r>
      <w:r>
        <w:rPr>
          <w:rFonts w:ascii="Times New Roman" w:hAnsi="Times New Roman"/>
          <w:sz w:val="20"/>
        </w:rPr>
        <w:t xml:space="preserve">means any tax, levy, duty or other charge or withholding of a similar nature (including any fines and penalties due in case of failure to pay or untimely payment of any of the foregoing) established by the applicable laws. </w:t>
      </w:r>
    </w:p>
    <w:p>
      <w:pPr>
        <w:pStyle w:val="TextBody"/>
        <w:spacing w:before="240" w:after="0"/>
        <w:rPr/>
      </w:pPr>
      <w:r>
        <w:rPr/>
        <w:t>“</w:t>
      </w:r>
      <w:r>
        <w:rPr>
          <w:rFonts w:ascii="Times New Roman" w:hAnsi="Times New Roman"/>
          <w:b/>
          <w:sz w:val="20"/>
        </w:rPr>
        <w:t>Tax Refund”</w:t>
      </w:r>
      <w:r>
        <w:rPr>
          <w:rFonts w:ascii="Times New Roman" w:hAnsi="Times New Roman"/>
          <w:sz w:val="20"/>
        </w:rPr>
        <w:t xml:space="preserve"> means exemption from payment of the Tax (application of a reduced tax rate or of a tax refund) granted outside the Russian Federation in respect of any Tax relating to payments under the Financial Documents. </w:t>
      </w:r>
    </w:p>
    <w:p>
      <w:pPr>
        <w:pStyle w:val="TextBody"/>
        <w:spacing w:before="240" w:after="0"/>
        <w:rPr/>
      </w:pPr>
      <w:r>
        <w:rPr/>
        <w:t>“</w:t>
      </w:r>
      <w:r>
        <w:rPr>
          <w:rFonts w:ascii="Times New Roman" w:hAnsi="Times New Roman"/>
          <w:b/>
          <w:sz w:val="20"/>
        </w:rPr>
        <w:t xml:space="preserve">Tax Deduction” </w:t>
      </w:r>
      <w:r>
        <w:rPr>
          <w:rFonts w:ascii="Times New Roman" w:hAnsi="Times New Roman"/>
          <w:sz w:val="20"/>
        </w:rPr>
        <w:t xml:space="preserve">means withholding from any payment under the Financial Document of an amount of any tax or levy, including, but not limited to, a value-added tax and income tax levied on a source, as well as any similar taxes that may replace or supplement existing taxes under the applicable laws, in the amount and within the terms provided for by law. </w:t>
      </w:r>
    </w:p>
    <w:p>
      <w:pPr>
        <w:pStyle w:val="TextBody"/>
        <w:spacing w:before="240" w:after="0"/>
        <w:rPr/>
      </w:pPr>
      <w:r>
        <w:rPr/>
        <w:t>“</w:t>
      </w:r>
      <w:r>
        <w:rPr>
          <w:rFonts w:ascii="Times New Roman" w:hAnsi="Times New Roman"/>
          <w:b/>
          <w:sz w:val="20"/>
        </w:rPr>
        <w:t>Tax Payment”</w:t>
      </w:r>
      <w:r>
        <w:rPr>
          <w:rFonts w:ascii="Times New Roman" w:hAnsi="Times New Roman"/>
          <w:sz w:val="20"/>
        </w:rPr>
        <w:t xml:space="preserve"> means an increase in the amount of payment made by the Debtor to a Party to the Financing under Article 12.1 (</w:t>
      </w:r>
      <w:r>
        <w:rPr>
          <w:rFonts w:ascii="Times New Roman" w:hAnsi="Times New Roman"/>
          <w:i/>
          <w:sz w:val="20"/>
        </w:rPr>
        <w:t>Reimbursement of Tax Deduction Costs</w:t>
      </w:r>
      <w:r>
        <w:rPr>
          <w:rFonts w:ascii="Times New Roman" w:hAnsi="Times New Roman"/>
          <w:sz w:val="20"/>
        </w:rPr>
        <w:t>), or making a payment by the Debtor to a Party to the Financing under 12.2 (</w:t>
      </w:r>
      <w:r>
        <w:rPr>
          <w:rFonts w:ascii="Times New Roman" w:hAnsi="Times New Roman"/>
          <w:i/>
          <w:sz w:val="20"/>
        </w:rPr>
        <w:t>Reimbursement of Tax-Related Costs</w:t>
      </w:r>
      <w:r>
        <w:rPr>
          <w:rFonts w:ascii="Times New Roman" w:hAnsi="Times New Roman"/>
          <w:sz w:val="20"/>
        </w:rPr>
        <w:t xml:space="preserve">). </w:t>
      </w:r>
    </w:p>
    <w:p>
      <w:pPr>
        <w:pStyle w:val="TextBody"/>
        <w:spacing w:before="240" w:after="0"/>
        <w:rPr/>
      </w:pPr>
      <w:r>
        <w:rPr/>
        <w:t>“</w:t>
      </w:r>
      <w:r>
        <w:rPr>
          <w:rFonts w:ascii="Times New Roman" w:hAnsi="Times New Roman"/>
          <w:b/>
          <w:sz w:val="20"/>
        </w:rPr>
        <w:t>Independent Guarantee”</w:t>
      </w:r>
      <w:r>
        <w:rPr>
          <w:rFonts w:ascii="Times New Roman" w:hAnsi="Times New Roman"/>
          <w:sz w:val="20"/>
        </w:rPr>
        <w:t xml:space="preserve"> means each independent guarantee issued by Headhunter, HeadHunter FSU, and Zemenik Trading in favor of the Lenders. </w:t>
      </w:r>
    </w:p>
    <w:p>
      <w:pPr>
        <w:pStyle w:val="TextBody"/>
        <w:spacing w:before="240" w:after="0"/>
        <w:rPr/>
      </w:pPr>
      <w:r>
        <w:rPr/>
        <w:t>“</w:t>
      </w:r>
      <w:r>
        <w:rPr>
          <w:rFonts w:ascii="Times New Roman" w:hAnsi="Times New Roman"/>
          <w:b/>
          <w:sz w:val="20"/>
        </w:rPr>
        <w:t>Default”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the Event of Default;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an event or circumstance specified in Article 21 (</w:t>
            </w:r>
            <w:r>
              <w:rPr>
                <w:i/>
              </w:rPr>
              <w:t>Events of Default</w:t>
            </w:r>
            <w:r>
              <w:rPr/>
              <w:t xml:space="preserve">) which shall hereunder become the Event of Default if (1) any period established by this Agreement for elimination of any violation expires, (2) any notice is sent, or (3) a respective resolution under the Financial Documents is adopted. </w:t>
            </w:r>
          </w:p>
        </w:tc>
      </w:tr>
    </w:tbl>
    <w:p>
      <w:pPr>
        <w:pStyle w:val="TextBody"/>
        <w:spacing w:before="240" w:after="0"/>
        <w:rPr/>
      </w:pPr>
      <w:r>
        <w:rPr/>
        <w:t>“</w:t>
      </w:r>
      <w:r>
        <w:rPr>
          <w:rFonts w:ascii="Times New Roman" w:hAnsi="Times New Roman"/>
          <w:b/>
          <w:sz w:val="20"/>
        </w:rPr>
        <w:t xml:space="preserve">Unused Loan Limit” </w:t>
      </w:r>
      <w:r>
        <w:rPr>
          <w:rFonts w:ascii="Times New Roman" w:hAnsi="Times New Roman"/>
          <w:sz w:val="20"/>
        </w:rPr>
        <w:t xml:space="preserve">means the Loan Limit for each individual Lender minus: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 cash amount already provided to the Borrower by this Lender,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the Amount to be Granted by this Lender. </w:t>
            </w:r>
          </w:p>
        </w:tc>
      </w:tr>
    </w:tbl>
    <w:p>
      <w:pPr>
        <w:pStyle w:val="TextBody"/>
        <w:spacing w:before="240" w:after="0"/>
        <w:rPr/>
      </w:pPr>
      <w:r>
        <w:rPr/>
        <w:t>“</w:t>
      </w:r>
      <w:r>
        <w:rPr>
          <w:rFonts w:ascii="Times New Roman" w:hAnsi="Times New Roman"/>
          <w:b/>
          <w:sz w:val="20"/>
        </w:rPr>
        <w:t xml:space="preserve">Outstanding Loan” </w:t>
      </w:r>
      <w:r>
        <w:rPr>
          <w:rFonts w:ascii="Times New Roman" w:hAnsi="Times New Roman"/>
          <w:sz w:val="20"/>
        </w:rPr>
        <w:t xml:space="preserve">means, at any time, cash provided to the Borrower as a loan under this Agreement and not returned to the Lenders. </w:t>
      </w:r>
    </w:p>
    <w:p>
      <w:pPr>
        <w:pStyle w:val="TextBody"/>
        <w:spacing w:before="240" w:after="0"/>
        <w:rPr/>
      </w:pPr>
      <w:r>
        <w:rPr/>
        <w:t>“</w:t>
      </w:r>
      <w:r>
        <w:rPr>
          <w:rFonts w:ascii="Times New Roman" w:hAnsi="Times New Roman"/>
          <w:b/>
          <w:sz w:val="20"/>
        </w:rPr>
        <w:t xml:space="preserve">Encumbrance” </w:t>
      </w:r>
      <w:r>
        <w:rPr>
          <w:rFonts w:ascii="Times New Roman" w:hAnsi="Times New Roman"/>
          <w:sz w:val="20"/>
        </w:rPr>
        <w:t xml:space="preserve">means a mortgage, pledge, lien, pawn, assignment, the right to debit funds from an account with the acceptance of a payer given in advance or a similar write-off right or another encumbrance created to ensure performance of any person’s obligations or any other agreement concluded to ensure the performance of obligations.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Original Financial Statements”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the audited financial statements of Zemenik Trading for the year 2015; </w:t>
            </w:r>
          </w:p>
        </w:tc>
      </w:tr>
    </w:tbl>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the annual statements of Headhunter for the year 2015 prepared under RAS;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the management statements of HeadHunter FSU as of December 31, 2015, prepared under the accounting policy of the Group for management accounting. </w:t>
            </w:r>
          </w:p>
        </w:tc>
      </w:tr>
    </w:tbl>
    <w:p>
      <w:pPr>
        <w:pStyle w:val="TextBody"/>
        <w:spacing w:before="240" w:after="0"/>
        <w:rPr/>
      </w:pPr>
      <w:r>
        <w:rPr/>
        <w:t>“</w:t>
      </w:r>
      <w:r>
        <w:rPr>
          <w:rFonts w:ascii="Times New Roman" w:hAnsi="Times New Roman"/>
          <w:b/>
          <w:sz w:val="20"/>
        </w:rPr>
        <w:t>Loan Disbursement Period”</w:t>
      </w:r>
      <w:r>
        <w:rPr>
          <w:rFonts w:ascii="Times New Roman" w:hAnsi="Times New Roman"/>
          <w:sz w:val="20"/>
        </w:rPr>
        <w:t xml:space="preserve"> means the Disbursement Period of Tranche A, the Disbursement Period of Tranche B, or the Disbursement Period of Tranche C and Tranche D. </w:t>
      </w:r>
    </w:p>
    <w:p>
      <w:pPr>
        <w:pStyle w:val="TextBody"/>
        <w:spacing w:before="240" w:after="0"/>
        <w:rPr/>
      </w:pPr>
      <w:r>
        <w:rPr/>
        <w:t>“</w:t>
      </w:r>
      <w:r>
        <w:rPr>
          <w:rFonts w:ascii="Times New Roman" w:hAnsi="Times New Roman"/>
          <w:b/>
          <w:sz w:val="20"/>
        </w:rPr>
        <w:t>Disbursement Period of Tranche A”</w:t>
      </w:r>
      <w:r>
        <w:rPr>
          <w:rFonts w:ascii="Times New Roman" w:hAnsi="Times New Roman"/>
          <w:sz w:val="20"/>
        </w:rPr>
        <w:t xml:space="preserve"> means a period from the date of this Agreement (inclusive) to the date (inclusive) occurring 45 (forty-five) days from the date of this Agreement. </w:t>
      </w:r>
    </w:p>
    <w:p>
      <w:pPr>
        <w:pStyle w:val="TextBody"/>
        <w:spacing w:before="240" w:after="0"/>
        <w:rPr/>
      </w:pPr>
      <w:r>
        <w:rPr/>
        <w:t>“</w:t>
      </w:r>
      <w:r>
        <w:rPr>
          <w:rFonts w:ascii="Times New Roman" w:hAnsi="Times New Roman"/>
          <w:b/>
          <w:sz w:val="20"/>
        </w:rPr>
        <w:t>Disbursement Period of Tranche B”</w:t>
      </w:r>
      <w:r>
        <w:rPr>
          <w:rFonts w:ascii="Times New Roman" w:hAnsi="Times New Roman"/>
          <w:sz w:val="20"/>
        </w:rPr>
        <w:t xml:space="preserve"> means a period from the date of this Agreement (inclusive) to the date (inclusive) occurring 730 (seven hundred and thirty) days from the date of this Agreement. </w:t>
      </w:r>
    </w:p>
    <w:p>
      <w:pPr>
        <w:pStyle w:val="TextBody"/>
        <w:spacing w:before="240" w:after="0"/>
        <w:rPr/>
      </w:pPr>
      <w:r>
        <w:rPr/>
        <w:t>“</w:t>
      </w:r>
      <w:r>
        <w:rPr>
          <w:rFonts w:ascii="Times New Roman" w:hAnsi="Times New Roman"/>
          <w:b/>
          <w:sz w:val="20"/>
        </w:rPr>
        <w:t xml:space="preserve">Disbursement Period of Tranche C and Tranche D” </w:t>
      </w:r>
      <w:r>
        <w:rPr>
          <w:rFonts w:ascii="Times New Roman" w:hAnsi="Times New Roman"/>
          <w:sz w:val="20"/>
        </w:rPr>
        <w:t xml:space="preserve">means a period from the date of Amendment Agreement No.3 (inclusive) to the date (inclusive) occurring 180 (one hundred and eighty) days from the date of Amendment Agreement No.3. </w:t>
      </w:r>
    </w:p>
    <w:p>
      <w:pPr>
        <w:pStyle w:val="TextBody"/>
        <w:spacing w:before="240" w:after="0"/>
        <w:rPr/>
      </w:pPr>
      <w:r>
        <w:rPr/>
        <w:t>“</w:t>
      </w:r>
      <w:r>
        <w:rPr>
          <w:rFonts w:ascii="Times New Roman" w:hAnsi="Times New Roman"/>
          <w:b/>
          <w:sz w:val="20"/>
        </w:rPr>
        <w:t>Incentive Plan Based on the Group’s Equity Instruments”</w:t>
      </w:r>
      <w:r>
        <w:rPr>
          <w:rFonts w:ascii="Times New Roman" w:hAnsi="Times New Roman"/>
          <w:sz w:val="20"/>
        </w:rPr>
        <w:t xml:space="preserve"> means an agreement providing for the receipt of the following by employees (or former employees) of the Group and (or) owners of shares and (or) participatory interests of any member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consideration by provision of the Group’s Equity Instruments;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consideration by cash payments or provision of other assets, provided that an amount of this consideration is determined on the basis of and (or) depends on the value of the Group’s Equity Instruments. </w:t>
            </w:r>
          </w:p>
        </w:tc>
      </w:tr>
    </w:tbl>
    <w:p>
      <w:pPr>
        <w:pStyle w:val="TextBody"/>
        <w:spacing w:before="240" w:after="0"/>
        <w:rPr/>
      </w:pPr>
      <w:r>
        <w:rPr/>
        <w:t>“</w:t>
      </w:r>
      <w:r>
        <w:rPr>
          <w:rFonts w:ascii="Times New Roman" w:hAnsi="Times New Roman"/>
          <w:b/>
          <w:sz w:val="20"/>
        </w:rPr>
        <w:t xml:space="preserve">Sanctioned Person” </w:t>
      </w:r>
      <w:r>
        <w:rPr>
          <w:rFonts w:ascii="Times New Roman" w:hAnsi="Times New Roman"/>
          <w:sz w:val="20"/>
        </w:rPr>
        <w:t>has the meaning specified in Article 22.2 (</w:t>
      </w:r>
      <w:r>
        <w:rPr>
          <w:rFonts w:ascii="Times New Roman" w:hAnsi="Times New Roman"/>
          <w:i/>
          <w:sz w:val="20"/>
        </w:rPr>
        <w:t>Assignment of Rights and Transfer of Obligations by the Lenders</w:t>
      </w:r>
      <w:r>
        <w:rPr>
          <w:rFonts w:ascii="Times New Roman" w:hAnsi="Times New Roman"/>
          <w:sz w:val="20"/>
        </w:rPr>
        <w:t xml:space="preserve">). </w:t>
      </w:r>
    </w:p>
    <w:p>
      <w:pPr>
        <w:pStyle w:val="TextBody"/>
        <w:spacing w:before="240" w:after="0"/>
        <w:rPr/>
      </w:pPr>
      <w:r>
        <w:rPr/>
        <w:t>“</w:t>
      </w:r>
      <w:r>
        <w:rPr>
          <w:rFonts w:ascii="Times New Roman" w:hAnsi="Times New Roman"/>
          <w:b/>
          <w:sz w:val="20"/>
        </w:rPr>
        <w:t>Debt Ratio”</w:t>
      </w:r>
      <w:r>
        <w:rPr>
          <w:rFonts w:ascii="Times New Roman" w:hAnsi="Times New Roman"/>
          <w:sz w:val="20"/>
        </w:rPr>
        <w:t xml:space="preserve"> has the meaning specified in Article 18.2 (</w:t>
      </w:r>
      <w:r>
        <w:rPr>
          <w:rFonts w:ascii="Times New Roman" w:hAnsi="Times New Roman"/>
          <w:i/>
          <w:sz w:val="20"/>
        </w:rPr>
        <w:t>Debt Ratio</w:t>
      </w:r>
      <w:r>
        <w:rPr>
          <w:rFonts w:ascii="Times New Roman" w:hAnsi="Times New Roman"/>
          <w:sz w:val="20"/>
        </w:rPr>
        <w:t xml:space="preserve">). </w:t>
      </w:r>
    </w:p>
    <w:p>
      <w:pPr>
        <w:pStyle w:val="TextBody"/>
        <w:spacing w:before="240" w:after="0"/>
        <w:rPr/>
      </w:pPr>
      <w:r>
        <w:rPr/>
        <w:t>“</w:t>
      </w:r>
      <w:r>
        <w:rPr>
          <w:rFonts w:ascii="Times New Roman" w:hAnsi="Times New Roman"/>
          <w:b/>
          <w:sz w:val="20"/>
        </w:rPr>
        <w:t>Percentage Covering”</w:t>
      </w:r>
      <w:r>
        <w:rPr>
          <w:rFonts w:ascii="Times New Roman" w:hAnsi="Times New Roman"/>
          <w:sz w:val="20"/>
        </w:rPr>
        <w:t xml:space="preserve"> has the meaning specified in Article 18.3 (</w:t>
      </w:r>
      <w:r>
        <w:rPr>
          <w:rFonts w:ascii="Times New Roman" w:hAnsi="Times New Roman"/>
          <w:i/>
          <w:sz w:val="20"/>
        </w:rPr>
        <w:t>Percentage Covering</w:t>
      </w:r>
      <w:r>
        <w:rPr>
          <w:rFonts w:ascii="Times New Roman" w:hAnsi="Times New Roman"/>
          <w:sz w:val="20"/>
        </w:rPr>
        <w:t xml:space="preserve">). </w:t>
      </w:r>
    </w:p>
    <w:p>
      <w:pPr>
        <w:pStyle w:val="TextBody"/>
        <w:spacing w:before="240" w:after="0"/>
        <w:rPr/>
      </w:pPr>
      <w:r>
        <w:rPr/>
        <w:t>“</w:t>
      </w:r>
      <w:r>
        <w:rPr>
          <w:rFonts w:ascii="Times New Roman" w:hAnsi="Times New Roman"/>
          <w:b/>
          <w:sz w:val="20"/>
        </w:rPr>
        <w:t>EBITDA”</w:t>
      </w:r>
      <w:r>
        <w:rPr>
          <w:rFonts w:ascii="Times New Roman" w:hAnsi="Times New Roman"/>
          <w:sz w:val="20"/>
        </w:rPr>
        <w:t xml:space="preserve"> means the EBITDA of any member of the Group that is determined as of the last reporting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as of the end of a fiscal year or a fiscal half a year, in accordance with such Group’s financial statements for the relevant fiscal year or fiscal half a year (respectively) as prepared in accordance with IFRS and provided to the Credit Agent under Clause (a) or (b) of Article 17.1 (</w:t>
            </w:r>
            <w:r>
              <w:rPr>
                <w:i/>
              </w:rPr>
              <w:t>Financial Statements</w:t>
            </w:r>
            <w:r>
              <w:rPr/>
              <w:t xml:space="preser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as of the end of the first or third financial quarter, based on such respective management statements of the Group as provided to the Credit Agent under Clause (c) of Article 17.1 (</w:t>
            </w:r>
            <w:r>
              <w:rPr>
                <w:i/>
              </w:rPr>
              <w:t>Financial Statements</w:t>
            </w:r>
            <w:r>
              <w:rPr/>
              <w:t xml:space="preserve">). </w:t>
            </w:r>
          </w:p>
        </w:tc>
      </w:tr>
    </w:tbl>
    <w:p>
      <w:pPr>
        <w:pStyle w:val="TextBody"/>
        <w:spacing w:before="240" w:after="0"/>
        <w:rPr/>
      </w:pPr>
      <w:r>
        <w:rPr/>
        <w:t>“</w:t>
      </w:r>
      <w:r>
        <w:rPr>
          <w:rFonts w:ascii="Times New Roman" w:hAnsi="Times New Roman"/>
          <w:b/>
          <w:sz w:val="20"/>
        </w:rPr>
        <w:t>Acceptable Lender”</w:t>
      </w:r>
      <w:r>
        <w:rPr>
          <w:rFonts w:ascii="Times New Roman" w:hAnsi="Times New Roman"/>
          <w:sz w:val="20"/>
        </w:rPr>
        <w:t xml:space="preserve"> means the Lender that is: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a Russian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a resident of the Contracting State to the Double Taxation Agreement, provided that the status of such Lender shall, at the request of the Debtor, be proved by a copy of a document issued by a competent tax authority of the Contracting State to the Double Taxation Agreement and certifying that the Lender is a taxable resident of this Contracting State to the Double Taxation Agreement; such copy shall be translated into Russian.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Applicable Reporting Standards” </w:t>
      </w:r>
      <w:r>
        <w:rPr>
          <w:rFonts w:ascii="Times New Roman" w:hAnsi="Times New Roman"/>
          <w:sz w:val="20"/>
        </w:rPr>
        <w:t xml:space="preserve">means financial reporting standards applicable to any Debtor. </w:t>
      </w:r>
    </w:p>
    <w:p>
      <w:pPr>
        <w:pStyle w:val="TextBody"/>
        <w:spacing w:before="240" w:after="0"/>
        <w:rPr/>
      </w:pPr>
      <w:r>
        <w:rPr/>
        <w:t>“</w:t>
      </w:r>
      <w:r>
        <w:rPr>
          <w:rFonts w:ascii="Times New Roman" w:hAnsi="Times New Roman"/>
          <w:b/>
          <w:sz w:val="20"/>
        </w:rPr>
        <w:t>Seller”</w:t>
      </w:r>
      <w:r>
        <w:rPr>
          <w:rFonts w:ascii="Times New Roman" w:hAnsi="Times New Roman"/>
          <w:sz w:val="20"/>
        </w:rPr>
        <w:t xml:space="preserve"> means Mail.ru Group LTD, a limited liability company incorporated under the laws of the British Virgin Islands, registration number 655058, located at: 28 Oktovriou, 232, Oceanic Building, office 501, 3035 Limassol, Cyprus </w:t>
      </w:r>
    </w:p>
    <w:p>
      <w:pPr>
        <w:pStyle w:val="TextBody"/>
        <w:spacing w:before="240" w:after="0"/>
        <w:rPr/>
      </w:pPr>
      <w:r>
        <w:rPr/>
        <w:t>“</w:t>
      </w:r>
      <w:r>
        <w:rPr>
          <w:rFonts w:ascii="Times New Roman" w:hAnsi="Times New Roman"/>
          <w:b/>
          <w:sz w:val="20"/>
        </w:rPr>
        <w:t xml:space="preserve">Proportional Share”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for the purposes of determination of the extent of the Lender’s participation in granting of the Loan against any Disbursement Request, the ratio between the Unused Loan Limit of such Lender and the Aggregate Unused Loan Limit.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for any other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2"/>
        <w:gridCol w:w="8477"/>
      </w:tblGrid>
      <w:tr>
        <w:trPr/>
        <w:tc>
          <w:tcPr>
            <w:tcW w:w="815" w:type="dxa"/>
            <w:tcBorders/>
            <w:shd w:fill="auto" w:val="clear"/>
            <w:vAlign w:val="center"/>
          </w:tcPr>
          <w:p>
            <w:pPr>
              <w:pStyle w:val="TableContents"/>
              <w:spacing w:before="0" w:after="283"/>
              <w:rPr/>
            </w:pPr>
            <w:r>
              <w:rPr/>
              <w:t> </w:t>
            </w:r>
          </w:p>
        </w:tc>
        <w:tc>
          <w:tcPr>
            <w:tcW w:w="912" w:type="dxa"/>
            <w:tcBorders/>
            <w:shd w:fill="auto" w:val="clear"/>
          </w:tcPr>
          <w:p>
            <w:pPr>
              <w:pStyle w:val="TableContents"/>
              <w:spacing w:before="0" w:after="283"/>
              <w:jc w:val="left"/>
              <w:rPr/>
            </w:pPr>
            <w:r>
              <w:rPr/>
              <w:t>(i)</w:t>
            </w:r>
          </w:p>
        </w:tc>
        <w:tc>
          <w:tcPr>
            <w:tcW w:w="8477" w:type="dxa"/>
            <w:tcBorders/>
            <w:shd w:fill="auto" w:val="clear"/>
          </w:tcPr>
          <w:p>
            <w:pPr>
              <w:pStyle w:val="TableContents"/>
              <w:spacing w:before="0" w:after="283"/>
              <w:jc w:val="left"/>
              <w:rPr/>
            </w:pPr>
            <w:r>
              <w:rPr/>
              <w:t xml:space="preserve">in the absence of the Outstanding Loan, the ratio between the Loan Limit of a separate Lender and the Aggregate Loan Limit,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8473" w:type="dxa"/>
            <w:tcBorders/>
            <w:shd w:fill="auto" w:val="clear"/>
          </w:tcPr>
          <w:p>
            <w:pPr>
              <w:pStyle w:val="TableContents"/>
              <w:spacing w:before="0" w:after="283"/>
              <w:jc w:val="left"/>
              <w:rPr/>
            </w:pPr>
            <w:r>
              <w:rPr/>
              <w:t xml:space="preserve">in case of the Outstanding Loan, the ratio between the Outstanding Loan granted to the Borrower by a separate Lender, together with the Amount to be Granted by this Lender, and the Outstanding Loan granted to the Borrower by all Lenders, together with the Amount to be Granted by all Lenders. </w:t>
            </w:r>
          </w:p>
        </w:tc>
      </w:tr>
    </w:tbl>
    <w:p>
      <w:pPr>
        <w:pStyle w:val="TextBody"/>
        <w:spacing w:before="240" w:after="0"/>
        <w:rPr/>
      </w:pPr>
      <w:r>
        <w:rPr/>
        <w:t>“</w:t>
      </w:r>
      <w:r>
        <w:rPr>
          <w:rFonts w:ascii="Times New Roman" w:hAnsi="Times New Roman"/>
          <w:b/>
          <w:sz w:val="20"/>
        </w:rPr>
        <w:t xml:space="preserve">Interest Period” </w:t>
      </w:r>
      <w:r>
        <w:rPr>
          <w:rFonts w:ascii="Times New Roman" w:hAnsi="Times New Roman"/>
          <w:sz w:val="20"/>
        </w:rPr>
        <w:t>means, in respect of the Outstanding Loan, each period during which interest is accrued under Article 10 (</w:t>
      </w:r>
      <w:r>
        <w:rPr>
          <w:rFonts w:ascii="Times New Roman" w:hAnsi="Times New Roman"/>
          <w:i/>
          <w:sz w:val="20"/>
        </w:rPr>
        <w:t>Interest Periods</w:t>
      </w:r>
      <w:r>
        <w:rPr>
          <w:rFonts w:ascii="Times New Roman" w:hAnsi="Times New Roman"/>
          <w:sz w:val="20"/>
        </w:rPr>
        <w:t>) and, in respect of any overdue amount, each period determined under Article 9.4 (</w:t>
      </w:r>
      <w:r>
        <w:rPr>
          <w:rFonts w:ascii="Times New Roman" w:hAnsi="Times New Roman"/>
          <w:i/>
          <w:sz w:val="20"/>
        </w:rPr>
        <w:t>Penalty</w:t>
      </w:r>
      <w:r>
        <w:rPr>
          <w:rFonts w:ascii="Times New Roman" w:hAnsi="Times New Roman"/>
          <w:sz w:val="20"/>
        </w:rPr>
        <w:t xml:space="preserve">). </w:t>
      </w:r>
    </w:p>
    <w:p>
      <w:pPr>
        <w:pStyle w:val="TextBody"/>
        <w:spacing w:before="240" w:after="0"/>
        <w:rPr/>
      </w:pPr>
      <w:r>
        <w:rPr/>
        <w:t>“</w:t>
      </w:r>
      <w:r>
        <w:rPr>
          <w:rFonts w:ascii="Times New Roman" w:hAnsi="Times New Roman"/>
          <w:b/>
          <w:sz w:val="20"/>
        </w:rPr>
        <w:t>Business Day”</w:t>
      </w:r>
      <w:r>
        <w:rPr>
          <w:rFonts w:ascii="Times New Roman" w:hAnsi="Times New Roman"/>
          <w:sz w:val="20"/>
        </w:rPr>
        <w:t xml:space="preserve"> means any day on which banks are open to conduct ordinary banking operations in Moscow and Nicosia; except for Clause 4.2 (b) of Article 4.2 (</w:t>
      </w:r>
      <w:r>
        <w:rPr>
          <w:rFonts w:ascii="Times New Roman" w:hAnsi="Times New Roman"/>
          <w:i/>
          <w:sz w:val="20"/>
        </w:rPr>
        <w:t>Submission of Disbursement Requests)</w:t>
      </w:r>
      <w:r>
        <w:rPr>
          <w:rFonts w:ascii="Times New Roman" w:hAnsi="Times New Roman"/>
          <w:sz w:val="20"/>
        </w:rPr>
        <w:t xml:space="preserve"> and Clause 8.3 (a) of Article 8.3 (</w:t>
      </w:r>
      <w:r>
        <w:rPr>
          <w:rFonts w:ascii="Times New Roman" w:hAnsi="Times New Roman"/>
          <w:i/>
          <w:sz w:val="20"/>
        </w:rPr>
        <w:t>Voluntary Early Repayment of the Outstanding Loan</w:t>
      </w:r>
      <w:r>
        <w:rPr>
          <w:rFonts w:ascii="Times New Roman" w:hAnsi="Times New Roman"/>
          <w:sz w:val="20"/>
        </w:rPr>
        <w:t xml:space="preserve">), for which the </w:t>
      </w:r>
      <w:r>
        <w:rPr>
          <w:rFonts w:ascii="Times New Roman" w:hAnsi="Times New Roman"/>
          <w:b/>
          <w:sz w:val="20"/>
        </w:rPr>
        <w:t>Business Day</w:t>
      </w:r>
      <w:r>
        <w:rPr>
          <w:rFonts w:ascii="Times New Roman" w:hAnsi="Times New Roman"/>
          <w:sz w:val="20"/>
        </w:rPr>
        <w:t xml:space="preserve"> will be any day on which banks are open for ordinary banking operations in Moscow. </w:t>
      </w:r>
    </w:p>
    <w:p>
      <w:pPr>
        <w:pStyle w:val="TextBody"/>
        <w:spacing w:before="240" w:after="0"/>
        <w:rPr/>
      </w:pPr>
      <w:r>
        <w:rPr/>
        <w:t>“</w:t>
      </w:r>
      <w:r>
        <w:rPr>
          <w:rFonts w:ascii="Times New Roman" w:hAnsi="Times New Roman"/>
          <w:b/>
          <w:sz w:val="20"/>
        </w:rPr>
        <w:t>Permitted Reorganization”</w:t>
      </w:r>
      <w:r>
        <w:rPr>
          <w:rFonts w:ascii="Times New Roman" w:hAnsi="Times New Roman"/>
          <w:sz w:val="20"/>
        </w:rPr>
        <w:t xml:space="preserve"> means a full or partial transfer of business, including contracts, assets and clients, from Headhunter to the Borrower, as well as a transfer of ownership to participatory interests in Headhunter from Headhunter FSU to the Borrower in any legal procedure not contradicting to the applicable laws, 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such actions result in no risk of termination or contestation of the Security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transfer of title to such participatory interests and shares, respectively, takes place taking into account the existing pledge in favor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all agreements and other documents necessary for transfer of title to such participatory interests in Headhunter from Headhunter FSU to the Borrower are agreed with the Credit Agent in advance;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composition of the Borrower’s members does not change;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any documents and information related to these actions are provided within 5 (five) Business Days after the receipt of a reasonable request of the Credit Agent.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Permitted Financial Indebtedness”</w:t>
      </w:r>
      <w:r>
        <w:rPr>
          <w:rFonts w:ascii="Times New Roman" w:hAnsi="Times New Roman"/>
          <w:sz w:val="20"/>
        </w:rPr>
        <w:t xml:space="preserve"> means the Financial Indebtedness: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arising under the terms and conditions of the Financial Documents or authorized by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of a member of the Group that exists on the date of this Agreement, as specified in Appendix 7 (</w:t>
            </w:r>
            <w:r>
              <w:rPr>
                <w:i/>
              </w:rPr>
              <w:t>Existing Financial Indebtedness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of members of the Group,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of Zemenik Trading to its shareholders,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of Zemenik Trading within the loans from Highworld and ELQ Investors granted on April 27, 2016, in an amount not exceeding in aggregate RUB 4,000,000,000 (four billion Rubles) for the purposes of payment of a purchase price by Zemenik Trading to the Seller for 100 (one hundred) percent of shares in the authorized capital of Headhunter FSU under Sale and Purchase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of the Borrower to any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(g)</w:t>
            </w:r>
          </w:p>
        </w:tc>
        <w:tc>
          <w:tcPr>
            <w:tcW w:w="9390" w:type="dxa"/>
            <w:tcBorders/>
            <w:shd w:fill="auto" w:val="clear"/>
          </w:tcPr>
          <w:p>
            <w:pPr>
              <w:pStyle w:val="TableContents"/>
              <w:spacing w:before="0" w:after="283"/>
              <w:jc w:val="left"/>
              <w:rPr/>
            </w:pPr>
            <w:r>
              <w:rPr/>
              <w:t xml:space="preserve">of the Guarantor to another Guarantor or the Borrower;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of Group’s members to third parties for loans and borrowings in a total amount not exceeding 10 (ten) percent of the Consolidated EBITDA. </w:t>
            </w:r>
          </w:p>
        </w:tc>
      </w:tr>
    </w:tbl>
    <w:p>
      <w:pPr>
        <w:pStyle w:val="TextBody"/>
        <w:spacing w:before="240" w:after="0"/>
        <w:rPr/>
      </w:pPr>
      <w:r>
        <w:rPr/>
        <w:t>“</w:t>
      </w:r>
      <w:r>
        <w:rPr>
          <w:rFonts w:ascii="Times New Roman" w:hAnsi="Times New Roman"/>
          <w:b/>
          <w:sz w:val="20"/>
        </w:rPr>
        <w:t>Permitted Disbursements”</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any payments made by a member of the Group to the Borrower or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any payments made by any Debtor to another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payment of an allocated profit by any member of the Group to Zemenik Trading’s shareholders (inter alia, as the Permitted Redemption), subject to the requirements of Article 19.12 (</w:t>
            </w:r>
            <w:r>
              <w:rPr>
                <w:i/>
              </w:rPr>
              <w:t>Payment of Dividends and Redemption of Shares / Participatory Interests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payment to another member of the Group or Zemenik Trading’s shareholders, of funds received by any member of the Group from sale of shares / participatory interests in another member of the Group that is not the Debtor, provided that after such payment the Debt Ratio does not change (subject to the provisions of Clause (e) of Article 19.3 (</w:t>
            </w:r>
            <w:r>
              <w:rPr>
                <w:i/>
              </w:rPr>
              <w:t>Asset Disposal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payment of funds by a member of the Group to another member of the Group in an amount not exceeding RUB 300,000,000 within three months from the Disbursement Date of Tranche A, as well as a subsequent payment of such funds by Zemenik Trading to Zemenik Trading’s shareholders;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making payments by Zemenik Trading to the Seller under Sale and Purchase Agreement 1 in an amount not exceeding RUB 5,000,000,000 (five billion Rubles) within three months from the date hereof;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(g)</w:t>
            </w:r>
          </w:p>
        </w:tc>
        <w:tc>
          <w:tcPr>
            <w:tcW w:w="9388" w:type="dxa"/>
            <w:tcBorders/>
            <w:shd w:fill="auto" w:val="clear"/>
          </w:tcPr>
          <w:p>
            <w:pPr>
              <w:pStyle w:val="TableContents"/>
              <w:spacing w:before="0" w:after="283"/>
              <w:jc w:val="left"/>
              <w:rPr/>
            </w:pPr>
            <w:r>
              <w:rPr/>
              <w:t xml:space="preserve">making the following payments by Zemenik Trading within 5 (five) Business Days after the Disbursement Date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3"/>
        <w:gridCol w:w="8476"/>
      </w:tblGrid>
      <w:tr>
        <w:trPr/>
        <w:tc>
          <w:tcPr>
            <w:tcW w:w="81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to Highworld for repayment of the Highworld’s Dollar Loan;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7"/>
        <w:gridCol w:w="8475"/>
      </w:tblGrid>
      <w:tr>
        <w:trPr/>
        <w:tc>
          <w:tcPr>
            <w:tcW w:w="81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8475" w:type="dxa"/>
            <w:tcBorders/>
            <w:shd w:fill="auto" w:val="clear"/>
          </w:tcPr>
          <w:p>
            <w:pPr>
              <w:pStyle w:val="TableContents"/>
              <w:spacing w:before="0" w:after="283"/>
              <w:jc w:val="left"/>
              <w:rPr/>
            </w:pPr>
            <w:r>
              <w:rPr/>
              <w:t xml:space="preserve">payment to Highworld for repayment of the Highworld’s loan granted on April 27, 2016, the funds of which were sent to Zemenik Trading (or according to instructions of and on behalf of Zemenik Trading) for payment to the Seller of a part of the purchase price for 100 (one hundred) percent shares in the authorized capital of Headhunter FSU under Sale and Purchase Agreement 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8473" w:type="dxa"/>
            <w:tcBorders/>
            <w:shd w:fill="auto" w:val="clear"/>
          </w:tcPr>
          <w:p>
            <w:pPr>
              <w:pStyle w:val="TableContents"/>
              <w:spacing w:before="0" w:after="283"/>
              <w:jc w:val="left"/>
              <w:rPr/>
            </w:pPr>
            <w:r>
              <w:rPr/>
              <w:t xml:space="preserve">payment to ELQ Investors for repayment of the ELQ Investors’ loan granted on April 27, 2016, the funds of which were sent to Zemenik Trading (or according to instructions of and on behalf of Zemenik Trading) for payment to the Seller of a part of the purchase price for 100 (one hundred) percent shares in the authorized capital of Headhunter FSU under Sale and Purchase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(h)</w:t>
            </w:r>
          </w:p>
        </w:tc>
        <w:tc>
          <w:tcPr>
            <w:tcW w:w="9388" w:type="dxa"/>
            <w:tcBorders/>
            <w:shd w:fill="auto" w:val="clear"/>
          </w:tcPr>
          <w:p>
            <w:pPr>
              <w:pStyle w:val="TableContents"/>
              <w:spacing w:before="0" w:after="283"/>
              <w:jc w:val="left"/>
              <w:rPr/>
            </w:pPr>
            <w:r>
              <w:rPr/>
              <w:t xml:space="preserve">making the following payments within 5 (five) Business Days after the Disbursement Date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 amount (not exceeding the amount of Tranche B) by the Borrower to Zemenik Trading under Sale and Purchase Agreement 2;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5"/>
        <w:gridCol w:w="8477"/>
      </w:tblGrid>
      <w:tr>
        <w:trPr/>
        <w:tc>
          <w:tcPr>
            <w:tcW w:w="81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8477" w:type="dxa"/>
            <w:tcBorders/>
            <w:shd w:fill="auto" w:val="clear"/>
          </w:tcPr>
          <w:p>
            <w:pPr>
              <w:pStyle w:val="TableContents"/>
              <w:spacing w:before="0" w:after="283"/>
              <w:jc w:val="left"/>
              <w:rPr/>
            </w:pPr>
            <w:r>
              <w:rPr/>
              <w:t xml:space="preserve">payment of an amount received from the Borrower under Sale and Purchase Agreement 2, to ELQ Investors and Highworld for repayment of loans granted by ELQ Investors and Highworld to Zemenik Trading prior to the date of this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8470" w:type="dxa"/>
            <w:tcBorders/>
            <w:shd w:fill="auto" w:val="clear"/>
          </w:tcPr>
          <w:p>
            <w:pPr>
              <w:pStyle w:val="TableContents"/>
              <w:spacing w:before="0" w:after="283"/>
              <w:jc w:val="left"/>
              <w:rPr/>
            </w:pPr>
            <w:r>
              <w:rPr/>
              <w:t xml:space="preserve">payment of any fees binding by virtue of the applicable laws, to any shareholders not being members of the Group or members of legal entities being members of the Group if such shareholder or member withdraws from the legal entity, </w:t>
            </w:r>
          </w:p>
        </w:tc>
      </w:tr>
    </w:tbl>
    <w:p>
      <w:pPr>
        <w:pStyle w:val="TextBody"/>
        <w:spacing w:before="120" w:after="0"/>
        <w:rPr>
          <w:rFonts w:ascii="Times New Roman" w:hAnsi="Times New Roman"/>
          <w:sz w:val="20"/>
        </w:rPr>
      </w:pPr>
      <w:r>
        <w:rPr>
          <w:rFonts w:ascii="Times New Roman" w:hAnsi="Times New Roman"/>
          <w:sz w:val="20"/>
        </w:rPr>
        <w:t xml:space="preserve">provided that no such payments as specified in Clauses (a)-(i) of this definition result in any negative net assets of a person making such payments. </w:t>
      </w:r>
    </w:p>
    <w:p>
      <w:pPr>
        <w:pStyle w:val="TextBody"/>
        <w:spacing w:before="240" w:after="0"/>
        <w:rPr/>
      </w:pPr>
      <w:r>
        <w:rPr/>
        <w:t>“</w:t>
      </w:r>
      <w:r>
        <w:rPr>
          <w:rFonts w:ascii="Times New Roman" w:hAnsi="Times New Roman"/>
          <w:b/>
          <w:sz w:val="20"/>
        </w:rPr>
        <w:t xml:space="preserve">Permitted Redemption” </w:t>
      </w:r>
      <w:r>
        <w:rPr>
          <w:rFonts w:ascii="Times New Roman" w:hAnsi="Times New Roman"/>
          <w:sz w:val="20"/>
        </w:rPr>
        <w:t xml:space="preserve">means a Group member’s repurchase of its own shares or participatory interests in the authorized capital of such member of the Group, 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if such participatory interests or shares are a subject-matter of the Pledge Agreement, such participatory interests or shares will continue to be pledged, regardless of the repurchase;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such member of the Group complies with all applicable legal requirements for such redemption, including requirements for the amount of the authorized capital of such member of the Group;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repurchased shares or participatory interests are to be repaid within a period established by the applicable laws. </w:t>
            </w:r>
          </w:p>
        </w:tc>
      </w:tr>
    </w:tbl>
    <w:p>
      <w:pPr>
        <w:pStyle w:val="TextBody"/>
        <w:spacing w:before="240" w:after="0"/>
        <w:rPr/>
      </w:pPr>
      <w:r>
        <w:rPr/>
        <w:t>“</w:t>
      </w:r>
      <w:r>
        <w:rPr>
          <w:rFonts w:ascii="Times New Roman" w:hAnsi="Times New Roman"/>
          <w:b/>
          <w:sz w:val="20"/>
        </w:rPr>
        <w:t>Permitted Loan”</w:t>
      </w:r>
      <w:r>
        <w:rPr>
          <w:rFonts w:ascii="Times New Roman" w:hAnsi="Times New Roman"/>
          <w:sz w:val="20"/>
        </w:rPr>
        <w:t xml:space="preserve"> means any loans: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granted by members of the Group prior to the date of this Agreement and listed in Appendix 11 (</w:t>
            </w:r>
            <w:r>
              <w:rPr>
                <w:i/>
              </w:rPr>
              <w:t>List of Existing Loans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granted by any Debtor to another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granted by any member of the Group to the Debtor under loan agreements,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granted by any member of the Group which is not the Debtor, to another member of the Group which is not the Debtor;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(e)</w:t>
            </w:r>
          </w:p>
        </w:tc>
        <w:tc>
          <w:tcPr>
            <w:tcW w:w="9391" w:type="dxa"/>
            <w:tcBorders/>
            <w:shd w:fill="auto" w:val="clear"/>
          </w:tcPr>
          <w:p>
            <w:pPr>
              <w:pStyle w:val="TableContents"/>
              <w:spacing w:before="0" w:after="283"/>
              <w:jc w:val="left"/>
              <w:rPr/>
            </w:pPr>
            <w:r>
              <w:rPr/>
              <w:t xml:space="preserve">granted in aggregate by any member of the Group to third parties in a total principal amount not exceeding 5 (five) percent of the Consolidated EBITDA at any time;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granted by the shareholders of Zemenik Trading on April 27, 2016, in an aggregate amount not exceeding RUB 4,000,000,000 (four billion Rubles), which funds were transferred to Zemenik Trading (or according to instructions of and on behalf of Zemenik Trading) for payment to the Seller of a part of the purchase price for 100 (one hundred) percent of shares in the authorized capital of Headhunter FSU under Sale and Purchase Agreement 1. </w:t>
            </w:r>
          </w:p>
        </w:tc>
      </w:tr>
    </w:tbl>
    <w:p>
      <w:pPr>
        <w:pStyle w:val="TextBody"/>
        <w:spacing w:before="240" w:after="0"/>
        <w:rPr/>
      </w:pPr>
      <w:r>
        <w:rPr/>
        <w:t>“</w:t>
      </w:r>
      <w:r>
        <w:rPr>
          <w:rFonts w:ascii="Times New Roman" w:hAnsi="Times New Roman"/>
          <w:b/>
          <w:sz w:val="20"/>
        </w:rPr>
        <w:t xml:space="preserve">Transaction Costs” </w:t>
      </w:r>
      <w:r>
        <w:rPr>
          <w:rFonts w:ascii="Times New Roman" w:hAnsi="Times New Roman"/>
          <w:sz w:val="20"/>
        </w:rPr>
        <w:t xml:space="preserve">means such amount of expenses for legal advisers and due diligence as incurred in relation to a transaction under Sale and Purchase Agreement 1 in an amount of RUB 45,605,039 (from which RUB 36,281,344 was granted in the first half a year in 2016 and RUB 9,323,695 in the second half a year in 2016). </w:t>
      </w:r>
    </w:p>
    <w:p>
      <w:pPr>
        <w:pStyle w:val="TextBody"/>
        <w:spacing w:before="240" w:after="0"/>
        <w:rPr/>
      </w:pPr>
      <w:r>
        <w:rPr/>
        <w:t>“</w:t>
      </w:r>
      <w:r>
        <w:rPr>
          <w:rFonts w:ascii="Times New Roman" w:hAnsi="Times New Roman"/>
          <w:b/>
          <w:sz w:val="20"/>
        </w:rPr>
        <w:t xml:space="preserve">Settlement Date” </w:t>
      </w:r>
      <w:r>
        <w:rPr>
          <w:rFonts w:ascii="Times New Roman" w:hAnsi="Times New Roman"/>
          <w:sz w:val="20"/>
        </w:rPr>
        <w:t xml:space="preserve">means the end date of the Settlement Period. </w:t>
      </w:r>
    </w:p>
    <w:p>
      <w:pPr>
        <w:pStyle w:val="TextBody"/>
        <w:spacing w:before="240" w:after="0"/>
        <w:rPr/>
      </w:pPr>
      <w:r>
        <w:rPr/>
        <w:t>“</w:t>
      </w:r>
      <w:r>
        <w:rPr>
          <w:rFonts w:ascii="Times New Roman" w:hAnsi="Times New Roman"/>
          <w:b/>
          <w:sz w:val="20"/>
        </w:rPr>
        <w:t>Settlement Period”</w:t>
      </w:r>
      <w:r>
        <w:rPr>
          <w:rFonts w:ascii="Times New Roman" w:hAnsi="Times New Roman"/>
          <w:sz w:val="20"/>
        </w:rPr>
        <w:t xml:space="preserve"> means, for the purposes of calculating the financial indicators set out in Article 18 (</w:t>
      </w:r>
      <w:r>
        <w:rPr>
          <w:rFonts w:ascii="Times New Roman" w:hAnsi="Times New Roman"/>
          <w:i/>
          <w:sz w:val="20"/>
        </w:rPr>
        <w:t>Financial Indicator Compliance Obligation</w:t>
      </w:r>
      <w:r>
        <w:rPr>
          <w:rFonts w:ascii="Times New Roman" w:hAnsi="Times New Roman"/>
          <w:sz w:val="20"/>
        </w:rPr>
        <w:t xml:space="preserve">), any period of 12 (twelve) months ending on the last day of a Group’s fiscal half a year or on the last day of a Group’s fiscal year. </w:t>
      </w:r>
    </w:p>
    <w:p>
      <w:pPr>
        <w:pStyle w:val="TextBody"/>
        <w:spacing w:before="240" w:after="0"/>
        <w:rPr/>
      </w:pPr>
      <w:r>
        <w:rPr/>
        <w:t>“</w:t>
      </w:r>
      <w:r>
        <w:rPr>
          <w:rFonts w:ascii="Times New Roman" w:hAnsi="Times New Roman"/>
          <w:b/>
          <w:sz w:val="20"/>
        </w:rPr>
        <w:t xml:space="preserve">Resolution” </w:t>
      </w:r>
      <w:r>
        <w:rPr>
          <w:rFonts w:ascii="Times New Roman" w:hAnsi="Times New Roman"/>
          <w:sz w:val="20"/>
        </w:rPr>
        <w:t>has the meaning given to this term in Article 23.1 (</w:t>
      </w:r>
      <w:r>
        <w:rPr>
          <w:rFonts w:ascii="Times New Roman" w:hAnsi="Times New Roman"/>
          <w:i/>
          <w:sz w:val="20"/>
        </w:rPr>
        <w:t>Resolutions of the Majority of the Lenders</w:t>
      </w:r>
      <w:r>
        <w:rPr>
          <w:rFonts w:ascii="Times New Roman" w:hAnsi="Times New Roman"/>
          <w:sz w:val="20"/>
        </w:rPr>
        <w:t xml:space="preserve">). </w:t>
      </w:r>
    </w:p>
    <w:p>
      <w:pPr>
        <w:pStyle w:val="TextBody"/>
        <w:spacing w:before="240" w:after="0"/>
        <w:rPr/>
      </w:pPr>
      <w:r>
        <w:rPr/>
        <w:t>“</w:t>
      </w:r>
      <w:r>
        <w:rPr>
          <w:rFonts w:ascii="Times New Roman" w:hAnsi="Times New Roman"/>
          <w:b/>
          <w:sz w:val="20"/>
        </w:rPr>
        <w:t>RAS”</w:t>
      </w:r>
      <w:r>
        <w:rPr>
          <w:rFonts w:ascii="Times New Roman" w:hAnsi="Times New Roman"/>
          <w:sz w:val="20"/>
        </w:rPr>
        <w:t xml:space="preserve"> means accounting rules in accordance with the Russian laws. </w:t>
      </w:r>
    </w:p>
    <w:p>
      <w:pPr>
        <w:pStyle w:val="TextBody"/>
        <w:spacing w:before="240" w:after="0"/>
        <w:rPr/>
      </w:pPr>
      <w:r>
        <w:rPr/>
        <w:t>“</w:t>
      </w:r>
      <w:r>
        <w:rPr>
          <w:rFonts w:ascii="Times New Roman" w:hAnsi="Times New Roman"/>
          <w:b/>
          <w:sz w:val="20"/>
        </w:rPr>
        <w:t>Ruble”, “RUB”</w:t>
      </w:r>
      <w:r>
        <w:rPr>
          <w:rFonts w:ascii="Times New Roman" w:hAnsi="Times New Roman"/>
          <w:sz w:val="20"/>
        </w:rPr>
        <w:t xml:space="preserve"> means a legal tender of the Russian Federation. </w:t>
      </w:r>
    </w:p>
    <w:p>
      <w:pPr>
        <w:pStyle w:val="TextBody"/>
        <w:spacing w:before="240" w:after="0"/>
        <w:rPr/>
      </w:pPr>
      <w:r>
        <w:rPr/>
        <w:t>“</w:t>
      </w:r>
      <w:r>
        <w:rPr>
          <w:rFonts w:ascii="Times New Roman" w:hAnsi="Times New Roman"/>
          <w:b/>
          <w:sz w:val="20"/>
        </w:rPr>
        <w:t xml:space="preserve">Websites of the Debtors” </w:t>
      </w:r>
      <w:r>
        <w:rPr>
          <w:rFonts w:ascii="Times New Roman" w:hAnsi="Times New Roman"/>
          <w:sz w:val="20"/>
        </w:rPr>
        <w:t>means Internet websites owned by the Debtors and listed in Appendix 8 (</w:t>
      </w:r>
      <w:r>
        <w:rPr>
          <w:rFonts w:ascii="Times New Roman" w:hAnsi="Times New Roman"/>
          <w:i/>
          <w:sz w:val="20"/>
        </w:rPr>
        <w:t>Intellectual Property</w:t>
      </w:r>
      <w:r>
        <w:rPr>
          <w:rFonts w:ascii="Times New Roman" w:hAnsi="Times New Roman"/>
          <w:sz w:val="20"/>
        </w:rPr>
        <w:t xml:space="preserve">). </w:t>
      </w:r>
    </w:p>
    <w:p>
      <w:pPr>
        <w:pStyle w:val="TextBody"/>
        <w:spacing w:before="240" w:after="0"/>
        <w:rPr/>
      </w:pPr>
      <w:r>
        <w:rPr/>
        <w:t>“</w:t>
      </w:r>
      <w:r>
        <w:rPr>
          <w:rFonts w:ascii="Times New Roman" w:hAnsi="Times New Roman"/>
          <w:b/>
          <w:sz w:val="20"/>
        </w:rPr>
        <w:t>Event of Default”</w:t>
      </w:r>
      <w:r>
        <w:rPr>
          <w:rFonts w:ascii="Times New Roman" w:hAnsi="Times New Roman"/>
          <w:sz w:val="20"/>
        </w:rPr>
        <w:t xml:space="preserve"> means any event or circumstance specified in Article 21 (</w:t>
      </w:r>
      <w:r>
        <w:rPr>
          <w:rFonts w:ascii="Times New Roman" w:hAnsi="Times New Roman"/>
          <w:i/>
          <w:sz w:val="20"/>
        </w:rPr>
        <w:t>Events of Default</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Aggregate Loan Limit” </w:t>
      </w:r>
      <w:r>
        <w:rPr>
          <w:rFonts w:ascii="Times New Roman" w:hAnsi="Times New Roman"/>
          <w:sz w:val="20"/>
        </w:rPr>
        <w:t xml:space="preserve">means a total amount of all Lenders’ Loan Limits of RUB 7,000,000,000 (seven billion Rubles) as of the date of Amendment Agreement 3. </w:t>
      </w:r>
    </w:p>
    <w:p>
      <w:pPr>
        <w:pStyle w:val="TextBody"/>
        <w:spacing w:before="240" w:after="0"/>
        <w:rPr/>
      </w:pPr>
      <w:r>
        <w:rPr/>
        <w:t>“</w:t>
      </w:r>
      <w:r>
        <w:rPr>
          <w:rFonts w:ascii="Times New Roman" w:hAnsi="Times New Roman"/>
          <w:b/>
          <w:sz w:val="20"/>
        </w:rPr>
        <w:t xml:space="preserve">Aggregate Unused Loan Limit” </w:t>
      </w:r>
      <w:r>
        <w:rPr>
          <w:rFonts w:ascii="Times New Roman" w:hAnsi="Times New Roman"/>
          <w:sz w:val="20"/>
        </w:rPr>
        <w:t xml:space="preserve">means an aggregate amount of the Unused Loan Limits of all Lenders. </w:t>
      </w:r>
    </w:p>
    <w:p>
      <w:pPr>
        <w:pStyle w:val="TextBody"/>
        <w:spacing w:before="24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2”</w:t>
      </w:r>
      <w:r>
        <w:rPr>
          <w:rFonts w:ascii="Times New Roman" w:hAnsi="Times New Roman"/>
          <w:sz w:val="20"/>
        </w:rPr>
        <w:t xml:space="preserve"> means Amendment Agreement No. 2 hereto dated June 28, 2017. </w:t>
      </w:r>
    </w:p>
    <w:p>
      <w:pPr>
        <w:pStyle w:val="TextBody"/>
        <w:spacing w:before="24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hereto dated October </w:t>
      </w:r>
      <w:r>
        <w:rPr>
          <w:rFonts w:ascii="Times New Roman" w:hAnsi="Times New Roman"/>
          <w:sz w:val="20"/>
          <w:u w:val="single"/>
        </w:rPr>
        <w:t>5</w:t>
      </w:r>
      <w:r>
        <w:rPr>
          <w:rFonts w:ascii="Times New Roman" w:hAnsi="Times New Roman"/>
          <w:sz w:val="20"/>
        </w:rPr>
        <w:t xml:space="preserve">, 2017. </w:t>
      </w:r>
    </w:p>
    <w:p>
      <w:pPr>
        <w:pStyle w:val="TextBody"/>
        <w:spacing w:before="240" w:after="0"/>
        <w:rPr/>
      </w:pPr>
      <w:r>
        <w:rPr/>
        <w:t>“</w:t>
      </w:r>
      <w:r>
        <w:rPr>
          <w:rFonts w:ascii="Times New Roman" w:hAnsi="Times New Roman"/>
          <w:b/>
          <w:sz w:val="20"/>
        </w:rPr>
        <w:t>Supplementary Guarantee Issue Agreement”</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Independent Guarantee Issue Agreement” </w:t>
      </w:r>
      <w:r>
        <w:rPr>
          <w:rFonts w:ascii="Times New Roman" w:hAnsi="Times New Roman"/>
          <w:sz w:val="20"/>
        </w:rPr>
        <w:t xml:space="preserve">means each independent guarantee issue agreement between the Borrower, the Lenders and a respective Guarantor for provision of the Independent Guarantee. </w:t>
      </w:r>
    </w:p>
    <w:p>
      <w:pPr>
        <w:pStyle w:val="TextBody"/>
        <w:spacing w:before="240" w:after="0"/>
        <w:rPr/>
      </w:pPr>
      <w:r>
        <w:rPr/>
        <w:t>“</w:t>
      </w:r>
      <w:r>
        <w:rPr>
          <w:rFonts w:ascii="Times New Roman" w:hAnsi="Times New Roman"/>
          <w:b/>
          <w:sz w:val="20"/>
        </w:rPr>
        <w:t>Party”</w:t>
      </w:r>
      <w:r>
        <w:rPr>
          <w:rFonts w:ascii="Times New Roman" w:hAnsi="Times New Roman"/>
          <w:sz w:val="20"/>
        </w:rPr>
        <w:t xml:space="preserve"> means a party hereto. </w:t>
      </w:r>
    </w:p>
    <w:p>
      <w:pPr>
        <w:pStyle w:val="TextBody"/>
        <w:spacing w:before="240" w:after="0"/>
        <w:rPr/>
      </w:pPr>
      <w:r>
        <w:rPr/>
        <w:t>“</w:t>
      </w:r>
      <w:r>
        <w:rPr>
          <w:rFonts w:ascii="Times New Roman" w:hAnsi="Times New Roman"/>
          <w:b/>
          <w:sz w:val="20"/>
        </w:rPr>
        <w:t>Party to the Financing”</w:t>
      </w:r>
      <w:r>
        <w:rPr>
          <w:rFonts w:ascii="Times New Roman" w:hAnsi="Times New Roman"/>
          <w:sz w:val="20"/>
        </w:rPr>
        <w:t xml:space="preserve"> means each Lender, Credit Agent and Organizer. </w:t>
      </w:r>
    </w:p>
    <w:p>
      <w:pPr>
        <w:pStyle w:val="TextBody"/>
        <w:spacing w:before="240" w:after="0"/>
        <w:rPr/>
      </w:pPr>
      <w:r>
        <w:rPr/>
        <w:t>“</w:t>
      </w:r>
      <w:r>
        <w:rPr>
          <w:rFonts w:ascii="Times New Roman" w:hAnsi="Times New Roman"/>
          <w:b/>
          <w:sz w:val="20"/>
        </w:rPr>
        <w:t xml:space="preserve">Amount to be Granted” </w:t>
      </w:r>
      <w:r>
        <w:rPr>
          <w:rFonts w:ascii="Times New Roman" w:hAnsi="Times New Roman"/>
          <w:sz w:val="20"/>
        </w:rPr>
        <w:t xml:space="preserve">means a cash amount to be granted by any Lender or Lenders on the Disbursement Date specified in the Disbursement Request submitted by the Borrower.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Material Negative Impact”</w:t>
      </w:r>
      <w:r>
        <w:rPr>
          <w:rFonts w:ascii="Times New Roman" w:hAnsi="Times New Roman"/>
          <w:sz w:val="20"/>
        </w:rPr>
        <w:t xml:space="preserve"> means a significant adverse effect that, in the opinion of the Majority of the Lenders, is possible 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the financial condition of the Group in general;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the ability of the Debtors to fulfill their obligations under any Financial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validity or priority of the security that is, or should be, granted under any Financial Document or the possibility of enforcement of such collateral;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validity of the Financial Documents or the possibility of exercising such rights of the Parties to the Financing as provided by each respective Financial Document. </w:t>
            </w:r>
          </w:p>
        </w:tc>
      </w:tr>
    </w:tbl>
    <w:p>
      <w:pPr>
        <w:pStyle w:val="TextBody"/>
        <w:spacing w:before="240" w:after="0"/>
        <w:rPr/>
      </w:pPr>
      <w:r>
        <w:rPr/>
        <w:t>“</w:t>
      </w:r>
      <w:r>
        <w:rPr>
          <w:rFonts w:ascii="Times New Roman" w:hAnsi="Times New Roman"/>
          <w:b/>
          <w:sz w:val="20"/>
        </w:rPr>
        <w:t>Significant Member of the Group”</w:t>
      </w:r>
      <w:r>
        <w:rPr>
          <w:rFonts w:ascii="Times New Roman" w:hAnsi="Times New Roman"/>
          <w:sz w:val="20"/>
        </w:rPr>
        <w:t xml:space="preserve"> means any Debtor or any member of the Group whose EBITDA, assets and revenues, determined on the basis of such consolidated financial statements of the Group as of the last reporting date as prepared in accordance with IFRS and submitted to the Credit Agent under Clause (a) or (b) of Article 17.1 (</w:t>
      </w:r>
      <w:r>
        <w:rPr>
          <w:rFonts w:ascii="Times New Roman" w:hAnsi="Times New Roman"/>
          <w:i/>
          <w:sz w:val="20"/>
        </w:rPr>
        <w:t>Financial Statements</w:t>
      </w:r>
      <w:r>
        <w:rPr>
          <w:rFonts w:ascii="Times New Roman" w:hAnsi="Times New Roman"/>
          <w:sz w:val="20"/>
        </w:rPr>
        <w:t xml:space="preserve">), exceed 2.5 (two point five) percent of the Group’s similar consolidated indicators determined on the basis of the same financial statements. </w:t>
      </w:r>
    </w:p>
    <w:p>
      <w:pPr>
        <w:pStyle w:val="TextBody"/>
        <w:spacing w:before="240" w:after="0"/>
        <w:rPr/>
      </w:pPr>
      <w:r>
        <w:rPr/>
        <w:t>“</w:t>
      </w:r>
      <w:r>
        <w:rPr>
          <w:rFonts w:ascii="Times New Roman" w:hAnsi="Times New Roman"/>
          <w:b/>
          <w:sz w:val="20"/>
        </w:rPr>
        <w:t>Existing Business Contracts”</w:t>
      </w:r>
      <w:r>
        <w:rPr>
          <w:rFonts w:ascii="Times New Roman" w:hAnsi="Times New Roman"/>
          <w:sz w:val="20"/>
        </w:rPr>
        <w:t xml:space="preserve"> means the following agreements on lease of the Headhunter office in Moscow between Headhunter as the lessee and Kalibr LLC as the lessor: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Lease Agreement No. 3706 dated March 1, 2013;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Lease Agreement No. 4480 dated September 16, 2015;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Lease Agreement No. 4735 dated May 4, 2016. </w:t>
            </w:r>
          </w:p>
        </w:tc>
      </w:tr>
    </w:tbl>
    <w:p>
      <w:pPr>
        <w:pStyle w:val="TextBody"/>
        <w:spacing w:before="240" w:after="0"/>
        <w:rPr/>
      </w:pPr>
      <w:r>
        <w:rPr/>
        <w:t>“</w:t>
      </w:r>
      <w:r>
        <w:rPr>
          <w:rFonts w:ascii="Times New Roman" w:hAnsi="Times New Roman"/>
          <w:b/>
          <w:sz w:val="20"/>
        </w:rPr>
        <w:t xml:space="preserve">Group Structure Scheme” </w:t>
      </w:r>
      <w:r>
        <w:rPr>
          <w:rFonts w:ascii="Times New Roman" w:hAnsi="Times New Roman"/>
          <w:sz w:val="20"/>
        </w:rPr>
        <w:t>means the structure of the Group attached as Appendix 9 (</w:t>
      </w:r>
      <w:r>
        <w:rPr>
          <w:rFonts w:ascii="Times New Roman" w:hAnsi="Times New Roman"/>
          <w:i/>
          <w:sz w:val="20"/>
        </w:rPr>
        <w:t>Group Structure Scheme</w:t>
      </w:r>
      <w:r>
        <w:rPr>
          <w:rFonts w:ascii="Times New Roman" w:hAnsi="Times New Roman"/>
          <w:sz w:val="20"/>
        </w:rPr>
        <w:t xml:space="preserve">) or (if the Borrower provided the Credit Agent with a new scheme of the Group structure after the date of this Agreement) the structure of the Group submitted by the Borrower to the Credit Agent at the latest date. </w:t>
      </w:r>
    </w:p>
    <w:p>
      <w:pPr>
        <w:pStyle w:val="TextBody"/>
        <w:spacing w:before="240" w:after="0"/>
        <w:rPr/>
      </w:pPr>
      <w:r>
        <w:rPr/>
        <w:t>“</w:t>
      </w:r>
      <w:r>
        <w:rPr>
          <w:rFonts w:ascii="Times New Roman" w:hAnsi="Times New Roman"/>
          <w:b/>
          <w:sz w:val="20"/>
        </w:rPr>
        <w:t xml:space="preserve">Credit Agent’s Account” </w:t>
      </w:r>
      <w:r>
        <w:rPr>
          <w:rFonts w:ascii="Times New Roman" w:hAnsi="Times New Roman"/>
          <w:sz w:val="20"/>
        </w:rPr>
        <w:t xml:space="preserve">means the account whose details the Credit Agent reports to the Parties to the Financing. </w:t>
      </w:r>
    </w:p>
    <w:p>
      <w:pPr>
        <w:pStyle w:val="TextBody"/>
        <w:spacing w:before="240" w:after="0"/>
        <w:rPr/>
      </w:pPr>
      <w:r>
        <w:rPr/>
        <w:t>“</w:t>
      </w:r>
      <w:r>
        <w:rPr>
          <w:rFonts w:ascii="Times New Roman" w:hAnsi="Times New Roman"/>
          <w:b/>
          <w:sz w:val="20"/>
        </w:rPr>
        <w:t>Technical Failure”</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such a significant malfunction (as occurred for reasons beyond the control of any of the Parties) in those payment systems or communication systems or in those financial markets whose operation in each case is necessary for making payments (or other transactions to be performed) in accordance with the transactions provided for by the Financial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occurrence of any other event that entails such a (technical or systemic) failure in the cash or settlement transactions of any Party which prevents this or any other Party from: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2"/>
        <w:gridCol w:w="8477"/>
      </w:tblGrid>
      <w:tr>
        <w:trPr/>
        <w:tc>
          <w:tcPr>
            <w:tcW w:w="815" w:type="dxa"/>
            <w:tcBorders/>
            <w:shd w:fill="auto" w:val="clear"/>
            <w:vAlign w:val="center"/>
          </w:tcPr>
          <w:p>
            <w:pPr>
              <w:pStyle w:val="TableContents"/>
              <w:spacing w:before="0" w:after="283"/>
              <w:rPr/>
            </w:pPr>
            <w:r>
              <w:rPr/>
              <w:t> </w:t>
            </w:r>
          </w:p>
        </w:tc>
        <w:tc>
          <w:tcPr>
            <w:tcW w:w="912" w:type="dxa"/>
            <w:tcBorders/>
            <w:shd w:fill="auto" w:val="clear"/>
          </w:tcPr>
          <w:p>
            <w:pPr>
              <w:pStyle w:val="TableContents"/>
              <w:spacing w:before="0" w:after="283"/>
              <w:jc w:val="left"/>
              <w:rPr/>
            </w:pPr>
            <w:r>
              <w:rPr/>
              <w:t>(i)</w:t>
            </w:r>
          </w:p>
        </w:tc>
        <w:tc>
          <w:tcPr>
            <w:tcW w:w="8477" w:type="dxa"/>
            <w:tcBorders/>
            <w:shd w:fill="auto" w:val="clear"/>
          </w:tcPr>
          <w:p>
            <w:pPr>
              <w:pStyle w:val="TableContents"/>
              <w:spacing w:before="0" w:after="283"/>
              <w:jc w:val="left"/>
              <w:rPr/>
            </w:pPr>
            <w:r>
              <w:rPr/>
              <w:t xml:space="preserve">fulfillment of its payment obligations under the Financial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8473" w:type="dxa"/>
            <w:tcBorders/>
            <w:shd w:fill="auto" w:val="clear"/>
          </w:tcPr>
          <w:p>
            <w:pPr>
              <w:pStyle w:val="TableContents"/>
              <w:spacing w:before="0" w:after="283"/>
              <w:jc w:val="left"/>
              <w:rPr/>
            </w:pPr>
            <w:r>
              <w:rPr/>
              <w:t xml:space="preserve">communication with other Parties under the Financial Documents and that was not caused by a Party whose operations were disrupted and which occurred for any reasons beyond the control of that Party. </w:t>
            </w:r>
          </w:p>
        </w:tc>
      </w:tr>
    </w:tbl>
    <w:p>
      <w:pPr>
        <w:pStyle w:val="TextBody"/>
        <w:spacing w:before="240" w:after="0"/>
        <w:rPr/>
      </w:pPr>
      <w:r>
        <w:rPr/>
        <w:t>“</w:t>
      </w:r>
      <w:r>
        <w:rPr>
          <w:rFonts w:ascii="Times New Roman" w:hAnsi="Times New Roman"/>
          <w:b/>
          <w:sz w:val="20"/>
        </w:rPr>
        <w:t xml:space="preserve">Trademarks of the Debtors” </w:t>
      </w:r>
      <w:r>
        <w:rPr>
          <w:rFonts w:ascii="Times New Roman" w:hAnsi="Times New Roman"/>
          <w:sz w:val="20"/>
        </w:rPr>
        <w:t>means any trademarks registered by the Debtors and the Additional Guarantors and specified in Appendix 8 (</w:t>
      </w:r>
      <w:r>
        <w:rPr>
          <w:rFonts w:ascii="Times New Roman" w:hAnsi="Times New Roman"/>
          <w:i/>
          <w:sz w:val="20"/>
        </w:rPr>
        <w:t>Intellectual Property</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Tranche” </w:t>
      </w:r>
      <w:r>
        <w:rPr>
          <w:rFonts w:ascii="Times New Roman" w:hAnsi="Times New Roman"/>
          <w:sz w:val="20"/>
        </w:rPr>
        <w:t xml:space="preserve">means Tranche A, Tranche B, Tranche C, or Tranche D. </w:t>
      </w:r>
    </w:p>
    <w:p>
      <w:pPr>
        <w:pStyle w:val="TextBody"/>
        <w:spacing w:before="240" w:after="0"/>
        <w:rPr/>
      </w:pPr>
      <w:r>
        <w:rPr/>
        <w:t>“</w:t>
      </w:r>
      <w:r>
        <w:rPr>
          <w:rFonts w:ascii="Times New Roman" w:hAnsi="Times New Roman"/>
          <w:b/>
          <w:sz w:val="20"/>
        </w:rPr>
        <w:t>Tranche A”</w:t>
      </w:r>
      <w:r>
        <w:rPr>
          <w:rFonts w:ascii="Times New Roman" w:hAnsi="Times New Roman"/>
          <w:sz w:val="20"/>
        </w:rPr>
        <w:t xml:space="preserve"> means a part of the Loan granted to the Borrower under the terms and conditions hereof in an amount of RUB 4,000,000,000 (four billion Rubles). </w:t>
      </w:r>
    </w:p>
    <w:p>
      <w:pPr>
        <w:pStyle w:val="TextBody"/>
        <w:spacing w:before="240" w:after="0"/>
        <w:rPr/>
      </w:pPr>
      <w:r>
        <w:rPr/>
        <w:t>“</w:t>
      </w:r>
      <w:r>
        <w:rPr>
          <w:rFonts w:ascii="Times New Roman" w:hAnsi="Times New Roman"/>
          <w:b/>
          <w:sz w:val="20"/>
        </w:rPr>
        <w:t>Tranche B”</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Tranche C”</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Tranche D”</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Financial Indebtedness”</w:t>
      </w:r>
      <w:r>
        <w:rPr>
          <w:rFonts w:ascii="Times New Roman" w:hAnsi="Times New Roman"/>
          <w:sz w:val="20"/>
        </w:rPr>
        <w:t xml:space="preserve"> means any indebtedness resulting from: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receiving cash as a loan;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obtaining a commodity loan, a commercial loan for a period of more than 30 (thirty) days, or issuing an uncovered letter of credit if such debt is classified as a “financial indebtedness”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issuing bonds, notes and any other debt instruments;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concluding a financial lease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making transactions with derivative financial instruments in order to get protection against or benefit from fluctuations in any exchange rates, interest rates or prices, and the amount of the transaction with such derivative financial instruments shall be calculated on the basis of market indicators at each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(f)</w:t>
            </w:r>
          </w:p>
        </w:tc>
        <w:tc>
          <w:tcPr>
            <w:tcW w:w="9388" w:type="dxa"/>
            <w:tcBorders/>
            <w:shd w:fill="auto" w:val="clear"/>
          </w:tcPr>
          <w:p>
            <w:pPr>
              <w:pStyle w:val="TableContents"/>
              <w:spacing w:before="0" w:after="283"/>
              <w:jc w:val="left"/>
              <w:rPr/>
            </w:pPr>
            <w:r>
              <w:rPr/>
              <w:t xml:space="preserve">making repo transactions or any other transaction that is a borrowing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(g)</w:t>
            </w:r>
          </w:p>
        </w:tc>
        <w:tc>
          <w:tcPr>
            <w:tcW w:w="9391" w:type="dxa"/>
            <w:tcBorders/>
            <w:shd w:fill="auto" w:val="clear"/>
          </w:tcPr>
          <w:p>
            <w:pPr>
              <w:pStyle w:val="TableContents"/>
              <w:spacing w:before="0" w:after="283"/>
              <w:jc w:val="left"/>
              <w:rPr/>
            </w:pPr>
            <w:r>
              <w:rPr/>
              <w:t xml:space="preserve">assuming the obligation to recover losses or expenses incurred by persons not belonging to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(h)</w:t>
            </w:r>
          </w:p>
        </w:tc>
        <w:tc>
          <w:tcPr>
            <w:tcW w:w="9389" w:type="dxa"/>
            <w:tcBorders/>
            <w:shd w:fill="auto" w:val="clear"/>
          </w:tcPr>
          <w:p>
            <w:pPr>
              <w:pStyle w:val="TableContents"/>
              <w:spacing w:before="0" w:after="283"/>
              <w:jc w:val="left"/>
              <w:rPr/>
            </w:pPr>
            <w:r>
              <w:rPr/>
              <w:t xml:space="preserve">entering into the Incentive Plans Based on the Group’s Equity Instruments;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(i)</w:t>
            </w:r>
          </w:p>
        </w:tc>
        <w:tc>
          <w:tcPr>
            <w:tcW w:w="9393" w:type="dxa"/>
            <w:tcBorders/>
            <w:shd w:fill="auto" w:val="clear"/>
          </w:tcPr>
          <w:p>
            <w:pPr>
              <w:pStyle w:val="TableContents"/>
              <w:spacing w:before="0" w:after="283"/>
              <w:jc w:val="left"/>
              <w:rPr/>
            </w:pPr>
            <w:r>
              <w:rPr/>
              <w:t xml:space="preserve">making transactions providing for the assumption of any obligations: (A) of suretyship or guarantee for performance of any obligations by any persons not belonging to the Group; or (B) of reimbursement to a guarantor, surety under suretyship for any amounts under the guarantee, suretyship; or (C) of liability with respect to the right of subrogation claims against any purchaser of a traded or discounted receivable, </w:t>
            </w:r>
          </w:p>
        </w:tc>
      </w:tr>
    </w:tbl>
    <w:p>
      <w:pPr>
        <w:pStyle w:val="TextBody"/>
        <w:spacing w:before="240" w:after="0"/>
        <w:rPr>
          <w:rFonts w:ascii="Times New Roman" w:hAnsi="Times New Roman"/>
          <w:sz w:val="20"/>
        </w:rPr>
      </w:pPr>
      <w:r>
        <w:rPr>
          <w:rFonts w:ascii="Times New Roman" w:hAnsi="Times New Roman"/>
          <w:sz w:val="20"/>
        </w:rPr>
        <w:t xml:space="preserve">or any other obligation having the economic nature of borrowing in accordance with IFRS. In each case no double counting shall apply. </w:t>
      </w:r>
    </w:p>
    <w:p>
      <w:pPr>
        <w:pStyle w:val="TextBody"/>
        <w:spacing w:before="240" w:after="0"/>
        <w:rPr/>
      </w:pPr>
      <w:r>
        <w:rPr/>
        <w:t>“</w:t>
      </w:r>
      <w:r>
        <w:rPr>
          <w:rFonts w:ascii="Times New Roman" w:hAnsi="Times New Roman"/>
          <w:b/>
          <w:sz w:val="20"/>
        </w:rPr>
        <w:t>Financial Document”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each Security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each Independent Guarantee Issue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each Supplementary Guarantee Issue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(f)</w:t>
            </w:r>
          </w:p>
        </w:tc>
        <w:tc>
          <w:tcPr>
            <w:tcW w:w="9389" w:type="dxa"/>
            <w:tcBorders/>
            <w:shd w:fill="auto" w:val="clear"/>
          </w:tcPr>
          <w:p>
            <w:pPr>
              <w:pStyle w:val="TableContents"/>
              <w:spacing w:before="0" w:after="283"/>
              <w:jc w:val="left"/>
              <w:rPr/>
            </w:pPr>
            <w:r>
              <w:rPr/>
              <w:t xml:space="preserve">each Lender’s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(g)</w:t>
            </w:r>
          </w:p>
        </w:tc>
        <w:tc>
          <w:tcPr>
            <w:tcW w:w="9388" w:type="dxa"/>
            <w:tcBorders/>
            <w:shd w:fill="auto" w:val="clear"/>
          </w:tcPr>
          <w:p>
            <w:pPr>
              <w:pStyle w:val="TableContents"/>
              <w:spacing w:before="0" w:after="283"/>
              <w:jc w:val="left"/>
              <w:rPr/>
            </w:pPr>
            <w:r>
              <w:rPr/>
              <w:t xml:space="preserve">each Disbursement Request;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any other document which the Credit Agent and the Borrower have agreed in writing to consider as the Financial Document;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(i)</w:t>
            </w:r>
          </w:p>
        </w:tc>
        <w:tc>
          <w:tcPr>
            <w:tcW w:w="9388" w:type="dxa"/>
            <w:tcBorders/>
            <w:shd w:fill="auto" w:val="clear"/>
          </w:tcPr>
          <w:p>
            <w:pPr>
              <w:pStyle w:val="TableContents"/>
              <w:spacing w:before="0" w:after="283"/>
              <w:jc w:val="left"/>
              <w:rPr/>
            </w:pPr>
            <w:r>
              <w:rPr/>
              <w:t xml:space="preserve">each Document Related to the Reorganization. </w:t>
            </w:r>
          </w:p>
        </w:tc>
      </w:tr>
    </w:tbl>
    <w:p>
      <w:pPr>
        <w:pStyle w:val="TextBody"/>
        <w:spacing w:before="240" w:after="0"/>
        <w:rPr/>
      </w:pPr>
      <w:r>
        <w:rPr/>
        <w:t>“</w:t>
      </w:r>
      <w:r>
        <w:rPr>
          <w:rFonts w:ascii="Times New Roman" w:hAnsi="Times New Roman"/>
          <w:b/>
          <w:sz w:val="20"/>
        </w:rPr>
        <w:t>Holding Company”</w:t>
      </w:r>
      <w:r>
        <w:rPr>
          <w:rFonts w:ascii="Times New Roman" w:hAnsi="Times New Roman"/>
          <w:sz w:val="20"/>
        </w:rPr>
        <w:t xml:space="preserve"> means, in relation to a legal entity, any other legal entity for which the first legal entity is the Subsidiary. </w:t>
      </w:r>
    </w:p>
    <w:p>
      <w:pPr>
        <w:pStyle w:val="TextBody"/>
        <w:spacing w:before="240" w:after="0"/>
        <w:rPr/>
      </w:pPr>
      <w:r>
        <w:rPr/>
        <w:t>“</w:t>
      </w:r>
      <w:r>
        <w:rPr>
          <w:rFonts w:ascii="Times New Roman" w:hAnsi="Times New Roman"/>
          <w:b/>
          <w:sz w:val="20"/>
        </w:rPr>
        <w:t>Headhunter”</w:t>
      </w:r>
      <w:r>
        <w:rPr>
          <w:rFonts w:ascii="Times New Roman" w:hAnsi="Times New Roman"/>
          <w:sz w:val="20"/>
        </w:rPr>
        <w:t xml:space="preserve"> means Headhunter Limited Liability Company incorporated under the laws of the Russian Federation, registered in the Unified State Register of Legal Entities of the Russian Federation under number (OGRN (Primary State Registration Number)): 1067761906805, located at: 9, Godovikova St., bld. 10, Moscow, the Russian Federation. </w:t>
      </w:r>
    </w:p>
    <w:p>
      <w:pPr>
        <w:pStyle w:val="TextBody"/>
        <w:spacing w:before="240" w:after="0"/>
        <w:rPr/>
      </w:pPr>
      <w:r>
        <w:rPr/>
        <w:t>“</w:t>
      </w:r>
      <w:r>
        <w:rPr>
          <w:rFonts w:ascii="Times New Roman" w:hAnsi="Times New Roman"/>
          <w:b/>
          <w:sz w:val="20"/>
        </w:rPr>
        <w:t>Cash Equivalent”</w:t>
      </w:r>
      <w:r>
        <w:rPr>
          <w:rFonts w:ascii="Times New Roman" w:hAnsi="Times New Roman"/>
          <w:sz w:val="20"/>
        </w:rPr>
        <w:t xml:space="preserve"> has the meaning specified for this term in IFRS. </w:t>
      </w:r>
    </w:p>
    <w:p>
      <w:pPr>
        <w:pStyle w:val="TextBody"/>
        <w:spacing w:before="240" w:after="0"/>
        <w:rPr/>
      </w:pPr>
      <w:r>
        <w:rPr/>
        <w:t>“</w:t>
      </w:r>
      <w:r>
        <w:rPr>
          <w:rFonts w:ascii="Times New Roman" w:hAnsi="Times New Roman"/>
          <w:b/>
          <w:sz w:val="20"/>
        </w:rPr>
        <w:t xml:space="preserve">ELQ Investors” </w:t>
      </w:r>
      <w:r>
        <w:rPr>
          <w:rFonts w:ascii="Times New Roman" w:hAnsi="Times New Roman"/>
          <w:sz w:val="20"/>
        </w:rPr>
        <w:t xml:space="preserve">means ELQ Investors II Ltd, a limited liability company incorporated under the laws of England and Wales, registration number 06375035, registered at the address: Peterborough Court, 133 Fleet Street, London EC4A 2BB, United Kingdom. </w:t>
      </w:r>
    </w:p>
    <w:p>
      <w:pPr>
        <w:pStyle w:val="TextBody"/>
        <w:spacing w:before="240" w:after="0"/>
        <w:rPr/>
      </w:pPr>
      <w:r>
        <w:rPr/>
        <w:t>“</w:t>
      </w:r>
      <w:r>
        <w:rPr>
          <w:rFonts w:ascii="Times New Roman" w:hAnsi="Times New Roman"/>
          <w:b/>
          <w:sz w:val="20"/>
        </w:rPr>
        <w:t xml:space="preserve">ELQ Investors VIII” </w:t>
      </w:r>
      <w:r>
        <w:rPr>
          <w:rFonts w:ascii="Times New Roman" w:hAnsi="Times New Roman"/>
          <w:sz w:val="20"/>
        </w:rPr>
        <w:t xml:space="preserve">means ELQ Investors VIII Ltd, a limited liability company incorporated under the laws of England and Wales, registration number 9182214, registered at the address: Peterborough Court, 133 Fleet Street, London EC4A 2BB, United Kingdom. </w:t>
      </w:r>
    </w:p>
    <w:p>
      <w:pPr>
        <w:pStyle w:val="TextBody"/>
        <w:spacing w:before="240" w:after="0"/>
        <w:rPr/>
      </w:pPr>
      <w:r>
        <w:rPr/>
        <w:t>“</w:t>
      </w:r>
      <w:r>
        <w:rPr>
          <w:rFonts w:ascii="Times New Roman" w:hAnsi="Times New Roman"/>
          <w:b/>
          <w:sz w:val="20"/>
        </w:rPr>
        <w:t xml:space="preserve">HeadHunter FSU” </w:t>
      </w:r>
      <w:r>
        <w:rPr>
          <w:rFonts w:ascii="Times New Roman" w:hAnsi="Times New Roman"/>
          <w:sz w:val="20"/>
        </w:rPr>
        <w:t xml:space="preserve">means HeadHunter FSU Limited, a limited liability company incorporated under the laws of the Republic of Cyprus, registration number HE 178226, registered at the address: 42 Dositheou, Strovolos 2028, Nicosia, Cyprus. </w:t>
      </w:r>
    </w:p>
    <w:p>
      <w:pPr>
        <w:pStyle w:val="TextBody"/>
        <w:spacing w:before="240" w:after="0"/>
        <w:rPr/>
      </w:pPr>
      <w:r>
        <w:rPr/>
        <w:t>“</w:t>
      </w:r>
      <w:r>
        <w:rPr>
          <w:rFonts w:ascii="Times New Roman" w:hAnsi="Times New Roman"/>
          <w:b/>
          <w:sz w:val="20"/>
        </w:rPr>
        <w:t xml:space="preserve">Highworld” </w:t>
      </w:r>
      <w:r>
        <w:rPr>
          <w:rFonts w:ascii="Times New Roman" w:hAnsi="Times New Roman"/>
          <w:sz w:val="20"/>
        </w:rPr>
        <w:t xml:space="preserve">means Highworld Investments Limited, a limited liability company incorporated under the laws of the British Virgin Islands, registration number 1802016, registered at the address: Trident Chambers, P.O. Box 146, Road Town, Tortola, BVI). </w:t>
      </w:r>
    </w:p>
    <w:p>
      <w:pPr>
        <w:pStyle w:val="TextBody"/>
        <w:spacing w:before="240" w:after="0"/>
        <w:rPr/>
      </w:pPr>
      <w:r>
        <w:rPr/>
        <w:t>“</w:t>
      </w:r>
      <w:r>
        <w:rPr>
          <w:rFonts w:ascii="Times New Roman" w:hAnsi="Times New Roman"/>
          <w:b/>
          <w:sz w:val="20"/>
        </w:rPr>
        <w:t xml:space="preserve">Zemenik Trading” </w:t>
      </w:r>
      <w:r>
        <w:rPr>
          <w:rFonts w:ascii="Times New Roman" w:hAnsi="Times New Roman"/>
          <w:sz w:val="20"/>
        </w:rPr>
        <w:t xml:space="preserve">means Zemenik Trading Limited, a limited liability company incorporated under the laws of the Republic of Cyprus, registration number HE 332806, registered at the address: 42 Dositheou, Strovolos 2028, Nicosia, Cyprus. </w:t>
      </w:r>
    </w:p>
    <w:p>
      <w:pPr>
        <w:pStyle w:val="TextBody"/>
        <w:spacing w:before="240" w:after="0"/>
        <w:rPr>
          <w:rFonts w:ascii="Times New Roman" w:hAnsi="Times New Roman"/>
          <w:sz w:val="20"/>
        </w:rPr>
      </w:pPr>
      <w:r>
        <w:rPr>
          <w:rFonts w:ascii="Times New Roman" w:hAnsi="Times New Roman"/>
          <w:sz w:val="20"/>
        </w:rPr>
        <w:t xml:space="preserve">Any reference to a Sub-Clause, Clause, Article or Appendix in the above terms of the Loan Agreement shall be interpreted as a reference to the said Sub-Clause, Clause, Article of the Loan Agreement or the Appendix thereto, unless otherwise expressly stated in the text of the Loan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OF THE PARTIES </w:t>
      </w:r>
    </w:p>
    <w:p>
      <w:pPr>
        <w:pStyle w:val="TextBody"/>
        <w:spacing w:before="240" w:after="0"/>
        <w:rPr>
          <w:rFonts w:ascii="Times New Roman" w:hAnsi="Times New Roman"/>
          <w:b/>
          <w:sz w:val="20"/>
        </w:rPr>
      </w:pPr>
      <w:r>
        <w:rPr>
          <w:rFonts w:ascii="Times New Roman" w:hAnsi="Times New Roman"/>
          <w:b/>
          <w:sz w:val="20"/>
        </w:rPr>
        <w:t xml:space="preserve">Guarantor </w:t>
      </w:r>
    </w:p>
    <w:p>
      <w:pPr>
        <w:pStyle w:val="TextBody"/>
        <w:spacing w:before="240" w:after="0"/>
        <w:rPr>
          <w:rFonts w:ascii="Times New Roman" w:hAnsi="Times New Roman"/>
          <w:b/>
          <w:sz w:val="20"/>
        </w:rPr>
      </w:pPr>
      <w:r>
        <w:rPr>
          <w:rFonts w:ascii="Times New Roman" w:hAnsi="Times New Roman"/>
          <w:b/>
          <w:sz w:val="20"/>
        </w:rPr>
        <w:t xml:space="preserve">HEADHUNTER LIMITED LIABILITY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910"/>
        <w:gridCol w:w="319"/>
        <w:gridCol w:w="8976"/>
      </w:tblGrid>
      <w:tr>
        <w:trPr/>
        <w:tc>
          <w:tcPr>
            <w:tcW w:w="910" w:type="dxa"/>
            <w:tcBorders/>
            <w:shd w:fill="auto" w:val="clear"/>
            <w:vAlign w:val="center"/>
          </w:tcPr>
          <w:p>
            <w:pPr>
              <w:pStyle w:val="TableContents"/>
              <w:spacing w:before="0" w:after="283"/>
              <w:rPr>
                <w:sz w:val="4"/>
                <w:szCs w:val="4"/>
              </w:rPr>
            </w:pPr>
            <w:r>
              <w:rPr>
                <w:sz w:val="4"/>
                <w:szCs w:val="4"/>
              </w:rPr>
            </w:r>
          </w:p>
        </w:tc>
        <w:tc>
          <w:tcPr>
            <w:tcW w:w="319" w:type="dxa"/>
            <w:tcBorders/>
            <w:shd w:fill="auto" w:val="clear"/>
            <w:vAlign w:val="bottom"/>
          </w:tcPr>
          <w:p>
            <w:pPr>
              <w:pStyle w:val="TableContents"/>
              <w:spacing w:before="0" w:after="283"/>
              <w:rPr>
                <w:sz w:val="4"/>
                <w:szCs w:val="4"/>
              </w:rPr>
            </w:pPr>
            <w:r>
              <w:rPr>
                <w:sz w:val="4"/>
                <w:szCs w:val="4"/>
              </w:rPr>
            </w:r>
          </w:p>
        </w:tc>
        <w:tc>
          <w:tcPr>
            <w:tcW w:w="8976" w:type="dxa"/>
            <w:tcBorders/>
            <w:shd w:fill="auto" w:val="clear"/>
            <w:vAlign w:val="center"/>
          </w:tcPr>
          <w:p>
            <w:pPr>
              <w:pStyle w:val="TableContents"/>
              <w:spacing w:before="0" w:after="283"/>
              <w:rPr>
                <w:sz w:val="4"/>
                <w:szCs w:val="4"/>
              </w:rPr>
            </w:pPr>
            <w:r>
              <w:rPr>
                <w:sz w:val="4"/>
                <w:szCs w:val="4"/>
              </w:rPr>
            </w:r>
          </w:p>
        </w:tc>
      </w:tr>
      <w:tr>
        <w:trPr/>
        <w:tc>
          <w:tcPr>
            <w:tcW w:w="910" w:type="dxa"/>
            <w:tcBorders/>
            <w:shd w:fill="auto" w:val="clear"/>
            <w:vAlign w:val="bottom"/>
          </w:tcPr>
          <w:p>
            <w:pPr>
              <w:pStyle w:val="TableContents"/>
              <w:spacing w:before="0" w:after="283"/>
              <w:rPr/>
            </w:pPr>
            <w:r>
              <w:rPr/>
              <w:t>Signature:</w:t>
            </w:r>
          </w:p>
        </w:tc>
        <w:tc>
          <w:tcPr>
            <w:tcW w:w="319" w:type="dxa"/>
            <w:tcBorders/>
            <w:shd w:fill="auto" w:val="clear"/>
            <w:vAlign w:val="bottom"/>
          </w:tcPr>
          <w:p>
            <w:pPr>
              <w:pStyle w:val="TableContents"/>
              <w:spacing w:before="0" w:after="283"/>
              <w:rPr/>
            </w:pPr>
            <w:r>
              <w:rPr/>
              <w:t>  </w:t>
            </w:r>
          </w:p>
        </w:tc>
        <w:tc>
          <w:tcPr>
            <w:tcW w:w="8976" w:type="dxa"/>
            <w:tcBorders/>
            <w:shd w:fill="auto" w:val="clear"/>
            <w:vAlign w:val="bottom"/>
          </w:tcPr>
          <w:p>
            <w:pPr>
              <w:pStyle w:val="TableContents"/>
              <w:spacing w:before="0" w:after="283"/>
              <w:rPr>
                <w:i/>
              </w:rPr>
            </w:pPr>
            <w:r>
              <w:rPr>
                <w:i/>
              </w:rPr>
              <w:t>/signature/</w:t>
            </w:r>
          </w:p>
        </w:tc>
      </w:tr>
      <w:tr>
        <w:trPr>
          <w:trHeight w:val="240" w:hRule="atLeast"/>
        </w:trPr>
        <w:tc>
          <w:tcPr>
            <w:tcW w:w="910" w:type="dxa"/>
            <w:tcBorders/>
            <w:shd w:fill="auto" w:val="clear"/>
            <w:vAlign w:val="center"/>
          </w:tcPr>
          <w:p>
            <w:pPr>
              <w:pStyle w:val="TableContents"/>
              <w:spacing w:before="0" w:after="283"/>
              <w:rPr>
                <w:sz w:val="4"/>
                <w:szCs w:val="4"/>
              </w:rPr>
            </w:pPr>
            <w:r>
              <w:rPr>
                <w:sz w:val="4"/>
                <w:szCs w:val="4"/>
              </w:rPr>
            </w:r>
          </w:p>
        </w:tc>
        <w:tc>
          <w:tcPr>
            <w:tcW w:w="9295" w:type="dxa"/>
            <w:gridSpan w:val="2"/>
            <w:tcBorders/>
            <w:shd w:fill="auto" w:val="clear"/>
            <w:vAlign w:val="center"/>
          </w:tcPr>
          <w:p>
            <w:pPr>
              <w:pStyle w:val="TableContents"/>
              <w:spacing w:before="0" w:after="283"/>
              <w:rPr>
                <w:sz w:val="4"/>
                <w:szCs w:val="4"/>
              </w:rPr>
            </w:pPr>
            <w:r>
              <w:rPr>
                <w:sz w:val="4"/>
                <w:szCs w:val="4"/>
              </w:rPr>
            </w:r>
          </w:p>
        </w:tc>
      </w:tr>
      <w:tr>
        <w:trPr/>
        <w:tc>
          <w:tcPr>
            <w:tcW w:w="910" w:type="dxa"/>
            <w:tcBorders/>
            <w:shd w:fill="auto" w:val="clear"/>
            <w:vAlign w:val="bottom"/>
          </w:tcPr>
          <w:p>
            <w:pPr>
              <w:pStyle w:val="TableContents"/>
              <w:spacing w:before="0" w:after="283"/>
              <w:rPr/>
            </w:pPr>
            <w:r>
              <w:rPr/>
              <w:t>Full name:</w:t>
            </w:r>
          </w:p>
        </w:tc>
        <w:tc>
          <w:tcPr>
            <w:tcW w:w="319" w:type="dxa"/>
            <w:tcBorders/>
            <w:shd w:fill="auto" w:val="clear"/>
            <w:vAlign w:val="bottom"/>
          </w:tcPr>
          <w:p>
            <w:pPr>
              <w:pStyle w:val="TableContents"/>
              <w:spacing w:before="0" w:after="283"/>
              <w:rPr/>
            </w:pPr>
            <w:r>
              <w:rPr/>
              <w:t>  </w:t>
            </w:r>
          </w:p>
        </w:tc>
        <w:tc>
          <w:tcPr>
            <w:tcW w:w="8976" w:type="dxa"/>
            <w:tcBorders/>
            <w:shd w:fill="auto" w:val="clear"/>
            <w:vAlign w:val="bottom"/>
          </w:tcPr>
          <w:p>
            <w:pPr>
              <w:pStyle w:val="TableContents"/>
              <w:spacing w:before="0" w:after="283"/>
              <w:rPr/>
            </w:pPr>
            <w:r>
              <w:rPr/>
              <w:t>Mikhail Alexandrovich Zhukov</w:t>
            </w:r>
          </w:p>
        </w:tc>
      </w:tr>
      <w:tr>
        <w:trPr>
          <w:trHeight w:val="240" w:hRule="atLeast"/>
        </w:trPr>
        <w:tc>
          <w:tcPr>
            <w:tcW w:w="910" w:type="dxa"/>
            <w:tcBorders/>
            <w:shd w:fill="auto" w:val="clear"/>
            <w:vAlign w:val="center"/>
          </w:tcPr>
          <w:p>
            <w:pPr>
              <w:pStyle w:val="TableContents"/>
              <w:spacing w:before="0" w:after="283"/>
              <w:rPr>
                <w:sz w:val="4"/>
                <w:szCs w:val="4"/>
              </w:rPr>
            </w:pPr>
            <w:r>
              <w:rPr>
                <w:sz w:val="4"/>
                <w:szCs w:val="4"/>
              </w:rPr>
            </w:r>
          </w:p>
        </w:tc>
        <w:tc>
          <w:tcPr>
            <w:tcW w:w="9295" w:type="dxa"/>
            <w:gridSpan w:val="2"/>
            <w:tcBorders/>
            <w:shd w:fill="auto" w:val="clear"/>
            <w:vAlign w:val="center"/>
          </w:tcPr>
          <w:p>
            <w:pPr>
              <w:pStyle w:val="TableContents"/>
              <w:spacing w:before="0" w:after="283"/>
              <w:rPr>
                <w:sz w:val="4"/>
                <w:szCs w:val="4"/>
              </w:rPr>
            </w:pPr>
            <w:r>
              <w:rPr>
                <w:sz w:val="4"/>
                <w:szCs w:val="4"/>
              </w:rPr>
            </w:r>
          </w:p>
        </w:tc>
      </w:tr>
      <w:tr>
        <w:trPr/>
        <w:tc>
          <w:tcPr>
            <w:tcW w:w="910" w:type="dxa"/>
            <w:tcBorders/>
            <w:shd w:fill="auto" w:val="clear"/>
            <w:vAlign w:val="bottom"/>
          </w:tcPr>
          <w:p>
            <w:pPr>
              <w:pStyle w:val="TableContents"/>
              <w:spacing w:before="0" w:after="283"/>
              <w:rPr/>
            </w:pPr>
            <w:r>
              <w:rPr/>
              <w:t>Position:</w:t>
            </w:r>
          </w:p>
        </w:tc>
        <w:tc>
          <w:tcPr>
            <w:tcW w:w="319" w:type="dxa"/>
            <w:tcBorders/>
            <w:shd w:fill="auto" w:val="clear"/>
            <w:vAlign w:val="bottom"/>
          </w:tcPr>
          <w:p>
            <w:pPr>
              <w:pStyle w:val="TableContents"/>
              <w:spacing w:before="0" w:after="283"/>
              <w:rPr/>
            </w:pPr>
            <w:r>
              <w:rPr/>
              <w:t>  </w:t>
            </w:r>
          </w:p>
        </w:tc>
        <w:tc>
          <w:tcPr>
            <w:tcW w:w="8976" w:type="dxa"/>
            <w:tcBorders/>
            <w:shd w:fill="auto" w:val="clear"/>
            <w:vAlign w:val="bottom"/>
          </w:tcPr>
          <w:p>
            <w:pPr>
              <w:pStyle w:val="TableContents"/>
              <w:spacing w:before="0" w:after="283"/>
              <w:rPr/>
            </w:pPr>
            <w:r>
              <w:rPr/>
              <w:t>General Director</w:t>
            </w:r>
          </w:p>
        </w:tc>
      </w:tr>
      <w:tr>
        <w:trPr>
          <w:trHeight w:val="480" w:hRule="atLeast"/>
        </w:trPr>
        <w:tc>
          <w:tcPr>
            <w:tcW w:w="910" w:type="dxa"/>
            <w:tcBorders/>
            <w:shd w:fill="auto" w:val="clear"/>
            <w:vAlign w:val="center"/>
          </w:tcPr>
          <w:p>
            <w:pPr>
              <w:pStyle w:val="TableContents"/>
              <w:spacing w:before="0" w:after="283"/>
              <w:rPr>
                <w:sz w:val="4"/>
                <w:szCs w:val="4"/>
              </w:rPr>
            </w:pPr>
            <w:r>
              <w:rPr>
                <w:sz w:val="4"/>
                <w:szCs w:val="4"/>
              </w:rPr>
            </w:r>
          </w:p>
        </w:tc>
        <w:tc>
          <w:tcPr>
            <w:tcW w:w="9295" w:type="dxa"/>
            <w:gridSpan w:val="2"/>
            <w:tcBorders/>
            <w:shd w:fill="auto" w:val="clear"/>
            <w:vAlign w:val="center"/>
          </w:tcPr>
          <w:p>
            <w:pPr>
              <w:pStyle w:val="TableContents"/>
              <w:spacing w:before="0" w:after="283"/>
              <w:rPr>
                <w:sz w:val="4"/>
                <w:szCs w:val="4"/>
              </w:rPr>
            </w:pPr>
            <w:r>
              <w:rPr>
                <w:sz w:val="4"/>
                <w:szCs w:val="4"/>
              </w:rPr>
            </w:r>
          </w:p>
        </w:tc>
      </w:tr>
      <w:tr>
        <w:trPr/>
        <w:tc>
          <w:tcPr>
            <w:tcW w:w="910" w:type="dxa"/>
            <w:tcBorders/>
            <w:shd w:fill="auto" w:val="clear"/>
            <w:vAlign w:val="bottom"/>
          </w:tcPr>
          <w:p>
            <w:pPr>
              <w:pStyle w:val="TableContents"/>
              <w:spacing w:before="0" w:after="283"/>
              <w:rPr>
                <w:sz w:val="4"/>
                <w:szCs w:val="4"/>
              </w:rPr>
            </w:pPr>
            <w:r>
              <w:rPr>
                <w:sz w:val="4"/>
                <w:szCs w:val="4"/>
              </w:rPr>
            </w:r>
          </w:p>
        </w:tc>
        <w:tc>
          <w:tcPr>
            <w:tcW w:w="319" w:type="dxa"/>
            <w:tcBorders/>
            <w:shd w:fill="auto" w:val="clear"/>
            <w:vAlign w:val="bottom"/>
          </w:tcPr>
          <w:p>
            <w:pPr>
              <w:pStyle w:val="TableContents"/>
              <w:spacing w:before="0" w:after="283"/>
              <w:rPr/>
            </w:pPr>
            <w:r>
              <w:rPr/>
              <w:t>  </w:t>
            </w:r>
          </w:p>
        </w:tc>
        <w:tc>
          <w:tcPr>
            <w:tcW w:w="8976" w:type="dxa"/>
            <w:tcBorders/>
            <w:shd w:fill="auto" w:val="clear"/>
            <w:vAlign w:val="bottom"/>
          </w:tcPr>
          <w:p>
            <w:pPr>
              <w:pStyle w:val="TableContents"/>
              <w:spacing w:before="0" w:after="0"/>
              <w:jc w:val="center"/>
              <w:rPr>
                <w:rFonts w:ascii="Times New Roman" w:hAnsi="Times New Roman"/>
                <w:sz w:val="20"/>
              </w:rPr>
            </w:pPr>
            <w:r>
              <w:rPr>
                <w:rFonts w:ascii="Times New Roman" w:hAnsi="Times New Roman"/>
                <w:sz w:val="20"/>
              </w:rPr>
              <w:t>Seal:</w:t>
            </w:r>
          </w:p>
          <w:p>
            <w:pPr>
              <w:pStyle w:val="TableContents"/>
              <w:spacing w:before="0" w:after="0"/>
              <w:jc w:val="center"/>
              <w:rPr>
                <w:rFonts w:ascii="Times New Roman" w:hAnsi="Times New Roman"/>
                <w:sz w:val="20"/>
              </w:rPr>
            </w:pPr>
            <w:r>
              <w:rPr>
                <w:rFonts w:ascii="Times New Roman" w:hAnsi="Times New Roman"/>
                <w:sz w:val="20"/>
              </w:rPr>
              <w:t>[HEADHUNTER LIMITED LIABILITY COMPANY, INN (Taxpayer</w:t>
            </w:r>
          </w:p>
          <w:p>
            <w:pPr>
              <w:pStyle w:val="TableContents"/>
              <w:spacing w:before="0" w:after="0"/>
              <w:jc w:val="center"/>
              <w:rPr>
                <w:rFonts w:ascii="Times New Roman" w:hAnsi="Times New Roman"/>
                <w:sz w:val="20"/>
              </w:rPr>
            </w:pPr>
            <w:r>
              <w:rPr>
                <w:rFonts w:ascii="Times New Roman" w:hAnsi="Times New Roman"/>
                <w:sz w:val="20"/>
              </w:rPr>
              <w:t>Identification Number) 7718620740</w:t>
            </w:r>
          </w:p>
          <w:p>
            <w:pPr>
              <w:pStyle w:val="TableContents"/>
              <w:spacing w:before="0" w:after="20"/>
              <w:jc w:val="center"/>
              <w:rPr>
                <w:rFonts w:ascii="Times New Roman" w:hAnsi="Times New Roman"/>
                <w:sz w:val="20"/>
              </w:rPr>
            </w:pPr>
            <w:r>
              <w:rPr>
                <w:rFonts w:ascii="Times New Roman" w:hAnsi="Times New Roman"/>
                <w:sz w:val="20"/>
              </w:rPr>
              <w:t>hh]</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Borrower </w:t>
      </w:r>
    </w:p>
    <w:p>
      <w:pPr>
        <w:pStyle w:val="TextBody"/>
        <w:spacing w:before="240" w:after="0"/>
        <w:rPr>
          <w:rFonts w:ascii="Times New Roman" w:hAnsi="Times New Roman"/>
          <w:b/>
          <w:sz w:val="20"/>
        </w:rPr>
      </w:pPr>
      <w:r>
        <w:rPr>
          <w:rFonts w:ascii="Times New Roman" w:hAnsi="Times New Roman"/>
          <w:b/>
          <w:sz w:val="20"/>
        </w:rPr>
        <w:t xml:space="preserve">ZEMENIK LIMITED LIABILITY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1"/>
        <w:gridCol w:w="318"/>
        <w:gridCol w:w="8996"/>
      </w:tblGrid>
      <w:tr>
        <w:trPr/>
        <w:tc>
          <w:tcPr>
            <w:tcW w:w="891" w:type="dxa"/>
            <w:tcBorders/>
            <w:shd w:fill="auto" w:val="clear"/>
            <w:vAlign w:val="center"/>
          </w:tcPr>
          <w:p>
            <w:pPr>
              <w:pStyle w:val="TableContents"/>
              <w:spacing w:before="0" w:after="283"/>
              <w:rPr>
                <w:sz w:val="4"/>
                <w:szCs w:val="4"/>
              </w:rPr>
            </w:pPr>
            <w:r>
              <w:rPr>
                <w:sz w:val="4"/>
                <w:szCs w:val="4"/>
              </w:rPr>
            </w:r>
          </w:p>
        </w:tc>
        <w:tc>
          <w:tcPr>
            <w:tcW w:w="318" w:type="dxa"/>
            <w:tcBorders/>
            <w:shd w:fill="auto" w:val="clear"/>
            <w:vAlign w:val="bottom"/>
          </w:tcPr>
          <w:p>
            <w:pPr>
              <w:pStyle w:val="TableContents"/>
              <w:spacing w:before="0" w:after="283"/>
              <w:rPr>
                <w:sz w:val="4"/>
                <w:szCs w:val="4"/>
              </w:rPr>
            </w:pPr>
            <w:r>
              <w:rPr>
                <w:sz w:val="4"/>
                <w:szCs w:val="4"/>
              </w:rPr>
            </w:r>
          </w:p>
        </w:tc>
        <w:tc>
          <w:tcPr>
            <w:tcW w:w="8996" w:type="dxa"/>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Signature: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i/>
              </w:rPr>
            </w:pPr>
            <w:r>
              <w:rPr>
                <w:i/>
              </w:rPr>
              <w:t>/signature/</w:t>
            </w:r>
          </w:p>
        </w:tc>
      </w:tr>
      <w:tr>
        <w:trPr>
          <w:trHeight w:val="24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Full name: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Karen Eduardovich Agayan</w:t>
            </w:r>
          </w:p>
        </w:tc>
      </w:tr>
      <w:tr>
        <w:trPr>
          <w:trHeight w:val="24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Position:</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General Director</w:t>
            </w:r>
          </w:p>
        </w:tc>
      </w:tr>
    </w:tbl>
    <w:p>
      <w:pPr>
        <w:pStyle w:val="TextBody"/>
        <w:spacing w:before="48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7714373561 </w:t>
      </w:r>
    </w:p>
    <w:p>
      <w:pPr>
        <w:pStyle w:val="TextBody"/>
        <w:spacing w:before="0" w:after="0"/>
        <w:jc w:val="center"/>
        <w:rPr>
          <w:rFonts w:ascii="Times New Roman" w:hAnsi="Times New Roman"/>
          <w:sz w:val="20"/>
        </w:rPr>
      </w:pPr>
      <w:r>
        <w:rPr>
          <w:rFonts w:ascii="Times New Roman" w:hAnsi="Times New Roman"/>
          <w:sz w:val="20"/>
        </w:rPr>
        <w:t xml:space="preserve">LIMITED LIABILITY COMPANY </w:t>
      </w:r>
    </w:p>
    <w:p>
      <w:pPr>
        <w:pStyle w:val="TextBody"/>
        <w:spacing w:before="0" w:after="0"/>
        <w:jc w:val="center"/>
        <w:rPr>
          <w:rFonts w:ascii="Times New Roman" w:hAnsi="Times New Roman"/>
          <w:sz w:val="20"/>
        </w:rPr>
      </w:pPr>
      <w:r>
        <w:rPr>
          <w:rFonts w:ascii="Times New Roman" w:hAnsi="Times New Roman"/>
          <w:sz w:val="20"/>
        </w:rPr>
        <w:t xml:space="preserve">Primary State Registration Number (OGRN) 1167746153860 </w:t>
      </w:r>
    </w:p>
    <w:p>
      <w:pPr>
        <w:pStyle w:val="TextBody"/>
        <w:spacing w:before="0" w:after="0"/>
        <w:jc w:val="center"/>
        <w:rPr>
          <w:rFonts w:ascii="Times New Roman" w:hAnsi="Times New Roman"/>
          <w:sz w:val="20"/>
        </w:rPr>
      </w:pPr>
      <w:r>
        <w:rPr>
          <w:rFonts w:ascii="Times New Roman" w:hAnsi="Times New Roman"/>
          <w:sz w:val="20"/>
        </w:rPr>
        <w:t xml:space="preserve">MOSCOW </w:t>
      </w:r>
    </w:p>
    <w:p>
      <w:pPr>
        <w:pStyle w:val="TextBody"/>
        <w:spacing w:before="0" w:after="0"/>
        <w:jc w:val="center"/>
        <w:rPr>
          <w:rFonts w:ascii="Times New Roman" w:hAnsi="Times New Roman"/>
          <w:sz w:val="20"/>
        </w:rPr>
      </w:pPr>
      <w:r>
        <w:rPr>
          <w:rFonts w:ascii="Times New Roman" w:hAnsi="Times New Roman"/>
          <w:sz w:val="20"/>
        </w:rPr>
        <w:t xml:space="preserve">Zemenik] </w:t>
      </w:r>
      <w:r>
        <w:br w:type="page"/>
      </w:r>
    </w:p>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Original Lender </w:t>
      </w:r>
    </w:p>
    <w:p>
      <w:pPr>
        <w:pStyle w:val="TextBody"/>
        <w:spacing w:before="120" w:after="0"/>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3"/>
        <w:gridCol w:w="317"/>
        <w:gridCol w:w="8995"/>
      </w:tblGrid>
      <w:tr>
        <w:trPr/>
        <w:tc>
          <w:tcPr>
            <w:tcW w:w="893" w:type="dxa"/>
            <w:tcBorders/>
            <w:shd w:fill="auto" w:val="clear"/>
            <w:vAlign w:val="center"/>
          </w:tcPr>
          <w:p>
            <w:pPr>
              <w:pStyle w:val="TableContents"/>
              <w:spacing w:before="0" w:after="283"/>
              <w:rPr>
                <w:sz w:val="4"/>
                <w:szCs w:val="4"/>
              </w:rPr>
            </w:pPr>
            <w:r>
              <w:rPr>
                <w:sz w:val="4"/>
                <w:szCs w:val="4"/>
              </w:rPr>
            </w:r>
          </w:p>
        </w:tc>
        <w:tc>
          <w:tcPr>
            <w:tcW w:w="317" w:type="dxa"/>
            <w:tcBorders/>
            <w:shd w:fill="auto" w:val="clear"/>
            <w:vAlign w:val="bottom"/>
          </w:tcPr>
          <w:p>
            <w:pPr>
              <w:pStyle w:val="TableContents"/>
              <w:spacing w:before="0" w:after="283"/>
              <w:rPr>
                <w:sz w:val="4"/>
                <w:szCs w:val="4"/>
              </w:rPr>
            </w:pPr>
            <w:r>
              <w:rPr>
                <w:sz w:val="4"/>
                <w:szCs w:val="4"/>
              </w:rPr>
            </w:r>
          </w:p>
        </w:tc>
        <w:tc>
          <w:tcPr>
            <w:tcW w:w="8995" w:type="dxa"/>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Signature: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i/>
              </w:rPr>
            </w:pPr>
            <w:r>
              <w:rPr>
                <w:i/>
              </w:rPr>
              <w:t>/signature/</w:t>
            </w:r>
          </w:p>
        </w:tc>
      </w:tr>
      <w:tr>
        <w:trPr>
          <w:trHeight w:val="24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Full name: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Vitaly Nikolaevich Buzoverya</w:t>
            </w:r>
          </w:p>
        </w:tc>
      </w:tr>
      <w:tr>
        <w:trPr>
          <w:trHeight w:val="24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Position:</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Attorney-in-Fact</w:t>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b/>
          <w:sz w:val="20"/>
        </w:rPr>
      </w:pPr>
      <w:r>
        <w:rPr>
          <w:rFonts w:ascii="Times New Roman" w:hAnsi="Times New Roman"/>
          <w:b/>
          <w:sz w:val="20"/>
        </w:rPr>
        <w:t xml:space="preserve">EXECUTION COPY </w:t>
      </w:r>
    </w:p>
    <w:p>
      <w:pPr>
        <w:pStyle w:val="TextBody"/>
        <w:spacing w:before="240" w:after="0"/>
        <w:rPr>
          <w:rFonts w:ascii="Times New Roman" w:hAnsi="Times New Roman"/>
          <w:sz w:val="20"/>
        </w:rPr>
      </w:pPr>
      <w:r>
        <w:rPr>
          <w:rFonts w:ascii="Times New Roman" w:hAnsi="Times New Roman"/>
          <w:b/>
          <w:sz w:val="20"/>
        </w:rPr>
        <w:t>THIS AMENDMENT No.</w:t>
      </w:r>
      <w:r>
        <w:rPr>
          <w:rFonts w:ascii="Times New Roman" w:hAnsi="Times New Roman"/>
          <w:sz w:val="20"/>
        </w:rPr>
        <w:t> </w:t>
      </w:r>
      <w:r>
        <w:rPr>
          <w:rFonts w:ascii="Times New Roman" w:hAnsi="Times New Roman"/>
          <w:b/>
          <w:sz w:val="20"/>
        </w:rPr>
        <w:t xml:space="preserve">1 </w:t>
      </w:r>
      <w:r>
        <w:rPr>
          <w:rFonts w:ascii="Times New Roman" w:hAnsi="Times New Roman"/>
          <w:sz w:val="20"/>
        </w:rPr>
        <w:t>to the Independent Guarantee dated May 16, 2016, (the “</w:t>
      </w:r>
      <w:r>
        <w:rPr>
          <w:rFonts w:ascii="Times New Roman" w:hAnsi="Times New Roman"/>
          <w:b/>
          <w:sz w:val="20"/>
        </w:rPr>
        <w:t>Amendment</w:t>
      </w:r>
      <w:r>
        <w:rPr>
          <w:rFonts w:ascii="Times New Roman" w:hAnsi="Times New Roman"/>
          <w:sz w:val="20"/>
        </w:rPr>
        <w:t xml:space="preserve">”) was made on October </w:t>
      </w:r>
      <w:r>
        <w:rPr>
          <w:rFonts w:ascii="Times New Roman" w:hAnsi="Times New Roman"/>
          <w:sz w:val="20"/>
          <w:u w:val="single"/>
        </w:rPr>
        <w:t>5</w:t>
      </w:r>
      <w:r>
        <w:rPr>
          <w:rFonts w:ascii="Times New Roman" w:hAnsi="Times New Roman"/>
          <w:sz w:val="20"/>
        </w:rPr>
        <w:t xml:space="preserve">, 2017, by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w:t>
            </w:r>
          </w:p>
        </w:tc>
        <w:tc>
          <w:tcPr>
            <w:tcW w:w="9389" w:type="dxa"/>
            <w:tcBorders/>
            <w:shd w:fill="auto" w:val="clear"/>
          </w:tcPr>
          <w:p>
            <w:pPr>
              <w:pStyle w:val="TableContents"/>
              <w:spacing w:before="0" w:after="283"/>
              <w:jc w:val="left"/>
              <w:rPr/>
            </w:pPr>
            <w:r>
              <w:rPr>
                <w:b/>
              </w:rPr>
              <w:t>HEADHUNTER LIMITED LIABILITY COMPANY,</w:t>
            </w:r>
            <w:r>
              <w:rPr/>
              <w:t xml:space="preserve"> a limited liability company incorporated under the laws of the Russian Federation, registration number1067761906805, located at: 9, Godovikova St., bld. 10, Moscow, the Russian Federation, as the guarantor under the Guarantee and the Independent Guarantee Issue Agreement (the “</w:t>
            </w:r>
            <w:r>
              <w:rPr>
                <w:b/>
              </w:rPr>
              <w:t>Guarantor</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TO THE INDEPENDENT GUARANTEE GRANTED BY THE GUARANTOR: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t xml:space="preserve">to </w:t>
            </w:r>
            <w:r>
              <w:rPr>
                <w:b/>
              </w:rPr>
              <w:t>BANK VTB (PUBLIC JOINT-STOCK COMPANY)</w:t>
            </w:r>
            <w:r>
              <w:rPr/>
              <w:t>, a public joint-stock company incorporated under the laws of the Russian Federation, registered in the Unified State Register of Legal Entities (EGRUL) under number (Primary State Registration Number (OGRN)): 1027739609391, with its office at the address: 29, Bolshaya Morskaya St., Saint Petersburg, Russia, 190000, as the beneficiary under the Guarantee and the Independent Guarantee Issue Agreement (the “</w:t>
            </w:r>
            <w:r>
              <w:rPr>
                <w:b/>
              </w:rPr>
              <w:t>Original Lender</w:t>
            </w:r>
            <w:r>
              <w:rPr/>
              <w:t>” and the “</w:t>
            </w:r>
            <w:r>
              <w:rPr>
                <w:b/>
              </w:rPr>
              <w:t>Credit Agent</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The Original Lender as a credit agent, organizer and original lender and the Borrower as a borrower have entered into the Syndicated Loan Agreement dated May 16, 2016, (the “</w:t>
            </w:r>
            <w:r>
              <w:rPr>
                <w:b/>
              </w:rPr>
              <w:t>Loan Agreement</w:t>
            </w:r>
            <w:r>
              <w:rPr/>
              <w:t xml:space="preserve">”) as amended by Amendment Agreement No. 1 dated December 14, 2016, Amendment Agreement No. 2 dated June 28, 2017, and Amendment Agreement No. 3 dated October </w:t>
            </w:r>
            <w:r>
              <w:rPr>
                <w:u w:val="single"/>
              </w:rPr>
              <w:t>5</w:t>
            </w:r>
            <w:r>
              <w:rPr/>
              <w:t>, 2017, (hereinafter referred to as “</w:t>
            </w:r>
            <w:r>
              <w:rPr>
                <w:b/>
              </w:rPr>
              <w:t>Amendment Agreement No.</w:t>
            </w:r>
            <w:r>
              <w:rPr/>
              <w:t> </w:t>
            </w:r>
            <w:r>
              <w:rPr>
                <w:b/>
              </w:rPr>
              <w:t>3</w:t>
            </w:r>
            <w:r>
              <w:rPr/>
              <w:t xml:space="preserve">”) by which the Lender and the Borrower agreed to amend the Loan Agreement, inter alia, to increase a loan amount up to RUB 7,000,000,000 (seven billion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The Guarantor, the Borrower and the Original Lender entered into the Independent Guarantee Issue Agreement dated May 16, 2016, (the “</w:t>
            </w:r>
            <w:r>
              <w:rPr>
                <w:b/>
              </w:rPr>
              <w:t>Independent Guarantee Issue Agreement</w:t>
            </w:r>
            <w:r>
              <w:rPr/>
              <w:t>”), and the Guarantor issued an independent guarantee dated May 16, 2016, (the “</w:t>
            </w:r>
            <w:r>
              <w:rPr>
                <w:b/>
              </w:rPr>
              <w:t>Guarantee</w:t>
            </w:r>
            <w:r>
              <w:rPr/>
              <w:t xml:space="preserve">”) in favor of the Original Lender under the Guarantee Issue Agreement to ensure performance of the Borrower’s obligations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Guarantor hereby confirms that it is aware of all the terms and conditions of the Loan Agreement as amended by Amendment Agreement No. 3 and does not have the right to invoke the fact that it was not aware of such terms and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Parties entered into an agreement to make amendments No. 1 to the Independent Guarantee Issue Agreement dated October </w:t>
            </w:r>
            <w:r>
              <w:rPr>
                <w:u w:val="single"/>
              </w:rPr>
              <w:t>5</w:t>
            </w:r>
            <w:r>
              <w:rPr/>
              <w:t xml:space="preserve">, 2017, under which the Guarantor undertakes to amend the Guarantee as specified in this Amendment to ensure the fulfillment of the Borrower’s obligations under the Loan Agreement as amended by Amendment Agreement No. 3. </w:t>
            </w:r>
          </w:p>
        </w:tc>
      </w:tr>
    </w:tbl>
    <w:p>
      <w:pPr>
        <w:pStyle w:val="TextBody"/>
        <w:spacing w:before="24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taking into account the provisions of Article 371 of the Civil Code, the Guarantor hereby makes the following amendments to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Amendment: </w:t>
      </w:r>
    </w:p>
    <w:p>
      <w:pPr>
        <w:pStyle w:val="TextBody"/>
        <w:spacing w:before="120" w:after="0"/>
        <w:rPr/>
      </w:pPr>
      <w:r>
        <w:rPr/>
        <w:t>“</w:t>
      </w:r>
      <w:r>
        <w:rPr>
          <w:rFonts w:ascii="Times New Roman" w:hAnsi="Times New Roman"/>
          <w:b/>
          <w:sz w:val="20"/>
        </w:rPr>
        <w:t>Revised Guarantee”</w:t>
      </w:r>
      <w:r>
        <w:rPr>
          <w:rFonts w:ascii="Times New Roman" w:hAnsi="Times New Roman"/>
          <w:sz w:val="20"/>
        </w:rPr>
        <w:t xml:space="preserve"> means the Guarantee as amended by this Amendment in the form of Appendix 1 (</w:t>
      </w:r>
      <w:r>
        <w:rPr>
          <w:rFonts w:ascii="Times New Roman" w:hAnsi="Times New Roman"/>
          <w:i/>
          <w:sz w:val="20"/>
        </w:rPr>
        <w:t>Revised Guarantee</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has the meaning specified in Clause (A) of the Preamble. </w:t>
      </w:r>
    </w:p>
    <w:p>
      <w:pPr>
        <w:pStyle w:val="TextBody"/>
        <w:spacing w:before="120" w:after="0"/>
        <w:rPr/>
      </w:pPr>
      <w:r>
        <w:rPr/>
        <w:t>“</w:t>
      </w:r>
      <w:r>
        <w:rPr>
          <w:rFonts w:ascii="Times New Roman" w:hAnsi="Times New Roman"/>
          <w:b/>
          <w:sz w:val="20"/>
        </w:rPr>
        <w:t xml:space="preserve">Party” </w:t>
      </w:r>
      <w:r>
        <w:rPr>
          <w:rFonts w:ascii="Times New Roman" w:hAnsi="Times New Roman"/>
          <w:sz w:val="20"/>
        </w:rPr>
        <w:t>means the Guarantor or the Original Lender (or the Credit Agent after accession of rights (claims) under the Independent Guarantee Issue Agreement and this Guarantee under Article 5.2 (</w:t>
      </w:r>
      <w:r>
        <w:rPr>
          <w:rFonts w:ascii="Times New Roman" w:hAnsi="Times New Roman"/>
          <w:i/>
          <w:sz w:val="20"/>
        </w:rPr>
        <w:t>Transfer of Rights by the Lenders</w:t>
      </w:r>
      <w:r>
        <w:rPr>
          <w:rFonts w:ascii="Times New Roman" w:hAnsi="Times New Roman"/>
          <w:sz w:val="20"/>
        </w:rPr>
        <w:t xml:space="preserve">) of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120" w:after="0"/>
        <w:rPr>
          <w:rFonts w:ascii="Times New Roman" w:hAnsi="Times New Roman"/>
          <w:sz w:val="20"/>
        </w:rPr>
      </w:pPr>
      <w:r>
        <w:rPr>
          <w:rFonts w:ascii="Times New Roman" w:hAnsi="Times New Roman"/>
          <w:sz w:val="20"/>
        </w:rPr>
        <w:t>Unless the context requires otherwise, any capitalized terms used in the Loan Agreement which are not defined herein have the same meaning as in the Loan Agreement as they are specified in Appendix 1 (</w:t>
      </w:r>
      <w:r>
        <w:rPr>
          <w:rFonts w:ascii="Times New Roman" w:hAnsi="Times New Roman"/>
          <w:i/>
          <w:sz w:val="20"/>
        </w:rPr>
        <w:t>Terms of the Loan Agreement</w:t>
      </w:r>
      <w:r>
        <w:rPr>
          <w:rFonts w:ascii="Times New Roman" w:hAnsi="Times New Roman"/>
          <w:sz w:val="20"/>
        </w:rPr>
        <w:t xml:space="preserve">) of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is a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confirms that, since the date of this Amendment, the Guarantee shall be read in the wording of Appendix 1 (Revised Guarantee) and the rights and obligations of the Parties under the Guarantee from the date of this Amendment shall be regulated and construed under the terms and conditions of the Revised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order to comply with the provisions of Article 371 of the Civil Code, the Guarantee shall be deemed amended in accordance with this Amendment only if the Guarantor obtains the consent of the Original Lender to make amendments in accordance with this Amendment.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Any amendments to the Guarantee hereunder shall be limited to the amendments specified in Article 2 (</w:t>
            </w:r>
            <w:r>
              <w:rPr>
                <w:i/>
              </w:rPr>
              <w:t>Amendments</w:t>
            </w:r>
            <w:r>
              <w:rPr/>
              <w:t>). No other provisions of the Guarantee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Amendment does not relieve the Guarantor of any obligations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as well as the rights and obligations of the Parties arising out of this Amendment,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5.</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inter alia, concerning their provisions, existence, validity or termination, arises in connection with this Amendment,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Amendment, including, but not limited to, any dispute concerning their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shall be signed in four original counterparts of equal legal effect, all of which together shall constitute one and the same instrument. </w:t>
      </w:r>
    </w:p>
    <w:p>
      <w:pPr>
        <w:pStyle w:val="TextBody"/>
        <w:spacing w:before="120" w:after="0"/>
        <w:rPr>
          <w:rFonts w:ascii="Times New Roman" w:hAnsi="Times New Roman"/>
          <w:sz w:val="20"/>
        </w:rPr>
      </w:pPr>
      <w:r>
        <w:rPr>
          <w:rFonts w:ascii="Times New Roman" w:hAnsi="Times New Roman"/>
          <w:sz w:val="20"/>
        </w:rPr>
        <w:t xml:space="preserve">This Amendment has been executed on the date indicated on the first page herein.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120" w:after="0"/>
        <w:jc w:val="center"/>
        <w:rPr>
          <w:rFonts w:ascii="Times New Roman" w:hAnsi="Times New Roman"/>
          <w:b/>
          <w:sz w:val="20"/>
        </w:rPr>
      </w:pPr>
      <w:r>
        <w:rPr>
          <w:rFonts w:ascii="Times New Roman" w:hAnsi="Times New Roman"/>
          <w:b/>
          <w:sz w:val="20"/>
        </w:rPr>
        <w:t xml:space="preserve">REVISED GUARANTEE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INDEPENDENT GUARANTEE</w:t>
      </w:r>
      <w:r>
        <w:rPr>
          <w:rFonts w:ascii="Times New Roman" w:hAnsi="Times New Roman"/>
          <w:sz w:val="20"/>
        </w:rPr>
        <w:t xml:space="preserve"> (the “</w:t>
      </w:r>
      <w:r>
        <w:rPr>
          <w:rFonts w:ascii="Times New Roman" w:hAnsi="Times New Roman"/>
          <w:b/>
          <w:sz w:val="20"/>
        </w:rPr>
        <w:t>Guarantee”</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Date of issue of this Guarantee: May 16, 2016 </w:t>
      </w:r>
    </w:p>
    <w:p>
      <w:pPr>
        <w:pStyle w:val="TextBody"/>
        <w:spacing w:before="120" w:after="0"/>
        <w:rPr>
          <w:rFonts w:ascii="Times New Roman" w:hAnsi="Times New Roman"/>
          <w:sz w:val="20"/>
        </w:rPr>
      </w:pPr>
      <w:r>
        <w:rPr>
          <w:rFonts w:ascii="Times New Roman" w:hAnsi="Times New Roman"/>
          <w:sz w:val="20"/>
        </w:rPr>
        <w:t xml:space="preserve">(as amended by amendments No. 1 dated October </w:t>
      </w:r>
      <w:r>
        <w:rPr>
          <w:rFonts w:ascii="Times New Roman" w:hAnsi="Times New Roman"/>
          <w:sz w:val="20"/>
          <w:u w:val="single"/>
        </w:rPr>
        <w:t>5</w:t>
      </w:r>
      <w:r>
        <w:rPr>
          <w:rFonts w:ascii="Times New Roman" w:hAnsi="Times New Roman"/>
          <w:sz w:val="20"/>
        </w:rPr>
        <w:t xml:space="preserve">, 2017) </w:t>
      </w:r>
    </w:p>
    <w:p>
      <w:pPr>
        <w:pStyle w:val="TextBody"/>
        <w:spacing w:before="360" w:after="0"/>
        <w:rPr>
          <w:rFonts w:ascii="Times New Roman" w:hAnsi="Times New Roman"/>
          <w:b/>
          <w:sz w:val="20"/>
        </w:rPr>
      </w:pPr>
      <w:r>
        <w:rPr>
          <w:rFonts w:ascii="Times New Roman" w:hAnsi="Times New Roman"/>
          <w:b/>
          <w:sz w:val="20"/>
        </w:rPr>
        <w:t xml:space="preserve">THIS GUARANTEE IS ISSUED BY: </w:t>
      </w:r>
    </w:p>
    <w:p>
      <w:pPr>
        <w:pStyle w:val="TextBody"/>
        <w:spacing w:before="120" w:after="0"/>
        <w:rPr>
          <w:rFonts w:ascii="Times New Roman" w:hAnsi="Times New Roman"/>
          <w:sz w:val="20"/>
        </w:rPr>
      </w:pPr>
      <w:r>
        <w:rPr>
          <w:rFonts w:ascii="Times New Roman" w:hAnsi="Times New Roman"/>
          <w:b/>
          <w:sz w:val="20"/>
        </w:rPr>
        <w:t>HEADHUNTER</w:t>
      </w:r>
      <w:r>
        <w:rPr>
          <w:rFonts w:ascii="Times New Roman" w:hAnsi="Times New Roman"/>
          <w:sz w:val="20"/>
        </w:rPr>
        <w:t xml:space="preserve"> LIMITED </w:t>
      </w:r>
      <w:r>
        <w:rPr>
          <w:rFonts w:ascii="Times New Roman" w:hAnsi="Times New Roman"/>
          <w:b/>
          <w:sz w:val="20"/>
        </w:rPr>
        <w:t>LIABILITY COMPANY,</w:t>
      </w:r>
      <w:r>
        <w:rPr>
          <w:rFonts w:ascii="Times New Roman" w:hAnsi="Times New Roman"/>
          <w:sz w:val="20"/>
        </w:rPr>
        <w:t xml:space="preserve"> incorporated under the laws of the Russian Federation, registered in the Unified State Register of Legal Entities of the Russian Federation under number (OGRN (Primary State Registration Number)): 1067761906805, with its office at the address: 9, Godovikova St., bld. 10, Moscow, the Russian Federation, represented by Mikhail Alexandrovich </w:t>
      </w:r>
      <w:r>
        <w:rPr>
          <w:rFonts w:ascii="Times New Roman" w:hAnsi="Times New Roman"/>
          <w:b/>
          <w:sz w:val="20"/>
        </w:rPr>
        <w:t xml:space="preserve">Zhukov, </w:t>
      </w:r>
      <w:r>
        <w:rPr>
          <w:rFonts w:ascii="Times New Roman" w:hAnsi="Times New Roman"/>
          <w:sz w:val="20"/>
        </w:rPr>
        <w:t>acting under the Articles of Association, as the guarantor under the Guarantee and the Independent Guarantee Issue Agreement (the “</w:t>
      </w:r>
      <w:r>
        <w:rPr>
          <w:rFonts w:ascii="Times New Roman" w:hAnsi="Times New Roman"/>
          <w:b/>
          <w:sz w:val="20"/>
        </w:rPr>
        <w:t>Guarantor”</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b/>
          <w:sz w:val="20"/>
        </w:rPr>
        <w:t>BANK VTB (PUBLIC JOINT-STOCK COMPANY)</w:t>
      </w:r>
      <w:r>
        <w:rPr>
          <w:rFonts w:ascii="Times New Roman" w:hAnsi="Times New Roman"/>
          <w:sz w:val="20"/>
        </w:rPr>
        <w:t xml:space="preserve"> incorporated under the laws of the Russian Federation, registered in the Unified State Register of Legal Entities (EGRUL) under number (Primary State Registration Number (OGRN)): 1027739609391, located at: 29, Bolshaya Morskaya St., Saint Petersburg, the Russian Federation, 190000, represented by </w:t>
      </w:r>
      <w:r>
        <w:rPr>
          <w:rFonts w:ascii="Times New Roman" w:hAnsi="Times New Roman"/>
          <w:b/>
          <w:sz w:val="20"/>
        </w:rPr>
        <w:t>Vitaly Nikolaevich Buzoverya</w:t>
      </w:r>
      <w:r>
        <w:rPr>
          <w:rFonts w:ascii="Times New Roman" w:hAnsi="Times New Roman"/>
          <w:sz w:val="20"/>
        </w:rPr>
        <w:t xml:space="preserve">, acting under Power of Attorney 350000/25- </w:t>
      </w:r>
      <w:r>
        <w:rPr>
          <w:rFonts w:ascii="Times New Roman" w:hAnsi="Times New Roman"/>
          <w:sz w:val="20"/>
        </w:rPr>
        <w:drawing>
          <wp:inline distT="0" distB="0" distL="0" distR="0">
            <wp:extent cx="718820" cy="359410"/>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link="rId43"/>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certified on January 14, 2016, under register number 2-25, </w:t>
      </w:r>
      <w:r>
        <w:rPr>
          <w:rFonts w:ascii="Times New Roman" w:hAnsi="Times New Roman"/>
          <w:b/>
          <w:sz w:val="20"/>
        </w:rPr>
        <w:t>as the beneficiary</w:t>
      </w:r>
      <w:r>
        <w:rPr>
          <w:rFonts w:ascii="Times New Roman" w:hAnsi="Times New Roman"/>
          <w:sz w:val="20"/>
        </w:rPr>
        <w:t xml:space="preserve"> under this Guarantee and the Independent Guarantee Issue Agreement (the “</w:t>
      </w:r>
      <w:r>
        <w:rPr>
          <w:rFonts w:ascii="Times New Roman" w:hAnsi="Times New Roman"/>
          <w:b/>
          <w:sz w:val="20"/>
        </w:rPr>
        <w:t>Original Lender</w:t>
      </w:r>
      <w:r>
        <w:rPr>
          <w:rFonts w:ascii="Times New Roman" w:hAnsi="Times New Roman"/>
          <w:sz w:val="20"/>
        </w:rPr>
        <w:t>” or the “</w:t>
      </w:r>
      <w:r>
        <w:rPr>
          <w:rFonts w:ascii="Times New Roman" w:hAnsi="Times New Roman"/>
          <w:b/>
          <w:sz w:val="20"/>
        </w:rPr>
        <w:t>Credit Agent</w:t>
      </w:r>
      <w:r>
        <w:rPr>
          <w:rFonts w:ascii="Times New Roman" w:hAnsi="Times New Roman"/>
          <w:sz w:val="20"/>
        </w:rPr>
        <w:t xml:space="preserve">”) </w:t>
      </w:r>
    </w:p>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One of the conditions for granting a loan under the Loan Agreement to the Borrower is the conclusion of a guarantee issue agreement (hereinafter referred to as the “</w:t>
            </w:r>
            <w:r>
              <w:rPr>
                <w:b/>
              </w:rPr>
              <w:t>Independent Guarantee Issue Agreement</w:t>
            </w:r>
            <w:r>
              <w:rPr/>
              <w:t xml:space="preserve">”) concluded on May 16, 2016, between the Guarantor as the guarantor, the Borrower as the principal and the Original Lender as the beneficiary and the issue of this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In accordance with the Independent Guarantee Issue Agreement, the Guarantor shall issue this Guarantee on the terms and conditions set forth in the Independent Guarantee Issue Agreement and this Guarantee. </w:t>
            </w:r>
          </w:p>
        </w:tc>
      </w:tr>
    </w:tbl>
    <w:p>
      <w:pPr>
        <w:pStyle w:val="TextBody"/>
        <w:spacing w:before="36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the Guarantor hereby confirms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b/>
              </w:rPr>
            </w:pPr>
            <w:r>
              <w:rPr>
                <w:b/>
              </w:rPr>
              <w:t>1.</w:t>
            </w:r>
          </w:p>
        </w:tc>
        <w:tc>
          <w:tcPr>
            <w:tcW w:w="9698" w:type="dxa"/>
            <w:tcBorders/>
            <w:shd w:fill="auto" w:val="clear"/>
          </w:tcPr>
          <w:p>
            <w:pPr>
              <w:pStyle w:val="TableContents"/>
              <w:spacing w:before="0" w:after="283"/>
              <w:jc w:val="left"/>
              <w:rPr>
                <w:b/>
              </w:rPr>
            </w:pPr>
            <w:r>
              <w:rPr>
                <w:b/>
              </w:rPr>
              <w:t xml:space="preserve">DEFINITIONS </w:t>
            </w:r>
          </w:p>
        </w:tc>
      </w:tr>
    </w:tbl>
    <w:p>
      <w:pPr>
        <w:pStyle w:val="TextBody"/>
        <w:spacing w:before="120" w:after="0"/>
        <w:rPr>
          <w:rFonts w:ascii="Times New Roman" w:hAnsi="Times New Roman"/>
          <w:sz w:val="20"/>
        </w:rPr>
      </w:pPr>
      <w:r>
        <w:rPr>
          <w:rFonts w:ascii="Times New Roman" w:hAnsi="Times New Roman"/>
          <w:sz w:val="20"/>
        </w:rPr>
        <w:t>All capitalized terms in this Guarantee have the meanings specified in the Loan Agreement in Appendix 1 (</w:t>
      </w:r>
      <w:r>
        <w:rPr>
          <w:rFonts w:ascii="Times New Roman" w:hAnsi="Times New Roman"/>
          <w:i/>
          <w:sz w:val="20"/>
        </w:rPr>
        <w:t>Terms of the Loan Agreement</w:t>
      </w:r>
      <w:r>
        <w:rPr>
          <w:rFonts w:ascii="Times New Roman" w:hAnsi="Times New Roman"/>
          <w:sz w:val="20"/>
        </w:rPr>
        <w:t xml:space="preserve">) of the Independent Guarantee Issue Agreement unless the Guarantee or the context requires otherwise, while: </w:t>
      </w:r>
    </w:p>
    <w:p>
      <w:pPr>
        <w:pStyle w:val="TextBody"/>
        <w:spacing w:before="120" w:after="0"/>
        <w:rPr/>
      </w:pPr>
      <w:r>
        <w:rPr/>
        <w:t>“</w:t>
      </w:r>
      <w:r>
        <w:rPr>
          <w:rFonts w:ascii="Times New Roman" w:hAnsi="Times New Roman"/>
          <w:b/>
          <w:sz w:val="20"/>
        </w:rPr>
        <w:t xml:space="preserve">Issue Date” </w:t>
      </w:r>
      <w:r>
        <w:rPr>
          <w:rFonts w:ascii="Times New Roman" w:hAnsi="Times New Roman"/>
          <w:sz w:val="20"/>
        </w:rPr>
        <w:t xml:space="preserve">means such date of issue of the Guarantee as specified in the beginning of this Guarantee. </w:t>
      </w:r>
    </w:p>
    <w:p>
      <w:pPr>
        <w:pStyle w:val="TextBody"/>
        <w:spacing w:before="120" w:after="0"/>
        <w:rPr/>
      </w:pPr>
      <w:r>
        <w:rPr/>
        <w:t>“</w:t>
      </w:r>
      <w:r>
        <w:rPr>
          <w:rFonts w:ascii="Times New Roman" w:hAnsi="Times New Roman"/>
          <w:b/>
          <w:sz w:val="20"/>
        </w:rPr>
        <w:t xml:space="preserve">Borrower” </w:t>
      </w:r>
      <w:r>
        <w:rPr>
          <w:rFonts w:ascii="Times New Roman" w:hAnsi="Times New Roman"/>
          <w:sz w:val="20"/>
        </w:rPr>
        <w:t xml:space="preserve">means Zemenik Limited Liability Company,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the Russian Federation, 125319. </w:t>
      </w:r>
    </w:p>
    <w:p>
      <w:pPr>
        <w:pStyle w:val="TextBody"/>
        <w:spacing w:before="120" w:after="0"/>
        <w:rPr/>
      </w:pPr>
      <w:r>
        <w:rPr/>
        <w:t>“</w:t>
      </w:r>
      <w:r>
        <w:rPr>
          <w:rFonts w:ascii="Times New Roman" w:hAnsi="Times New Roman"/>
          <w:b/>
          <w:sz w:val="20"/>
        </w:rPr>
        <w:t xml:space="preserve">Key Rate” </w:t>
      </w:r>
      <w:r>
        <w:rPr>
          <w:rFonts w:ascii="Times New Roman" w:hAnsi="Times New Roman"/>
          <w:sz w:val="20"/>
        </w:rPr>
        <w:t xml:space="preserve">means a key rate established by the Central Bank of the Russian Federation determined based on the data on the website of the Central Bank of the Russian Federation on the Internet at </w:t>
      </w:r>
      <w:r>
        <w:rPr>
          <w:rFonts w:ascii="Times New Roman" w:hAnsi="Times New Roman"/>
          <w:sz w:val="20"/>
          <w:u w:val="single"/>
        </w:rPr>
        <w:t>www.cbr.ru</w:t>
      </w:r>
      <w:r>
        <w:rPr>
          <w:rFonts w:ascii="Times New Roman" w:hAnsi="Times New Roman"/>
          <w:sz w:val="20"/>
        </w:rPr>
        <w:t xml:space="preserve"> or, if changed, on any other official website of the Central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Bank of the Russian Federation. If the Central Bank of the Russian Federation abolishes or ceases to use a key rate and if it is needed to determine pricing conditions for provision of financing to credit institutions of the Russian Federation, the Key Rate shall be a similar rate established by the Central Bank of the Russian Federation for pricing of refinancing through repo transactions and (or) against non-market assets. </w:t>
      </w:r>
    </w:p>
    <w:p>
      <w:pPr>
        <w:pStyle w:val="TextBody"/>
        <w:spacing w:before="360" w:after="0"/>
        <w:rPr/>
      </w:pPr>
      <w:r>
        <w:rPr/>
        <w:t>“</w:t>
      </w:r>
      <w:r>
        <w:rPr>
          <w:rFonts w:ascii="Times New Roman" w:hAnsi="Times New Roman"/>
          <w:b/>
          <w:sz w:val="20"/>
        </w:rPr>
        <w:t>Lender”</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any Original Lender;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any banks or other credit or other organizations (except for any person belonging to the Borrower’s Group) which acquire the rights of claim to the Borrower and (or) the obligation to grant the Loan under the provisions of Article 22.2 (</w:t>
            </w:r>
            <w:r>
              <w:rPr>
                <w:i/>
              </w:rPr>
              <w:t>Assignment of Rights and Transfer of Obligations by the Lenders</w:t>
            </w:r>
            <w:r>
              <w:rPr/>
              <w:t xml:space="preserve">) of the Loan Agreement and the current laws. </w:t>
            </w:r>
          </w:p>
        </w:tc>
      </w:tr>
    </w:tbl>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means a syndicated loan agreement concluded on May 16, 2016, between the Original Lender as the credit agent, organizer and original lender and the Borrower as the Borrower in an aggregate amount not exceeding RUB 7,000,000,000 (seven billion Rubles) as amended by Amendment Agreement No. 1 dated December 14, 2016, Amendment Agreement No. 2 dated June 28, 2017, and Amendment Agreement No. 3. </w:t>
      </w:r>
    </w:p>
    <w:p>
      <w:pPr>
        <w:pStyle w:val="TextBody"/>
        <w:spacing w:before="120" w:after="0"/>
        <w:rPr/>
      </w:pPr>
      <w:r>
        <w:rPr/>
        <w:t>“</w:t>
      </w:r>
      <w:r>
        <w:rPr>
          <w:rFonts w:ascii="Times New Roman" w:hAnsi="Times New Roman"/>
          <w:b/>
          <w:sz w:val="20"/>
        </w:rPr>
        <w:t>Secured Obligations”</w:t>
      </w:r>
      <w:r>
        <w:rPr>
          <w:rFonts w:ascii="Times New Roman" w:hAnsi="Times New Roman"/>
          <w:sz w:val="20"/>
        </w:rPr>
        <w:t xml:space="preserve"> means all current and future pecuniary obligations of the Borrower to the Lenders under the Loan Agreement (taking into account all amendments to the Loan Agreement and all provided preliminary consents and waivers of the Lenders under the Loan Agreement), including the following Borrower’s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payment of an aggregate principal of the Loan not exceeding RUB 7,000,000,000 (Seven billion Rubles)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payment of interest due under Article 9 (</w:t>
            </w:r>
            <w:r>
              <w:rPr>
                <w:i/>
              </w:rPr>
              <w:t>Interest</w:t>
            </w:r>
            <w:r>
              <w:rPr/>
              <w:t xml:space="preserve">) of the Loan Agreement at an annual interest rate equal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0"/>
        <w:gridCol w:w="816"/>
        <w:gridCol w:w="5818"/>
      </w:tblGrid>
      <w:tr>
        <w:trPr/>
        <w:tc>
          <w:tcPr>
            <w:tcW w:w="3570"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w:t>
            </w:r>
          </w:p>
        </w:tc>
        <w:tc>
          <w:tcPr>
            <w:tcW w:w="5818"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5"/>
        <w:gridCol w:w="5818"/>
      </w:tblGrid>
      <w:tr>
        <w:trPr/>
        <w:tc>
          <w:tcPr>
            <w:tcW w:w="3571"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w:t>
            </w:r>
          </w:p>
        </w:tc>
        <w:tc>
          <w:tcPr>
            <w:tcW w:w="5818"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of the Loan Agreement;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payment of a penalty according to Article 9.4 (</w:t>
            </w:r>
            <w:r>
              <w:rPr>
                <w:i/>
              </w:rPr>
              <w:t>Penalty</w:t>
            </w:r>
            <w:r>
              <w:rPr/>
              <w:t>) of the Loan Agreement due if the Borrower fails to timely fulfill an obligation of payment of any amount due under the Financial Document; such penalty being 2/365 interest rate established under Article 9.1 (</w:t>
            </w:r>
            <w:r>
              <w:rPr>
                <w:i/>
              </w:rPr>
              <w:t>Interest Calculation</w:t>
            </w:r>
            <w:r>
              <w:rPr/>
              <w:t>) of the Loan Agreement taking into account the provisions of Article 9.2 (</w:t>
            </w:r>
            <w:r>
              <w:rPr>
                <w:i/>
              </w:rPr>
              <w:t>Margin Adjustment</w:t>
            </w:r>
            <w:r>
              <w:rPr/>
              <w:t xml:space="preserve">) 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6" w:type="dxa"/>
            <w:tcBorders/>
            <w:shd w:fill="auto" w:val="clear"/>
          </w:tcPr>
          <w:p>
            <w:pPr>
              <w:pStyle w:val="TableContents"/>
              <w:spacing w:before="0" w:after="283"/>
              <w:jc w:val="left"/>
              <w:rPr/>
            </w:pPr>
            <w:r>
              <w:rPr/>
              <w:t>payment of reimbursement for funds available for granting the Loan under Article 11.1 (</w:t>
            </w:r>
            <w:r>
              <w:rPr>
                <w:i/>
              </w:rPr>
              <w:t>Fee for the Obligation under the 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4" w:type="dxa"/>
            <w:tcBorders/>
            <w:shd w:fill="auto" w:val="clear"/>
          </w:tcPr>
          <w:p>
            <w:pPr>
              <w:pStyle w:val="TableContents"/>
              <w:spacing w:before="0" w:after="283"/>
              <w:jc w:val="left"/>
              <w:rPr/>
            </w:pPr>
            <w:r>
              <w:rPr/>
              <w:t xml:space="preserve">such consideration being accrued for the Disbursement Period of Tranche A and the Disbursement Period of Tranche B, respectively, and paid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in respect of the Unused Loan Limit of Tranche B, on the last Business Day of each calendar month within the Disbursement Period of Tranche B or on the last day of the Disbursement Period of Tranche B,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    </w:t>
            </w:r>
          </w:p>
        </w:tc>
        <w:tc>
          <w:tcPr>
            <w:tcW w:w="8472" w:type="dxa"/>
            <w:tcBorders/>
            <w:shd w:fill="auto" w:val="clear"/>
          </w:tcPr>
          <w:p>
            <w:pPr>
              <w:pStyle w:val="TableContents"/>
              <w:spacing w:before="0" w:after="283"/>
              <w:jc w:val="left"/>
              <w:rPr/>
            </w:pPr>
            <w:r>
              <w:rPr/>
              <w:t xml:space="preserve">A fee for the obligation of granting of the Loan shall not apply to the Unused Loan Limit in terms of Tranche B and Tranche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payment of a Lenders’ consideration for granting the Loan under Article 11.2 (</w:t>
            </w:r>
            <w:r>
              <w:rPr>
                <w:i/>
              </w:rPr>
              <w:t>Loan Extension Fee</w:t>
            </w:r>
            <w:r>
              <w:rPr/>
              <w:t xml:space="preserve">) 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0.25 (zero point two five) percent of Tranche D prior to the Disbursement Date of a respective Tranche;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reimbursement to the Parties to the Financing for any costs or losses to be reimbursed under Articles 14.1 (</w:t>
            </w:r>
            <w:r>
              <w:rPr>
                <w:i/>
              </w:rPr>
              <w:t>Reimbursement for Currency Costs</w:t>
            </w:r>
            <w:r>
              <w:rPr/>
              <w:t>), 14.3 (</w:t>
            </w:r>
            <w:r>
              <w:rPr>
                <w:i/>
              </w:rPr>
              <w:t>Reimbursement for Costs of the Credit Agent</w:t>
            </w:r>
            <w:r>
              <w:rPr/>
              <w:t>) and 14.4 (</w:t>
            </w:r>
            <w:r>
              <w:rPr>
                <w:i/>
              </w:rPr>
              <w:t>Transaction-Related Costs</w:t>
            </w:r>
            <w:r>
              <w:rPr/>
              <w:t>), 14.5 (</w:t>
            </w:r>
            <w:r>
              <w:rPr>
                <w:i/>
              </w:rPr>
              <w:t>Amendment Costs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incurred by a Party to the Financing because of a mandatory performance of any Financial Document or protection of its rights under the Financial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t>reimbursement to the Parties to the Financing for any expenses under Article 14.2 (</w:t>
            </w:r>
            <w:r>
              <w:rPr>
                <w:i/>
              </w:rPr>
              <w:t>Reimbursement for Other Costs</w:t>
            </w:r>
            <w:r>
              <w:rPr/>
              <w:t xml:space="preserve">) of the Loan Agreement incurred by a Party to the Financing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occurrence of the Event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impossibility to grant the Loan to the Borrower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Borrower’s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3" w:type="dxa"/>
            <w:tcBorders/>
            <w:shd w:fill="auto" w:val="clear"/>
          </w:tcPr>
          <w:p>
            <w:pPr>
              <w:pStyle w:val="TableContents"/>
              <w:spacing w:before="0" w:after="283"/>
              <w:jc w:val="left"/>
              <w:rPr/>
            </w:pPr>
            <w:r>
              <w:rPr/>
              <w:t xml:space="preserve">full return of any funds obtained by the Borrower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120" w:after="0"/>
        <w:rPr/>
      </w:pPr>
      <w:r>
        <w:rPr/>
        <w:t>“</w:t>
      </w:r>
      <w:r>
        <w:rPr>
          <w:rFonts w:ascii="Times New Roman" w:hAnsi="Times New Roman"/>
          <w:b/>
          <w:sz w:val="20"/>
        </w:rPr>
        <w:t>Business Day”</w:t>
      </w:r>
      <w:r>
        <w:rPr>
          <w:rFonts w:ascii="Times New Roman" w:hAnsi="Times New Roman"/>
          <w:sz w:val="20"/>
        </w:rPr>
        <w:t xml:space="preserve"> means any day on which banks are open for normal banking operations in Moscow and Nicosia. </w:t>
      </w:r>
    </w:p>
    <w:p>
      <w:pPr>
        <w:pStyle w:val="TextBody"/>
        <w:spacing w:before="120" w:after="0"/>
        <w:rPr/>
      </w:pPr>
      <w:r>
        <w:rPr/>
        <w:t>“</w:t>
      </w:r>
      <w:r>
        <w:rPr>
          <w:rFonts w:ascii="Times New Roman" w:hAnsi="Times New Roman"/>
          <w:b/>
          <w:sz w:val="20"/>
        </w:rPr>
        <w:t>Ruble”</w:t>
      </w:r>
      <w:r>
        <w:rPr>
          <w:rFonts w:ascii="Times New Roman" w:hAnsi="Times New Roman"/>
          <w:sz w:val="20"/>
        </w:rPr>
        <w:t xml:space="preserve"> means a legal tender of the Russian Federation.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to the Loan Agreement dated October </w:t>
      </w:r>
      <w:r>
        <w:rPr>
          <w:rFonts w:ascii="Times New Roman" w:hAnsi="Times New Roman"/>
          <w:sz w:val="20"/>
          <w:u w:val="single"/>
        </w:rPr>
        <w:t>5</w:t>
      </w:r>
      <w:r>
        <w:rPr>
          <w:rFonts w:ascii="Times New Roman" w:hAnsi="Times New Roman"/>
          <w:sz w:val="20"/>
        </w:rPr>
        <w:t xml:space="preserve">, 2017. </w:t>
      </w:r>
    </w:p>
    <w:p>
      <w:pPr>
        <w:pStyle w:val="TextBody"/>
        <w:spacing w:before="120" w:after="0"/>
        <w:rPr/>
      </w:pPr>
      <w:r>
        <w:rPr/>
        <w:t>“</w:t>
      </w:r>
      <w:r>
        <w:rPr>
          <w:rFonts w:ascii="Times New Roman" w:hAnsi="Times New Roman"/>
          <w:b/>
          <w:sz w:val="20"/>
        </w:rPr>
        <w:t xml:space="preserve">Party” </w:t>
      </w:r>
      <w:r>
        <w:rPr>
          <w:rFonts w:ascii="Times New Roman" w:hAnsi="Times New Roman"/>
          <w:sz w:val="20"/>
        </w:rPr>
        <w:t>means the Guarantor or the Original Lender (or the Credit Agent after accession of rights (claims) under the Independent Guarantee Issue Agreement and this Guarantee under Article 5.2 (</w:t>
      </w:r>
      <w:r>
        <w:rPr>
          <w:rFonts w:ascii="Times New Roman" w:hAnsi="Times New Roman"/>
          <w:i/>
          <w:sz w:val="20"/>
        </w:rPr>
        <w:t>Transfer of Rights by the Lenders</w:t>
      </w:r>
      <w:r>
        <w:rPr>
          <w:rFonts w:ascii="Times New Roman" w:hAnsi="Times New Roman"/>
          <w:sz w:val="20"/>
        </w:rPr>
        <w:t xml:space="preserve">)). </w:t>
      </w:r>
    </w:p>
    <w:p>
      <w:pPr>
        <w:pStyle w:val="TextBody"/>
        <w:spacing w:before="120" w:after="0"/>
        <w:rPr/>
      </w:pPr>
      <w:r>
        <w:rPr/>
        <w:t>“</w:t>
      </w:r>
      <w:r>
        <w:rPr>
          <w:rFonts w:ascii="Times New Roman" w:hAnsi="Times New Roman"/>
          <w:b/>
          <w:sz w:val="20"/>
        </w:rPr>
        <w:t>Guarantee Amount”</w:t>
      </w:r>
      <w:r>
        <w:rPr>
          <w:rFonts w:ascii="Times New Roman" w:hAnsi="Times New Roman"/>
          <w:sz w:val="20"/>
        </w:rPr>
        <w:t xml:space="preserve"> means an amount of RUB 10,300,000,000 (ten billion three hundred million Rubles). </w:t>
      </w:r>
    </w:p>
    <w:p>
      <w:pPr>
        <w:pStyle w:val="TextBody"/>
        <w:spacing w:before="120" w:after="0"/>
        <w:rPr/>
      </w:pPr>
      <w:r>
        <w:rPr/>
        <w:t>“</w:t>
      </w:r>
      <w:r>
        <w:rPr>
          <w:rFonts w:ascii="Times New Roman" w:hAnsi="Times New Roman"/>
          <w:b/>
          <w:sz w:val="20"/>
        </w:rPr>
        <w:t>Payment Claim”</w:t>
      </w:r>
      <w:r>
        <w:rPr>
          <w:rFonts w:ascii="Times New Roman" w:hAnsi="Times New Roman"/>
          <w:sz w:val="20"/>
        </w:rPr>
        <w:t xml:space="preserve"> means a written notice which is sent by the Credit Agent to the Guarantor and contains: (i) an indication of a particular violation of the Secured Obligations entailing payment under this Guarantee; (ii) a claim for the Guarantor to make payments provided for by this Guarantee within such amount and period as specified in such notice, as well as details of the bank account to which the Guarantor shall make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w:t>
            </w:r>
          </w:p>
        </w:tc>
        <w:tc>
          <w:tcPr>
            <w:tcW w:w="9389" w:type="dxa"/>
            <w:tcBorders/>
            <w:shd w:fill="auto" w:val="clear"/>
          </w:tcPr>
          <w:p>
            <w:pPr>
              <w:pStyle w:val="TableContents"/>
              <w:spacing w:before="0" w:after="283"/>
              <w:jc w:val="left"/>
              <w:rPr/>
            </w:pPr>
            <w:r>
              <w:rPr>
                <w:b/>
              </w:rPr>
              <w:t>INDEPENDENT GUARANTEE</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at the request of the Borrower, issue this Guarantee and hereby undertakes to pay such amount within the Guarantee Amount as specified in the Payment Claim to the Original Lender if the Borrower fails to fulfill the Secured Obligations (or to pay such amount to the Credit Agent for distribution among the Lenders after assignment of rights (claims) under the Independent Guarantee Issue Agreement and this Guarantee in accordance with Article 5.2 (</w:t>
      </w:r>
      <w:r>
        <w:rPr>
          <w:rFonts w:ascii="Times New Roman" w:hAnsi="Times New Roman"/>
          <w:i/>
          <w:sz w:val="20"/>
        </w:rPr>
        <w:t>Transfer of Rights by the Lenders</w:t>
      </w:r>
      <w:r>
        <w:rPr>
          <w:rFonts w:ascii="Times New Roman" w:hAnsi="Times New Roman"/>
          <w:sz w:val="20"/>
        </w:rPr>
        <w:t xml:space="preserve">)), regardless of the validity of the Loan Agreement, the Secured Obligations, as well as relations between the Guarantor and the Borrower, and other obligations.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3.</w:t>
            </w:r>
          </w:p>
        </w:tc>
        <w:tc>
          <w:tcPr>
            <w:tcW w:w="9388" w:type="dxa"/>
            <w:tcBorders/>
            <w:shd w:fill="auto" w:val="clear"/>
          </w:tcPr>
          <w:p>
            <w:pPr>
              <w:pStyle w:val="TableContents"/>
              <w:spacing w:before="0" w:after="283"/>
              <w:jc w:val="left"/>
              <w:rPr/>
            </w:pPr>
            <w:r>
              <w:rPr>
                <w:b/>
              </w:rPr>
              <w:t>PAYMENT CLAIM</w:t>
            </w:r>
            <w:r>
              <w:rPr/>
              <w:t xml:space="preserve"> </w:t>
            </w:r>
          </w:p>
        </w:tc>
      </w:tr>
    </w:tbl>
    <w:p>
      <w:pPr>
        <w:pStyle w:val="TextBody"/>
        <w:spacing w:before="120" w:after="0"/>
        <w:rPr>
          <w:rFonts w:ascii="Times New Roman" w:hAnsi="Times New Roman"/>
          <w:sz w:val="20"/>
        </w:rPr>
      </w:pPr>
      <w:r>
        <w:rPr>
          <w:rFonts w:ascii="Times New Roman" w:hAnsi="Times New Roman"/>
          <w:sz w:val="20"/>
        </w:rPr>
        <w:t>If the Secured Obligations are not fulfilled, as specified in Article 2 (</w:t>
      </w:r>
      <w:r>
        <w:rPr>
          <w:rFonts w:ascii="Times New Roman" w:hAnsi="Times New Roman"/>
          <w:i/>
          <w:sz w:val="20"/>
        </w:rPr>
        <w:t>Independent Guarantee</w:t>
      </w:r>
      <w:r>
        <w:rPr>
          <w:rFonts w:ascii="Times New Roman" w:hAnsi="Times New Roman"/>
          <w:sz w:val="20"/>
        </w:rPr>
        <w:t>) of this Guarantee, the Original Lender (or the Credit Agent acting on behalf of the Lenders after assignment under this Guarantee in accordance with Article 5.2 (</w:t>
      </w:r>
      <w:r>
        <w:rPr>
          <w:rFonts w:ascii="Times New Roman" w:hAnsi="Times New Roman"/>
          <w:i/>
          <w:sz w:val="20"/>
        </w:rPr>
        <w:t>Transfer of Rights by the Lenders</w:t>
      </w:r>
      <w:r>
        <w:rPr>
          <w:rFonts w:ascii="Times New Roman" w:hAnsi="Times New Roman"/>
          <w:sz w:val="20"/>
        </w:rPr>
        <w:t>)) shall send the Guarantor a Payment Claim and a copy of the notice of the Original Lender or the Credit Agent, respectively, sent to the Borrower under Clause (b) of Article 21.18 (</w:t>
      </w:r>
      <w:r>
        <w:rPr>
          <w:rFonts w:ascii="Times New Roman" w:hAnsi="Times New Roman"/>
          <w:i/>
          <w:sz w:val="20"/>
        </w:rPr>
        <w:t>Acceleration</w:t>
      </w:r>
      <w:r>
        <w:rPr>
          <w:rFonts w:ascii="Times New Roman" w:hAnsi="Times New Roman"/>
          <w:sz w:val="20"/>
        </w:rPr>
        <w:t xml:space="preserve">) of the Loan Agreement. The Guarantor shall make a payment against the Payment Claim within a period not exceeding five Business Days from the date when the Guarantor receives such Payment Claim under the terms and conditions of this Guarantee and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4.</w:t>
            </w:r>
          </w:p>
        </w:tc>
        <w:tc>
          <w:tcPr>
            <w:tcW w:w="9390" w:type="dxa"/>
            <w:tcBorders/>
            <w:shd w:fill="auto" w:val="clear"/>
          </w:tcPr>
          <w:p>
            <w:pPr>
              <w:pStyle w:val="TableContents"/>
              <w:spacing w:before="0" w:after="283"/>
              <w:jc w:val="left"/>
              <w:rPr/>
            </w:pPr>
            <w:r>
              <w:rPr>
                <w:b/>
              </w:rPr>
              <w:t>VALIDITY TERM</w:t>
            </w:r>
            <w:r>
              <w:rPr/>
              <w:t xml:space="preserve"> </w:t>
            </w:r>
          </w:p>
        </w:tc>
      </w:tr>
    </w:tbl>
    <w:p>
      <w:pPr>
        <w:pStyle w:val="TextBody"/>
        <w:spacing w:before="120" w:after="0"/>
        <w:rPr>
          <w:rFonts w:ascii="Times New Roman" w:hAnsi="Times New Roman"/>
          <w:sz w:val="20"/>
        </w:rPr>
      </w:pPr>
      <w:r>
        <w:rPr>
          <w:rFonts w:ascii="Times New Roman" w:hAnsi="Times New Roman"/>
          <w:sz w:val="20"/>
        </w:rPr>
        <w:t>This Guarantee is issued for a period from the Issue Date through a date that occurs after 96 months from the date of Amendment Agreement No. 3 (the “</w:t>
      </w:r>
      <w:r>
        <w:rPr>
          <w:rFonts w:ascii="Times New Roman" w:hAnsi="Times New Roman"/>
          <w:b/>
          <w:sz w:val="20"/>
        </w:rPr>
        <w:t>Expiration Date</w:t>
      </w:r>
      <w:r>
        <w:rPr>
          <w:rFonts w:ascii="Times New Roman" w:hAnsi="Times New Roman"/>
          <w:sz w:val="20"/>
        </w:rPr>
        <w:t xml:space="preserve">”). For the avoidance of doubt, the Payment Claim under this Guarantee shall be satisfied if it is sent by the Beneficiary prior to the Expiration Date (inclusive).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5.</w:t>
            </w:r>
          </w:p>
        </w:tc>
        <w:tc>
          <w:tcPr>
            <w:tcW w:w="9391"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w:t>
            </w:r>
          </w:p>
        </w:tc>
        <w:tc>
          <w:tcPr>
            <w:tcW w:w="9389"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may not assign its rights or transfer the debt under this Guarantee or otherwise dispose of any of its rights and (or) obligations under this Guarantee without the written consent of all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b/>
              </w:rPr>
              <w:t>Transfer of Rights by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Original Lender may, without the consent of the Guarantor and the Borrower, assign all or part of its rights (claims) under this Guarantee to any person to whom it has assigned its rights under the Loan Agreement. The Guarantor hereby expresses its consent to such assignment and shall be liable to any person to whom the Lender has assigned its rights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If the Original Lender assigns its rights (claims) under Clause (a) above, the Lenders that have wholly or partially assigned the rights (claims) under this Guarantee become beneficiaries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5.3.</w:t>
            </w:r>
          </w:p>
        </w:tc>
        <w:tc>
          <w:tcPr>
            <w:tcW w:w="9389" w:type="dxa"/>
            <w:tcBorders/>
            <w:shd w:fill="auto" w:val="clear"/>
          </w:tcPr>
          <w:p>
            <w:pPr>
              <w:pStyle w:val="TableContents"/>
              <w:spacing w:before="0" w:after="283"/>
              <w:jc w:val="left"/>
              <w:rPr/>
            </w:pPr>
            <w:r>
              <w:rPr>
                <w:b/>
              </w:rPr>
              <w:t>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the Borrower assigns or transfers its debt (in whole or in part) under the Loan Agreement to another person under the terms and conditions provided for in the Loan Agreement or transfers the Borrower’s obligations under the Loan Agreement to another person through a universal succession, the Guarantor hereby expresses its consent to such assignment or transfer of the debt and agrees to be jointly liable with the new borrower in the amount of the Secured Obligations.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6.</w:t>
            </w:r>
          </w:p>
        </w:tc>
        <w:tc>
          <w:tcPr>
            <w:tcW w:w="9388" w:type="dxa"/>
            <w:tcBorders/>
            <w:shd w:fill="auto" w:val="clear"/>
          </w:tcPr>
          <w:p>
            <w:pPr>
              <w:pStyle w:val="TableContents"/>
              <w:spacing w:before="0" w:after="283"/>
              <w:jc w:val="left"/>
              <w:rPr/>
            </w:pPr>
            <w:r>
              <w:rPr>
                <w:b/>
              </w:rPr>
              <w:t>CHANGE IN THE SECURED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hereby expresses its consent to be jointly liable with the Borrower, irrespective of whether the terms and conditions of the Loan Agreement will be amended in any way, including any amendments leading to an increase in the volume of the Secured Obligations or other adverse consequences for the Guarantor. No additional written consent of the Guarantor is required for such amendment.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7.</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Guarantee shall be regulated and construed under the Russian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8.</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Guarantee,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According to the provisions of 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9.</w:t>
            </w:r>
          </w:p>
        </w:tc>
        <w:tc>
          <w:tcPr>
            <w:tcW w:w="9389" w:type="dxa"/>
            <w:tcBorders/>
            <w:shd w:fill="auto" w:val="clear"/>
          </w:tcPr>
          <w:p>
            <w:pPr>
              <w:pStyle w:val="TableContents"/>
              <w:spacing w:before="0" w:after="283"/>
              <w:jc w:val="left"/>
              <w:rPr/>
            </w:pPr>
            <w:r>
              <w:rPr>
                <w:b/>
              </w:rPr>
              <w:t>COUNTERPARTS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Guarantee shall be signed in four original counterparts of equal legal effect, each counterpart constituting a single document.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ADDRESSES AND DETAILS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933"/>
        <w:gridCol w:w="425"/>
        <w:gridCol w:w="957"/>
        <w:gridCol w:w="212"/>
        <w:gridCol w:w="4677"/>
      </w:tblGrid>
      <w:tr>
        <w:trPr/>
        <w:tc>
          <w:tcPr>
            <w:tcW w:w="3933" w:type="dxa"/>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sz w:val="4"/>
                <w:szCs w:val="4"/>
              </w:rPr>
            </w:pPr>
            <w:r>
              <w:rPr>
                <w:sz w:val="4"/>
                <w:szCs w:val="4"/>
              </w:rPr>
            </w:r>
          </w:p>
        </w:tc>
        <w:tc>
          <w:tcPr>
            <w:tcW w:w="957" w:type="dxa"/>
            <w:tcBorders/>
            <w:shd w:fill="auto" w:val="clear"/>
            <w:vAlign w:val="center"/>
          </w:tcPr>
          <w:p>
            <w:pPr>
              <w:pStyle w:val="TableContents"/>
              <w:spacing w:before="0" w:after="283"/>
              <w:rPr>
                <w:sz w:val="4"/>
                <w:szCs w:val="4"/>
              </w:rPr>
            </w:pPr>
            <w:r>
              <w:rPr>
                <w:sz w:val="4"/>
                <w:szCs w:val="4"/>
              </w:rPr>
            </w:r>
          </w:p>
        </w:tc>
        <w:tc>
          <w:tcPr>
            <w:tcW w:w="212" w:type="dxa"/>
            <w:tcBorders/>
            <w:shd w:fill="auto" w:val="clear"/>
            <w:vAlign w:val="bottom"/>
          </w:tcPr>
          <w:p>
            <w:pPr>
              <w:pStyle w:val="TableContents"/>
              <w:spacing w:before="0" w:after="283"/>
              <w:rPr>
                <w:sz w:val="4"/>
                <w:szCs w:val="4"/>
              </w:rPr>
            </w:pPr>
            <w:r>
              <w:rPr>
                <w:sz w:val="4"/>
                <w:szCs w:val="4"/>
              </w:rPr>
            </w:r>
          </w:p>
        </w:tc>
        <w:tc>
          <w:tcPr>
            <w:tcW w:w="4677" w:type="dxa"/>
            <w:tcBorders/>
            <w:shd w:fill="auto" w:val="clear"/>
            <w:vAlign w:val="center"/>
          </w:tcPr>
          <w:p>
            <w:pPr>
              <w:pStyle w:val="TableContents"/>
              <w:spacing w:before="0" w:after="283"/>
              <w:rPr>
                <w:sz w:val="4"/>
                <w:szCs w:val="4"/>
              </w:rPr>
            </w:pPr>
            <w:r>
              <w:rPr>
                <w:sz w:val="4"/>
                <w:szCs w:val="4"/>
              </w:rPr>
            </w:r>
          </w:p>
        </w:tc>
      </w:tr>
      <w:tr>
        <w:trPr/>
        <w:tc>
          <w:tcPr>
            <w:tcW w:w="3933" w:type="dxa"/>
            <w:tcBorders/>
            <w:shd w:fill="auto" w:val="clear"/>
            <w:vAlign w:val="bottom"/>
          </w:tcPr>
          <w:p>
            <w:pPr>
              <w:pStyle w:val="TableContents"/>
              <w:spacing w:before="0" w:after="283"/>
              <w:jc w:val="center"/>
              <w:rPr>
                <w:b/>
                <w:sz w:val="22"/>
              </w:rPr>
            </w:pPr>
            <w:r>
              <w:rPr>
                <w:b/>
                <w:sz w:val="22"/>
              </w:rPr>
              <w:t>Company</w:t>
            </w:r>
          </w:p>
        </w:tc>
        <w:tc>
          <w:tcPr>
            <w:tcW w:w="425" w:type="dxa"/>
            <w:tcBorders/>
            <w:shd w:fill="auto" w:val="clear"/>
            <w:vAlign w:val="bottom"/>
          </w:tcPr>
          <w:p>
            <w:pPr>
              <w:pStyle w:val="TableContents"/>
              <w:spacing w:before="0" w:after="283"/>
              <w:rPr/>
            </w:pPr>
            <w:r>
              <w:rPr/>
              <w:t>  </w:t>
            </w:r>
          </w:p>
        </w:tc>
        <w:tc>
          <w:tcPr>
            <w:tcW w:w="5846" w:type="dxa"/>
            <w:gridSpan w:val="3"/>
            <w:tcBorders/>
            <w:shd w:fill="auto" w:val="clear"/>
            <w:vAlign w:val="bottom"/>
          </w:tcPr>
          <w:p>
            <w:pPr>
              <w:pStyle w:val="TableContents"/>
              <w:spacing w:before="0" w:after="283"/>
              <w:jc w:val="center"/>
              <w:rPr>
                <w:b/>
                <w:sz w:val="22"/>
              </w:rPr>
            </w:pPr>
            <w:r>
              <w:rPr>
                <w:b/>
                <w:sz w:val="22"/>
              </w:rPr>
              <w:t>Address, Fax and E-mail</w:t>
            </w:r>
          </w:p>
        </w:tc>
      </w:tr>
      <w:tr>
        <w:trPr>
          <w:trHeight w:val="240" w:hRule="atLeast"/>
        </w:trPr>
        <w:tc>
          <w:tcPr>
            <w:tcW w:w="3933" w:type="dxa"/>
            <w:tcBorders/>
            <w:shd w:fill="auto" w:val="clear"/>
            <w:vAlign w:val="center"/>
          </w:tcPr>
          <w:p>
            <w:pPr>
              <w:pStyle w:val="TableContents"/>
              <w:spacing w:before="0" w:after="283"/>
              <w:rPr>
                <w:sz w:val="4"/>
                <w:szCs w:val="4"/>
              </w:rPr>
            </w:pPr>
            <w:r>
              <w:rPr>
                <w:sz w:val="4"/>
                <w:szCs w:val="4"/>
              </w:rPr>
            </w:r>
          </w:p>
        </w:tc>
        <w:tc>
          <w:tcPr>
            <w:tcW w:w="6271" w:type="dxa"/>
            <w:gridSpan w:val="4"/>
            <w:tcBorders/>
            <w:shd w:fill="auto" w:val="clear"/>
            <w:vAlign w:val="center"/>
          </w:tcPr>
          <w:p>
            <w:pPr>
              <w:pStyle w:val="TableContents"/>
              <w:spacing w:before="0" w:after="283"/>
              <w:rPr>
                <w:sz w:val="4"/>
                <w:szCs w:val="4"/>
              </w:rPr>
            </w:pPr>
            <w:r>
              <w:rPr>
                <w:sz w:val="4"/>
                <w:szCs w:val="4"/>
              </w:rPr>
            </w:r>
          </w:p>
        </w:tc>
      </w:tr>
      <w:tr>
        <w:trPr/>
        <w:tc>
          <w:tcPr>
            <w:tcW w:w="3933" w:type="dxa"/>
            <w:tcBorders/>
            <w:shd w:fill="auto" w:val="clear"/>
            <w:vAlign w:val="bottom"/>
          </w:tcPr>
          <w:p>
            <w:pPr>
              <w:pStyle w:val="TableContents"/>
              <w:spacing w:before="0" w:after="283"/>
              <w:jc w:val="center"/>
              <w:rPr>
                <w:b/>
                <w:sz w:val="22"/>
              </w:rPr>
            </w:pPr>
            <w:r>
              <w:rPr>
                <w:b/>
                <w:sz w:val="22"/>
              </w:rPr>
              <w:t>Guarantor</w:t>
            </w:r>
          </w:p>
        </w:tc>
        <w:tc>
          <w:tcPr>
            <w:tcW w:w="425" w:type="dxa"/>
            <w:tcBorders/>
            <w:shd w:fill="auto" w:val="clear"/>
            <w:vAlign w:val="bottom"/>
          </w:tcPr>
          <w:p>
            <w:pPr>
              <w:pStyle w:val="TableContents"/>
              <w:spacing w:before="0" w:after="283"/>
              <w:rPr/>
            </w:pPr>
            <w:r>
              <w:rPr/>
              <w:t>  </w:t>
            </w:r>
          </w:p>
        </w:tc>
        <w:tc>
          <w:tcPr>
            <w:tcW w:w="5846" w:type="dxa"/>
            <w:gridSpan w:val="3"/>
            <w:tcBorders/>
            <w:shd w:fill="auto" w:val="clear"/>
            <w:vAlign w:val="bottom"/>
          </w:tcPr>
          <w:p>
            <w:pPr>
              <w:pStyle w:val="TableContents"/>
              <w:spacing w:before="0" w:after="283"/>
              <w:rPr>
                <w:sz w:val="4"/>
                <w:szCs w:val="4"/>
              </w:rPr>
            </w:pPr>
            <w:r>
              <w:rPr>
                <w:sz w:val="4"/>
                <w:szCs w:val="4"/>
              </w:rPr>
            </w:r>
          </w:p>
        </w:tc>
      </w:tr>
      <w:tr>
        <w:trPr>
          <w:trHeight w:val="120" w:hRule="atLeast"/>
        </w:trPr>
        <w:tc>
          <w:tcPr>
            <w:tcW w:w="3933" w:type="dxa"/>
            <w:tcBorders/>
            <w:shd w:fill="auto" w:val="clear"/>
            <w:vAlign w:val="center"/>
          </w:tcPr>
          <w:p>
            <w:pPr>
              <w:pStyle w:val="TableContents"/>
              <w:spacing w:before="0" w:after="283"/>
              <w:rPr>
                <w:sz w:val="4"/>
                <w:szCs w:val="4"/>
              </w:rPr>
            </w:pPr>
            <w:r>
              <w:rPr>
                <w:sz w:val="4"/>
                <w:szCs w:val="4"/>
              </w:rPr>
            </w:r>
          </w:p>
        </w:tc>
        <w:tc>
          <w:tcPr>
            <w:tcW w:w="1382" w:type="dxa"/>
            <w:gridSpan w:val="2"/>
            <w:tcBorders/>
            <w:shd w:fill="auto" w:val="clear"/>
            <w:vAlign w:val="center"/>
          </w:tcPr>
          <w:p>
            <w:pPr>
              <w:pStyle w:val="TableContents"/>
              <w:spacing w:before="0" w:after="283"/>
              <w:rPr>
                <w:sz w:val="4"/>
                <w:szCs w:val="4"/>
              </w:rPr>
            </w:pPr>
            <w:r>
              <w:rPr>
                <w:sz w:val="4"/>
                <w:szCs w:val="4"/>
              </w:rPr>
            </w:r>
          </w:p>
        </w:tc>
        <w:tc>
          <w:tcPr>
            <w:tcW w:w="4889" w:type="dxa"/>
            <w:gridSpan w:val="2"/>
            <w:tcBorders/>
            <w:shd w:fill="auto" w:val="clear"/>
            <w:vAlign w:val="center"/>
          </w:tcPr>
          <w:p>
            <w:pPr>
              <w:pStyle w:val="TableContents"/>
              <w:spacing w:before="0" w:after="283"/>
              <w:rPr>
                <w:sz w:val="4"/>
                <w:szCs w:val="4"/>
              </w:rPr>
            </w:pPr>
            <w:r>
              <w:rPr>
                <w:sz w:val="4"/>
                <w:szCs w:val="4"/>
              </w:rPr>
            </w:r>
          </w:p>
        </w:tc>
      </w:tr>
      <w:tr>
        <w:trPr/>
        <w:tc>
          <w:tcPr>
            <w:tcW w:w="3933" w:type="dxa"/>
            <w:vMerge w:val="restart"/>
            <w:tcBorders/>
            <w:shd w:fill="auto" w:val="clear"/>
            <w:vAlign w:val="center"/>
          </w:tcPr>
          <w:p>
            <w:pPr>
              <w:pStyle w:val="TableContents"/>
              <w:spacing w:before="0" w:after="0"/>
              <w:jc w:val="center"/>
              <w:rPr>
                <w:rFonts w:ascii="Times New Roman" w:hAnsi="Times New Roman"/>
                <w:b/>
                <w:sz w:val="22"/>
              </w:rPr>
            </w:pPr>
            <w:r>
              <w:rPr>
                <w:rFonts w:ascii="Times New Roman" w:hAnsi="Times New Roman"/>
                <w:b/>
                <w:sz w:val="22"/>
              </w:rPr>
              <w:t>HEADHUNTER LIMITED</w:t>
            </w:r>
          </w:p>
          <w:p>
            <w:pPr>
              <w:pStyle w:val="TableContents"/>
              <w:spacing w:before="0" w:after="20"/>
              <w:jc w:val="center"/>
              <w:rPr>
                <w:rFonts w:ascii="Times New Roman" w:hAnsi="Times New Roman"/>
                <w:b/>
                <w:sz w:val="22"/>
              </w:rPr>
            </w:pPr>
            <w:r>
              <w:rPr>
                <w:rFonts w:ascii="Times New Roman" w:hAnsi="Times New Roman"/>
                <w:b/>
                <w:sz w:val="22"/>
              </w:rPr>
              <w:t>LIABILITY COMPANY</w:t>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rFonts w:ascii="Times New Roman" w:hAnsi="Times New Roman"/>
                <w:sz w:val="20"/>
              </w:rPr>
            </w:pPr>
            <w:r>
              <w:rPr>
                <w:rFonts w:ascii="Times New Roman" w:hAnsi="Times New Roman"/>
                <w:sz w:val="20"/>
              </w:rPr>
              <w:t>Address:</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9, Godovikova St., bld. 10, Moscow, the Russian Federation</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Fax:</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+7 495 974-64-27</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Email:</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zhukov@hh.ru</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Attn:</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Mikhail Zhukov</w:t>
            </w:r>
          </w:p>
        </w:tc>
      </w:tr>
      <w:tr>
        <w:trPr/>
        <w:tc>
          <w:tcPr>
            <w:tcW w:w="3933" w:type="dxa"/>
            <w:tcBorders/>
            <w:shd w:fill="auto" w:val="clear"/>
            <w:vAlign w:val="bottom"/>
          </w:tcPr>
          <w:p>
            <w:pPr>
              <w:pStyle w:val="TableContents"/>
              <w:spacing w:before="0" w:after="283"/>
              <w:jc w:val="center"/>
              <w:rPr>
                <w:b/>
                <w:sz w:val="22"/>
              </w:rPr>
            </w:pPr>
            <w:r>
              <w:rPr>
                <w:b/>
                <w:sz w:val="22"/>
              </w:rPr>
              <w:t>Borrower</w:t>
            </w:r>
          </w:p>
        </w:tc>
        <w:tc>
          <w:tcPr>
            <w:tcW w:w="425" w:type="dxa"/>
            <w:tcBorders/>
            <w:shd w:fill="auto" w:val="clear"/>
            <w:vAlign w:val="bottom"/>
          </w:tcPr>
          <w:p>
            <w:pPr>
              <w:pStyle w:val="TableContents"/>
              <w:spacing w:before="0" w:after="283"/>
              <w:rPr/>
            </w:pPr>
            <w:r>
              <w:rPr/>
              <w:t>  </w:t>
            </w:r>
          </w:p>
        </w:tc>
        <w:tc>
          <w:tcPr>
            <w:tcW w:w="5846" w:type="dxa"/>
            <w:gridSpan w:val="3"/>
            <w:tcBorders/>
            <w:shd w:fill="auto" w:val="clear"/>
          </w:tcPr>
          <w:p>
            <w:pPr>
              <w:pStyle w:val="TableContents"/>
              <w:spacing w:before="0" w:after="283"/>
              <w:rPr>
                <w:sz w:val="4"/>
                <w:szCs w:val="4"/>
              </w:rPr>
            </w:pPr>
            <w:r>
              <w:rPr>
                <w:sz w:val="4"/>
                <w:szCs w:val="4"/>
              </w:rPr>
            </w:r>
          </w:p>
        </w:tc>
      </w:tr>
      <w:tr>
        <w:trPr>
          <w:trHeight w:val="120" w:hRule="atLeast"/>
        </w:trPr>
        <w:tc>
          <w:tcPr>
            <w:tcW w:w="3933" w:type="dxa"/>
            <w:tcBorders/>
            <w:shd w:fill="auto" w:val="clear"/>
            <w:vAlign w:val="center"/>
          </w:tcPr>
          <w:p>
            <w:pPr>
              <w:pStyle w:val="TableContents"/>
              <w:spacing w:before="0" w:after="283"/>
              <w:rPr>
                <w:sz w:val="4"/>
                <w:szCs w:val="4"/>
              </w:rPr>
            </w:pPr>
            <w:r>
              <w:rPr>
                <w:sz w:val="4"/>
                <w:szCs w:val="4"/>
              </w:rPr>
            </w:r>
          </w:p>
        </w:tc>
        <w:tc>
          <w:tcPr>
            <w:tcW w:w="1382" w:type="dxa"/>
            <w:gridSpan w:val="2"/>
            <w:tcBorders/>
            <w:shd w:fill="auto" w:val="clear"/>
            <w:vAlign w:val="center"/>
          </w:tcPr>
          <w:p>
            <w:pPr>
              <w:pStyle w:val="TableContents"/>
              <w:spacing w:before="0" w:after="283"/>
              <w:rPr>
                <w:sz w:val="4"/>
                <w:szCs w:val="4"/>
              </w:rPr>
            </w:pPr>
            <w:r>
              <w:rPr>
                <w:sz w:val="4"/>
                <w:szCs w:val="4"/>
              </w:rPr>
            </w:r>
          </w:p>
        </w:tc>
        <w:tc>
          <w:tcPr>
            <w:tcW w:w="4889" w:type="dxa"/>
            <w:gridSpan w:val="2"/>
            <w:tcBorders/>
            <w:shd w:fill="auto" w:val="clear"/>
            <w:vAlign w:val="center"/>
          </w:tcPr>
          <w:p>
            <w:pPr>
              <w:pStyle w:val="TableContents"/>
              <w:spacing w:before="0" w:after="283"/>
              <w:rPr>
                <w:sz w:val="4"/>
                <w:szCs w:val="4"/>
              </w:rPr>
            </w:pPr>
            <w:r>
              <w:rPr>
                <w:sz w:val="4"/>
                <w:szCs w:val="4"/>
              </w:rPr>
            </w:r>
          </w:p>
        </w:tc>
      </w:tr>
      <w:tr>
        <w:trPr/>
        <w:tc>
          <w:tcPr>
            <w:tcW w:w="3933" w:type="dxa"/>
            <w:vMerge w:val="restart"/>
            <w:tcBorders/>
            <w:shd w:fill="auto" w:val="clear"/>
            <w:vAlign w:val="center"/>
          </w:tcPr>
          <w:p>
            <w:pPr>
              <w:pStyle w:val="TableContents"/>
              <w:spacing w:before="0" w:after="283"/>
              <w:jc w:val="center"/>
              <w:rPr>
                <w:b/>
                <w:sz w:val="22"/>
              </w:rPr>
            </w:pPr>
            <w:r>
              <w:rPr>
                <w:b/>
                <w:sz w:val="22"/>
              </w:rPr>
              <w:t>ZEMENIK LIMITED LIABILITY COMPANY</w:t>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rFonts w:ascii="Times New Roman" w:hAnsi="Times New Roman"/>
                <w:sz w:val="20"/>
              </w:rPr>
            </w:pPr>
            <w:r>
              <w:rPr>
                <w:rFonts w:ascii="Times New Roman" w:hAnsi="Times New Roman"/>
                <w:sz w:val="20"/>
              </w:rPr>
              <w:t>Address:</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 Akademika Ilyushina St., bld. 1, office 54,</w:t>
            </w:r>
          </w:p>
          <w:p>
            <w:pPr>
              <w:pStyle w:val="TableContents"/>
              <w:spacing w:before="0" w:after="20"/>
              <w:rPr>
                <w:rFonts w:ascii="Times New Roman" w:hAnsi="Times New Roman"/>
                <w:sz w:val="20"/>
              </w:rPr>
            </w:pPr>
            <w:r>
              <w:rPr>
                <w:rFonts w:ascii="Times New Roman" w:hAnsi="Times New Roman"/>
                <w:sz w:val="20"/>
              </w:rPr>
              <w:t>Moscow, the Russian Federation, 125319</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Fax:</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+7 495 974-64-27</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Email:</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karen.agayan@arpartners.ru</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Attn:</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Karen Eduardovich Agayan</w:t>
            </w:r>
          </w:p>
        </w:tc>
      </w:tr>
      <w:tr>
        <w:trPr/>
        <w:tc>
          <w:tcPr>
            <w:tcW w:w="3933" w:type="dxa"/>
            <w:tcBorders/>
            <w:shd w:fill="auto" w:val="clear"/>
            <w:vAlign w:val="bottom"/>
          </w:tcPr>
          <w:p>
            <w:pPr>
              <w:pStyle w:val="TableContents"/>
              <w:spacing w:before="0" w:after="283"/>
              <w:jc w:val="center"/>
              <w:rPr>
                <w:b/>
                <w:sz w:val="22"/>
              </w:rPr>
            </w:pPr>
            <w:r>
              <w:rPr>
                <w:b/>
                <w:sz w:val="22"/>
              </w:rPr>
              <w:t>Original Lender</w:t>
            </w:r>
          </w:p>
        </w:tc>
        <w:tc>
          <w:tcPr>
            <w:tcW w:w="425" w:type="dxa"/>
            <w:tcBorders/>
            <w:shd w:fill="auto" w:val="clear"/>
            <w:vAlign w:val="bottom"/>
          </w:tcPr>
          <w:p>
            <w:pPr>
              <w:pStyle w:val="TableContents"/>
              <w:spacing w:before="0" w:after="283"/>
              <w:rPr/>
            </w:pPr>
            <w:r>
              <w:rPr/>
              <w:t>  </w:t>
            </w:r>
          </w:p>
        </w:tc>
        <w:tc>
          <w:tcPr>
            <w:tcW w:w="5846" w:type="dxa"/>
            <w:gridSpan w:val="3"/>
            <w:tcBorders/>
            <w:shd w:fill="auto" w:val="clear"/>
          </w:tcPr>
          <w:p>
            <w:pPr>
              <w:pStyle w:val="TableContents"/>
              <w:spacing w:before="0" w:after="283"/>
              <w:rPr>
                <w:sz w:val="4"/>
                <w:szCs w:val="4"/>
              </w:rPr>
            </w:pPr>
            <w:r>
              <w:rPr>
                <w:sz w:val="4"/>
                <w:szCs w:val="4"/>
              </w:rPr>
            </w:r>
          </w:p>
        </w:tc>
      </w:tr>
      <w:tr>
        <w:trPr>
          <w:trHeight w:val="120" w:hRule="atLeast"/>
        </w:trPr>
        <w:tc>
          <w:tcPr>
            <w:tcW w:w="3933" w:type="dxa"/>
            <w:tcBorders/>
            <w:shd w:fill="auto" w:val="clear"/>
            <w:vAlign w:val="center"/>
          </w:tcPr>
          <w:p>
            <w:pPr>
              <w:pStyle w:val="TableContents"/>
              <w:spacing w:before="0" w:after="283"/>
              <w:rPr>
                <w:sz w:val="4"/>
                <w:szCs w:val="4"/>
              </w:rPr>
            </w:pPr>
            <w:r>
              <w:rPr>
                <w:sz w:val="4"/>
                <w:szCs w:val="4"/>
              </w:rPr>
            </w:r>
          </w:p>
        </w:tc>
        <w:tc>
          <w:tcPr>
            <w:tcW w:w="1382" w:type="dxa"/>
            <w:gridSpan w:val="2"/>
            <w:tcBorders/>
            <w:shd w:fill="auto" w:val="clear"/>
            <w:vAlign w:val="center"/>
          </w:tcPr>
          <w:p>
            <w:pPr>
              <w:pStyle w:val="TableContents"/>
              <w:spacing w:before="0" w:after="283"/>
              <w:rPr>
                <w:sz w:val="4"/>
                <w:szCs w:val="4"/>
              </w:rPr>
            </w:pPr>
            <w:r>
              <w:rPr>
                <w:sz w:val="4"/>
                <w:szCs w:val="4"/>
              </w:rPr>
            </w:r>
          </w:p>
        </w:tc>
        <w:tc>
          <w:tcPr>
            <w:tcW w:w="4889" w:type="dxa"/>
            <w:gridSpan w:val="2"/>
            <w:tcBorders/>
            <w:shd w:fill="auto" w:val="clear"/>
            <w:vAlign w:val="center"/>
          </w:tcPr>
          <w:p>
            <w:pPr>
              <w:pStyle w:val="TableContents"/>
              <w:spacing w:before="0" w:after="283"/>
              <w:rPr>
                <w:sz w:val="4"/>
                <w:szCs w:val="4"/>
              </w:rPr>
            </w:pPr>
            <w:r>
              <w:rPr>
                <w:sz w:val="4"/>
                <w:szCs w:val="4"/>
              </w:rPr>
            </w:r>
          </w:p>
        </w:tc>
      </w:tr>
      <w:tr>
        <w:trPr/>
        <w:tc>
          <w:tcPr>
            <w:tcW w:w="3933" w:type="dxa"/>
            <w:vMerge w:val="restart"/>
            <w:tcBorders/>
            <w:shd w:fill="auto" w:val="clear"/>
            <w:vAlign w:val="center"/>
          </w:tcPr>
          <w:p>
            <w:pPr>
              <w:pStyle w:val="TableContents"/>
              <w:spacing w:before="0" w:after="283"/>
              <w:jc w:val="center"/>
              <w:rPr>
                <w:b/>
                <w:sz w:val="22"/>
              </w:rPr>
            </w:pPr>
            <w:r>
              <w:rPr>
                <w:b/>
                <w:sz w:val="22"/>
              </w:rPr>
              <w:t>BANK VTB (PUBLIC JOINT-STOCK COMPANY)</w:t>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rFonts w:ascii="Times New Roman" w:hAnsi="Times New Roman"/>
                <w:sz w:val="20"/>
              </w:rPr>
            </w:pPr>
            <w:r>
              <w:rPr>
                <w:rFonts w:ascii="Times New Roman" w:hAnsi="Times New Roman"/>
                <w:sz w:val="20"/>
              </w:rPr>
              <w:t>Address:</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43 Vorontsovskaya St., bld. 1, Moscow, 109147</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Fax:</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+7 495 775-54-54</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Email:</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loanadmin@msk.vtb.ru,TM21@msk.vtb.ru</w:t>
            </w:r>
          </w:p>
        </w:tc>
      </w:tr>
      <w:tr>
        <w:trPr/>
        <w:tc>
          <w:tcPr>
            <w:tcW w:w="3933" w:type="dxa"/>
            <w:vMerge w:val="continue"/>
            <w:tcBorders/>
            <w:shd w:fill="auto" w:val="clear"/>
            <w:vAlign w:val="center"/>
          </w:tcPr>
          <w:p>
            <w:pPr>
              <w:pStyle w:val="TableContents"/>
              <w:spacing w:before="0" w:after="283"/>
              <w:rPr>
                <w:sz w:val="4"/>
                <w:szCs w:val="4"/>
              </w:rPr>
            </w:pPr>
            <w:r>
              <w:rPr>
                <w:sz w:val="4"/>
                <w:szCs w:val="4"/>
              </w:rPr>
            </w:r>
          </w:p>
        </w:tc>
        <w:tc>
          <w:tcPr>
            <w:tcW w:w="425" w:type="dxa"/>
            <w:tcBorders/>
            <w:shd w:fill="auto" w:val="clear"/>
            <w:vAlign w:val="bottom"/>
          </w:tcPr>
          <w:p>
            <w:pPr>
              <w:pStyle w:val="TableContents"/>
              <w:spacing w:before="0" w:after="283"/>
              <w:rPr/>
            </w:pPr>
            <w:r>
              <w:rPr/>
              <w:t>  </w:t>
            </w:r>
          </w:p>
        </w:tc>
        <w:tc>
          <w:tcPr>
            <w:tcW w:w="957"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Attn:</w:t>
            </w:r>
          </w:p>
        </w:tc>
        <w:tc>
          <w:tcPr>
            <w:tcW w:w="212" w:type="dxa"/>
            <w:tcBorders/>
            <w:shd w:fill="auto" w:val="clear"/>
            <w:vAlign w:val="bottom"/>
          </w:tcPr>
          <w:p>
            <w:pPr>
              <w:pStyle w:val="TableContents"/>
              <w:spacing w:before="0" w:after="283"/>
              <w:rPr/>
            </w:pPr>
            <w:r>
              <w:rPr/>
              <w:t>  </w:t>
            </w:r>
          </w:p>
        </w:tc>
        <w:tc>
          <w:tcPr>
            <w:tcW w:w="4677" w:type="dxa"/>
            <w:tcBorders/>
            <w:shd w:fill="auto" w:val="clear"/>
            <w:vAlign w:val="bottom"/>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Credit Authority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OF THE PARTIES </w:t>
      </w:r>
    </w:p>
    <w:p>
      <w:pPr>
        <w:pStyle w:val="TextBody"/>
        <w:spacing w:before="240" w:after="0"/>
        <w:rPr>
          <w:rFonts w:ascii="Times New Roman" w:hAnsi="Times New Roman"/>
          <w:b/>
          <w:sz w:val="20"/>
        </w:rPr>
      </w:pPr>
      <w:r>
        <w:rPr>
          <w:rFonts w:ascii="Times New Roman" w:hAnsi="Times New Roman"/>
          <w:b/>
          <w:sz w:val="20"/>
        </w:rPr>
        <w:t xml:space="preserve">The Guarantee has been amended by: </w:t>
      </w:r>
    </w:p>
    <w:p>
      <w:pPr>
        <w:pStyle w:val="TextBody"/>
        <w:spacing w:before="240" w:after="0"/>
        <w:rPr>
          <w:rFonts w:ascii="Times New Roman" w:hAnsi="Times New Roman"/>
          <w:b/>
          <w:sz w:val="20"/>
        </w:rPr>
      </w:pPr>
      <w:r>
        <w:rPr>
          <w:rFonts w:ascii="Times New Roman" w:hAnsi="Times New Roman"/>
          <w:b/>
          <w:sz w:val="20"/>
        </w:rPr>
        <w:t xml:space="preserve">HEADHUNTER LIMITED LIABILITY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907"/>
        <w:gridCol w:w="541"/>
        <w:gridCol w:w="8757"/>
      </w:tblGrid>
      <w:tr>
        <w:trPr/>
        <w:tc>
          <w:tcPr>
            <w:tcW w:w="907" w:type="dxa"/>
            <w:tcBorders/>
            <w:shd w:fill="auto" w:val="clear"/>
            <w:vAlign w:val="center"/>
          </w:tcPr>
          <w:p>
            <w:pPr>
              <w:pStyle w:val="TableContents"/>
              <w:spacing w:before="0" w:after="283"/>
              <w:rPr>
                <w:sz w:val="4"/>
                <w:szCs w:val="4"/>
              </w:rPr>
            </w:pPr>
            <w:r>
              <w:rPr>
                <w:sz w:val="4"/>
                <w:szCs w:val="4"/>
              </w:rPr>
            </w:r>
          </w:p>
        </w:tc>
        <w:tc>
          <w:tcPr>
            <w:tcW w:w="541" w:type="dxa"/>
            <w:tcBorders/>
            <w:shd w:fill="auto" w:val="clear"/>
            <w:vAlign w:val="bottom"/>
          </w:tcPr>
          <w:p>
            <w:pPr>
              <w:pStyle w:val="TableContents"/>
              <w:spacing w:before="0" w:after="283"/>
              <w:rPr>
                <w:sz w:val="4"/>
                <w:szCs w:val="4"/>
              </w:rPr>
            </w:pPr>
            <w:r>
              <w:rPr>
                <w:sz w:val="4"/>
                <w:szCs w:val="4"/>
              </w:rPr>
            </w:r>
          </w:p>
        </w:tc>
        <w:tc>
          <w:tcPr>
            <w:tcW w:w="8757" w:type="dxa"/>
            <w:tcBorders/>
            <w:shd w:fill="auto" w:val="clear"/>
            <w:vAlign w:val="center"/>
          </w:tcPr>
          <w:p>
            <w:pPr>
              <w:pStyle w:val="TableContents"/>
              <w:spacing w:before="0" w:after="283"/>
              <w:rPr>
                <w:sz w:val="4"/>
                <w:szCs w:val="4"/>
              </w:rPr>
            </w:pPr>
            <w:r>
              <w:rPr>
                <w:sz w:val="4"/>
                <w:szCs w:val="4"/>
              </w:rPr>
            </w:r>
          </w:p>
        </w:tc>
      </w:tr>
      <w:tr>
        <w:trPr/>
        <w:tc>
          <w:tcPr>
            <w:tcW w:w="907" w:type="dxa"/>
            <w:tcBorders/>
            <w:shd w:fill="auto" w:val="clear"/>
            <w:vAlign w:val="bottom"/>
          </w:tcPr>
          <w:p>
            <w:pPr>
              <w:pStyle w:val="TableContents"/>
              <w:spacing w:before="0" w:after="283"/>
              <w:rPr/>
            </w:pPr>
            <w:r>
              <w:rPr/>
              <w:t>Signature:</w:t>
            </w:r>
          </w:p>
        </w:tc>
        <w:tc>
          <w:tcPr>
            <w:tcW w:w="541" w:type="dxa"/>
            <w:tcBorders/>
            <w:shd w:fill="auto" w:val="clear"/>
            <w:vAlign w:val="bottom"/>
          </w:tcPr>
          <w:p>
            <w:pPr>
              <w:pStyle w:val="TableContents"/>
              <w:spacing w:before="0" w:after="283"/>
              <w:rPr/>
            </w:pPr>
            <w:r>
              <w:rPr/>
              <w:t>    </w:t>
            </w:r>
          </w:p>
        </w:tc>
        <w:tc>
          <w:tcPr>
            <w:tcW w:w="8757" w:type="dxa"/>
            <w:tcBorders/>
            <w:shd w:fill="auto" w:val="clear"/>
            <w:vAlign w:val="bottom"/>
          </w:tcPr>
          <w:p>
            <w:pPr>
              <w:pStyle w:val="TableContents"/>
              <w:spacing w:before="0" w:after="283"/>
              <w:rPr>
                <w:i/>
              </w:rPr>
            </w:pPr>
            <w:r>
              <w:rPr>
                <w:i/>
              </w:rPr>
              <w:t>/signature/</w:t>
            </w:r>
          </w:p>
        </w:tc>
      </w:tr>
      <w:tr>
        <w:trPr>
          <w:trHeight w:val="240" w:hRule="atLeast"/>
        </w:trPr>
        <w:tc>
          <w:tcPr>
            <w:tcW w:w="907" w:type="dxa"/>
            <w:tcBorders/>
            <w:shd w:fill="auto" w:val="clear"/>
            <w:vAlign w:val="center"/>
          </w:tcPr>
          <w:p>
            <w:pPr>
              <w:pStyle w:val="TableContents"/>
              <w:spacing w:before="0" w:after="283"/>
              <w:rPr>
                <w:sz w:val="4"/>
                <w:szCs w:val="4"/>
              </w:rPr>
            </w:pPr>
            <w:r>
              <w:rPr>
                <w:sz w:val="4"/>
                <w:szCs w:val="4"/>
              </w:rPr>
            </w:r>
          </w:p>
        </w:tc>
        <w:tc>
          <w:tcPr>
            <w:tcW w:w="9298" w:type="dxa"/>
            <w:gridSpan w:val="2"/>
            <w:tcBorders/>
            <w:shd w:fill="auto" w:val="clear"/>
            <w:vAlign w:val="center"/>
          </w:tcPr>
          <w:p>
            <w:pPr>
              <w:pStyle w:val="TableContents"/>
              <w:spacing w:before="0" w:after="283"/>
              <w:rPr>
                <w:sz w:val="4"/>
                <w:szCs w:val="4"/>
              </w:rPr>
            </w:pPr>
            <w:r>
              <w:rPr>
                <w:sz w:val="4"/>
                <w:szCs w:val="4"/>
              </w:rPr>
            </w:r>
          </w:p>
        </w:tc>
      </w:tr>
      <w:tr>
        <w:trPr/>
        <w:tc>
          <w:tcPr>
            <w:tcW w:w="907" w:type="dxa"/>
            <w:tcBorders/>
            <w:shd w:fill="auto" w:val="clear"/>
            <w:vAlign w:val="bottom"/>
          </w:tcPr>
          <w:p>
            <w:pPr>
              <w:pStyle w:val="TableContents"/>
              <w:spacing w:before="0" w:after="283"/>
              <w:rPr/>
            </w:pPr>
            <w:r>
              <w:rPr/>
              <w:t>Full name:</w:t>
            </w:r>
          </w:p>
        </w:tc>
        <w:tc>
          <w:tcPr>
            <w:tcW w:w="541" w:type="dxa"/>
            <w:tcBorders/>
            <w:shd w:fill="auto" w:val="clear"/>
            <w:vAlign w:val="bottom"/>
          </w:tcPr>
          <w:p>
            <w:pPr>
              <w:pStyle w:val="TableContents"/>
              <w:spacing w:before="0" w:after="283"/>
              <w:rPr/>
            </w:pPr>
            <w:r>
              <w:rPr/>
              <w:t>    </w:t>
            </w:r>
          </w:p>
        </w:tc>
        <w:tc>
          <w:tcPr>
            <w:tcW w:w="8757" w:type="dxa"/>
            <w:tcBorders/>
            <w:shd w:fill="auto" w:val="clear"/>
            <w:vAlign w:val="bottom"/>
          </w:tcPr>
          <w:p>
            <w:pPr>
              <w:pStyle w:val="TableContents"/>
              <w:spacing w:before="0" w:after="283"/>
              <w:rPr/>
            </w:pPr>
            <w:r>
              <w:rPr/>
              <w:t>Mikhail Alexandrovich Zhukov</w:t>
            </w:r>
          </w:p>
        </w:tc>
      </w:tr>
      <w:tr>
        <w:trPr>
          <w:trHeight w:val="240" w:hRule="atLeast"/>
        </w:trPr>
        <w:tc>
          <w:tcPr>
            <w:tcW w:w="907" w:type="dxa"/>
            <w:tcBorders/>
            <w:shd w:fill="auto" w:val="clear"/>
            <w:vAlign w:val="center"/>
          </w:tcPr>
          <w:p>
            <w:pPr>
              <w:pStyle w:val="TableContents"/>
              <w:spacing w:before="0" w:after="283"/>
              <w:rPr>
                <w:sz w:val="4"/>
                <w:szCs w:val="4"/>
              </w:rPr>
            </w:pPr>
            <w:r>
              <w:rPr>
                <w:sz w:val="4"/>
                <w:szCs w:val="4"/>
              </w:rPr>
            </w:r>
          </w:p>
        </w:tc>
        <w:tc>
          <w:tcPr>
            <w:tcW w:w="9298" w:type="dxa"/>
            <w:gridSpan w:val="2"/>
            <w:tcBorders/>
            <w:shd w:fill="auto" w:val="clear"/>
            <w:vAlign w:val="center"/>
          </w:tcPr>
          <w:p>
            <w:pPr>
              <w:pStyle w:val="TableContents"/>
              <w:spacing w:before="0" w:after="283"/>
              <w:rPr>
                <w:sz w:val="4"/>
                <w:szCs w:val="4"/>
              </w:rPr>
            </w:pPr>
            <w:r>
              <w:rPr>
                <w:sz w:val="4"/>
                <w:szCs w:val="4"/>
              </w:rPr>
            </w:r>
          </w:p>
        </w:tc>
      </w:tr>
      <w:tr>
        <w:trPr/>
        <w:tc>
          <w:tcPr>
            <w:tcW w:w="907" w:type="dxa"/>
            <w:tcBorders/>
            <w:shd w:fill="auto" w:val="clear"/>
            <w:vAlign w:val="bottom"/>
          </w:tcPr>
          <w:p>
            <w:pPr>
              <w:pStyle w:val="TableContents"/>
              <w:spacing w:before="0" w:after="283"/>
              <w:rPr/>
            </w:pPr>
            <w:r>
              <w:rPr/>
              <w:t>Position:</w:t>
            </w:r>
          </w:p>
        </w:tc>
        <w:tc>
          <w:tcPr>
            <w:tcW w:w="541" w:type="dxa"/>
            <w:tcBorders/>
            <w:shd w:fill="auto" w:val="clear"/>
            <w:vAlign w:val="bottom"/>
          </w:tcPr>
          <w:p>
            <w:pPr>
              <w:pStyle w:val="TableContents"/>
              <w:spacing w:before="0" w:after="283"/>
              <w:rPr/>
            </w:pPr>
            <w:r>
              <w:rPr/>
              <w:t>    </w:t>
            </w:r>
          </w:p>
        </w:tc>
        <w:tc>
          <w:tcPr>
            <w:tcW w:w="8757" w:type="dxa"/>
            <w:tcBorders/>
            <w:shd w:fill="auto" w:val="clear"/>
            <w:vAlign w:val="bottom"/>
          </w:tcPr>
          <w:p>
            <w:pPr>
              <w:pStyle w:val="TableContents"/>
              <w:spacing w:before="0" w:after="283"/>
              <w:rPr/>
            </w:pPr>
            <w:r>
              <w:rPr/>
              <w:t>General Director</w:t>
            </w:r>
          </w:p>
        </w:tc>
      </w:tr>
      <w:tr>
        <w:trPr>
          <w:trHeight w:val="240" w:hRule="atLeast"/>
        </w:trPr>
        <w:tc>
          <w:tcPr>
            <w:tcW w:w="907" w:type="dxa"/>
            <w:tcBorders/>
            <w:shd w:fill="auto" w:val="clear"/>
            <w:vAlign w:val="center"/>
          </w:tcPr>
          <w:p>
            <w:pPr>
              <w:pStyle w:val="TableContents"/>
              <w:spacing w:before="0" w:after="283"/>
              <w:rPr>
                <w:sz w:val="4"/>
                <w:szCs w:val="4"/>
              </w:rPr>
            </w:pPr>
            <w:r>
              <w:rPr>
                <w:sz w:val="4"/>
                <w:szCs w:val="4"/>
              </w:rPr>
            </w:r>
          </w:p>
        </w:tc>
        <w:tc>
          <w:tcPr>
            <w:tcW w:w="9298" w:type="dxa"/>
            <w:gridSpan w:val="2"/>
            <w:tcBorders/>
            <w:shd w:fill="auto" w:val="clear"/>
            <w:vAlign w:val="center"/>
          </w:tcPr>
          <w:p>
            <w:pPr>
              <w:pStyle w:val="TableContents"/>
              <w:spacing w:before="0" w:after="283"/>
              <w:rPr>
                <w:sz w:val="4"/>
                <w:szCs w:val="4"/>
              </w:rPr>
            </w:pPr>
            <w:r>
              <w:rPr>
                <w:sz w:val="4"/>
                <w:szCs w:val="4"/>
              </w:rPr>
            </w:r>
          </w:p>
        </w:tc>
      </w:tr>
      <w:tr>
        <w:trPr/>
        <w:tc>
          <w:tcPr>
            <w:tcW w:w="907" w:type="dxa"/>
            <w:tcBorders/>
            <w:shd w:fill="auto" w:val="clear"/>
            <w:vAlign w:val="bottom"/>
          </w:tcPr>
          <w:p>
            <w:pPr>
              <w:pStyle w:val="TableContents"/>
              <w:spacing w:before="0" w:after="283"/>
              <w:rPr>
                <w:sz w:val="4"/>
                <w:szCs w:val="4"/>
              </w:rPr>
            </w:pPr>
            <w:r>
              <w:rPr>
                <w:sz w:val="4"/>
                <w:szCs w:val="4"/>
              </w:rPr>
            </w:r>
          </w:p>
        </w:tc>
        <w:tc>
          <w:tcPr>
            <w:tcW w:w="541" w:type="dxa"/>
            <w:tcBorders/>
            <w:shd w:fill="auto" w:val="clear"/>
            <w:vAlign w:val="bottom"/>
          </w:tcPr>
          <w:p>
            <w:pPr>
              <w:pStyle w:val="TableContents"/>
              <w:spacing w:before="0" w:after="283"/>
              <w:rPr/>
            </w:pPr>
            <w:r>
              <w:rPr/>
              <w:t>    </w:t>
            </w:r>
          </w:p>
        </w:tc>
        <w:tc>
          <w:tcPr>
            <w:tcW w:w="8757" w:type="dxa"/>
            <w:tcBorders/>
            <w:shd w:fill="auto" w:val="clear"/>
            <w:vAlign w:val="bottom"/>
          </w:tcPr>
          <w:p>
            <w:pPr>
              <w:pStyle w:val="TableContents"/>
              <w:spacing w:before="0" w:after="0"/>
              <w:jc w:val="center"/>
              <w:rPr>
                <w:rFonts w:ascii="Times New Roman" w:hAnsi="Times New Roman"/>
                <w:sz w:val="20"/>
              </w:rPr>
            </w:pPr>
            <w:r>
              <w:rPr>
                <w:rFonts w:ascii="Times New Roman" w:hAnsi="Times New Roman"/>
                <w:sz w:val="20"/>
              </w:rPr>
              <w:t>Seal:</w:t>
            </w:r>
          </w:p>
          <w:p>
            <w:pPr>
              <w:pStyle w:val="TableContents"/>
              <w:spacing w:before="0" w:after="0"/>
              <w:jc w:val="center"/>
              <w:rPr>
                <w:rFonts w:ascii="Times New Roman" w:hAnsi="Times New Roman"/>
                <w:sz w:val="20"/>
              </w:rPr>
            </w:pPr>
            <w:r>
              <w:rPr>
                <w:rFonts w:ascii="Times New Roman" w:hAnsi="Times New Roman"/>
                <w:sz w:val="20"/>
              </w:rPr>
              <w:t>[HEADHUNTER LIMITED LIABILITY COMPANY, INN (Taxpayer</w:t>
            </w:r>
          </w:p>
          <w:p>
            <w:pPr>
              <w:pStyle w:val="TableContents"/>
              <w:spacing w:before="0" w:after="0"/>
              <w:jc w:val="center"/>
              <w:rPr>
                <w:rFonts w:ascii="Times New Roman" w:hAnsi="Times New Roman"/>
                <w:sz w:val="20"/>
              </w:rPr>
            </w:pPr>
            <w:r>
              <w:rPr>
                <w:rFonts w:ascii="Times New Roman" w:hAnsi="Times New Roman"/>
                <w:sz w:val="20"/>
              </w:rPr>
              <w:t>Identification Number) 7718620740</w:t>
            </w:r>
          </w:p>
          <w:p>
            <w:pPr>
              <w:pStyle w:val="TableContents"/>
              <w:spacing w:before="0" w:after="20"/>
              <w:jc w:val="center"/>
              <w:rPr>
                <w:rFonts w:ascii="Times New Roman" w:hAnsi="Times New Roman"/>
                <w:sz w:val="20"/>
              </w:rPr>
            </w:pPr>
            <w:r>
              <w:rPr>
                <w:rFonts w:ascii="Times New Roman" w:hAnsi="Times New Roman"/>
                <w:sz w:val="20"/>
              </w:rPr>
              <w:t>hh]</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In accordance with Article 371 of the Civil Code, the consent to the amendments to the Guarantee is granted by: </w:t>
      </w:r>
    </w:p>
    <w:p>
      <w:pPr>
        <w:pStyle w:val="TextBody"/>
        <w:spacing w:before="240" w:after="0"/>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3"/>
        <w:gridCol w:w="317"/>
        <w:gridCol w:w="8995"/>
      </w:tblGrid>
      <w:tr>
        <w:trPr/>
        <w:tc>
          <w:tcPr>
            <w:tcW w:w="893" w:type="dxa"/>
            <w:tcBorders/>
            <w:shd w:fill="auto" w:val="clear"/>
            <w:vAlign w:val="center"/>
          </w:tcPr>
          <w:p>
            <w:pPr>
              <w:pStyle w:val="TableContents"/>
              <w:spacing w:before="0" w:after="283"/>
              <w:rPr>
                <w:sz w:val="4"/>
                <w:szCs w:val="4"/>
              </w:rPr>
            </w:pPr>
            <w:r>
              <w:rPr>
                <w:sz w:val="4"/>
                <w:szCs w:val="4"/>
              </w:rPr>
            </w:r>
          </w:p>
        </w:tc>
        <w:tc>
          <w:tcPr>
            <w:tcW w:w="317" w:type="dxa"/>
            <w:tcBorders/>
            <w:shd w:fill="auto" w:val="clear"/>
            <w:vAlign w:val="bottom"/>
          </w:tcPr>
          <w:p>
            <w:pPr>
              <w:pStyle w:val="TableContents"/>
              <w:spacing w:before="0" w:after="283"/>
              <w:rPr>
                <w:sz w:val="4"/>
                <w:szCs w:val="4"/>
              </w:rPr>
            </w:pPr>
            <w:r>
              <w:rPr>
                <w:sz w:val="4"/>
                <w:szCs w:val="4"/>
              </w:rPr>
            </w:r>
          </w:p>
        </w:tc>
        <w:tc>
          <w:tcPr>
            <w:tcW w:w="8995" w:type="dxa"/>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Signature: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i/>
              </w:rPr>
            </w:pPr>
            <w:r>
              <w:rPr>
                <w:i/>
              </w:rPr>
              <w:t>/signature/</w:t>
            </w:r>
          </w:p>
        </w:tc>
      </w:tr>
      <w:tr>
        <w:trPr>
          <w:trHeight w:val="24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Full name:</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Vitaly Nikolaevich Buzoverya</w:t>
            </w:r>
          </w:p>
        </w:tc>
      </w:tr>
      <w:tr>
        <w:trPr>
          <w:trHeight w:val="240" w:hRule="atLeast"/>
        </w:trPr>
        <w:tc>
          <w:tcPr>
            <w:tcW w:w="893" w:type="dxa"/>
            <w:tcBorders/>
            <w:shd w:fill="auto" w:val="clear"/>
            <w:vAlign w:val="center"/>
          </w:tcPr>
          <w:p>
            <w:pPr>
              <w:pStyle w:val="TableContents"/>
              <w:spacing w:before="0" w:after="283"/>
              <w:rPr>
                <w:sz w:val="4"/>
                <w:szCs w:val="4"/>
              </w:rPr>
            </w:pPr>
            <w:r>
              <w:rPr>
                <w:sz w:val="4"/>
                <w:szCs w:val="4"/>
              </w:rPr>
            </w:r>
          </w:p>
        </w:tc>
        <w:tc>
          <w:tcPr>
            <w:tcW w:w="9312" w:type="dxa"/>
            <w:gridSpan w:val="2"/>
            <w:tcBorders/>
            <w:shd w:fill="auto" w:val="clear"/>
            <w:vAlign w:val="center"/>
          </w:tcPr>
          <w:p>
            <w:pPr>
              <w:pStyle w:val="TableContents"/>
              <w:spacing w:before="0" w:after="283"/>
              <w:rPr>
                <w:sz w:val="4"/>
                <w:szCs w:val="4"/>
              </w:rPr>
            </w:pPr>
            <w:r>
              <w:rPr>
                <w:sz w:val="4"/>
                <w:szCs w:val="4"/>
              </w:rPr>
            </w:r>
          </w:p>
        </w:tc>
      </w:tr>
      <w:tr>
        <w:trPr/>
        <w:tc>
          <w:tcPr>
            <w:tcW w:w="893" w:type="dxa"/>
            <w:tcBorders/>
            <w:shd w:fill="auto" w:val="clear"/>
            <w:vAlign w:val="bottom"/>
          </w:tcPr>
          <w:p>
            <w:pPr>
              <w:pStyle w:val="TableContents"/>
              <w:spacing w:before="0" w:after="283"/>
              <w:rPr/>
            </w:pPr>
            <w:r>
              <w:rPr/>
              <w:t>Position:</w:t>
            </w:r>
          </w:p>
        </w:tc>
        <w:tc>
          <w:tcPr>
            <w:tcW w:w="317" w:type="dxa"/>
            <w:tcBorders/>
            <w:shd w:fill="auto" w:val="clear"/>
            <w:vAlign w:val="bottom"/>
          </w:tcPr>
          <w:p>
            <w:pPr>
              <w:pStyle w:val="TableContents"/>
              <w:spacing w:before="0" w:after="283"/>
              <w:rPr/>
            </w:pPr>
            <w:r>
              <w:rPr/>
              <w:t>  </w:t>
            </w:r>
          </w:p>
        </w:tc>
        <w:tc>
          <w:tcPr>
            <w:tcW w:w="8995" w:type="dxa"/>
            <w:tcBorders/>
            <w:shd w:fill="auto" w:val="clear"/>
            <w:vAlign w:val="bottom"/>
          </w:tcPr>
          <w:p>
            <w:pPr>
              <w:pStyle w:val="TableContents"/>
              <w:spacing w:before="0" w:after="283"/>
              <w:rPr/>
            </w:pPr>
            <w:r>
              <w:rPr/>
              <w:t>Attorney-in-Fact</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The following signatory agrees with the terms and conditions of the Amendments: </w:t>
      </w:r>
    </w:p>
    <w:p>
      <w:pPr>
        <w:pStyle w:val="TextBody"/>
        <w:spacing w:before="240" w:after="0"/>
        <w:rPr>
          <w:rFonts w:ascii="Times New Roman" w:hAnsi="Times New Roman"/>
          <w:b/>
          <w:sz w:val="20"/>
        </w:rPr>
      </w:pPr>
      <w:r>
        <w:rPr>
          <w:rFonts w:ascii="Times New Roman" w:hAnsi="Times New Roman"/>
          <w:b/>
          <w:sz w:val="20"/>
        </w:rPr>
        <w:t xml:space="preserve">ZEMENIK LIMITED LIABILITY COMPANY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891"/>
        <w:gridCol w:w="318"/>
        <w:gridCol w:w="8996"/>
      </w:tblGrid>
      <w:tr>
        <w:trPr/>
        <w:tc>
          <w:tcPr>
            <w:tcW w:w="891" w:type="dxa"/>
            <w:tcBorders/>
            <w:shd w:fill="auto" w:val="clear"/>
            <w:vAlign w:val="center"/>
          </w:tcPr>
          <w:p>
            <w:pPr>
              <w:pStyle w:val="TableContents"/>
              <w:spacing w:before="0" w:after="283"/>
              <w:rPr>
                <w:sz w:val="4"/>
                <w:szCs w:val="4"/>
              </w:rPr>
            </w:pPr>
            <w:r>
              <w:rPr>
                <w:sz w:val="4"/>
                <w:szCs w:val="4"/>
              </w:rPr>
            </w:r>
          </w:p>
        </w:tc>
        <w:tc>
          <w:tcPr>
            <w:tcW w:w="318" w:type="dxa"/>
            <w:tcBorders/>
            <w:shd w:fill="auto" w:val="clear"/>
            <w:vAlign w:val="bottom"/>
          </w:tcPr>
          <w:p>
            <w:pPr>
              <w:pStyle w:val="TableContents"/>
              <w:spacing w:before="0" w:after="283"/>
              <w:rPr>
                <w:sz w:val="4"/>
                <w:szCs w:val="4"/>
              </w:rPr>
            </w:pPr>
            <w:r>
              <w:rPr>
                <w:sz w:val="4"/>
                <w:szCs w:val="4"/>
              </w:rPr>
            </w:r>
          </w:p>
        </w:tc>
        <w:tc>
          <w:tcPr>
            <w:tcW w:w="8996" w:type="dxa"/>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Signature: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i/>
              </w:rPr>
            </w:pPr>
            <w:r>
              <w:rPr>
                <w:i/>
              </w:rPr>
              <w:t>/signature/</w:t>
            </w:r>
          </w:p>
        </w:tc>
      </w:tr>
      <w:tr>
        <w:trPr>
          <w:trHeight w:val="24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Full name:</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Karen Eduardovich Agayan</w:t>
            </w:r>
          </w:p>
        </w:tc>
      </w:tr>
      <w:tr>
        <w:trPr>
          <w:trHeight w:val="240" w:hRule="atLeast"/>
        </w:trPr>
        <w:tc>
          <w:tcPr>
            <w:tcW w:w="891" w:type="dxa"/>
            <w:tcBorders/>
            <w:shd w:fill="auto" w:val="clear"/>
            <w:vAlign w:val="center"/>
          </w:tcPr>
          <w:p>
            <w:pPr>
              <w:pStyle w:val="TableContents"/>
              <w:spacing w:before="0" w:after="283"/>
              <w:rPr>
                <w:sz w:val="4"/>
                <w:szCs w:val="4"/>
              </w:rPr>
            </w:pPr>
            <w:r>
              <w:rPr>
                <w:sz w:val="4"/>
                <w:szCs w:val="4"/>
              </w:rPr>
            </w:r>
          </w:p>
        </w:tc>
        <w:tc>
          <w:tcPr>
            <w:tcW w:w="9314" w:type="dxa"/>
            <w:gridSpan w:val="2"/>
            <w:tcBorders/>
            <w:shd w:fill="auto" w:val="clear"/>
            <w:vAlign w:val="center"/>
          </w:tcPr>
          <w:p>
            <w:pPr>
              <w:pStyle w:val="TableContents"/>
              <w:spacing w:before="0" w:after="283"/>
              <w:rPr>
                <w:sz w:val="4"/>
                <w:szCs w:val="4"/>
              </w:rPr>
            </w:pPr>
            <w:r>
              <w:rPr>
                <w:sz w:val="4"/>
                <w:szCs w:val="4"/>
              </w:rPr>
            </w:r>
          </w:p>
        </w:tc>
      </w:tr>
      <w:tr>
        <w:trPr/>
        <w:tc>
          <w:tcPr>
            <w:tcW w:w="891" w:type="dxa"/>
            <w:tcBorders/>
            <w:shd w:fill="auto" w:val="clear"/>
            <w:vAlign w:val="bottom"/>
          </w:tcPr>
          <w:p>
            <w:pPr>
              <w:pStyle w:val="TableContents"/>
              <w:spacing w:before="0" w:after="283"/>
              <w:rPr/>
            </w:pPr>
            <w:r>
              <w:rPr/>
              <w:t>Position:</w:t>
            </w:r>
          </w:p>
        </w:tc>
        <w:tc>
          <w:tcPr>
            <w:tcW w:w="318" w:type="dxa"/>
            <w:tcBorders/>
            <w:shd w:fill="auto" w:val="clear"/>
            <w:vAlign w:val="bottom"/>
          </w:tcPr>
          <w:p>
            <w:pPr>
              <w:pStyle w:val="TableContents"/>
              <w:spacing w:before="0" w:after="283"/>
              <w:rPr/>
            </w:pPr>
            <w:r>
              <w:rPr/>
              <w:t>  </w:t>
            </w:r>
          </w:p>
        </w:tc>
        <w:tc>
          <w:tcPr>
            <w:tcW w:w="8996" w:type="dxa"/>
            <w:tcBorders/>
            <w:shd w:fill="auto" w:val="clear"/>
            <w:vAlign w:val="bottom"/>
          </w:tcPr>
          <w:p>
            <w:pPr>
              <w:pStyle w:val="TableContents"/>
              <w:spacing w:before="0" w:after="283"/>
              <w:rPr/>
            </w:pPr>
            <w:r>
              <w:rPr/>
              <w:t>General Director</w:t>
            </w:r>
          </w:p>
        </w:tc>
      </w:tr>
    </w:tbl>
    <w:p>
      <w:pPr>
        <w:pStyle w:val="TextBody"/>
        <w:spacing w:before="48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7714373561 </w:t>
      </w:r>
    </w:p>
    <w:p>
      <w:pPr>
        <w:pStyle w:val="TextBody"/>
        <w:spacing w:before="0" w:after="0"/>
        <w:jc w:val="center"/>
        <w:rPr>
          <w:rFonts w:ascii="Times New Roman" w:hAnsi="Times New Roman"/>
          <w:sz w:val="20"/>
        </w:rPr>
      </w:pPr>
      <w:r>
        <w:rPr>
          <w:rFonts w:ascii="Times New Roman" w:hAnsi="Times New Roman"/>
          <w:sz w:val="20"/>
        </w:rPr>
        <w:t xml:space="preserve">LIMITED LIABILITY COMPANY </w:t>
      </w:r>
    </w:p>
    <w:p>
      <w:pPr>
        <w:pStyle w:val="TextBody"/>
        <w:spacing w:before="0" w:after="0"/>
        <w:jc w:val="center"/>
        <w:rPr>
          <w:rFonts w:ascii="Times New Roman" w:hAnsi="Times New Roman"/>
          <w:sz w:val="20"/>
        </w:rPr>
      </w:pPr>
      <w:r>
        <w:rPr>
          <w:rFonts w:ascii="Times New Roman" w:hAnsi="Times New Roman"/>
          <w:sz w:val="20"/>
        </w:rPr>
        <w:t xml:space="preserve">OGRN (Primary State Registration Number) 1167746153860 </w:t>
      </w:r>
    </w:p>
    <w:p>
      <w:pPr>
        <w:pStyle w:val="TextBody"/>
        <w:spacing w:before="0" w:after="0"/>
        <w:jc w:val="center"/>
        <w:rPr>
          <w:rFonts w:ascii="Times New Roman" w:hAnsi="Times New Roman"/>
          <w:sz w:val="20"/>
        </w:rPr>
      </w:pPr>
      <w:r>
        <w:rPr>
          <w:rFonts w:ascii="Times New Roman" w:hAnsi="Times New Roman"/>
          <w:sz w:val="20"/>
        </w:rPr>
        <w:t xml:space="preserve">MOSCOW </w:t>
      </w:r>
    </w:p>
    <w:p>
      <w:pPr>
        <w:pStyle w:val="TextBody"/>
        <w:spacing w:before="0" w:after="0"/>
        <w:jc w:val="center"/>
        <w:rPr>
          <w:rFonts w:ascii="Times New Roman" w:hAnsi="Times New Roman"/>
          <w:sz w:val="20"/>
        </w:rPr>
      </w:pPr>
      <w:r>
        <w:rPr>
          <w:rFonts w:ascii="Times New Roman" w:hAnsi="Times New Roman"/>
          <w:sz w:val="20"/>
        </w:rPr>
        <w:t xml:space="preserve">Zemenik]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713"/>
        <w:gridCol w:w="9491"/>
      </w:tblGrid>
      <w:tr>
        <w:trPr/>
        <w:tc>
          <w:tcPr>
            <w:tcW w:w="713" w:type="dxa"/>
            <w:tcBorders/>
            <w:shd w:fill="auto" w:val="clear"/>
          </w:tcPr>
          <w:p>
            <w:pPr>
              <w:pStyle w:val="TableContents"/>
              <w:spacing w:before="0" w:after="283"/>
              <w:jc w:val="left"/>
              <w:rPr/>
            </w:pPr>
            <w:r>
              <w:rPr/>
              <w:t>From:</w:t>
            </w:r>
          </w:p>
        </w:tc>
        <w:tc>
          <w:tcPr>
            <w:tcW w:w="9491" w:type="dxa"/>
            <w:tcBorders/>
            <w:shd w:fill="auto" w:val="clear"/>
          </w:tcPr>
          <w:p>
            <w:pPr>
              <w:pStyle w:val="TableContents"/>
              <w:spacing w:before="0" w:after="283"/>
              <w:jc w:val="left"/>
              <w:rPr/>
            </w:pPr>
            <w:r>
              <w:rPr>
                <w:b/>
              </w:rPr>
              <w:t>Headhunter LLC</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Primary State Registration Number (OGRN): 1067761906805 </w:t>
      </w:r>
    </w:p>
    <w:p>
      <w:pPr>
        <w:pStyle w:val="TextBody"/>
        <w:spacing w:before="120" w:after="0"/>
        <w:rPr>
          <w:rFonts w:ascii="Times New Roman" w:hAnsi="Times New Roman"/>
          <w:sz w:val="20"/>
        </w:rPr>
      </w:pPr>
      <w:r>
        <w:rPr>
          <w:rFonts w:ascii="Times New Roman" w:hAnsi="Times New Roman"/>
          <w:sz w:val="20"/>
        </w:rPr>
        <w:t xml:space="preserve">9 Godovikova Street, Building 10, Moscow, Russian Federation </w:t>
      </w:r>
    </w:p>
    <w:p>
      <w:pPr>
        <w:pStyle w:val="TextBody"/>
        <w:spacing w:before="120" w:after="0"/>
        <w:rPr>
          <w:rFonts w:ascii="Times New Roman" w:hAnsi="Times New Roman"/>
          <w:sz w:val="20"/>
        </w:rPr>
      </w:pP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To:</w:t>
            </w:r>
          </w:p>
        </w:tc>
        <w:tc>
          <w:tcPr>
            <w:tcW w:w="9492" w:type="dxa"/>
            <w:tcBorders/>
            <w:shd w:fill="auto" w:val="clear"/>
          </w:tcPr>
          <w:p>
            <w:pPr>
              <w:pStyle w:val="TableContents"/>
              <w:spacing w:before="0" w:after="283"/>
              <w:jc w:val="left"/>
              <w:rPr/>
            </w:pPr>
            <w:r>
              <w:rPr>
                <w:b/>
              </w:rPr>
              <w:t>VTB BANK (PJSC)</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Primary State Registration Number (OGRN): 1027739609391 </w:t>
      </w:r>
    </w:p>
    <w:p>
      <w:pPr>
        <w:pStyle w:val="TextBody"/>
        <w:spacing w:before="120" w:after="0"/>
        <w:rPr>
          <w:rFonts w:ascii="Times New Roman" w:hAnsi="Times New Roman"/>
          <w:sz w:val="20"/>
        </w:rPr>
      </w:pPr>
      <w:r>
        <w:rPr>
          <w:rFonts w:ascii="Times New Roman" w:hAnsi="Times New Roman"/>
          <w:sz w:val="20"/>
        </w:rPr>
        <w:t xml:space="preserve">Bolshaya Morskaya Street, 29, Saint-Petersburg, Russian Federation, 190000 </w:t>
      </w:r>
    </w:p>
    <w:p>
      <w:pPr>
        <w:pStyle w:val="TextBody"/>
        <w:spacing w:before="120" w:after="0"/>
        <w:rPr>
          <w:rFonts w:ascii="Times New Roman" w:hAnsi="Times New Roman"/>
          <w:sz w:val="20"/>
        </w:rPr>
      </w:pPr>
      <w:r>
        <w:rPr>
          <w:rFonts w:ascii="Times New Roman" w:hAnsi="Times New Roman"/>
          <w:sz w:val="20"/>
        </w:rPr>
        <w:t>(the “</w:t>
      </w:r>
      <w:r>
        <w:rPr>
          <w:rFonts w:ascii="Times New Roman" w:hAnsi="Times New Roman"/>
          <w:b/>
          <w:sz w:val="20"/>
        </w:rPr>
        <w:t>Bank</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29 December 2017 </w:t>
      </w:r>
    </w:p>
    <w:p>
      <w:pPr>
        <w:pStyle w:val="TextBody"/>
        <w:spacing w:before="480" w:after="0"/>
        <w:jc w:val="center"/>
        <w:rPr>
          <w:rFonts w:ascii="Times New Roman" w:hAnsi="Times New Roman"/>
          <w:b/>
          <w:sz w:val="20"/>
        </w:rPr>
      </w:pPr>
      <w:r>
        <w:rPr>
          <w:rFonts w:ascii="Times New Roman" w:hAnsi="Times New Roman"/>
          <w:b/>
          <w:sz w:val="20"/>
        </w:rPr>
        <w:t xml:space="preserve">LETTER OF CONSENT </w:t>
      </w:r>
    </w:p>
    <w:p>
      <w:pPr>
        <w:pStyle w:val="TextBody"/>
        <w:spacing w:before="240" w:after="0"/>
        <w:jc w:val="center"/>
        <w:rPr>
          <w:rFonts w:ascii="Times New Roman" w:hAnsi="Times New Roman"/>
          <w:b/>
          <w:sz w:val="20"/>
        </w:rPr>
      </w:pPr>
      <w:r>
        <w:rPr>
          <w:rFonts w:ascii="Times New Roman" w:hAnsi="Times New Roman"/>
          <w:b/>
          <w:sz w:val="20"/>
        </w:rPr>
        <w:t xml:space="preserve">in relation to the independent guarantee dated 16 May 2016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0"/>
        <w:gridCol w:w="9494"/>
      </w:tblGrid>
      <w:tr>
        <w:trPr/>
        <w:tc>
          <w:tcPr>
            <w:tcW w:w="710" w:type="dxa"/>
            <w:tcBorders/>
            <w:shd w:fill="auto" w:val="clear"/>
          </w:tcPr>
          <w:p>
            <w:pPr>
              <w:pStyle w:val="TableContents"/>
              <w:spacing w:before="0" w:after="283"/>
              <w:jc w:val="left"/>
              <w:rPr/>
            </w:pPr>
            <w:r>
              <w:rPr/>
              <w:t>1.</w:t>
            </w:r>
          </w:p>
        </w:tc>
        <w:tc>
          <w:tcPr>
            <w:tcW w:w="9494" w:type="dxa"/>
            <w:tcBorders/>
            <w:shd w:fill="auto" w:val="clear"/>
          </w:tcPr>
          <w:p>
            <w:pPr>
              <w:pStyle w:val="TableContents"/>
              <w:spacing w:before="0" w:after="283"/>
              <w:jc w:val="left"/>
              <w:rPr/>
            </w:pPr>
            <w:r>
              <w:rPr>
                <w:b/>
              </w:rPr>
              <w:t>GENERAL PROVISIONS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1.1</w:t>
            </w:r>
          </w:p>
        </w:tc>
        <w:tc>
          <w:tcPr>
            <w:tcW w:w="9492" w:type="dxa"/>
            <w:tcBorders/>
            <w:shd w:fill="auto" w:val="clear"/>
          </w:tcPr>
          <w:p>
            <w:pPr>
              <w:pStyle w:val="TableContents"/>
              <w:spacing w:before="0" w:after="283"/>
              <w:jc w:val="left"/>
              <w:rPr/>
            </w:pPr>
            <w:r>
              <w:rPr/>
              <w:t xml:space="preserve">This letter is sent in connection with the following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1.1.1</w:t>
            </w:r>
          </w:p>
        </w:tc>
        <w:tc>
          <w:tcPr>
            <w:tcW w:w="8676" w:type="dxa"/>
            <w:tcBorders/>
            <w:shd w:fill="auto" w:val="clear"/>
          </w:tcPr>
          <w:p>
            <w:pPr>
              <w:pStyle w:val="TableContents"/>
              <w:spacing w:before="0" w:after="283"/>
              <w:jc w:val="left"/>
              <w:rPr/>
            </w:pPr>
            <w:r>
              <w:rPr/>
              <w:t>agreement on provision of a syndicated facility in the amount of 7,000,000,000 roubles dated 16 May 2016 (the “</w:t>
            </w:r>
            <w:r>
              <w:rPr>
                <w:b/>
              </w:rPr>
              <w:t>Facility Agreement”</w:t>
            </w:r>
            <w:r>
              <w:rPr/>
              <w:t>) made between the Bank as the arranger, facility agent and original lender and LLC Zemenik as the borrower (the “</w:t>
            </w:r>
            <w:r>
              <w:rPr>
                <w:b/>
              </w:rPr>
              <w:t>Borrower”</w:t>
            </w:r>
            <w:r>
              <w:rPr/>
              <w:t>), as amended by amendment agreement No. 1 dated 14 December 2016, amendment agreement No. 2 dated 28 June 2017, amendment agreement No. 3 dated 5 October 2017 and amendment agreement No. 4 dated 29 December 2017 (“</w:t>
            </w:r>
            <w:r>
              <w:rPr>
                <w:b/>
              </w:rPr>
              <w:t>Amendment Agreement No.</w:t>
            </w:r>
            <w:r>
              <w:rPr/>
              <w:t> </w:t>
            </w:r>
            <w:r>
              <w:rPr>
                <w:b/>
              </w:rPr>
              <w:t>4”</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6"/>
        <w:gridCol w:w="8675"/>
      </w:tblGrid>
      <w:tr>
        <w:trPr/>
        <w:tc>
          <w:tcPr>
            <w:tcW w:w="713"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1.1.2</w:t>
            </w:r>
          </w:p>
        </w:tc>
        <w:tc>
          <w:tcPr>
            <w:tcW w:w="8675" w:type="dxa"/>
            <w:tcBorders/>
            <w:shd w:fill="auto" w:val="clear"/>
          </w:tcPr>
          <w:p>
            <w:pPr>
              <w:pStyle w:val="TableContents"/>
              <w:spacing w:before="0" w:after="283"/>
              <w:jc w:val="left"/>
              <w:rPr/>
            </w:pPr>
            <w:r>
              <w:rPr/>
              <w:t>independent guarantee dated 16 May 2016 (the “</w:t>
            </w:r>
            <w:r>
              <w:rPr>
                <w:b/>
              </w:rPr>
              <w:t>Independent Guarantee</w:t>
            </w:r>
            <w:r>
              <w:rPr/>
              <w:t xml:space="preserve">”) issued by the Company in favour of the Bank, subject to amendments No. 1 dated 5 October 2017.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2.</w:t>
            </w:r>
          </w:p>
        </w:tc>
        <w:tc>
          <w:tcPr>
            <w:tcW w:w="9492" w:type="dxa"/>
            <w:tcBorders/>
            <w:shd w:fill="auto" w:val="clear"/>
          </w:tcPr>
          <w:p>
            <w:pPr>
              <w:pStyle w:val="TableContents"/>
              <w:spacing w:before="0" w:after="283"/>
              <w:jc w:val="left"/>
              <w:rPr/>
            </w:pPr>
            <w:r>
              <w:rPr>
                <w:b/>
              </w:rPr>
              <w:t>CONSENTS AND CONFIRMATIONS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2.1</w:t>
            </w:r>
          </w:p>
        </w:tc>
        <w:tc>
          <w:tcPr>
            <w:tcW w:w="9492" w:type="dxa"/>
            <w:tcBorders/>
            <w:shd w:fill="auto" w:val="clear"/>
          </w:tcPr>
          <w:p>
            <w:pPr>
              <w:pStyle w:val="TableContents"/>
              <w:spacing w:before="0" w:after="283"/>
              <w:jc w:val="left"/>
              <w:rPr/>
            </w:pPr>
            <w:r>
              <w:rPr/>
              <w:t xml:space="preserve">Hereby we agree and confirm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2.1.1</w:t>
            </w:r>
          </w:p>
        </w:tc>
        <w:tc>
          <w:tcPr>
            <w:tcW w:w="8676" w:type="dxa"/>
            <w:tcBorders/>
            <w:shd w:fill="auto" w:val="clear"/>
          </w:tcPr>
          <w:p>
            <w:pPr>
              <w:pStyle w:val="TableContents"/>
              <w:spacing w:before="0" w:after="283"/>
              <w:jc w:val="left"/>
              <w:rPr/>
            </w:pPr>
            <w:r>
              <w:rPr/>
              <w:t xml:space="preserve">we are aware of all the terms and conditions of Amendment Agreement No. 4, have no objections as to the content thereof, agree to execution thereof by the parties and are not entitled to refer to the fact that we were not aware of the terms and conditions of Amendment Agreement No. 4;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816"/>
        <w:gridCol w:w="8674"/>
      </w:tblGrid>
      <w:tr>
        <w:trPr/>
        <w:tc>
          <w:tcPr>
            <w:tcW w:w="714"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2.1.2</w:t>
            </w:r>
          </w:p>
        </w:tc>
        <w:tc>
          <w:tcPr>
            <w:tcW w:w="8674" w:type="dxa"/>
            <w:tcBorders/>
            <w:shd w:fill="auto" w:val="clear"/>
          </w:tcPr>
          <w:p>
            <w:pPr>
              <w:pStyle w:val="TableContents"/>
              <w:spacing w:before="0" w:after="283"/>
              <w:jc w:val="left"/>
              <w:rPr/>
            </w:pPr>
            <w:r>
              <w:rPr/>
              <w:t xml:space="preserve">the Independent Guarantee continues to secure the Borrower’s obligations under the Facility Agreement in full, subject to consents, amendments and supplements provided or made by Amendment Agreement No. 4;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816"/>
        <w:gridCol w:w="8674"/>
      </w:tblGrid>
      <w:tr>
        <w:trPr/>
        <w:tc>
          <w:tcPr>
            <w:tcW w:w="714"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2.1.3</w:t>
            </w:r>
          </w:p>
        </w:tc>
        <w:tc>
          <w:tcPr>
            <w:tcW w:w="8674" w:type="dxa"/>
            <w:tcBorders/>
            <w:shd w:fill="auto" w:val="clear"/>
          </w:tcPr>
          <w:p>
            <w:pPr>
              <w:pStyle w:val="TableContents"/>
              <w:spacing w:before="0" w:after="283"/>
              <w:jc w:val="left"/>
              <w:rPr/>
            </w:pPr>
            <w:r>
              <w:rPr/>
              <w:t xml:space="preserve">the Independent Guarantee is effective, has full legal force and effect and we continue to duly perform the obligations under the Independent Guarantee in accordance with the terms and conditions thereof.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9490"/>
      </w:tblGrid>
      <w:tr>
        <w:trPr/>
        <w:tc>
          <w:tcPr>
            <w:tcW w:w="714" w:type="dxa"/>
            <w:tcBorders/>
            <w:shd w:fill="auto" w:val="clear"/>
          </w:tcPr>
          <w:p>
            <w:pPr>
              <w:pStyle w:val="TableContents"/>
              <w:spacing w:before="0" w:after="283"/>
              <w:jc w:val="left"/>
              <w:rPr/>
            </w:pPr>
            <w:r>
              <w:rPr/>
              <w:t>3.</w:t>
            </w:r>
          </w:p>
        </w:tc>
        <w:tc>
          <w:tcPr>
            <w:tcW w:w="9490" w:type="dxa"/>
            <w:tcBorders/>
            <w:shd w:fill="auto" w:val="clear"/>
          </w:tcPr>
          <w:p>
            <w:pPr>
              <w:pStyle w:val="TableContents"/>
              <w:spacing w:before="0" w:after="283"/>
              <w:jc w:val="left"/>
              <w:rPr/>
            </w:pPr>
            <w:r>
              <w:rPr>
                <w:b/>
              </w:rPr>
              <w:t>GOVERNING LAW AND DISPUTES RESOLUTION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9491"/>
      </w:tblGrid>
      <w:tr>
        <w:trPr/>
        <w:tc>
          <w:tcPr>
            <w:tcW w:w="713" w:type="dxa"/>
            <w:tcBorders/>
            <w:shd w:fill="auto" w:val="clear"/>
          </w:tcPr>
          <w:p>
            <w:pPr>
              <w:pStyle w:val="TableContents"/>
              <w:spacing w:before="0" w:after="283"/>
              <w:jc w:val="left"/>
              <w:rPr/>
            </w:pPr>
            <w:r>
              <w:rPr/>
              <w:t>3.1</w:t>
            </w:r>
          </w:p>
        </w:tc>
        <w:tc>
          <w:tcPr>
            <w:tcW w:w="9491" w:type="dxa"/>
            <w:tcBorders/>
            <w:shd w:fill="auto" w:val="clear"/>
          </w:tcPr>
          <w:p>
            <w:pPr>
              <w:pStyle w:val="TableContents"/>
              <w:spacing w:before="0" w:after="283"/>
              <w:jc w:val="left"/>
              <w:rPr/>
            </w:pPr>
            <w:r>
              <w:rPr/>
              <w:t xml:space="preserve">This letter of consent shall be governed by and construed in accordance with the laws of the Russian Federation.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3.2</w:t>
            </w:r>
          </w:p>
        </w:tc>
        <w:tc>
          <w:tcPr>
            <w:tcW w:w="9492" w:type="dxa"/>
            <w:tcBorders/>
            <w:shd w:fill="auto" w:val="clear"/>
          </w:tcPr>
          <w:p>
            <w:pPr>
              <w:pStyle w:val="TableContents"/>
              <w:spacing w:before="0" w:after="283"/>
              <w:jc w:val="left"/>
              <w:rPr/>
            </w:pPr>
            <w:r>
              <w:rPr/>
              <w:t xml:space="preserve">In case of any dispute in connection with this letter of consent, such dispute shall be reviewed by the Moscow City Arbitrazh Court. </w:t>
            </w:r>
          </w:p>
        </w:tc>
      </w:tr>
    </w:tbl>
    <w:p>
      <w:pPr>
        <w:pStyle w:val="TextBody"/>
        <w:spacing w:before="240" w:after="0"/>
        <w:rPr>
          <w:rFonts w:ascii="Times New Roman" w:hAnsi="Times New Roman"/>
          <w:sz w:val="20"/>
        </w:rPr>
      </w:pPr>
      <w:r>
        <w:rPr>
          <w:rFonts w:ascii="Times New Roman" w:hAnsi="Times New Roman"/>
          <w:sz w:val="20"/>
        </w:rPr>
        <w:t xml:space="preserve">Yours faithfully, </w:t>
      </w:r>
    </w:p>
    <w:p>
      <w:pPr>
        <w:pStyle w:val="TextBody"/>
        <w:spacing w:before="360" w:after="0"/>
        <w:rPr>
          <w:rFonts w:ascii="Times New Roman" w:hAnsi="Times New Roman"/>
          <w:b/>
          <w:sz w:val="20"/>
        </w:rPr>
      </w:pPr>
      <w:r>
        <w:rPr>
          <w:rFonts w:ascii="Times New Roman" w:hAnsi="Times New Roman"/>
          <w:b/>
          <w:sz w:val="20"/>
        </w:rPr>
        <w:t xml:space="preserve">Company </w:t>
      </w:r>
    </w:p>
    <w:p>
      <w:pPr>
        <w:pStyle w:val="TextBody"/>
        <w:spacing w:before="120" w:after="0"/>
        <w:rPr>
          <w:rFonts w:ascii="Times New Roman" w:hAnsi="Times New Roman"/>
          <w:sz w:val="20"/>
        </w:rPr>
      </w:pPr>
      <w:r>
        <w:rPr>
          <w:rFonts w:ascii="Times New Roman" w:hAnsi="Times New Roman"/>
          <w:sz w:val="20"/>
        </w:rPr>
        <w:t xml:space="preserve">For and on behalf of </w:t>
      </w:r>
    </w:p>
    <w:p>
      <w:pPr>
        <w:pStyle w:val="TextBody"/>
        <w:spacing w:before="120" w:after="0"/>
        <w:rPr>
          <w:rFonts w:ascii="Times New Roman" w:hAnsi="Times New Roman"/>
          <w:b/>
          <w:sz w:val="20"/>
        </w:rPr>
      </w:pPr>
      <w:r>
        <w:rPr>
          <w:rFonts w:ascii="Times New Roman" w:hAnsi="Times New Roman"/>
          <w:b/>
          <w:sz w:val="20"/>
        </w:rPr>
        <w:t xml:space="preserve">Headhunter LLC </w:t>
      </w:r>
    </w:p>
    <w:p>
      <w:pPr>
        <w:pStyle w:val="TextBody"/>
        <w:spacing w:before="120" w:after="0"/>
        <w:rPr>
          <w:rFonts w:ascii="Times New Roman" w:hAnsi="Times New Roman"/>
          <w:sz w:val="20"/>
        </w:rPr>
      </w:pPr>
      <w:r>
        <w:rPr>
          <w:rFonts w:ascii="Times New Roman" w:hAnsi="Times New Roman"/>
          <w:sz w:val="20"/>
        </w:rPr>
        <w:t xml:space="preserve">Signature: </w:t>
      </w:r>
    </w:p>
    <w:p>
      <w:pPr>
        <w:pStyle w:val="TextBody"/>
        <w:spacing w:before="120" w:after="0"/>
        <w:rPr>
          <w:rFonts w:ascii="Times New Roman" w:hAnsi="Times New Roman"/>
          <w:sz w:val="20"/>
        </w:rPr>
      </w:pPr>
      <w:r>
        <w:rPr>
          <w:rFonts w:ascii="Times New Roman" w:hAnsi="Times New Roman"/>
          <w:sz w:val="20"/>
        </w:rPr>
        <w:t xml:space="preserve">Surname, name, patronymic: </w:t>
      </w:r>
    </w:p>
    <w:p>
      <w:pPr>
        <w:pStyle w:val="TextBody"/>
        <w:spacing w:before="120" w:after="0"/>
        <w:rPr>
          <w:rFonts w:ascii="Times New Roman" w:hAnsi="Times New Roman"/>
          <w:sz w:val="20"/>
        </w:rPr>
      </w:pPr>
      <w:r>
        <w:rPr>
          <w:rFonts w:ascii="Times New Roman" w:hAnsi="Times New Roman"/>
          <w:sz w:val="20"/>
        </w:rPr>
        <w:t xml:space="preserve">Title: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r>
        <w:br w:type="page"/>
      </w:r>
    </w:p>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5205"/>
        <w:gridCol w:w="202"/>
        <w:gridCol w:w="4797"/>
      </w:tblGrid>
      <w:tr>
        <w:trPr/>
        <w:tc>
          <w:tcPr>
            <w:tcW w:w="5205"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0"/>
              <w:rPr>
                <w:rFonts w:ascii="Times New Roman" w:hAnsi="Times New Roman"/>
                <w:sz w:val="20"/>
              </w:rPr>
            </w:pPr>
            <w:r>
              <w:rPr>
                <w:rFonts w:ascii="Times New Roman" w:hAnsi="Times New Roman"/>
                <w:sz w:val="20"/>
              </w:rPr>
              <w:t>HERBERT</w:t>
            </w:r>
          </w:p>
          <w:p>
            <w:pPr>
              <w:pStyle w:val="TableContents"/>
              <w:spacing w:before="0" w:after="0"/>
              <w:rPr>
                <w:rFonts w:ascii="Times New Roman" w:hAnsi="Times New Roman"/>
                <w:sz w:val="20"/>
              </w:rPr>
            </w:pPr>
            <w:r>
              <w:rPr>
                <w:rFonts w:ascii="Times New Roman" w:hAnsi="Times New Roman"/>
                <w:sz w:val="20"/>
              </w:rPr>
              <w:t>SMITH</w:t>
            </w:r>
          </w:p>
          <w:p>
            <w:pPr>
              <w:pStyle w:val="TableContents"/>
              <w:spacing w:before="0" w:after="20"/>
              <w:rPr>
                <w:rFonts w:ascii="Times New Roman" w:hAnsi="Times New Roman"/>
                <w:sz w:val="20"/>
              </w:rPr>
            </w:pPr>
            <w:r>
              <w:rPr>
                <w:rFonts w:ascii="Times New Roman" w:hAnsi="Times New Roman"/>
                <w:sz w:val="20"/>
              </w:rPr>
              <w:t>FREEHILLS</w:t>
            </w:r>
          </w:p>
        </w:tc>
        <w:tc>
          <w:tcPr>
            <w:tcW w:w="202" w:type="dxa"/>
            <w:tcBorders/>
            <w:shd w:fill="auto" w:val="clear"/>
            <w:vAlign w:val="bottom"/>
          </w:tcPr>
          <w:p>
            <w:pPr>
              <w:pStyle w:val="TableContents"/>
              <w:spacing w:before="0" w:after="283"/>
              <w:rPr/>
            </w:pPr>
            <w:r>
              <w:rPr/>
              <w:t>  </w:t>
            </w:r>
          </w:p>
        </w:tc>
        <w:tc>
          <w:tcPr>
            <w:tcW w:w="4797" w:type="dxa"/>
            <w:tcBorders/>
            <w:shd w:fill="auto" w:val="clear"/>
            <w:vAlign w:val="center"/>
          </w:tcPr>
          <w:p>
            <w:pPr>
              <w:pStyle w:val="TableContents"/>
              <w:spacing w:before="0" w:after="283"/>
              <w:jc w:val="right"/>
              <w:rPr>
                <w:b/>
              </w:rPr>
            </w:pPr>
            <w:r>
              <w:rPr>
                <w:b/>
              </w:rPr>
              <w:t>EXECUTION COPY</w:t>
            </w:r>
          </w:p>
        </w:tc>
      </w:tr>
    </w:tbl>
    <w:p>
      <w:pPr>
        <w:pStyle w:val="TextBody"/>
        <w:spacing w:before="480" w:after="0"/>
        <w:jc w:val="center"/>
        <w:rPr>
          <w:rFonts w:ascii="Times New Roman" w:hAnsi="Times New Roman"/>
          <w:b/>
          <w:sz w:val="20"/>
        </w:rPr>
      </w:pPr>
      <w:r>
        <w:rPr>
          <w:rFonts w:ascii="Times New Roman" w:hAnsi="Times New Roman"/>
          <w:b/>
          <w:sz w:val="20"/>
        </w:rPr>
        <w:t xml:space="preserve">October </w:t>
      </w:r>
      <w:r>
        <w:rPr>
          <w:rFonts w:ascii="Times New Roman" w:hAnsi="Times New Roman"/>
          <w:b/>
          <w:sz w:val="20"/>
          <w:u w:val="single"/>
        </w:rPr>
        <w:t>5</w:t>
      </w:r>
      <w:r>
        <w:rPr>
          <w:rFonts w:ascii="Times New Roman" w:hAnsi="Times New Roman"/>
          <w:b/>
          <w:sz w:val="20"/>
        </w:rPr>
        <w:t xml:space="preserve">, 2017 </w:t>
      </w:r>
    </w:p>
    <w:p>
      <w:pPr>
        <w:pStyle w:val="TextBody"/>
        <w:spacing w:before="240" w:after="0"/>
        <w:jc w:val="center"/>
        <w:rPr>
          <w:rFonts w:ascii="Times New Roman" w:hAnsi="Times New Roman"/>
          <w:b/>
          <w:sz w:val="20"/>
        </w:rPr>
      </w:pPr>
      <w:r>
        <w:rPr>
          <w:rFonts w:ascii="Times New Roman" w:hAnsi="Times New Roman"/>
          <w:b/>
          <w:sz w:val="20"/>
        </w:rPr>
        <w:t xml:space="preserve">LIMITED LIABILITY COMPANY </w:t>
      </w:r>
    </w:p>
    <w:p>
      <w:pPr>
        <w:pStyle w:val="TextBody"/>
        <w:spacing w:before="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sz w:val="20"/>
        </w:rPr>
      </w:pPr>
      <w:r>
        <w:rPr>
          <w:rFonts w:ascii="Times New Roman" w:hAnsi="Times New Roman"/>
          <w:sz w:val="20"/>
        </w:rPr>
        <w:t xml:space="preserve">as a guarantor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0" w:after="0"/>
        <w:jc w:val="center"/>
        <w:rPr>
          <w:rFonts w:ascii="Times New Roman" w:hAnsi="Times New Roman"/>
          <w:sz w:val="20"/>
        </w:rPr>
      </w:pPr>
      <w:r>
        <w:rPr>
          <w:rFonts w:ascii="Times New Roman" w:hAnsi="Times New Roman"/>
          <w:sz w:val="20"/>
        </w:rPr>
        <w:t xml:space="preserve">as a principal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jc w:val="center"/>
        <w:rPr>
          <w:rFonts w:ascii="Times New Roman" w:hAnsi="Times New Roman"/>
          <w:sz w:val="20"/>
        </w:rPr>
      </w:pPr>
      <w:r>
        <w:rPr>
          <w:rFonts w:ascii="Times New Roman" w:hAnsi="Times New Roman"/>
          <w:sz w:val="20"/>
        </w:rPr>
        <w:t xml:space="preserve">as a beneficiary under this Agreement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AMENDMENT AGREEMENT No. 2 </w:t>
      </w:r>
    </w:p>
    <w:p>
      <w:pPr>
        <w:pStyle w:val="TextBody"/>
        <w:spacing w:before="240" w:after="0"/>
        <w:jc w:val="center"/>
        <w:rPr>
          <w:rFonts w:ascii="Times New Roman" w:hAnsi="Times New Roman"/>
          <w:b/>
          <w:sz w:val="20"/>
        </w:rPr>
      </w:pPr>
      <w:r>
        <w:rPr>
          <w:rFonts w:ascii="Times New Roman" w:hAnsi="Times New Roman"/>
          <w:b/>
          <w:sz w:val="20"/>
        </w:rPr>
        <w:t xml:space="preserve">to the Independent Guarantee Issue Agreement dated June 1,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76"/>
        <w:gridCol w:w="125"/>
        <w:gridCol w:w="9227"/>
        <w:gridCol w:w="173"/>
        <w:gridCol w:w="60"/>
        <w:gridCol w:w="380"/>
        <w:gridCol w:w="64"/>
      </w:tblGrid>
      <w:tr>
        <w:trPr/>
        <w:tc>
          <w:tcPr>
            <w:tcW w:w="176" w:type="dxa"/>
            <w:tcBorders/>
            <w:shd w:fill="auto" w:val="clear"/>
            <w:vAlign w:val="center"/>
          </w:tcPr>
          <w:p>
            <w:pPr>
              <w:pStyle w:val="TableContents"/>
              <w:spacing w:before="0" w:after="283"/>
              <w:rPr>
                <w:sz w:val="4"/>
                <w:szCs w:val="4"/>
              </w:rPr>
            </w:pPr>
            <w:r>
              <w:rPr>
                <w:sz w:val="4"/>
                <w:szCs w:val="4"/>
              </w:rPr>
            </w:r>
          </w:p>
        </w:tc>
        <w:tc>
          <w:tcPr>
            <w:tcW w:w="125" w:type="dxa"/>
            <w:tcBorders/>
            <w:shd w:fill="auto" w:val="clear"/>
            <w:vAlign w:val="bottom"/>
          </w:tcPr>
          <w:p>
            <w:pPr>
              <w:pStyle w:val="TableContents"/>
              <w:spacing w:before="0" w:after="283"/>
              <w:rPr>
                <w:sz w:val="4"/>
                <w:szCs w:val="4"/>
              </w:rPr>
            </w:pPr>
            <w:r>
              <w:rPr>
                <w:sz w:val="4"/>
                <w:szCs w:val="4"/>
              </w:rPr>
            </w:r>
          </w:p>
        </w:tc>
        <w:tc>
          <w:tcPr>
            <w:tcW w:w="9227" w:type="dxa"/>
            <w:tcBorders/>
            <w:shd w:fill="auto" w:val="clear"/>
            <w:vAlign w:val="center"/>
          </w:tcPr>
          <w:p>
            <w:pPr>
              <w:pStyle w:val="TableContents"/>
              <w:spacing w:before="0" w:after="283"/>
              <w:rPr>
                <w:sz w:val="4"/>
                <w:szCs w:val="4"/>
              </w:rPr>
            </w:pPr>
            <w:r>
              <w:rPr>
                <w:sz w:val="4"/>
                <w:szCs w:val="4"/>
              </w:rPr>
            </w:r>
          </w:p>
        </w:tc>
        <w:tc>
          <w:tcPr>
            <w:tcW w:w="173"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380" w:type="dxa"/>
            <w:tcBorders/>
            <w:shd w:fill="auto" w:val="clear"/>
            <w:vAlign w:val="center"/>
          </w:tcPr>
          <w:p>
            <w:pPr>
              <w:pStyle w:val="TableContents"/>
              <w:spacing w:before="0" w:after="283"/>
              <w:rPr>
                <w:sz w:val="4"/>
                <w:szCs w:val="4"/>
              </w:rPr>
            </w:pPr>
            <w:r>
              <w:rPr>
                <w:sz w:val="4"/>
                <w:szCs w:val="4"/>
              </w:rPr>
            </w:r>
          </w:p>
        </w:tc>
        <w:tc>
          <w:tcPr>
            <w:tcW w:w="64" w:type="dxa"/>
            <w:tcBorders/>
            <w:shd w:fill="auto" w:val="clear"/>
            <w:vAlign w:val="center"/>
          </w:tcPr>
          <w:p>
            <w:pPr>
              <w:pStyle w:val="TableContents"/>
              <w:spacing w:before="0" w:after="283"/>
              <w:rPr>
                <w:sz w:val="4"/>
                <w:szCs w:val="4"/>
              </w:rPr>
            </w:pPr>
            <w:r>
              <w:rPr>
                <w:sz w:val="4"/>
                <w:szCs w:val="4"/>
              </w:rPr>
            </w:r>
          </w:p>
        </w:tc>
      </w:tr>
      <w:tr>
        <w:trPr/>
        <w:tc>
          <w:tcPr>
            <w:tcW w:w="17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w:t>
            </w:r>
          </w:p>
        </w:tc>
        <w:tc>
          <w:tcPr>
            <w:tcW w:w="125" w:type="dxa"/>
            <w:tcBorders/>
            <w:shd w:fill="auto" w:val="clear"/>
            <w:vAlign w:val="bottom"/>
          </w:tcPr>
          <w:p>
            <w:pPr>
              <w:pStyle w:val="TableContents"/>
              <w:spacing w:before="0" w:after="283"/>
              <w:rPr/>
            </w:pPr>
            <w:r>
              <w:rPr/>
              <w:t> </w:t>
            </w:r>
          </w:p>
        </w:tc>
        <w:tc>
          <w:tcPr>
            <w:tcW w:w="9227" w:type="dxa"/>
            <w:tcBorders/>
            <w:shd w:fill="auto" w:val="clear"/>
            <w:vAlign w:val="bottom"/>
          </w:tcPr>
          <w:p>
            <w:pPr>
              <w:pStyle w:val="TableContents"/>
              <w:spacing w:before="0" w:after="283"/>
              <w:rPr>
                <w:b/>
              </w:rPr>
            </w:pPr>
            <w:r>
              <w:rPr>
                <w:b/>
              </w:rPr>
              <w:t>DEFINITIONS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183</w:t>
            </w:r>
          </w:p>
        </w:tc>
        <w:tc>
          <w:tcPr>
            <w:tcW w:w="64" w:type="dxa"/>
            <w:tcBorders/>
            <w:shd w:fill="auto" w:val="clear"/>
            <w:vAlign w:val="bottom"/>
          </w:tcPr>
          <w:p>
            <w:pPr>
              <w:pStyle w:val="TableContents"/>
              <w:spacing w:before="0" w:after="283"/>
              <w:rPr/>
            </w:pPr>
            <w:r>
              <w:rPr/>
              <w:t> </w:t>
            </w:r>
          </w:p>
        </w:tc>
      </w:tr>
      <w:tr>
        <w:trPr>
          <w:trHeight w:val="120" w:hRule="atLeast"/>
        </w:trPr>
        <w:tc>
          <w:tcPr>
            <w:tcW w:w="176" w:type="dxa"/>
            <w:tcBorders/>
            <w:shd w:fill="auto" w:val="clear"/>
            <w:vAlign w:val="center"/>
          </w:tcPr>
          <w:p>
            <w:pPr>
              <w:pStyle w:val="TableContents"/>
              <w:spacing w:before="0" w:after="283"/>
              <w:rPr>
                <w:sz w:val="4"/>
                <w:szCs w:val="4"/>
              </w:rPr>
            </w:pPr>
            <w:r>
              <w:rPr>
                <w:sz w:val="4"/>
                <w:szCs w:val="4"/>
              </w:rPr>
            </w:r>
          </w:p>
        </w:tc>
        <w:tc>
          <w:tcPr>
            <w:tcW w:w="9352" w:type="dxa"/>
            <w:gridSpan w:val="2"/>
            <w:tcBorders/>
            <w:shd w:fill="auto" w:val="clear"/>
            <w:vAlign w:val="center"/>
          </w:tcPr>
          <w:p>
            <w:pPr>
              <w:pStyle w:val="TableContents"/>
              <w:spacing w:before="0" w:after="283"/>
              <w:rPr>
                <w:sz w:val="4"/>
                <w:szCs w:val="4"/>
              </w:rPr>
            </w:pPr>
            <w:r>
              <w:rPr>
                <w:sz w:val="4"/>
                <w:szCs w:val="4"/>
              </w:rPr>
            </w:r>
          </w:p>
        </w:tc>
        <w:tc>
          <w:tcPr>
            <w:tcW w:w="677" w:type="dxa"/>
            <w:gridSpan w:val="4"/>
            <w:tcBorders/>
            <w:shd w:fill="auto" w:val="clear"/>
            <w:vAlign w:val="center"/>
          </w:tcPr>
          <w:p>
            <w:pPr>
              <w:pStyle w:val="TableContents"/>
              <w:spacing w:before="0" w:after="283"/>
              <w:rPr>
                <w:sz w:val="4"/>
                <w:szCs w:val="4"/>
              </w:rPr>
            </w:pPr>
            <w:r>
              <w:rPr>
                <w:sz w:val="4"/>
                <w:szCs w:val="4"/>
              </w:rPr>
            </w:r>
          </w:p>
        </w:tc>
      </w:tr>
      <w:tr>
        <w:trPr/>
        <w:tc>
          <w:tcPr>
            <w:tcW w:w="17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w:t>
            </w:r>
          </w:p>
        </w:tc>
        <w:tc>
          <w:tcPr>
            <w:tcW w:w="125" w:type="dxa"/>
            <w:tcBorders/>
            <w:shd w:fill="auto" w:val="clear"/>
            <w:vAlign w:val="bottom"/>
          </w:tcPr>
          <w:p>
            <w:pPr>
              <w:pStyle w:val="TableContents"/>
              <w:spacing w:before="0" w:after="283"/>
              <w:rPr/>
            </w:pPr>
            <w:r>
              <w:rPr/>
              <w:t> </w:t>
            </w:r>
          </w:p>
        </w:tc>
        <w:tc>
          <w:tcPr>
            <w:tcW w:w="9227" w:type="dxa"/>
            <w:tcBorders/>
            <w:shd w:fill="auto" w:val="clear"/>
            <w:vAlign w:val="bottom"/>
          </w:tcPr>
          <w:p>
            <w:pPr>
              <w:pStyle w:val="TableContents"/>
              <w:spacing w:before="0" w:after="283"/>
              <w:rPr>
                <w:b/>
              </w:rPr>
            </w:pPr>
            <w:r>
              <w:rPr>
                <w:b/>
              </w:rPr>
              <w:t>AMENDMENTS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184</w:t>
            </w:r>
          </w:p>
        </w:tc>
        <w:tc>
          <w:tcPr>
            <w:tcW w:w="64" w:type="dxa"/>
            <w:tcBorders/>
            <w:shd w:fill="auto" w:val="clear"/>
            <w:vAlign w:val="bottom"/>
          </w:tcPr>
          <w:p>
            <w:pPr>
              <w:pStyle w:val="TableContents"/>
              <w:spacing w:before="0" w:after="283"/>
              <w:rPr/>
            </w:pPr>
            <w:r>
              <w:rPr/>
              <w:t> </w:t>
            </w:r>
          </w:p>
        </w:tc>
      </w:tr>
      <w:tr>
        <w:trPr>
          <w:trHeight w:val="120" w:hRule="atLeast"/>
        </w:trPr>
        <w:tc>
          <w:tcPr>
            <w:tcW w:w="176" w:type="dxa"/>
            <w:tcBorders/>
            <w:shd w:fill="auto" w:val="clear"/>
            <w:vAlign w:val="center"/>
          </w:tcPr>
          <w:p>
            <w:pPr>
              <w:pStyle w:val="TableContents"/>
              <w:spacing w:before="0" w:after="283"/>
              <w:rPr>
                <w:sz w:val="4"/>
                <w:szCs w:val="4"/>
              </w:rPr>
            </w:pPr>
            <w:r>
              <w:rPr>
                <w:sz w:val="4"/>
                <w:szCs w:val="4"/>
              </w:rPr>
            </w:r>
          </w:p>
        </w:tc>
        <w:tc>
          <w:tcPr>
            <w:tcW w:w="9352" w:type="dxa"/>
            <w:gridSpan w:val="2"/>
            <w:tcBorders/>
            <w:shd w:fill="auto" w:val="clear"/>
            <w:vAlign w:val="center"/>
          </w:tcPr>
          <w:p>
            <w:pPr>
              <w:pStyle w:val="TableContents"/>
              <w:spacing w:before="0" w:after="283"/>
              <w:rPr>
                <w:sz w:val="4"/>
                <w:szCs w:val="4"/>
              </w:rPr>
            </w:pPr>
            <w:r>
              <w:rPr>
                <w:sz w:val="4"/>
                <w:szCs w:val="4"/>
              </w:rPr>
            </w:r>
          </w:p>
        </w:tc>
        <w:tc>
          <w:tcPr>
            <w:tcW w:w="677" w:type="dxa"/>
            <w:gridSpan w:val="4"/>
            <w:tcBorders/>
            <w:shd w:fill="auto" w:val="clear"/>
            <w:vAlign w:val="center"/>
          </w:tcPr>
          <w:p>
            <w:pPr>
              <w:pStyle w:val="TableContents"/>
              <w:spacing w:before="0" w:after="283"/>
              <w:rPr>
                <w:sz w:val="4"/>
                <w:szCs w:val="4"/>
              </w:rPr>
            </w:pPr>
            <w:r>
              <w:rPr>
                <w:sz w:val="4"/>
                <w:szCs w:val="4"/>
              </w:rPr>
            </w:r>
          </w:p>
        </w:tc>
      </w:tr>
      <w:tr>
        <w:trPr/>
        <w:tc>
          <w:tcPr>
            <w:tcW w:w="17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3.</w:t>
            </w:r>
          </w:p>
        </w:tc>
        <w:tc>
          <w:tcPr>
            <w:tcW w:w="125" w:type="dxa"/>
            <w:tcBorders/>
            <w:shd w:fill="auto" w:val="clear"/>
            <w:vAlign w:val="bottom"/>
          </w:tcPr>
          <w:p>
            <w:pPr>
              <w:pStyle w:val="TableContents"/>
              <w:spacing w:before="0" w:after="283"/>
              <w:rPr/>
            </w:pPr>
            <w:r>
              <w:rPr/>
              <w:t> </w:t>
            </w:r>
          </w:p>
        </w:tc>
        <w:tc>
          <w:tcPr>
            <w:tcW w:w="9227" w:type="dxa"/>
            <w:tcBorders/>
            <w:shd w:fill="auto" w:val="clear"/>
            <w:vAlign w:val="bottom"/>
          </w:tcPr>
          <w:p>
            <w:pPr>
              <w:pStyle w:val="TableContents"/>
              <w:spacing w:before="0" w:after="283"/>
              <w:rPr>
                <w:b/>
              </w:rPr>
            </w:pPr>
            <w:r>
              <w:rPr>
                <w:b/>
              </w:rPr>
              <w:t>LIMITATIONS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184</w:t>
            </w:r>
          </w:p>
        </w:tc>
        <w:tc>
          <w:tcPr>
            <w:tcW w:w="64" w:type="dxa"/>
            <w:tcBorders/>
            <w:shd w:fill="auto" w:val="clear"/>
            <w:vAlign w:val="bottom"/>
          </w:tcPr>
          <w:p>
            <w:pPr>
              <w:pStyle w:val="TableContents"/>
              <w:spacing w:before="0" w:after="283"/>
              <w:rPr/>
            </w:pPr>
            <w:r>
              <w:rPr/>
              <w:t> </w:t>
            </w:r>
          </w:p>
        </w:tc>
      </w:tr>
      <w:tr>
        <w:trPr>
          <w:trHeight w:val="120" w:hRule="atLeast"/>
        </w:trPr>
        <w:tc>
          <w:tcPr>
            <w:tcW w:w="176" w:type="dxa"/>
            <w:tcBorders/>
            <w:shd w:fill="auto" w:val="clear"/>
            <w:vAlign w:val="center"/>
          </w:tcPr>
          <w:p>
            <w:pPr>
              <w:pStyle w:val="TableContents"/>
              <w:spacing w:before="0" w:after="283"/>
              <w:rPr>
                <w:sz w:val="4"/>
                <w:szCs w:val="4"/>
              </w:rPr>
            </w:pPr>
            <w:r>
              <w:rPr>
                <w:sz w:val="4"/>
                <w:szCs w:val="4"/>
              </w:rPr>
            </w:r>
          </w:p>
        </w:tc>
        <w:tc>
          <w:tcPr>
            <w:tcW w:w="9352" w:type="dxa"/>
            <w:gridSpan w:val="2"/>
            <w:tcBorders/>
            <w:shd w:fill="auto" w:val="clear"/>
            <w:vAlign w:val="center"/>
          </w:tcPr>
          <w:p>
            <w:pPr>
              <w:pStyle w:val="TableContents"/>
              <w:spacing w:before="0" w:after="283"/>
              <w:rPr>
                <w:sz w:val="4"/>
                <w:szCs w:val="4"/>
              </w:rPr>
            </w:pPr>
            <w:r>
              <w:rPr>
                <w:sz w:val="4"/>
                <w:szCs w:val="4"/>
              </w:rPr>
            </w:r>
          </w:p>
        </w:tc>
        <w:tc>
          <w:tcPr>
            <w:tcW w:w="677" w:type="dxa"/>
            <w:gridSpan w:val="4"/>
            <w:tcBorders/>
            <w:shd w:fill="auto" w:val="clear"/>
            <w:vAlign w:val="center"/>
          </w:tcPr>
          <w:p>
            <w:pPr>
              <w:pStyle w:val="TableContents"/>
              <w:spacing w:before="0" w:after="283"/>
              <w:rPr>
                <w:sz w:val="4"/>
                <w:szCs w:val="4"/>
              </w:rPr>
            </w:pPr>
            <w:r>
              <w:rPr>
                <w:sz w:val="4"/>
                <w:szCs w:val="4"/>
              </w:rPr>
            </w:r>
          </w:p>
        </w:tc>
      </w:tr>
      <w:tr>
        <w:trPr/>
        <w:tc>
          <w:tcPr>
            <w:tcW w:w="17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4.</w:t>
            </w:r>
          </w:p>
        </w:tc>
        <w:tc>
          <w:tcPr>
            <w:tcW w:w="125" w:type="dxa"/>
            <w:tcBorders/>
            <w:shd w:fill="auto" w:val="clear"/>
            <w:vAlign w:val="bottom"/>
          </w:tcPr>
          <w:p>
            <w:pPr>
              <w:pStyle w:val="TableContents"/>
              <w:spacing w:before="0" w:after="283"/>
              <w:rPr/>
            </w:pPr>
            <w:r>
              <w:rPr/>
              <w:t> </w:t>
            </w:r>
          </w:p>
        </w:tc>
        <w:tc>
          <w:tcPr>
            <w:tcW w:w="9227" w:type="dxa"/>
            <w:tcBorders/>
            <w:shd w:fill="auto" w:val="clear"/>
            <w:vAlign w:val="bottom"/>
          </w:tcPr>
          <w:p>
            <w:pPr>
              <w:pStyle w:val="TableContents"/>
              <w:spacing w:before="0" w:after="283"/>
              <w:rPr>
                <w:b/>
              </w:rPr>
            </w:pPr>
            <w:r>
              <w:rPr>
                <w:b/>
              </w:rPr>
              <w:t>REPRESENTATIONS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185</w:t>
            </w:r>
          </w:p>
        </w:tc>
        <w:tc>
          <w:tcPr>
            <w:tcW w:w="64" w:type="dxa"/>
            <w:tcBorders/>
            <w:shd w:fill="auto" w:val="clear"/>
            <w:vAlign w:val="bottom"/>
          </w:tcPr>
          <w:p>
            <w:pPr>
              <w:pStyle w:val="TableContents"/>
              <w:spacing w:before="0" w:after="283"/>
              <w:rPr/>
            </w:pPr>
            <w:r>
              <w:rPr/>
              <w:t> </w:t>
            </w:r>
          </w:p>
        </w:tc>
      </w:tr>
      <w:tr>
        <w:trPr>
          <w:trHeight w:val="120" w:hRule="atLeast"/>
        </w:trPr>
        <w:tc>
          <w:tcPr>
            <w:tcW w:w="176" w:type="dxa"/>
            <w:tcBorders/>
            <w:shd w:fill="auto" w:val="clear"/>
            <w:vAlign w:val="center"/>
          </w:tcPr>
          <w:p>
            <w:pPr>
              <w:pStyle w:val="TableContents"/>
              <w:spacing w:before="0" w:after="283"/>
              <w:rPr>
                <w:sz w:val="4"/>
                <w:szCs w:val="4"/>
              </w:rPr>
            </w:pPr>
            <w:r>
              <w:rPr>
                <w:sz w:val="4"/>
                <w:szCs w:val="4"/>
              </w:rPr>
            </w:r>
          </w:p>
        </w:tc>
        <w:tc>
          <w:tcPr>
            <w:tcW w:w="9352" w:type="dxa"/>
            <w:gridSpan w:val="2"/>
            <w:tcBorders/>
            <w:shd w:fill="auto" w:val="clear"/>
            <w:vAlign w:val="center"/>
          </w:tcPr>
          <w:p>
            <w:pPr>
              <w:pStyle w:val="TableContents"/>
              <w:spacing w:before="0" w:after="283"/>
              <w:rPr>
                <w:sz w:val="4"/>
                <w:szCs w:val="4"/>
              </w:rPr>
            </w:pPr>
            <w:r>
              <w:rPr>
                <w:sz w:val="4"/>
                <w:szCs w:val="4"/>
              </w:rPr>
            </w:r>
          </w:p>
        </w:tc>
        <w:tc>
          <w:tcPr>
            <w:tcW w:w="677" w:type="dxa"/>
            <w:gridSpan w:val="4"/>
            <w:tcBorders/>
            <w:shd w:fill="auto" w:val="clear"/>
            <w:vAlign w:val="center"/>
          </w:tcPr>
          <w:p>
            <w:pPr>
              <w:pStyle w:val="TableContents"/>
              <w:spacing w:before="0" w:after="283"/>
              <w:rPr>
                <w:sz w:val="4"/>
                <w:szCs w:val="4"/>
              </w:rPr>
            </w:pPr>
            <w:r>
              <w:rPr>
                <w:sz w:val="4"/>
                <w:szCs w:val="4"/>
              </w:rPr>
            </w:r>
          </w:p>
        </w:tc>
      </w:tr>
      <w:tr>
        <w:trPr/>
        <w:tc>
          <w:tcPr>
            <w:tcW w:w="17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5.</w:t>
            </w:r>
          </w:p>
        </w:tc>
        <w:tc>
          <w:tcPr>
            <w:tcW w:w="125" w:type="dxa"/>
            <w:tcBorders/>
            <w:shd w:fill="auto" w:val="clear"/>
            <w:vAlign w:val="bottom"/>
          </w:tcPr>
          <w:p>
            <w:pPr>
              <w:pStyle w:val="TableContents"/>
              <w:spacing w:before="0" w:after="283"/>
              <w:rPr/>
            </w:pPr>
            <w:r>
              <w:rPr/>
              <w:t> </w:t>
            </w:r>
          </w:p>
        </w:tc>
        <w:tc>
          <w:tcPr>
            <w:tcW w:w="9227" w:type="dxa"/>
            <w:tcBorders/>
            <w:shd w:fill="auto" w:val="clear"/>
            <w:vAlign w:val="bottom"/>
          </w:tcPr>
          <w:p>
            <w:pPr>
              <w:pStyle w:val="TableContents"/>
              <w:spacing w:before="0" w:after="283"/>
              <w:rPr>
                <w:b/>
              </w:rPr>
            </w:pPr>
            <w:r>
              <w:rPr>
                <w:b/>
              </w:rPr>
              <w:t>APPLICABLE LAW</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185</w:t>
            </w:r>
          </w:p>
        </w:tc>
        <w:tc>
          <w:tcPr>
            <w:tcW w:w="64" w:type="dxa"/>
            <w:tcBorders/>
            <w:shd w:fill="auto" w:val="clear"/>
            <w:vAlign w:val="bottom"/>
          </w:tcPr>
          <w:p>
            <w:pPr>
              <w:pStyle w:val="TableContents"/>
              <w:spacing w:before="0" w:after="283"/>
              <w:rPr/>
            </w:pPr>
            <w:r>
              <w:rPr/>
              <w:t> </w:t>
            </w:r>
          </w:p>
        </w:tc>
      </w:tr>
      <w:tr>
        <w:trPr>
          <w:trHeight w:val="120" w:hRule="atLeast"/>
        </w:trPr>
        <w:tc>
          <w:tcPr>
            <w:tcW w:w="176" w:type="dxa"/>
            <w:tcBorders/>
            <w:shd w:fill="auto" w:val="clear"/>
            <w:vAlign w:val="center"/>
          </w:tcPr>
          <w:p>
            <w:pPr>
              <w:pStyle w:val="TableContents"/>
              <w:spacing w:before="0" w:after="283"/>
              <w:rPr>
                <w:sz w:val="4"/>
                <w:szCs w:val="4"/>
              </w:rPr>
            </w:pPr>
            <w:r>
              <w:rPr>
                <w:sz w:val="4"/>
                <w:szCs w:val="4"/>
              </w:rPr>
            </w:r>
          </w:p>
        </w:tc>
        <w:tc>
          <w:tcPr>
            <w:tcW w:w="9352" w:type="dxa"/>
            <w:gridSpan w:val="2"/>
            <w:tcBorders/>
            <w:shd w:fill="auto" w:val="clear"/>
            <w:vAlign w:val="center"/>
          </w:tcPr>
          <w:p>
            <w:pPr>
              <w:pStyle w:val="TableContents"/>
              <w:spacing w:before="0" w:after="283"/>
              <w:rPr>
                <w:sz w:val="4"/>
                <w:szCs w:val="4"/>
              </w:rPr>
            </w:pPr>
            <w:r>
              <w:rPr>
                <w:sz w:val="4"/>
                <w:szCs w:val="4"/>
              </w:rPr>
            </w:r>
          </w:p>
        </w:tc>
        <w:tc>
          <w:tcPr>
            <w:tcW w:w="677" w:type="dxa"/>
            <w:gridSpan w:val="4"/>
            <w:tcBorders/>
            <w:shd w:fill="auto" w:val="clear"/>
            <w:vAlign w:val="center"/>
          </w:tcPr>
          <w:p>
            <w:pPr>
              <w:pStyle w:val="TableContents"/>
              <w:spacing w:before="0" w:after="283"/>
              <w:rPr>
                <w:sz w:val="4"/>
                <w:szCs w:val="4"/>
              </w:rPr>
            </w:pPr>
            <w:r>
              <w:rPr>
                <w:sz w:val="4"/>
                <w:szCs w:val="4"/>
              </w:rPr>
            </w:r>
          </w:p>
        </w:tc>
      </w:tr>
      <w:tr>
        <w:trPr/>
        <w:tc>
          <w:tcPr>
            <w:tcW w:w="17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6.</w:t>
            </w:r>
          </w:p>
        </w:tc>
        <w:tc>
          <w:tcPr>
            <w:tcW w:w="125" w:type="dxa"/>
            <w:tcBorders/>
            <w:shd w:fill="auto" w:val="clear"/>
            <w:vAlign w:val="bottom"/>
          </w:tcPr>
          <w:p>
            <w:pPr>
              <w:pStyle w:val="TableContents"/>
              <w:spacing w:before="0" w:after="283"/>
              <w:rPr/>
            </w:pPr>
            <w:r>
              <w:rPr/>
              <w:t> </w:t>
            </w:r>
          </w:p>
        </w:tc>
        <w:tc>
          <w:tcPr>
            <w:tcW w:w="9227" w:type="dxa"/>
            <w:tcBorders/>
            <w:shd w:fill="auto" w:val="clear"/>
            <w:vAlign w:val="bottom"/>
          </w:tcPr>
          <w:p>
            <w:pPr>
              <w:pStyle w:val="TableContents"/>
              <w:spacing w:before="0" w:after="283"/>
              <w:rPr>
                <w:b/>
              </w:rPr>
            </w:pPr>
            <w:r>
              <w:rPr>
                <w:b/>
              </w:rPr>
              <w:t>DISPUTE SETTLEMENT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185</w:t>
            </w:r>
          </w:p>
        </w:tc>
        <w:tc>
          <w:tcPr>
            <w:tcW w:w="64" w:type="dxa"/>
            <w:tcBorders/>
            <w:shd w:fill="auto" w:val="clear"/>
            <w:vAlign w:val="bottom"/>
          </w:tcPr>
          <w:p>
            <w:pPr>
              <w:pStyle w:val="TableContents"/>
              <w:spacing w:before="0" w:after="283"/>
              <w:rPr/>
            </w:pPr>
            <w:r>
              <w:rPr/>
              <w:t> </w:t>
            </w:r>
          </w:p>
        </w:tc>
      </w:tr>
      <w:tr>
        <w:trPr>
          <w:trHeight w:val="120" w:hRule="atLeast"/>
        </w:trPr>
        <w:tc>
          <w:tcPr>
            <w:tcW w:w="176" w:type="dxa"/>
            <w:tcBorders/>
            <w:shd w:fill="auto" w:val="clear"/>
            <w:vAlign w:val="center"/>
          </w:tcPr>
          <w:p>
            <w:pPr>
              <w:pStyle w:val="TableContents"/>
              <w:spacing w:before="0" w:after="283"/>
              <w:rPr>
                <w:sz w:val="4"/>
                <w:szCs w:val="4"/>
              </w:rPr>
            </w:pPr>
            <w:r>
              <w:rPr>
                <w:sz w:val="4"/>
                <w:szCs w:val="4"/>
              </w:rPr>
            </w:r>
          </w:p>
        </w:tc>
        <w:tc>
          <w:tcPr>
            <w:tcW w:w="9352" w:type="dxa"/>
            <w:gridSpan w:val="2"/>
            <w:tcBorders/>
            <w:shd w:fill="auto" w:val="clear"/>
            <w:vAlign w:val="center"/>
          </w:tcPr>
          <w:p>
            <w:pPr>
              <w:pStyle w:val="TableContents"/>
              <w:spacing w:before="0" w:after="283"/>
              <w:rPr>
                <w:sz w:val="4"/>
                <w:szCs w:val="4"/>
              </w:rPr>
            </w:pPr>
            <w:r>
              <w:rPr>
                <w:sz w:val="4"/>
                <w:szCs w:val="4"/>
              </w:rPr>
            </w:r>
          </w:p>
        </w:tc>
        <w:tc>
          <w:tcPr>
            <w:tcW w:w="677" w:type="dxa"/>
            <w:gridSpan w:val="4"/>
            <w:tcBorders/>
            <w:shd w:fill="auto" w:val="clear"/>
            <w:vAlign w:val="center"/>
          </w:tcPr>
          <w:p>
            <w:pPr>
              <w:pStyle w:val="TableContents"/>
              <w:spacing w:before="0" w:after="283"/>
              <w:rPr>
                <w:sz w:val="4"/>
                <w:szCs w:val="4"/>
              </w:rPr>
            </w:pPr>
            <w:r>
              <w:rPr>
                <w:sz w:val="4"/>
                <w:szCs w:val="4"/>
              </w:rPr>
            </w:r>
          </w:p>
        </w:tc>
      </w:tr>
      <w:tr>
        <w:trPr/>
        <w:tc>
          <w:tcPr>
            <w:tcW w:w="17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7.</w:t>
            </w:r>
          </w:p>
        </w:tc>
        <w:tc>
          <w:tcPr>
            <w:tcW w:w="125" w:type="dxa"/>
            <w:tcBorders/>
            <w:shd w:fill="auto" w:val="clear"/>
            <w:vAlign w:val="bottom"/>
          </w:tcPr>
          <w:p>
            <w:pPr>
              <w:pStyle w:val="TableContents"/>
              <w:spacing w:before="0" w:after="283"/>
              <w:rPr/>
            </w:pPr>
            <w:r>
              <w:rPr/>
              <w:t> </w:t>
            </w:r>
          </w:p>
        </w:tc>
        <w:tc>
          <w:tcPr>
            <w:tcW w:w="9227" w:type="dxa"/>
            <w:tcBorders/>
            <w:shd w:fill="auto" w:val="clear"/>
            <w:vAlign w:val="bottom"/>
          </w:tcPr>
          <w:p>
            <w:pPr>
              <w:pStyle w:val="TableContents"/>
              <w:spacing w:before="0" w:after="283"/>
              <w:rPr>
                <w:b/>
              </w:rPr>
            </w:pPr>
            <w:r>
              <w:rPr>
                <w:b/>
              </w:rPr>
              <w:t>EXECUTION</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185</w:t>
            </w:r>
          </w:p>
        </w:tc>
        <w:tc>
          <w:tcPr>
            <w:tcW w:w="64" w:type="dxa"/>
            <w:tcBorders/>
            <w:shd w:fill="auto" w:val="clear"/>
            <w:vAlign w:val="bottom"/>
          </w:tcPr>
          <w:p>
            <w:pPr>
              <w:pStyle w:val="TableContents"/>
              <w:spacing w:before="0" w:after="283"/>
              <w:rPr/>
            </w:pPr>
            <w:r>
              <w:rPr/>
              <w:t> </w:t>
            </w:r>
          </w:p>
        </w:tc>
      </w:tr>
      <w:tr>
        <w:trPr>
          <w:trHeight w:val="120" w:hRule="atLeast"/>
        </w:trPr>
        <w:tc>
          <w:tcPr>
            <w:tcW w:w="9528" w:type="dxa"/>
            <w:gridSpan w:val="3"/>
            <w:tcBorders/>
            <w:shd w:fill="auto" w:val="clear"/>
            <w:vAlign w:val="center"/>
          </w:tcPr>
          <w:p>
            <w:pPr>
              <w:pStyle w:val="TableContents"/>
              <w:spacing w:before="0" w:after="283"/>
              <w:rPr>
                <w:sz w:val="4"/>
                <w:szCs w:val="4"/>
              </w:rPr>
            </w:pPr>
            <w:r>
              <w:rPr>
                <w:sz w:val="4"/>
                <w:szCs w:val="4"/>
              </w:rPr>
            </w:r>
          </w:p>
        </w:tc>
        <w:tc>
          <w:tcPr>
            <w:tcW w:w="677" w:type="dxa"/>
            <w:gridSpan w:val="4"/>
            <w:tcBorders/>
            <w:shd w:fill="auto" w:val="clear"/>
            <w:vAlign w:val="center"/>
          </w:tcPr>
          <w:p>
            <w:pPr>
              <w:pStyle w:val="TableContents"/>
              <w:spacing w:before="0" w:after="283"/>
              <w:rPr>
                <w:sz w:val="4"/>
                <w:szCs w:val="4"/>
              </w:rPr>
            </w:pPr>
            <w:r>
              <w:rPr>
                <w:sz w:val="4"/>
                <w:szCs w:val="4"/>
              </w:rPr>
            </w:r>
          </w:p>
        </w:tc>
      </w:tr>
      <w:tr>
        <w:trPr/>
        <w:tc>
          <w:tcPr>
            <w:tcW w:w="9528"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APPENDIX 1 REVISED INDEPENDENT GUARANTEE ISSUE AGREEMENT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0" w:type="dxa"/>
            <w:tcBorders/>
            <w:shd w:fill="auto" w:val="clear"/>
            <w:vAlign w:val="bottom"/>
          </w:tcPr>
          <w:p>
            <w:pPr>
              <w:pStyle w:val="TableContents"/>
              <w:spacing w:before="0" w:after="283"/>
              <w:jc w:val="right"/>
              <w:rPr>
                <w:b/>
              </w:rPr>
            </w:pPr>
            <w:r>
              <w:rPr>
                <w:b/>
              </w:rPr>
              <w:t>186</w:t>
            </w:r>
          </w:p>
        </w:tc>
        <w:tc>
          <w:tcPr>
            <w:tcW w:w="64"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AMENDMENT AGREEMENT No.</w:t>
      </w:r>
      <w:r>
        <w:rPr>
          <w:rFonts w:ascii="Times New Roman" w:hAnsi="Times New Roman"/>
          <w:sz w:val="20"/>
        </w:rPr>
        <w:t> </w:t>
      </w:r>
      <w:r>
        <w:rPr>
          <w:rFonts w:ascii="Times New Roman" w:hAnsi="Times New Roman"/>
          <w:b/>
          <w:sz w:val="20"/>
        </w:rPr>
        <w:t xml:space="preserve">2 TO THE INDEPENDENT GUARANTEE ISSUE AGREEMENT </w:t>
      </w:r>
      <w:r>
        <w:rPr>
          <w:rFonts w:ascii="Times New Roman" w:hAnsi="Times New Roman"/>
          <w:sz w:val="20"/>
        </w:rPr>
        <w:t>(the “</w:t>
      </w:r>
      <w:r>
        <w:rPr>
          <w:rFonts w:ascii="Times New Roman" w:hAnsi="Times New Roman"/>
          <w:b/>
          <w:sz w:val="20"/>
        </w:rPr>
        <w:t>Agreement”</w:t>
      </w:r>
      <w:r>
        <w:rPr>
          <w:rFonts w:ascii="Times New Roman" w:hAnsi="Times New Roman"/>
          <w:sz w:val="20"/>
        </w:rPr>
        <w:t>) has been executed</w:t>
      </w:r>
      <w:r>
        <w:rPr>
          <w:rFonts w:ascii="Times New Roman" w:hAnsi="Times New Roman"/>
          <w:sz w:val="20"/>
          <w:u w:val="single"/>
        </w:rPr>
        <w:t xml:space="preserve"> on October 5,</w:t>
      </w:r>
      <w:r>
        <w:rPr>
          <w:rFonts w:ascii="Times New Roman" w:hAnsi="Times New Roman"/>
          <w:sz w:val="20"/>
        </w:rPr>
        <w:t xml:space="preserve">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w:t>
            </w:r>
          </w:p>
        </w:tc>
        <w:tc>
          <w:tcPr>
            <w:tcW w:w="9388" w:type="dxa"/>
            <w:tcBorders/>
            <w:shd w:fill="auto" w:val="clear"/>
          </w:tcPr>
          <w:p>
            <w:pPr>
              <w:pStyle w:val="TableContents"/>
              <w:spacing w:before="0" w:after="283"/>
              <w:jc w:val="left"/>
              <w:rPr/>
            </w:pPr>
            <w:r>
              <w:rPr>
                <w:b/>
              </w:rPr>
              <w:t>ZEMENIK TRADING LIMITED</w:t>
            </w:r>
            <w:r>
              <w:rPr/>
              <w:t xml:space="preserve">, a limited liability company incorporated under the laws of the Republic of Cyprus, registration number HE 332806, address (location) of the legal entity: 42 Dositheou, Strovolos 2028, </w:t>
            </w:r>
            <w:r>
              <w:rPr>
                <w:i/>
              </w:rPr>
              <w:t xml:space="preserve">Nicosia, </w:t>
            </w:r>
            <w:r>
              <w:rPr/>
              <w:t xml:space="preserve">Cyprus, </w:t>
            </w:r>
            <w:r>
              <w:rPr>
                <w:i/>
              </w:rPr>
              <w:t>as the</w:t>
            </w:r>
            <w:r>
              <w:rPr/>
              <w:t xml:space="preserve"> guarantor hereunder (the “</w:t>
            </w:r>
            <w:r>
              <w:rPr>
                <w:b/>
              </w:rPr>
              <w:t>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ZEMENIK LIMITED LIABILITY COMPANY,</w:t>
            </w:r>
            <w:r>
              <w:rPr/>
              <w:t xml:space="preserve">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the Russian Federation, 125319, as the principal hereunder and the Borrower under the Loan Agreement (the “</w:t>
            </w:r>
            <w:r>
              <w:rPr>
                <w:b/>
              </w:rPr>
              <w:t>Borrower”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w:t>
            </w:r>
          </w:p>
        </w:tc>
        <w:tc>
          <w:tcPr>
            <w:tcW w:w="9388" w:type="dxa"/>
            <w:tcBorders/>
            <w:shd w:fill="auto" w:val="clear"/>
          </w:tcPr>
          <w:p>
            <w:pPr>
              <w:pStyle w:val="TableContents"/>
              <w:spacing w:before="0" w:after="283"/>
              <w:jc w:val="left"/>
              <w:rPr/>
            </w:pPr>
            <w:r>
              <w:rPr>
                <w:b/>
              </w:rPr>
              <w:t>BANK VTB (PUBLIC JOINT-STOCK COMPANY)</w:t>
            </w:r>
            <w:r>
              <w:rPr/>
              <w:t>, a public joint-stock company incorporated under the laws of the Russian Federation, registered in the Unified State Register of Legal Entities (EGRUL) under number (Primary State Registration Number (OGRN)): 1027739609391, with its office at the address: 29, Bolshaya Morskaya St., Saint Petersburg, Russia, 190000, as the beneficiary hereunder and the Credit Agent, Organizer and Original Lender under the Loan Agreement (the “</w:t>
            </w:r>
            <w:r>
              <w:rPr>
                <w:b/>
              </w:rPr>
              <w:t>Original Lender</w:t>
            </w:r>
            <w:r>
              <w:rPr/>
              <w:t>” and the “</w:t>
            </w:r>
            <w:r>
              <w:rPr>
                <w:b/>
              </w:rPr>
              <w:t>Credit Agent</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The Original Lender as a credit agent, organizer and original lender and the Borrower as a borrower have entered into the Syndicated Loan Agreement dated May 16, 2016, as amended by Amendment Agreement No. 1 dated December 14, 2016, Amendment Agreement No. 2 dated June 28, 2017, and Amendment Agreement No. 3 dated October </w:t>
            </w:r>
            <w:r>
              <w:rPr>
                <w:u w:val="single"/>
              </w:rPr>
              <w:t>5</w:t>
            </w:r>
            <w:r>
              <w:rPr/>
              <w:t>, 2017, (hereinafter referred to as “</w:t>
            </w:r>
            <w:r>
              <w:rPr>
                <w:b/>
              </w:rPr>
              <w:t>Amendment Agreement No.</w:t>
            </w:r>
            <w:r>
              <w:rPr/>
              <w:t> </w:t>
            </w:r>
            <w:r>
              <w:rPr>
                <w:b/>
              </w:rPr>
              <w:t>3</w:t>
            </w:r>
            <w:r>
              <w:rPr/>
              <w:t xml:space="preserve">”) by which the Lender and the Borrower agreed to amend the Loan Agreement, inter alia, to increase a loan amount up to RUB 7,000,000,000 (seven billion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The Parties entered into the Independent Guarantee Issue Agreement dated June 1, 2016, as amended by Amendment Agreement 1 dated June 28, 2017 (the “</w:t>
            </w:r>
            <w:r>
              <w:rPr>
                <w:b/>
              </w:rPr>
              <w:t>Independent Guarantee Issue Agreement</w:t>
            </w:r>
            <w:r>
              <w:rPr/>
              <w:t xml:space="preserve">”), and the Guarantor issued an independent guarantee dated June 1, 2016, in favor of the Original Lender under the Guarantee Issue Agreement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Guarantor hereby confirms that it is aware of all the terms and conditions of the Loan Agreement as amended by Amendment Agreement No. 3 and does not have the right to invoke the fact that it was not aware of such terms and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Parties hereby agree to make such amendments to the Independent Guarantee Issue Agreement and to the Guarantee as specified herein to ensure the fulfillment of the Borrower’s obligations under the Loan Agreement as amended by Amendment Agreement No. 3. </w:t>
            </w:r>
          </w:p>
        </w:tc>
      </w:tr>
    </w:tbl>
    <w:p>
      <w:pPr>
        <w:pStyle w:val="TextBody"/>
        <w:spacing w:before="240" w:after="0"/>
        <w:rPr>
          <w:rFonts w:ascii="Times New Roman" w:hAnsi="Times New Roman"/>
          <w:sz w:val="20"/>
        </w:rPr>
      </w:pPr>
      <w:r>
        <w:rPr>
          <w:rFonts w:ascii="Times New Roman" w:hAnsi="Times New Roman"/>
          <w:b/>
          <w:sz w:val="20"/>
        </w:rPr>
        <w:t>THE PARTIES HAVE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Agreement: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Revised Guarantee”</w:t>
      </w:r>
      <w:r>
        <w:rPr>
          <w:rFonts w:ascii="Times New Roman" w:hAnsi="Times New Roman"/>
          <w:sz w:val="20"/>
        </w:rPr>
        <w:t xml:space="preserve"> has the meaning specified in Clause 2(b) below. </w:t>
      </w:r>
    </w:p>
    <w:p>
      <w:pPr>
        <w:pStyle w:val="TextBody"/>
        <w:spacing w:before="120" w:after="0"/>
        <w:rPr/>
      </w:pPr>
      <w:r>
        <w:rPr/>
        <w:t>“</w:t>
      </w:r>
      <w:r>
        <w:rPr>
          <w:rFonts w:ascii="Times New Roman" w:hAnsi="Times New Roman"/>
          <w:b/>
          <w:sz w:val="20"/>
        </w:rPr>
        <w:t>Revised Independent Guarantee Issue Agreement”</w:t>
      </w:r>
      <w:r>
        <w:rPr>
          <w:rFonts w:ascii="Times New Roman" w:hAnsi="Times New Roman"/>
          <w:sz w:val="20"/>
        </w:rPr>
        <w:t xml:space="preserve"> means the Independent Guarantee Issue Agreement as amended hereby, in the form of Appendix 1 </w:t>
      </w:r>
      <w:r>
        <w:rPr>
          <w:rFonts w:ascii="Times New Roman" w:hAnsi="Times New Roman"/>
          <w:i/>
          <w:sz w:val="20"/>
        </w:rPr>
        <w:t>(Revised Independent Guarantee Issue Agreement)</w:t>
      </w:r>
      <w:r>
        <w:rPr>
          <w:rFonts w:ascii="Times New Roman" w:hAnsi="Times New Roman"/>
          <w:sz w:val="20"/>
        </w:rPr>
        <w:t xml:space="preserve">.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has the meaning specified in Clause (A) of the Preamble. </w:t>
      </w:r>
    </w:p>
    <w:p>
      <w:pPr>
        <w:pStyle w:val="TextBody"/>
        <w:spacing w:before="120" w:after="0"/>
        <w:rPr/>
      </w:pPr>
      <w:r>
        <w:rPr/>
        <w:t>“</w:t>
      </w:r>
      <w:r>
        <w:rPr>
          <w:rFonts w:ascii="Times New Roman" w:hAnsi="Times New Roman"/>
          <w:b/>
          <w:sz w:val="20"/>
        </w:rPr>
        <w:t>Party”</w:t>
      </w:r>
      <w:r>
        <w:rPr>
          <w:rFonts w:ascii="Times New Roman" w:hAnsi="Times New Roman"/>
          <w:sz w:val="20"/>
        </w:rPr>
        <w:t xml:space="preserve"> means a party hereto.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the context requires otherwise, any capitalized terms used in the Loan Agreement and the Independent Guarantee Issue Agreement which are not defined herein have the same meaning as in the Loan Agreement and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1.3.</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120" w:after="0"/>
        <w:rPr>
          <w:rFonts w:ascii="Times New Roman" w:hAnsi="Times New Roman"/>
          <w:sz w:val="20"/>
        </w:rPr>
      </w:pPr>
      <w:r>
        <w:rPr>
          <w:rFonts w:ascii="Times New Roman" w:hAnsi="Times New Roman"/>
          <w:sz w:val="20"/>
        </w:rPr>
        <w:t>The provisions of Article 1.2 (</w:t>
      </w:r>
      <w:r>
        <w:rPr>
          <w:rFonts w:ascii="Times New Roman" w:hAnsi="Times New Roman"/>
          <w:i/>
          <w:sz w:val="20"/>
        </w:rPr>
        <w:t>Interpretation</w:t>
      </w:r>
      <w:r>
        <w:rPr>
          <w:rFonts w:ascii="Times New Roman" w:hAnsi="Times New Roman"/>
          <w:sz w:val="20"/>
        </w:rPr>
        <w:t xml:space="preserve">) of the Loan Agreement shall apply to this Agreement as if they are written in this Agreement; any references to Articles, Clauses and Appendices shall be deemed references to Articles, Clauses and Appendices hereof, unless the context requires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is a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Parties agree that the Independent Guarantee Issue Agreement shall be amended as specified in Appendix 1 (</w:t>
            </w:r>
            <w:r>
              <w:rPr>
                <w:i/>
              </w:rPr>
              <w:t>Revised Independent Guarantee Issue Agreement</w:t>
            </w:r>
            <w:r>
              <w:rPr/>
              <w:t xml:space="preserve">) since the date of this Agreement; the rights and obligations of the Parties under the Independent Guarantee Issue Agreement shall be governed and construed under the Revised Independent Guarantee Issue Agreement since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The Guarantor shall amend the Guarantee to reflect changes in the Secured Obligations and other amendments that are made to the Independent Guarantee Issue Agreement in accordance with Clause (a) above (taking into account such amendments, hereinafter referred to as the “</w:t>
            </w:r>
            <w:r>
              <w:rPr>
                <w:b/>
              </w:rPr>
              <w:t>Revised Guarantee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amendments to the Independent Guarantee Issue Agreement hereunder shall be limited to the amendments specified in Article 2 </w:t>
            </w:r>
            <w:r>
              <w:rPr>
                <w:i/>
              </w:rPr>
              <w:t>(Amendments)</w:t>
            </w:r>
            <w:r>
              <w:rPr/>
              <w:t>. No other provisions of the Independent Guarantee Issue Agreement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hereby agrees to be liable for the obligations of the Borrower arising out of the Loan Agreement, for the avoidance of doubt, inter alia, taking into account the amendments introduced by Amendment Agreement No. 3, and confirms that the Guarantee is valid, has full legal force, and the Guarantor continues its due fulfillment of the obligations under the Revised Guarantee in accordance with its terms and conditions, as well as with the terms and conditions of the Revised Independent Guarantee Issue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Agreement does not relieve the Guarantor of any obligations under the Independent Guarantee Issue Agreement or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4.</w:t>
            </w:r>
          </w:p>
        </w:tc>
        <w:tc>
          <w:tcPr>
            <w:tcW w:w="9391"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The Guarantor grants the Original Lender the representations of circumstances set forth in Article 3 (</w:t>
            </w:r>
            <w:r>
              <w:rPr>
                <w:i/>
              </w:rPr>
              <w:t>Representations of Circumstances of the Guarantor</w:t>
            </w:r>
            <w:r>
              <w:rPr/>
              <w:t xml:space="preserve">) of the Independent Guarantee Issue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Any representations of circumstances specified in Clause (a) above shall be provided by the Guarantor on the date of this Agreement with a reference to the circumstances existing on the date hereof.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references to the Independent Guarantee Issue Agreement in such representations of circumstances as provided according to Clause (a) above shall be deemed as including, inter alia, references 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6.</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has been made in 3 (three) counterparts of equal legal effect, all of which together shall constitute one and the same instrument, one counterpart for each Party. </w:t>
      </w:r>
    </w:p>
    <w:p>
      <w:pPr>
        <w:pStyle w:val="TextBody"/>
        <w:spacing w:before="120" w:after="0"/>
        <w:rPr>
          <w:rFonts w:ascii="Times New Roman" w:hAnsi="Times New Roman"/>
          <w:sz w:val="20"/>
        </w:rPr>
      </w:pPr>
      <w:r>
        <w:rPr>
          <w:rFonts w:ascii="Times New Roman" w:hAnsi="Times New Roman"/>
          <w:sz w:val="20"/>
        </w:rPr>
        <w:t xml:space="preserve">This Agreement has been entered into on the date stated at the beginning of this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REVISED INDEPENDENT GUARANTEE ISSUE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LIMITED LIABILITY COMPANY </w:t>
      </w:r>
    </w:p>
    <w:p>
      <w:pPr>
        <w:pStyle w:val="TextBody"/>
        <w:spacing w:before="24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sz w:val="20"/>
        </w:rPr>
      </w:pPr>
      <w:r>
        <w:rPr>
          <w:rFonts w:ascii="Times New Roman" w:hAnsi="Times New Roman"/>
          <w:sz w:val="20"/>
        </w:rPr>
        <w:t xml:space="preserve">as a guarantor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ZEMENIK LIMITED LIABILITY COMPANY </w:t>
      </w:r>
    </w:p>
    <w:p>
      <w:pPr>
        <w:pStyle w:val="TextBody"/>
        <w:spacing w:before="240" w:after="0"/>
        <w:jc w:val="center"/>
        <w:rPr>
          <w:rFonts w:ascii="Times New Roman" w:hAnsi="Times New Roman"/>
          <w:sz w:val="20"/>
        </w:rPr>
      </w:pPr>
      <w:r>
        <w:rPr>
          <w:rFonts w:ascii="Times New Roman" w:hAnsi="Times New Roman"/>
          <w:sz w:val="20"/>
        </w:rPr>
        <w:t xml:space="preserve">as a principal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480" w:after="0"/>
        <w:jc w:val="center"/>
        <w:rPr>
          <w:rFonts w:ascii="Times New Roman" w:hAnsi="Times New Roman"/>
          <w:b/>
          <w:sz w:val="20"/>
        </w:rPr>
      </w:pPr>
      <w:r>
        <w:rPr>
          <w:rFonts w:ascii="Times New Roman" w:hAnsi="Times New Roman"/>
          <w:b/>
          <w:sz w:val="20"/>
        </w:rPr>
        <w:t xml:space="preserve">BANK VTB (PUBLIC JOINT-STOCK COMPANY) </w:t>
      </w:r>
    </w:p>
    <w:p>
      <w:pPr>
        <w:pStyle w:val="TextBody"/>
        <w:spacing w:before="240" w:after="0"/>
        <w:jc w:val="center"/>
        <w:rPr>
          <w:rFonts w:ascii="Times New Roman" w:hAnsi="Times New Roman"/>
          <w:sz w:val="20"/>
        </w:rPr>
      </w:pPr>
      <w:r>
        <w:rPr>
          <w:rFonts w:ascii="Times New Roman" w:hAnsi="Times New Roman"/>
          <w:sz w:val="20"/>
        </w:rPr>
        <w:t xml:space="preserve">as a beneficiary under this Agreement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INDEPENDENT GUARANTEE ISSUE AGREEMENT </w:t>
      </w:r>
    </w:p>
    <w:p>
      <w:pPr>
        <w:pStyle w:val="TextBody"/>
        <w:spacing w:before="240" w:after="0"/>
        <w:jc w:val="center"/>
        <w:rPr>
          <w:rFonts w:ascii="Times New Roman" w:hAnsi="Times New Roman"/>
          <w:b/>
          <w:sz w:val="20"/>
        </w:rPr>
      </w:pPr>
      <w:r>
        <w:rPr>
          <w:rFonts w:ascii="Times New Roman" w:hAnsi="Times New Roman"/>
          <w:b/>
          <w:sz w:val="20"/>
        </w:rPr>
        <w:t xml:space="preserve">dated June 1,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sz w:val="20"/>
        </w:rPr>
      </w:pPr>
      <w:r>
        <w:rPr>
          <w:rFonts w:ascii="Times New Roman" w:hAnsi="Times New Roman"/>
          <w:sz w:val="20"/>
        </w:rPr>
        <w:t xml:space="preserve">as amended by: </w:t>
      </w:r>
    </w:p>
    <w:p>
      <w:pPr>
        <w:pStyle w:val="TextBody"/>
        <w:spacing w:before="240" w:after="0"/>
        <w:jc w:val="center"/>
        <w:rPr>
          <w:rFonts w:ascii="Times New Roman" w:hAnsi="Times New Roman"/>
          <w:sz w:val="20"/>
        </w:rPr>
      </w:pPr>
      <w:r>
        <w:rPr>
          <w:rFonts w:ascii="Times New Roman" w:hAnsi="Times New Roman"/>
          <w:sz w:val="20"/>
        </w:rPr>
        <w:t xml:space="preserve">Amendment Agreement No. 1 dated June 28, 2016, and </w:t>
      </w:r>
    </w:p>
    <w:p>
      <w:pPr>
        <w:pStyle w:val="TextBody"/>
        <w:spacing w:before="240" w:after="0"/>
        <w:jc w:val="center"/>
        <w:rPr>
          <w:rFonts w:ascii="Times New Roman" w:hAnsi="Times New Roman"/>
          <w:sz w:val="20"/>
        </w:rPr>
      </w:pPr>
      <w:r>
        <w:rPr>
          <w:rFonts w:ascii="Times New Roman" w:hAnsi="Times New Roman"/>
          <w:sz w:val="20"/>
        </w:rPr>
        <w:t xml:space="preserve">Amendment Agreement No. 2 dated October 5, 2017 </w:t>
      </w:r>
    </w:p>
    <w:p>
      <w:pPr>
        <w:pStyle w:val="TextBody"/>
        <w:spacing w:before="24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TABLE OF 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38"/>
        <w:gridCol w:w="125"/>
        <w:gridCol w:w="9063"/>
        <w:gridCol w:w="173"/>
        <w:gridCol w:w="60"/>
        <w:gridCol w:w="383"/>
        <w:gridCol w:w="63"/>
      </w:tblGrid>
      <w:tr>
        <w:trPr/>
        <w:tc>
          <w:tcPr>
            <w:tcW w:w="338" w:type="dxa"/>
            <w:tcBorders/>
            <w:shd w:fill="auto" w:val="clear"/>
            <w:vAlign w:val="center"/>
          </w:tcPr>
          <w:p>
            <w:pPr>
              <w:pStyle w:val="TableContents"/>
              <w:spacing w:before="0" w:after="283"/>
              <w:rPr>
                <w:sz w:val="4"/>
                <w:szCs w:val="4"/>
              </w:rPr>
            </w:pPr>
            <w:r>
              <w:rPr>
                <w:sz w:val="4"/>
                <w:szCs w:val="4"/>
              </w:rPr>
            </w:r>
          </w:p>
        </w:tc>
        <w:tc>
          <w:tcPr>
            <w:tcW w:w="125" w:type="dxa"/>
            <w:tcBorders/>
            <w:shd w:fill="auto" w:val="clear"/>
            <w:vAlign w:val="bottom"/>
          </w:tcPr>
          <w:p>
            <w:pPr>
              <w:pStyle w:val="TableContents"/>
              <w:spacing w:before="0" w:after="283"/>
              <w:rPr>
                <w:sz w:val="4"/>
                <w:szCs w:val="4"/>
              </w:rPr>
            </w:pPr>
            <w:r>
              <w:rPr>
                <w:sz w:val="4"/>
                <w:szCs w:val="4"/>
              </w:rPr>
            </w:r>
          </w:p>
        </w:tc>
        <w:tc>
          <w:tcPr>
            <w:tcW w:w="9063" w:type="dxa"/>
            <w:tcBorders/>
            <w:shd w:fill="auto" w:val="clear"/>
            <w:vAlign w:val="center"/>
          </w:tcPr>
          <w:p>
            <w:pPr>
              <w:pStyle w:val="TableContents"/>
              <w:spacing w:before="0" w:after="283"/>
              <w:rPr>
                <w:sz w:val="4"/>
                <w:szCs w:val="4"/>
              </w:rPr>
            </w:pPr>
            <w:r>
              <w:rPr>
                <w:sz w:val="4"/>
                <w:szCs w:val="4"/>
              </w:rPr>
            </w:r>
          </w:p>
        </w:tc>
        <w:tc>
          <w:tcPr>
            <w:tcW w:w="173"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383"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TERMS AND DEFINITIONS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189</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INDEPENDENT GUARANTEE AND REIMBURSEMENT OF LOSSES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193</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3.</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REPRESENTATIONS OF GUARANTOR’S CIRCUMSTANCES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194</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4.</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OBLIGATIONS AND LIABILITY OF THE GUARANTOR</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197</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5.</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VALIDITY TERM</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210</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6.</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PAYMENT CLAIM, PAYMENTS, TAXES AND CURRENCY</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210</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7.</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NOTICES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212</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8.</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MISCELLANEOUS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214</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9.</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CLAIM ASSIGNMENT AND DEBT TRANSFER</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214</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10.</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APPLICABLE LAW</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215</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11.</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DISPUTE SETTLEMENT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215</w:t>
            </w:r>
          </w:p>
        </w:tc>
        <w:tc>
          <w:tcPr>
            <w:tcW w:w="63" w:type="dxa"/>
            <w:tcBorders/>
            <w:shd w:fill="auto" w:val="clear"/>
            <w:vAlign w:val="bottom"/>
          </w:tcPr>
          <w:p>
            <w:pPr>
              <w:pStyle w:val="TableContents"/>
              <w:spacing w:before="0" w:after="283"/>
              <w:rPr/>
            </w:pPr>
            <w:r>
              <w:rPr/>
              <w:t> </w:t>
            </w:r>
          </w:p>
        </w:tc>
      </w:tr>
      <w:tr>
        <w:trPr>
          <w:trHeight w:val="120" w:hRule="atLeast"/>
        </w:trPr>
        <w:tc>
          <w:tcPr>
            <w:tcW w:w="338" w:type="dxa"/>
            <w:tcBorders/>
            <w:shd w:fill="auto" w:val="clear"/>
            <w:vAlign w:val="center"/>
          </w:tcPr>
          <w:p>
            <w:pPr>
              <w:pStyle w:val="TableContents"/>
              <w:spacing w:before="0" w:after="283"/>
              <w:rPr>
                <w:sz w:val="4"/>
                <w:szCs w:val="4"/>
              </w:rPr>
            </w:pPr>
            <w:r>
              <w:rPr>
                <w:sz w:val="4"/>
                <w:szCs w:val="4"/>
              </w:rPr>
            </w:r>
          </w:p>
        </w:tc>
        <w:tc>
          <w:tcPr>
            <w:tcW w:w="9188" w:type="dxa"/>
            <w:gridSpan w:val="2"/>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338"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12.</w:t>
            </w:r>
          </w:p>
        </w:tc>
        <w:tc>
          <w:tcPr>
            <w:tcW w:w="125" w:type="dxa"/>
            <w:tcBorders/>
            <w:shd w:fill="auto" w:val="clear"/>
            <w:vAlign w:val="bottom"/>
          </w:tcPr>
          <w:p>
            <w:pPr>
              <w:pStyle w:val="TableContents"/>
              <w:spacing w:before="0" w:after="283"/>
              <w:rPr/>
            </w:pPr>
            <w:r>
              <w:rPr/>
              <w:t> </w:t>
            </w:r>
          </w:p>
        </w:tc>
        <w:tc>
          <w:tcPr>
            <w:tcW w:w="9063" w:type="dxa"/>
            <w:tcBorders/>
            <w:shd w:fill="auto" w:val="clear"/>
            <w:vAlign w:val="bottom"/>
          </w:tcPr>
          <w:p>
            <w:pPr>
              <w:pStyle w:val="TableContents"/>
              <w:spacing w:before="0" w:after="283"/>
              <w:rPr>
                <w:b/>
              </w:rPr>
            </w:pPr>
            <w:r>
              <w:rPr>
                <w:b/>
              </w:rPr>
              <w:t>COUNTERPARTS</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216</w:t>
            </w:r>
          </w:p>
        </w:tc>
        <w:tc>
          <w:tcPr>
            <w:tcW w:w="63" w:type="dxa"/>
            <w:tcBorders/>
            <w:shd w:fill="auto" w:val="clear"/>
            <w:vAlign w:val="bottom"/>
          </w:tcPr>
          <w:p>
            <w:pPr>
              <w:pStyle w:val="TableContents"/>
              <w:spacing w:before="0" w:after="283"/>
              <w:rPr/>
            </w:pPr>
            <w:r>
              <w:rPr/>
              <w:t> </w:t>
            </w:r>
          </w:p>
        </w:tc>
      </w:tr>
      <w:tr>
        <w:trPr>
          <w:trHeight w:val="120" w:hRule="atLeast"/>
        </w:trPr>
        <w:tc>
          <w:tcPr>
            <w:tcW w:w="9526" w:type="dxa"/>
            <w:gridSpan w:val="3"/>
            <w:tcBorders/>
            <w:shd w:fill="auto" w:val="clear"/>
            <w:vAlign w:val="center"/>
          </w:tcPr>
          <w:p>
            <w:pPr>
              <w:pStyle w:val="TableContents"/>
              <w:spacing w:before="0" w:after="283"/>
              <w:rPr>
                <w:sz w:val="4"/>
                <w:szCs w:val="4"/>
              </w:rPr>
            </w:pPr>
            <w:r>
              <w:rPr>
                <w:sz w:val="4"/>
                <w:szCs w:val="4"/>
              </w:rPr>
            </w:r>
          </w:p>
        </w:tc>
        <w:tc>
          <w:tcPr>
            <w:tcW w:w="679" w:type="dxa"/>
            <w:gridSpan w:val="4"/>
            <w:tcBorders/>
            <w:shd w:fill="auto" w:val="clear"/>
            <w:vAlign w:val="center"/>
          </w:tcPr>
          <w:p>
            <w:pPr>
              <w:pStyle w:val="TableContents"/>
              <w:spacing w:before="0" w:after="283"/>
              <w:rPr>
                <w:sz w:val="4"/>
                <w:szCs w:val="4"/>
              </w:rPr>
            </w:pPr>
            <w:r>
              <w:rPr>
                <w:sz w:val="4"/>
                <w:szCs w:val="4"/>
              </w:rPr>
            </w:r>
          </w:p>
        </w:tc>
      </w:tr>
      <w:tr>
        <w:trPr/>
        <w:tc>
          <w:tcPr>
            <w:tcW w:w="9526"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APPENDIX 1 TERMS OF THE LOAN AGREEMENT</w:t>
            </w:r>
          </w:p>
        </w:tc>
        <w:tc>
          <w:tcPr>
            <w:tcW w:w="17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383" w:type="dxa"/>
            <w:tcBorders/>
            <w:shd w:fill="auto" w:val="clear"/>
            <w:vAlign w:val="bottom"/>
          </w:tcPr>
          <w:p>
            <w:pPr>
              <w:pStyle w:val="TableContents"/>
              <w:spacing w:before="0" w:after="283"/>
              <w:jc w:val="right"/>
              <w:rPr>
                <w:b/>
              </w:rPr>
            </w:pPr>
            <w:r>
              <w:rPr>
                <w:b/>
              </w:rPr>
              <w:t>217</w:t>
            </w:r>
          </w:p>
        </w:tc>
        <w:tc>
          <w:tcPr>
            <w:tcW w:w="63"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INDEPENDENT GUARANTEE ISSUE AGREEMENT</w:t>
      </w:r>
      <w:r>
        <w:rPr>
          <w:rFonts w:ascii="Times New Roman" w:hAnsi="Times New Roman"/>
          <w:sz w:val="20"/>
        </w:rPr>
        <w:t xml:space="preserve"> (the “</w:t>
      </w:r>
      <w:r>
        <w:rPr>
          <w:rFonts w:ascii="Times New Roman" w:hAnsi="Times New Roman"/>
          <w:b/>
          <w:sz w:val="20"/>
        </w:rPr>
        <w:t>Agreement”</w:t>
      </w:r>
      <w:r>
        <w:rPr>
          <w:rFonts w:ascii="Times New Roman" w:hAnsi="Times New Roman"/>
          <w:sz w:val="20"/>
        </w:rPr>
        <w:t xml:space="preserve">) was executed on June 1, 2016,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w:t>
            </w:r>
          </w:p>
        </w:tc>
        <w:tc>
          <w:tcPr>
            <w:tcW w:w="9388" w:type="dxa"/>
            <w:tcBorders/>
            <w:shd w:fill="auto" w:val="clear"/>
          </w:tcPr>
          <w:p>
            <w:pPr>
              <w:pStyle w:val="TableContents"/>
              <w:spacing w:before="0" w:after="283"/>
              <w:jc w:val="left"/>
              <w:rPr/>
            </w:pPr>
            <w:r>
              <w:rPr>
                <w:b/>
              </w:rPr>
              <w:t xml:space="preserve">ZEMENIK TRADING LIMITED, </w:t>
            </w:r>
            <w:r>
              <w:rPr/>
              <w:t xml:space="preserve">a limited liability company incorporated under the laws of the Republic of Cyprus, registration number HE 332806, located at: 42 Dositheou, Strovolos 2028, Nicosia, Cyprus, represented by </w:t>
            </w:r>
            <w:r>
              <w:rPr>
                <w:b/>
              </w:rPr>
              <w:t>Aleksandr Arbuzov,</w:t>
            </w:r>
            <w:r>
              <w:rPr/>
              <w:t xml:space="preserve"> acting under the Articles of Association, as the guarantor hereunder (the “</w:t>
            </w:r>
            <w:r>
              <w:rPr>
                <w:b/>
              </w:rPr>
              <w:t>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w:t>
            </w:r>
          </w:p>
        </w:tc>
        <w:tc>
          <w:tcPr>
            <w:tcW w:w="9389" w:type="dxa"/>
            <w:tcBorders/>
            <w:shd w:fill="auto" w:val="clear"/>
          </w:tcPr>
          <w:p>
            <w:pPr>
              <w:pStyle w:val="TableContents"/>
              <w:spacing w:before="0" w:after="283"/>
              <w:jc w:val="left"/>
              <w:rPr/>
            </w:pPr>
            <w:r>
              <w:rPr>
                <w:b/>
              </w:rPr>
              <w:t>ZEMENIK LIMITED LIABILITY COMPANY,</w:t>
            </w:r>
            <w:r>
              <w:rPr/>
              <w:t xml:space="preserve">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125319, the Russian Federation, represented by </w:t>
            </w:r>
            <w:r>
              <w:rPr>
                <w:b/>
              </w:rPr>
              <w:t>Karen Eduardovich Agayan</w:t>
            </w:r>
            <w:r>
              <w:rPr/>
              <w:t>, acting under the Articles of Association, as the principal hereunder and the Borrower under the Loan Agreement (the “</w:t>
            </w:r>
            <w:r>
              <w:rPr>
                <w:b/>
              </w:rPr>
              <w:t>Borrower”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w:t>
            </w:r>
          </w:p>
        </w:tc>
        <w:tc>
          <w:tcPr>
            <w:tcW w:w="9389" w:type="dxa"/>
            <w:tcBorders/>
            <w:shd w:fill="auto" w:val="clear"/>
          </w:tcPr>
          <w:p>
            <w:pPr>
              <w:pStyle w:val="TableContents"/>
              <w:spacing w:before="0" w:after="283"/>
              <w:jc w:val="left"/>
              <w:rPr/>
            </w:pPr>
            <w:r>
              <w:rPr>
                <w:b/>
              </w:rPr>
              <w:t>BANK VTB (PUBLIC JOINT-STOCK COMPANY)</w:t>
            </w:r>
            <w:r>
              <w:rPr/>
              <w:t xml:space="preserve">, a public joint-stock company incorporated under the laws of the Russian Federation, registered in the Unified State Register of Legal Entities (EGRUL) under number (Primary State Registration Number (OGRN)): 1027739609391, located at: 29, Bolshaya Morskaya St., Saint Petersburg, the Russian Federation, 190000, represented by </w:t>
            </w:r>
            <w:r>
              <w:rPr>
                <w:b/>
              </w:rPr>
              <w:t>Vitaly Nikolaevich Buzoverya</w:t>
            </w:r>
            <w:r>
              <w:rPr/>
              <w:t xml:space="preserve">, acting under Power of Attorney 350000/25 </w:t>
            </w:r>
            <w:r>
              <w:rPr/>
              <w:drawing>
                <wp:inline distT="0" distB="0" distL="0" distR="0">
                  <wp:extent cx="123825" cy="133350"/>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link="rId44"/>
                          <a:stretch>
                            <a:fillRect/>
                          </a:stretch>
                        </pic:blipFill>
                        <pic:spPr bwMode="auto">
                          <a:xfrm>
                            <a:off x="0" y="0"/>
                            <a:ext cx="123825" cy="133350"/>
                          </a:xfrm>
                          <a:prstGeom prst="rect">
                            <a:avLst/>
                          </a:prstGeom>
                          <a:noFill/>
                          <a:ln w="9525">
                            <a:noFill/>
                            <a:miter lim="800000"/>
                            <a:headEnd/>
                            <a:tailEnd/>
                          </a:ln>
                        </pic:spPr>
                      </pic:pic>
                    </a:graphicData>
                  </a:graphic>
                </wp:inline>
              </w:drawing>
            </w:r>
            <w:r>
              <w:rPr/>
              <w:t xml:space="preserve"> , certified on January 14, 2016, under register number 2-25, as the beneficiary under this Agreement and the Credit Agent, Organizer and Original Lender under the Loan Agreement (the “</w:t>
            </w:r>
            <w:r>
              <w:rPr>
                <w:b/>
              </w:rPr>
              <w:t>Original Lender</w:t>
            </w:r>
            <w:r>
              <w:rPr/>
              <w:t>” and the “</w:t>
            </w:r>
            <w:r>
              <w:rPr>
                <w:b/>
              </w:rPr>
              <w:t>Credit Agent</w:t>
            </w:r>
            <w:r>
              <w:rPr/>
              <w:t xml:space="preserve">”) </w:t>
            </w:r>
          </w:p>
        </w:tc>
      </w:tr>
    </w:tbl>
    <w:p>
      <w:pPr>
        <w:pStyle w:val="TextBody"/>
        <w:spacing w:before="240" w:after="0"/>
        <w:rPr>
          <w:rFonts w:ascii="Times New Roman" w:hAnsi="Times New Roman"/>
          <w:sz w:val="20"/>
        </w:rPr>
      </w:pPr>
      <w:r>
        <w:rPr>
          <w:rFonts w:ascii="Times New Roman" w:hAnsi="Times New Roman"/>
          <w:b/>
          <w:sz w:val="20"/>
        </w:rPr>
        <w:t>The Guarantor, the Borrower and the Original Lender</w:t>
      </w:r>
      <w:r>
        <w:rPr>
          <w:rFonts w:ascii="Times New Roman" w:hAnsi="Times New Roman"/>
          <w:sz w:val="20"/>
        </w:rPr>
        <w:t xml:space="preserve"> shall hereinafter be referred to as the “</w:t>
      </w:r>
      <w:r>
        <w:rPr>
          <w:rFonts w:ascii="Times New Roman" w:hAnsi="Times New Roman"/>
          <w:b/>
          <w:sz w:val="20"/>
        </w:rPr>
        <w:t>Parties</w:t>
      </w:r>
      <w:r>
        <w:rPr>
          <w:rFonts w:ascii="Times New Roman" w:hAnsi="Times New Roman"/>
          <w:sz w:val="20"/>
        </w:rPr>
        <w:t>”, and individually as a “</w:t>
      </w:r>
      <w:r>
        <w:rPr>
          <w:rFonts w:ascii="Times New Roman" w:hAnsi="Times New Roman"/>
          <w:b/>
          <w:sz w:val="20"/>
        </w:rPr>
        <w:t>Party</w:t>
      </w:r>
      <w:r>
        <w:rPr>
          <w:rFonts w:ascii="Times New Roman" w:hAnsi="Times New Roman"/>
          <w:sz w:val="20"/>
        </w:rPr>
        <w:t xml:space="preserve">”. </w:t>
      </w:r>
    </w:p>
    <w:p>
      <w:pPr>
        <w:pStyle w:val="TextBody"/>
        <w:spacing w:before="24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According to the Loan Agreement, the Original Lender agrees to grant the Borrower funds in Rubles in an aggregate amount not exceeding RUB 7,000,000,000 (seven billion Rubles) on the terms and conditions stipulated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One of the preconditions for granting of the Loan to the Borrower under the Loan Agreement is execution of this Agreement and issue of the Guarantee by the Guarantor in favor of the Original Lender.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This Agreement and the Guarantee are Financial Documents as defined in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(D)</w:t>
            </w:r>
          </w:p>
        </w:tc>
        <w:tc>
          <w:tcPr>
            <w:tcW w:w="9388" w:type="dxa"/>
            <w:tcBorders/>
            <w:shd w:fill="auto" w:val="clear"/>
          </w:tcPr>
          <w:p>
            <w:pPr>
              <w:pStyle w:val="TableContents"/>
              <w:spacing w:before="0" w:after="283"/>
              <w:jc w:val="left"/>
              <w:rPr/>
            </w:pPr>
            <w:r>
              <w:rPr/>
              <w:t xml:space="preserve">The Guarantor hereby confirms that it is aware of all the terms and conditions of the Loan Agreement and does not have the right to invoke the fact that it was not aware of such terms and conditions of the Loan Agreement. </w:t>
            </w:r>
          </w:p>
        </w:tc>
      </w:tr>
    </w:tbl>
    <w:p>
      <w:pPr>
        <w:pStyle w:val="TextBody"/>
        <w:spacing w:before="24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the Parties have agreed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b/>
              </w:rPr>
            </w:pPr>
            <w:r>
              <w:rPr>
                <w:b/>
              </w:rPr>
              <w:t>1.</w:t>
            </w:r>
          </w:p>
        </w:tc>
        <w:tc>
          <w:tcPr>
            <w:tcW w:w="9698" w:type="dxa"/>
            <w:tcBorders/>
            <w:shd w:fill="auto" w:val="clear"/>
          </w:tcPr>
          <w:p>
            <w:pPr>
              <w:pStyle w:val="TableContents"/>
              <w:spacing w:before="0" w:after="283"/>
              <w:jc w:val="left"/>
              <w:rPr>
                <w:b/>
              </w:rPr>
            </w:pPr>
            <w:r>
              <w:rPr>
                <w:b/>
              </w:rPr>
              <w:t xml:space="preserve">TERMS AND DEFINITIONS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All capitalized terms used in this Agreement (including the Preamble) have the meanings specified in the Loan Agreement (the definitions for the terms of the Loan Agreement are contained in Appendix 1 (</w:t>
      </w:r>
      <w:r>
        <w:rPr>
          <w:rFonts w:ascii="Times New Roman" w:hAnsi="Times New Roman"/>
          <w:i/>
          <w:sz w:val="20"/>
        </w:rPr>
        <w:t>Terms of the Loan Agreement</w:t>
      </w:r>
      <w:r>
        <w:rPr>
          <w:rFonts w:ascii="Times New Roman" w:hAnsi="Times New Roman"/>
          <w:sz w:val="20"/>
        </w:rPr>
        <w:t xml:space="preserve">)) unless the Agreement or the context requires otherwise, while: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Reimbursement for the Amounts Paid under the Guarantee” </w:t>
      </w:r>
      <w:r>
        <w:rPr>
          <w:rFonts w:ascii="Times New Roman" w:hAnsi="Times New Roman"/>
          <w:sz w:val="20"/>
        </w:rPr>
        <w:t xml:space="preserve">means reimbursement by the Borrower to the Guarantor for amounts paid by the Guarantor in connection with the performance of its obligations under the Guarantee and (or) under this Agreement, in accordance with paragraph 1 Article 379 of the Civil Code. </w:t>
      </w:r>
    </w:p>
    <w:p>
      <w:pPr>
        <w:pStyle w:val="TextBody"/>
        <w:spacing w:before="120" w:after="0"/>
        <w:rPr/>
      </w:pPr>
      <w:r>
        <w:rPr/>
        <w:t>“</w:t>
      </w:r>
      <w:r>
        <w:rPr>
          <w:rFonts w:ascii="Times New Roman" w:hAnsi="Times New Roman"/>
          <w:b/>
          <w:sz w:val="20"/>
        </w:rPr>
        <w:t xml:space="preserve">Guarantee” </w:t>
      </w:r>
      <w:r>
        <w:rPr>
          <w:rFonts w:ascii="Times New Roman" w:hAnsi="Times New Roman"/>
          <w:sz w:val="20"/>
        </w:rPr>
        <w:t xml:space="preserve">means an independent guarantee issued by the Guarantor at the request of the Borrower to the Original Lender on the Issue Date in accordance with the terms and conditions of this Agreement in the form and content as satisfactory to the Original Lender. </w:t>
      </w:r>
    </w:p>
    <w:p>
      <w:pPr>
        <w:pStyle w:val="TextBody"/>
        <w:spacing w:before="120" w:after="0"/>
        <w:rPr/>
      </w:pPr>
      <w:r>
        <w:rPr/>
        <w:t>“</w:t>
      </w:r>
      <w:r>
        <w:rPr>
          <w:rFonts w:ascii="Times New Roman" w:hAnsi="Times New Roman"/>
          <w:b/>
          <w:sz w:val="20"/>
        </w:rPr>
        <w:t xml:space="preserve">Issue Date” </w:t>
      </w:r>
      <w:r>
        <w:rPr>
          <w:rFonts w:ascii="Times New Roman" w:hAnsi="Times New Roman"/>
          <w:sz w:val="20"/>
        </w:rPr>
        <w:t xml:space="preserve">means such date of issue of the Guarantee as specified in the Guarantee. </w:t>
      </w:r>
    </w:p>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means a syndicated loan agreement concluded on May 16, 2016, between the Original Lender as the Credit Agent, Organizer and Original Lender and the Borrower as the Borrower in an aggregate amount not exceeding RUB 7,000,000,000 (seven billion Rubles) as amended by Amendment Agreement No. 1 dated December 14, 2016, and Amendment Agreement No. 2 dated June 28, 2017, and Amendment Agreement No. 3. </w:t>
      </w:r>
    </w:p>
    <w:p>
      <w:pPr>
        <w:pStyle w:val="TextBody"/>
        <w:spacing w:before="120" w:after="0"/>
        <w:rPr/>
      </w:pPr>
      <w:r>
        <w:rPr/>
        <w:t>“</w:t>
      </w:r>
      <w:r>
        <w:rPr>
          <w:rFonts w:ascii="Times New Roman" w:hAnsi="Times New Roman"/>
          <w:b/>
          <w:sz w:val="20"/>
        </w:rPr>
        <w:t>Secured Obligations”</w:t>
      </w:r>
      <w:r>
        <w:rPr>
          <w:rFonts w:ascii="Times New Roman" w:hAnsi="Times New Roman"/>
          <w:sz w:val="20"/>
        </w:rPr>
        <w:t xml:space="preserve"> means all current and future pecuniary obligations of the Borrower to the Lenders under the Loan Agreement (taking into account all amendments to the Loan Agreement and all provided preliminary consents and waivers of the Lenders under the Loan Agreement), including the Borrower’s obligations regarding: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payment of an aggregate principal of the Loan not exceeding RUB 7,000,000,000 (Seven billion Rubles)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payment of interest due under Article 9 (</w:t>
            </w:r>
            <w:r>
              <w:rPr>
                <w:i/>
              </w:rPr>
              <w:t>Interest</w:t>
            </w:r>
            <w:r>
              <w:rPr/>
              <w:t xml:space="preserve">) of the Loan Agreement at an annual interest rate equal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7"/>
        <w:gridCol w:w="6636"/>
      </w:tblGrid>
      <w:tr>
        <w:trPr/>
        <w:tc>
          <w:tcPr>
            <w:tcW w:w="265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5"/>
        <w:gridCol w:w="6636"/>
      </w:tblGrid>
      <w:tr>
        <w:trPr/>
        <w:tc>
          <w:tcPr>
            <w:tcW w:w="265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6636"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69"/>
        <w:gridCol w:w="817"/>
        <w:gridCol w:w="5818"/>
      </w:tblGrid>
      <w:tr>
        <w:trPr/>
        <w:tc>
          <w:tcPr>
            <w:tcW w:w="3569" w:type="dxa"/>
            <w:tcBorders/>
            <w:shd w:fill="auto" w:val="clear"/>
            <w:vAlign w:val="center"/>
          </w:tcPr>
          <w:p>
            <w:pPr>
              <w:pStyle w:val="TableContents"/>
              <w:spacing w:before="0" w:after="283"/>
              <w:rPr/>
            </w:pPr>
            <w:r>
              <w:rPr/>
              <w:t> </w:t>
            </w:r>
          </w:p>
        </w:tc>
        <w:tc>
          <w:tcPr>
            <w:tcW w:w="817" w:type="dxa"/>
            <w:tcBorders/>
            <w:shd w:fill="auto" w:val="clear"/>
          </w:tcPr>
          <w:p>
            <w:pPr>
              <w:pStyle w:val="TableContents"/>
              <w:spacing w:before="0" w:after="283"/>
              <w:jc w:val="left"/>
              <w:rPr/>
            </w:pPr>
            <w:r>
              <w:rPr/>
              <w:t>1)</w:t>
            </w:r>
          </w:p>
        </w:tc>
        <w:tc>
          <w:tcPr>
            <w:tcW w:w="5818"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2"/>
        <w:gridCol w:w="815"/>
        <w:gridCol w:w="5817"/>
      </w:tblGrid>
      <w:tr>
        <w:trPr/>
        <w:tc>
          <w:tcPr>
            <w:tcW w:w="3572"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w:t>
            </w:r>
          </w:p>
        </w:tc>
        <w:tc>
          <w:tcPr>
            <w:tcW w:w="5817"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payment of a penalty according to Article 9.4 (</w:t>
            </w:r>
            <w:r>
              <w:rPr>
                <w:i/>
              </w:rPr>
              <w:t>Penalty</w:t>
            </w:r>
            <w:r>
              <w:rPr/>
              <w:t>) of the Loan Agreement due if the Borrower fails to timely fulfill an obligation of payment of any amount due under the Financial Document; such penalty being 2/365 interest rate established under Article 9.1 (</w:t>
            </w:r>
            <w:r>
              <w:rPr>
                <w:i/>
              </w:rPr>
              <w:t>Interest Calculation</w:t>
            </w:r>
            <w:r>
              <w:rPr/>
              <w:t>) of the Loan Agreement taking into account the provisions of Article 9.2 (</w:t>
            </w:r>
            <w:r>
              <w:rPr>
                <w:i/>
              </w:rPr>
              <w:t>Margin Adjustment</w:t>
            </w:r>
            <w:r>
              <w:rPr/>
              <w:t xml:space="preserve">) 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6" w:type="dxa"/>
            <w:tcBorders/>
            <w:shd w:fill="auto" w:val="clear"/>
          </w:tcPr>
          <w:p>
            <w:pPr>
              <w:pStyle w:val="TableContents"/>
              <w:spacing w:before="0" w:after="283"/>
              <w:jc w:val="left"/>
              <w:rPr/>
            </w:pPr>
            <w:r>
              <w:rPr/>
              <w:t>payment of reimbursement for funds available for granting the Loan under Article 11.1 (</w:t>
            </w:r>
            <w:r>
              <w:rPr>
                <w:i/>
              </w:rPr>
              <w:t>Fee for the Obligation under the 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such consideration being accrued for the Disbursement Period of Tranche A and the Disbursement Period of Tranche B, respectively, and paid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in respect of the Unused Loan Limit of Tranche B, on the last Business Day of each calendar month within the Disbursement Period of Tranche B or on the last day of the Disbursement Period of Tranche B, whichever occurs first. </w:t>
            </w:r>
          </w:p>
        </w:tc>
      </w:tr>
    </w:tbl>
    <w:p>
      <w:pPr>
        <w:pStyle w:val="TextBody"/>
        <w:spacing w:before="120" w:after="0"/>
        <w:rPr>
          <w:rFonts w:ascii="Times New Roman" w:hAnsi="Times New Roman"/>
          <w:sz w:val="20"/>
        </w:rPr>
      </w:pPr>
      <w:r>
        <w:rPr>
          <w:rFonts w:ascii="Times New Roman" w:hAnsi="Times New Roman"/>
          <w:sz w:val="20"/>
        </w:rPr>
        <w:t xml:space="preserve">A fee for the obligation of granting of the Loan shall not apply to the Unused Loan Limit in terms of Tranche B and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payment of a Lenders’ consideration for granting the Loan under Article 11.2 (</w:t>
            </w:r>
            <w:r>
              <w:rPr>
                <w:i/>
              </w:rPr>
              <w:t>Loan Extension Fee</w:t>
            </w:r>
            <w:r>
              <w:rPr/>
              <w:t xml:space="preserve">) 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0.25 (zero point two five) percent of Tranche D prior to the Disbursement Date of a respective Tranche;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reimbursement to the Parties to the Financing for any costs or losses to be reimbursed under Articles 14.1 (</w:t>
            </w:r>
            <w:r>
              <w:rPr>
                <w:i/>
              </w:rPr>
              <w:t>Reimbursement for Currency Costs</w:t>
            </w:r>
            <w:r>
              <w:rPr/>
              <w:t>), 14.3 (</w:t>
            </w:r>
            <w:r>
              <w:rPr>
                <w:i/>
              </w:rPr>
              <w:t>Reimbursement for Costs of the Credit Agent</w:t>
            </w:r>
            <w:r>
              <w:rPr/>
              <w:t>) and 14.4 (</w:t>
            </w:r>
            <w:r>
              <w:rPr>
                <w:i/>
              </w:rPr>
              <w:t>Transaction-Related Costs</w:t>
            </w:r>
            <w:r>
              <w:rPr/>
              <w:t>), 14.5 (</w:t>
            </w:r>
            <w:r>
              <w:rPr>
                <w:i/>
              </w:rPr>
              <w:t>Amendment Costs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incurred by a Party to the Financing because of a mandatory performance of any Financial Document or protection of its rights under the Financial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t>reimbursement to the Parties to the Financing for any expenses under Article 14.2 (</w:t>
            </w:r>
            <w:r>
              <w:rPr>
                <w:i/>
              </w:rPr>
              <w:t>Reimbursement for Other Costs</w:t>
            </w:r>
            <w:r>
              <w:rPr/>
              <w:t xml:space="preserve">) of the Loan Agreement incurred by a Party to the Financing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occurrence of the Event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impossibility to grant the Loan to the Borrower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Borrower’s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3" w:type="dxa"/>
            <w:tcBorders/>
            <w:shd w:fill="auto" w:val="clear"/>
          </w:tcPr>
          <w:p>
            <w:pPr>
              <w:pStyle w:val="TableContents"/>
              <w:spacing w:before="0" w:after="283"/>
              <w:jc w:val="left"/>
              <w:rPr/>
            </w:pPr>
            <w:r>
              <w:rPr/>
              <w:t xml:space="preserve">full return of any funds obtained by the Borrower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120" w:after="0"/>
        <w:rPr/>
      </w:pPr>
      <w:r>
        <w:rPr/>
        <w:t>“</w:t>
      </w:r>
      <w:r>
        <w:rPr>
          <w:rFonts w:ascii="Times New Roman" w:hAnsi="Times New Roman"/>
          <w:b/>
          <w:sz w:val="20"/>
        </w:rPr>
        <w:t>Event of Default</w:t>
      </w:r>
      <w:r>
        <w:rPr>
          <w:rFonts w:ascii="Times New Roman" w:hAnsi="Times New Roman"/>
          <w:sz w:val="20"/>
        </w:rPr>
        <w:t>” means any event or circumstance specified in Article 21 (</w:t>
      </w:r>
      <w:r>
        <w:rPr>
          <w:rFonts w:ascii="Times New Roman" w:hAnsi="Times New Roman"/>
          <w:i/>
          <w:sz w:val="20"/>
        </w:rPr>
        <w:t>Events of Default</w:t>
      </w:r>
      <w:r>
        <w:rPr>
          <w:rFonts w:ascii="Times New Roman" w:hAnsi="Times New Roman"/>
          <w:sz w:val="20"/>
        </w:rPr>
        <w:t xml:space="preserve">) of the Loan Agreement.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to the Loan Agreement dated October </w:t>
      </w:r>
      <w:r>
        <w:rPr>
          <w:rFonts w:ascii="Times New Roman" w:hAnsi="Times New Roman"/>
          <w:sz w:val="20"/>
          <w:u w:val="single"/>
        </w:rPr>
        <w:t>5</w:t>
      </w:r>
      <w:r>
        <w:rPr>
          <w:rFonts w:ascii="Times New Roman" w:hAnsi="Times New Roman"/>
          <w:sz w:val="20"/>
        </w:rPr>
        <w:t xml:space="preserve">, 2017. </w:t>
      </w:r>
    </w:p>
    <w:p>
      <w:pPr>
        <w:pStyle w:val="TextBody"/>
        <w:spacing w:before="120" w:after="0"/>
        <w:rPr/>
      </w:pPr>
      <w:r>
        <w:rPr/>
        <w:t>“</w:t>
      </w:r>
      <w:r>
        <w:rPr>
          <w:rFonts w:ascii="Times New Roman" w:hAnsi="Times New Roman"/>
          <w:b/>
          <w:sz w:val="20"/>
        </w:rPr>
        <w:t>Guarantee Validity Term”</w:t>
      </w:r>
      <w:r>
        <w:rPr>
          <w:rFonts w:ascii="Times New Roman" w:hAnsi="Times New Roman"/>
          <w:sz w:val="20"/>
        </w:rPr>
        <w:t xml:space="preserve"> means a period from the Issue Date to the date specified in Article 5.1 (</w:t>
      </w:r>
      <w:r>
        <w:rPr>
          <w:rFonts w:ascii="Times New Roman" w:hAnsi="Times New Roman"/>
          <w:i/>
          <w:sz w:val="20"/>
        </w:rPr>
        <w:t>Validity Term</w:t>
      </w:r>
      <w:r>
        <w:rPr>
          <w:rFonts w:ascii="Times New Roman" w:hAnsi="Times New Roman"/>
          <w:sz w:val="20"/>
        </w:rPr>
        <w:t xml:space="preserve">). </w:t>
      </w:r>
    </w:p>
    <w:p>
      <w:pPr>
        <w:pStyle w:val="TextBody"/>
        <w:spacing w:before="120" w:after="0"/>
        <w:rPr/>
      </w:pPr>
      <w:r>
        <w:rPr/>
        <w:t>“</w:t>
      </w:r>
      <w:r>
        <w:rPr>
          <w:rFonts w:ascii="Times New Roman" w:hAnsi="Times New Roman"/>
          <w:b/>
          <w:sz w:val="20"/>
        </w:rPr>
        <w:t>Guarantee Amount”</w:t>
      </w:r>
      <w:r>
        <w:rPr>
          <w:rFonts w:ascii="Times New Roman" w:hAnsi="Times New Roman"/>
          <w:sz w:val="20"/>
        </w:rPr>
        <w:t xml:space="preserve"> means an amount of RUB 10,300,000,000 (ten billion three hundred million Rubles). </w:t>
      </w:r>
    </w:p>
    <w:p>
      <w:pPr>
        <w:pStyle w:val="TextBody"/>
        <w:spacing w:before="120" w:after="0"/>
        <w:rPr/>
      </w:pPr>
      <w:r>
        <w:rPr/>
        <w:t>“</w:t>
      </w:r>
      <w:r>
        <w:rPr>
          <w:rFonts w:ascii="Times New Roman" w:hAnsi="Times New Roman"/>
          <w:b/>
          <w:sz w:val="20"/>
        </w:rPr>
        <w:t>Payment Claim”</w:t>
      </w:r>
      <w:r>
        <w:rPr>
          <w:rFonts w:ascii="Times New Roman" w:hAnsi="Times New Roman"/>
          <w:sz w:val="20"/>
        </w:rPr>
        <w:t xml:space="preserve"> means a written notice which is sent by the Original Lender (or by the Credit Agent acting on behalf of the Lenders, after accession of rights (claims) under this Agreement and the Guarantee according to Article 9.2 (</w:t>
      </w:r>
      <w:r>
        <w:rPr>
          <w:rFonts w:ascii="Times New Roman" w:hAnsi="Times New Roman"/>
          <w:i/>
          <w:sz w:val="20"/>
        </w:rPr>
        <w:t>Transfer Rights by the Lenders</w:t>
      </w:r>
      <w:r>
        <w:rPr>
          <w:rFonts w:ascii="Times New Roman" w:hAnsi="Times New Roman"/>
          <w:sz w:val="20"/>
        </w:rPr>
        <w:t xml:space="preserve">)) to the Guarantor and contains: (i) an indication of a particular violation of the Secured Obligations entailing payment under the Guarantee; (ii) a claim for the Guarantor to make payments provided for by this Agreement and the Guarantee within such amount and period as specified in such notice, as well as details of the bank account to which the Guarantor shall make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this Agreement, unless the context requires otherwise: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until the Original Lender assigns its rights (claims) under this Agreement and the Guarantee to any person to whom it assigns its rights under the Loan Agreement pursuant to Article 9.2 (</w:t>
            </w:r>
            <w:r>
              <w:rPr>
                <w:i/>
              </w:rPr>
              <w:t>Transfer of Rights by the Lenders</w:t>
            </w:r>
            <w:r>
              <w:rPr/>
              <w:t xml:space="preserve">), all references to the Credit Agent and the Lenders shall mean references to the Original Lender. For the avoidance of doubt, this Clause (a) does not limit the obligations of the Guarantor provided for by Clause (b) of Article 9.2;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a reference to the Credit Agent, the Organizer, the Financing Party, the Original Lender, the Lender, the Borrower, the Guarantor or a Party also implies a reference to their successors by virtue of law, the Loan Agreement or this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6" w:type="dxa"/>
            <w:tcBorders/>
            <w:shd w:fill="auto" w:val="clear"/>
          </w:tcPr>
          <w:p>
            <w:pPr>
              <w:pStyle w:val="TableContents"/>
              <w:spacing w:before="0" w:after="283"/>
              <w:jc w:val="left"/>
              <w:rPr/>
            </w:pPr>
            <w:r>
              <w:rPr/>
              <w:t xml:space="preserve">a document in a harmonized form means a document agreed in writing by the Credit Agent and the Guarantor or a document drawn up in a form acceptable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assets include existing or future property, income and rights of any kind;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w:t>
            </w:r>
          </w:p>
        </w:tc>
        <w:tc>
          <w:tcPr>
            <w:tcW w:w="7555" w:type="dxa"/>
            <w:tcBorders/>
            <w:shd w:fill="auto" w:val="clear"/>
          </w:tcPr>
          <w:p>
            <w:pPr>
              <w:pStyle w:val="TableContents"/>
              <w:spacing w:before="0" w:after="283"/>
              <w:jc w:val="left"/>
              <w:rPr/>
            </w:pPr>
            <w:r>
              <w:rPr/>
              <w:t xml:space="preserve">a reference to the Financial Document or another agreement, document or financial instrument implies such Financial Document or another agreement, document or financial instrument as amended from time to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(vi)</w:t>
            </w:r>
          </w:p>
        </w:tc>
        <w:tc>
          <w:tcPr>
            <w:tcW w:w="7553" w:type="dxa"/>
            <w:tcBorders/>
            <w:shd w:fill="auto" w:val="clear"/>
          </w:tcPr>
          <w:p>
            <w:pPr>
              <w:pStyle w:val="TableContents"/>
              <w:spacing w:before="0" w:after="283"/>
              <w:jc w:val="left"/>
              <w:rPr/>
            </w:pPr>
            <w:r>
              <w:rPr/>
              <w:t xml:space="preserve">a person includes any individual, legal entity, governmental authority, government or state;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(vii)</w:t>
            </w:r>
          </w:p>
        </w:tc>
        <w:tc>
          <w:tcPr>
            <w:tcW w:w="7552" w:type="dxa"/>
            <w:tcBorders/>
            <w:shd w:fill="auto" w:val="clear"/>
          </w:tcPr>
          <w:p>
            <w:pPr>
              <w:pStyle w:val="TableContents"/>
              <w:spacing w:before="0" w:after="283"/>
              <w:jc w:val="left"/>
              <w:rPr/>
            </w:pPr>
            <w:r>
              <w:rPr/>
              <w:t>“</w:t>
            </w:r>
            <w:r>
              <w:rPr/>
              <w:t xml:space="preserve">laws” means any law, ordinance, decree, order, resolution, provision, rule, commissioner orders, requirements or recommendations of any legislative or executive state, municipal, interstate or international authority, ministry, department, service, agency or committee or any judicial body, as well as standards and rules of self-regulatory organizations that are mandatory for members of such self-regulating organizations (exclusively with respect to members of such self-regulating organizations);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(viii)</w:t>
            </w:r>
          </w:p>
        </w:tc>
        <w:tc>
          <w:tcPr>
            <w:tcW w:w="7552" w:type="dxa"/>
            <w:tcBorders/>
            <w:shd w:fill="auto" w:val="clear"/>
          </w:tcPr>
          <w:p>
            <w:pPr>
              <w:pStyle w:val="TableContents"/>
              <w:spacing w:before="0" w:after="283"/>
              <w:jc w:val="left"/>
              <w:rPr/>
            </w:pPr>
            <w:r>
              <w:rPr/>
              <w:t xml:space="preserve">a reference to a legislative provision means a reference to such a provision as amended from time to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(ix)</w:t>
            </w:r>
          </w:p>
        </w:tc>
        <w:tc>
          <w:tcPr>
            <w:tcW w:w="7554" w:type="dxa"/>
            <w:tcBorders/>
            <w:shd w:fill="auto" w:val="clear"/>
          </w:tcPr>
          <w:p>
            <w:pPr>
              <w:pStyle w:val="TableContents"/>
              <w:spacing w:before="0" w:after="283"/>
              <w:jc w:val="left"/>
              <w:rPr/>
            </w:pPr>
            <w:r>
              <w:rPr/>
              <w:t xml:space="preserve">it is understood that the words “include” and “including”, as well as the expression “inter alia” are accompanied by the words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(x)</w:t>
            </w:r>
          </w:p>
        </w:tc>
        <w:tc>
          <w:tcPr>
            <w:tcW w:w="7555" w:type="dxa"/>
            <w:tcBorders/>
            <w:shd w:fill="auto" w:val="clear"/>
          </w:tcPr>
          <w:p>
            <w:pPr>
              <w:pStyle w:val="TableContents"/>
              <w:spacing w:before="0" w:after="283"/>
              <w:jc w:val="left"/>
              <w:rPr/>
            </w:pPr>
            <w:r>
              <w:rPr/>
              <w:t xml:space="preserve">Article, Sub-Clause, Clause or Appendix means a reference to an Article, Sub-Clause, Clause of this Agreement or an Appendix hereto;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(xi)</w:t>
            </w:r>
          </w:p>
        </w:tc>
        <w:tc>
          <w:tcPr>
            <w:tcW w:w="7555" w:type="dxa"/>
            <w:tcBorders/>
            <w:shd w:fill="auto" w:val="clear"/>
          </w:tcPr>
          <w:p>
            <w:pPr>
              <w:pStyle w:val="TableContents"/>
              <w:spacing w:before="0" w:after="283"/>
              <w:jc w:val="left"/>
              <w:rPr/>
            </w:pPr>
            <w:r>
              <w:rPr/>
              <w:t xml:space="preserve">an indication of time means Moscow time, unless otherwise specifically indicated in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(xii)</w:t>
            </w:r>
          </w:p>
        </w:tc>
        <w:tc>
          <w:tcPr>
            <w:tcW w:w="7551" w:type="dxa"/>
            <w:tcBorders/>
            <w:shd w:fill="auto" w:val="clear"/>
          </w:tcPr>
          <w:p>
            <w:pPr>
              <w:pStyle w:val="TableContents"/>
              <w:spacing w:before="0" w:after="283"/>
              <w:jc w:val="left"/>
              <w:rPr/>
            </w:pPr>
            <w:r>
              <w:rPr/>
              <w:t>the term “</w:t>
            </w:r>
            <w:r>
              <w:rPr>
                <w:b/>
              </w:rPr>
              <w:t>debt</w:t>
            </w:r>
            <w:r>
              <w:rPr/>
              <w:t xml:space="preserve">” includes any obligation (including, but not limited to a guarantee-based obligation) to pay or return cash, including, but not limited to any contingent transaction;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(xiii)</w:t>
            </w:r>
          </w:p>
        </w:tc>
        <w:tc>
          <w:tcPr>
            <w:tcW w:w="7553" w:type="dxa"/>
            <w:tcBorders/>
            <w:shd w:fill="auto" w:val="clear"/>
          </w:tcPr>
          <w:p>
            <w:pPr>
              <w:pStyle w:val="TableContents"/>
              <w:spacing w:before="0" w:after="283"/>
              <w:jc w:val="left"/>
              <w:rPr/>
            </w:pPr>
            <w:r>
              <w:rPr/>
              <w:t xml:space="preserve">a reference to the Lenders is a reference to all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headings in this Agreement shall not be deemed as affecting its 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w:t>
            </w:r>
          </w:p>
        </w:tc>
        <w:tc>
          <w:tcPr>
            <w:tcW w:w="9390" w:type="dxa"/>
            <w:tcBorders/>
            <w:shd w:fill="auto" w:val="clear"/>
          </w:tcPr>
          <w:p>
            <w:pPr>
              <w:pStyle w:val="TableContents"/>
              <w:spacing w:before="0" w:after="283"/>
              <w:jc w:val="left"/>
              <w:rPr>
                <w:b/>
              </w:rPr>
            </w:pPr>
            <w:r>
              <w:rPr>
                <w:b/>
              </w:rPr>
              <w:t xml:space="preserve">INDEPENDENT GUARANTEE AND REIMBURSEMENT OF LOSSES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w:t>
            </w:r>
          </w:p>
        </w:tc>
        <w:tc>
          <w:tcPr>
            <w:tcW w:w="9388" w:type="dxa"/>
            <w:tcBorders/>
            <w:shd w:fill="auto" w:val="clear"/>
          </w:tcPr>
          <w:p>
            <w:pPr>
              <w:pStyle w:val="TableContents"/>
              <w:spacing w:before="0" w:after="283"/>
              <w:jc w:val="left"/>
              <w:rPr/>
            </w:pPr>
            <w:r>
              <w:rPr>
                <w:b/>
              </w:rPr>
              <w:t>Independent Guarantee</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at the request of the Borrower, issue a Guarantee and hereby undertakes to pay such amount within the Guarantee Amount as specified in the Payment Claim to the Original Lender (or to pay such amount to the Credit Agent for distribution among the Lenders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if the Borrower fails to fulfill the Secured Obligations, regardless of the validity of the Loan Agreement, the Secured Obligations, as well as relations between the Guarantor and the Borrower, and other obligations.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2.2.</w:t>
            </w:r>
          </w:p>
        </w:tc>
        <w:tc>
          <w:tcPr>
            <w:tcW w:w="9390" w:type="dxa"/>
            <w:tcBorders/>
            <w:shd w:fill="auto" w:val="clear"/>
          </w:tcPr>
          <w:p>
            <w:pPr>
              <w:pStyle w:val="TableContents"/>
              <w:spacing w:before="0" w:after="283"/>
              <w:jc w:val="left"/>
              <w:rPr/>
            </w:pPr>
            <w:r>
              <w:rPr>
                <w:b/>
              </w:rPr>
              <w:t>Reimbursement for Losses</w:t>
            </w:r>
            <w:r>
              <w:rPr/>
              <w:t xml:space="preserve"> </w:t>
            </w:r>
          </w:p>
        </w:tc>
      </w:tr>
    </w:tbl>
    <w:p>
      <w:pPr>
        <w:pStyle w:val="TextBody"/>
        <w:spacing w:before="120" w:after="0"/>
        <w:rPr>
          <w:rFonts w:ascii="Times New Roman" w:hAnsi="Times New Roman"/>
          <w:sz w:val="20"/>
        </w:rPr>
      </w:pPr>
      <w:r>
        <w:rPr>
          <w:rFonts w:ascii="Times New Roman" w:hAnsi="Times New Roman"/>
          <w:sz w:val="20"/>
        </w:rPr>
        <w:t>In accordance with Article 4061 of the Civil Code, the Guarantor hereby undertakes an independent and primary obligation to the Lenders that if any Secured Obligation is or becomes invalid, illegal and (or) unenforceable, the Guarantor shall, at the request of the Credit Agent, unconditionally reimburse each of the Lenders for an amount of any expenses, commissions, costs and losses (except for loss of profit) that they incur (inter alia, as the Lender, Organizer and Credit Agent) as a result of non-payment of any amount which would have been payable under the Loan Agreement as of the date of such payment or performance of an obligation if such invalidity, illegality and (or) unenforceability of the Secured Obligations did not occur. Any amounts payable by the Guarantor in accordance with this Article 2.2 shall not exceed the amount that the Guarantor would have to pay under Article 2.1 (</w:t>
      </w:r>
      <w:r>
        <w:rPr>
          <w:rFonts w:ascii="Times New Roman" w:hAnsi="Times New Roman"/>
          <w:i/>
          <w:sz w:val="20"/>
        </w:rPr>
        <w:t>Independent Guarantee</w:t>
      </w:r>
      <w:r>
        <w:rPr>
          <w:rFonts w:ascii="Times New Roman" w:hAnsi="Times New Roman"/>
          <w:sz w:val="20"/>
        </w:rPr>
        <w:t xml:space="preserve">), as if the claimed amount was subject to reimbursement pursuant to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b/>
              </w:rPr>
            </w:pPr>
            <w:r>
              <w:rPr>
                <w:b/>
              </w:rPr>
              <w:t xml:space="preserve">REPRESENTATIONS OF GUARANTOR’S CIRCUMSTANCES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b/>
              </w:rPr>
              <w:t>Guarantor’s Representations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submit the Original Lender the representations of circumstances specified in this Article 3. The Original Lender relies on such representations of circumstances of the Guarantor, and their credibility is of fundamental importance to the Original Lender.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b/>
              </w:rPr>
              <w:t>Status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is a legal entity duly incorporated and legally acting under the laws of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 Guarantor is the full owner of the property belonging to it and carries out its activities under the applicable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b/>
              </w:rPr>
              <w:t>Legal Capacity and Authority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has the legal capacity and authority to enter into and perform this Agreement, the Guarantee and each Financial Document to which the Guarantor is party and the transactions provided for thereby; and the Guarantor obtained all necessary approvals for the execution and performance of this Agreement, the Guarantee and each Financial Document to which the Guarantor is a party, in the manner provided for by law and the Guarantor’s constituent and other internal regulations, including approval of transactions provided for in this Agreement, the Guarantee and each Financial Document to which the Guarantor is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A person acting on behalf of the Guarantor has the authority to enter into this Agreement, the Guarantee and each Financial Document to which the Guarantor is a party.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b/>
              </w:rPr>
              <w:t>Validity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This Agreement, the Guarantee and each Financial Document to which the Guarantor is a party are a legitimate, valid, binding and enforceable obligation of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This Agreement, the Guarantee and each Financial Document to which the Guarantor is a party are drawn up in a form ensuring the enforceability thereof in the Russian Federation and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5" w:type="dxa"/>
            <w:tcBorders/>
            <w:shd w:fill="auto" w:val="clear"/>
          </w:tcPr>
          <w:p>
            <w:pPr>
              <w:pStyle w:val="TableContents"/>
              <w:spacing w:before="0" w:after="283"/>
              <w:jc w:val="left"/>
              <w:rPr/>
            </w:pPr>
            <w:r>
              <w:rPr>
                <w:b/>
              </w:rPr>
              <w:t>Absence of Contradictions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execution and performance of this Agreement, the Guarantee and each Financial Document to which the Guarantor is a party and the transactions thereunder by the Guarantor do not contradict: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any applicable laws;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its constituent and other internal regulations;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any resolutions of its management bodies;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(iv)</w:t>
            </w:r>
          </w:p>
        </w:tc>
        <w:tc>
          <w:tcPr>
            <w:tcW w:w="7553" w:type="dxa"/>
            <w:tcBorders/>
            <w:shd w:fill="auto" w:val="clear"/>
          </w:tcPr>
          <w:p>
            <w:pPr>
              <w:pStyle w:val="TableContents"/>
              <w:spacing w:before="0" w:after="283"/>
              <w:jc w:val="left"/>
              <w:rPr/>
            </w:pPr>
            <w:r>
              <w:rPr/>
              <w:t xml:space="preserve">any other documents or agreements that are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b/>
              </w:rPr>
              <w:t>Compliance with Legislation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The Guarantor’s business shall comply with the applicable laws in all aspects that the Credit Agent considers significant. The Guarantor shall timely submit tax returns and pay taxes in such terms and in such amounts as provided for by any applicable laws in all aspects that the Credit Agent considers significant.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5" w:type="dxa"/>
            <w:tcBorders/>
            <w:shd w:fill="auto" w:val="clear"/>
          </w:tcPr>
          <w:p>
            <w:pPr>
              <w:pStyle w:val="TableContents"/>
              <w:spacing w:before="0" w:after="283"/>
              <w:jc w:val="left"/>
              <w:rPr/>
            </w:pPr>
            <w:r>
              <w:rPr>
                <w:b/>
              </w:rPr>
              <w:t>Absence of Default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execution or performance of this Agreement, the Guarantee and each Financial Document to which the Guarantor is a party and the transactions thereunder does not and will not result in any Default;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There are no other events or circumstances constituting a default under any document that is binding on the Guarantor or sets limits on the disposal of its property, and which have or are reasonably likely to have the Material Negative Impact.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3" w:type="dxa"/>
            <w:tcBorders/>
            <w:shd w:fill="auto" w:val="clear"/>
          </w:tcPr>
          <w:p>
            <w:pPr>
              <w:pStyle w:val="TableContents"/>
              <w:spacing w:before="0" w:after="283"/>
              <w:jc w:val="left"/>
              <w:rPr/>
            </w:pPr>
            <w:r>
              <w:rPr>
                <w:b/>
              </w:rPr>
              <w:t>Permits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As of the date of this Agreement, the Guarantor has obtained and maintains all the permits and consents required in connection with the conclusion, performance, maintenance, enforceability of this Agreement, the Guarantee, each Financial Document, to which the Guarantor is a party, and the transactions thereunder and introduction of the above-mentioned documents and transactions as evidence in trials.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b/>
              </w:rPr>
              <w:t>Registration Requirements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It is not required to perform any notarial acts or to register this Agreement or the Guarantee, inter alia, with any government authorities or institutions of the Russian Federation and/or the Republic of Cyprus, or to pay respective duties in connection with this Agreement and the Guarantee.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8474" w:type="dxa"/>
            <w:tcBorders/>
            <w:shd w:fill="auto" w:val="clear"/>
          </w:tcPr>
          <w:p>
            <w:pPr>
              <w:pStyle w:val="TableContents"/>
              <w:spacing w:before="0" w:after="283"/>
              <w:jc w:val="left"/>
              <w:rPr/>
            </w:pPr>
            <w:r>
              <w:rPr>
                <w:b/>
              </w:rPr>
              <w:t>Financial Statements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The most recent financial statements of the Group (and each member of the Group) provided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7"/>
        <w:gridCol w:w="6636"/>
      </w:tblGrid>
      <w:tr>
        <w:trPr/>
        <w:tc>
          <w:tcPr>
            <w:tcW w:w="265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are prepared in accordance with the Applicable Accounting Standards;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7"/>
        <w:gridCol w:w="6635"/>
      </w:tblGrid>
      <w:tr>
        <w:trPr/>
        <w:tc>
          <w:tcPr>
            <w:tcW w:w="265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in all material respects, reliably reflect its financial position (if applicable, on a consolidated basis) as of the date of the preparation thereof, except, in each case, where otherwise indicated in such financial statements.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There have been no events that could have the Material Negative Impact since the date on which the financial statements referred to in Clause (a) above are prepared.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4" w:type="dxa"/>
            <w:tcBorders/>
            <w:shd w:fill="auto" w:val="clear"/>
          </w:tcPr>
          <w:p>
            <w:pPr>
              <w:pStyle w:val="TableContents"/>
              <w:spacing w:before="0" w:after="283"/>
              <w:jc w:val="left"/>
              <w:rPr/>
            </w:pPr>
            <w:r>
              <w:rPr>
                <w:b/>
              </w:rPr>
              <w:t>Judicial Proceedings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judicial, arbitration or administrative proceedings against the Guarantor are initiated or, to the best of the knowledge of the Guarantor, are expected to be initiated; and there are taken no investigative actions as a result of which any adverse resolutions that can have the Material Negative Impact are made or are highly likely to be made.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(k)</w:t>
            </w:r>
          </w:p>
        </w:tc>
        <w:tc>
          <w:tcPr>
            <w:tcW w:w="8471" w:type="dxa"/>
            <w:tcBorders/>
            <w:shd w:fill="auto" w:val="clear"/>
          </w:tcPr>
          <w:p>
            <w:pPr>
              <w:pStyle w:val="TableContents"/>
              <w:spacing w:before="0" w:after="283"/>
              <w:jc w:val="left"/>
              <w:rPr/>
            </w:pPr>
            <w:r>
              <w:rPr>
                <w:b/>
              </w:rPr>
              <w:t>Information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7"/>
        <w:gridCol w:w="7556"/>
      </w:tblGrid>
      <w:tr>
        <w:trPr/>
        <w:tc>
          <w:tcPr>
            <w:tcW w:w="173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All such actual information having, in the opinion of the Credit Agent, the essential value as submitted by the Guarantor to the Parties to the Financing in connection with the Financial Documents to which the Guarantor is a party is true and accurate as of the submission date or (as the case may be) on a date (if any) which is indicated as the submission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Guarantor did not conceal any information which, if disclosed, would lead to the fact that any other information specified in Sub-Clause (i) above would become unreliable or misleading to a material extent in the opinion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As of the date of this Agreement and the first Disbursement Date from the date of provision of the information specified in Clause (i) above, there were no circumstances that, if disclosed, would lead to the fact that the provided information would become unreliable or misleading to a material extent in the opinion of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(l)</w:t>
            </w:r>
          </w:p>
        </w:tc>
        <w:tc>
          <w:tcPr>
            <w:tcW w:w="8476" w:type="dxa"/>
            <w:tcBorders/>
            <w:shd w:fill="auto" w:val="clear"/>
          </w:tcPr>
          <w:p>
            <w:pPr>
              <w:pStyle w:val="TableContents"/>
              <w:spacing w:before="0" w:after="283"/>
              <w:jc w:val="left"/>
              <w:rPr/>
            </w:pPr>
            <w:r>
              <w:rPr>
                <w:b/>
              </w:rPr>
              <w:t>Loans Granted</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did not provide any loans to third parties that are not the Debtors, except for the Permitted Loans.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(m)</w:t>
            </w:r>
          </w:p>
        </w:tc>
        <w:tc>
          <w:tcPr>
            <w:tcW w:w="8470" w:type="dxa"/>
            <w:tcBorders/>
            <w:shd w:fill="auto" w:val="clear"/>
          </w:tcPr>
          <w:p>
            <w:pPr>
              <w:pStyle w:val="TableContents"/>
              <w:spacing w:before="0" w:after="283"/>
              <w:jc w:val="left"/>
              <w:rPr/>
            </w:pPr>
            <w:r>
              <w:rPr>
                <w:b/>
              </w:rPr>
              <w:t>Levies and Duties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state or registration duties or taxes or levies in connection with this Agreement and the Guarantee must be paid as of the date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(n)</w:t>
            </w:r>
          </w:p>
        </w:tc>
        <w:tc>
          <w:tcPr>
            <w:tcW w:w="8474" w:type="dxa"/>
            <w:tcBorders/>
            <w:shd w:fill="auto" w:val="clear"/>
          </w:tcPr>
          <w:p>
            <w:pPr>
              <w:pStyle w:val="TableContents"/>
              <w:spacing w:before="0" w:after="283"/>
              <w:jc w:val="left"/>
              <w:rPr/>
            </w:pPr>
            <w:r>
              <w:rPr>
                <w:b/>
              </w:rPr>
              <w:t>Regulated Procurement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provisions of the Law on Regulated Procurement are applied to the execution and performance of this Agreement, the Guarantee and the Financial Documents to which the Guarantor is a party, by the Guarantor as of the date of this Agreement. The Guarantor does not give this representation concerning application of the Law on Regulated Procurement to any Party to the Financing.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w:t>
            </w:r>
          </w:p>
        </w:tc>
        <w:tc>
          <w:tcPr>
            <w:tcW w:w="9389" w:type="dxa"/>
            <w:tcBorders/>
            <w:shd w:fill="auto" w:val="clear"/>
          </w:tcPr>
          <w:p>
            <w:pPr>
              <w:pStyle w:val="TableContents"/>
              <w:spacing w:before="0" w:after="283"/>
              <w:jc w:val="left"/>
              <w:rPr/>
            </w:pPr>
            <w:r>
              <w:rPr>
                <w:b/>
              </w:rPr>
              <w:t>Term of Provision of Representations of Guarantor’s Circumstances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The Guarantor shall submit the representations of circumstances specified in this Article 3 as of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6" w:type="dxa"/>
            <w:tcBorders/>
            <w:shd w:fill="auto" w:val="clear"/>
          </w:tcPr>
          <w:p>
            <w:pPr>
              <w:pStyle w:val="TableContents"/>
              <w:spacing w:before="0" w:after="283"/>
              <w:jc w:val="left"/>
              <w:rPr/>
            </w:pPr>
            <w:r>
              <w:rPr/>
              <w:t xml:space="preserve">Except where any Representations of Circumstances shall be submitted on a certain date, all Representations of Circumstances are considered to be submitted by the Guarantor subsequently on the date of each Disbursement Request, on each Disbursement Date and on the first day of each Interest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If any Representations of Circumstances are provided again, they are extended to the circumstances existing at the time of their subsequent submission.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4.</w:t>
            </w:r>
          </w:p>
        </w:tc>
        <w:tc>
          <w:tcPr>
            <w:tcW w:w="9388" w:type="dxa"/>
            <w:tcBorders/>
            <w:shd w:fill="auto" w:val="clear"/>
          </w:tcPr>
          <w:p>
            <w:pPr>
              <w:pStyle w:val="TableContents"/>
              <w:spacing w:before="0" w:after="283"/>
              <w:jc w:val="left"/>
              <w:rPr>
                <w:b/>
              </w:rPr>
            </w:pPr>
            <w:r>
              <w:rPr>
                <w:b/>
              </w:rPr>
              <w:t xml:space="preserve">OBLIGATIONS AND LIABILITY OF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4.1.</w:t>
            </w:r>
          </w:p>
        </w:tc>
        <w:tc>
          <w:tcPr>
            <w:tcW w:w="9388" w:type="dxa"/>
            <w:tcBorders/>
            <w:shd w:fill="auto" w:val="clear"/>
          </w:tcPr>
          <w:p>
            <w:pPr>
              <w:pStyle w:val="TableContents"/>
              <w:spacing w:before="0" w:after="283"/>
              <w:jc w:val="left"/>
              <w:rPr/>
            </w:pPr>
            <w:r>
              <w:rPr>
                <w:b/>
              </w:rPr>
              <w:t>Obligations of the Guarantor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is obliged for the entire Guarantee Validity Term in respect of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b/>
              </w:rPr>
              <w:t>Financial Statements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ensure that the Borrower provides the Credit Agent with a number of certified copies of the following documents that is sufficient for all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consolidated financial statements of the Group for each fiscal year approved by the Auditors and prepared in accordance with IFRS as soon as they become available, but in any case, within 180 (one hundred and eighty) days from the end date of such fiscal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consolidated financial statements of the Group for each fiscal half a year reviewed by the Auditors and prepared in accordance with IFRS as soon as they become available, but in any case, within 120 (one hundred and twenty) days from the end date of such fiscal half a year;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the Group’s management statements for each quarter of the relevant fiscal year (including a profit and loss statement, a balance sheet and a cash flow statement) prepared in accordance with IFRS as soon as they become available, but in any case, within 60 (sixty) days from the end of such quarter of the relevant fiscal year;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the financial statements (including a profit and loss statement, a balance sheet and a cash flow statement) of the Borrower and Headhunter for each quarter of the relevant fiscal year prepared under RAS as soon as they become available, but in any case, within 40 (forty) days from the end date of such quarter of the relevant fiscal year.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b/>
              </w:rPr>
              <w:t>Requirements to the Financial Statements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ensure that each set of financial statements provided in accordance with Article 17.1 (</w:t>
      </w:r>
      <w:r>
        <w:rPr>
          <w:rFonts w:ascii="Times New Roman" w:hAnsi="Times New Roman"/>
          <w:i/>
          <w:sz w:val="20"/>
        </w:rPr>
        <w:t>Financial Statements</w:t>
      </w:r>
      <w:r>
        <w:rPr>
          <w:rFonts w:ascii="Times New Roman" w:hAnsi="Times New Roman"/>
          <w:sz w:val="20"/>
        </w:rPr>
        <w:t xml:space="preserve">) of the Loan Agreement is prepared using the same accounting principles and for the same accounting periods that applied in preparation of the last reported Group financial statements (except for a possible change in accounting for capitalization of internal development). If any Debtor notifies the Credit Agent of any changes in accounting principles or reporting periods, the Guarantor agrees to ensure that its Auditors and auditors of the relevant Debtor provide the Credit Agent with: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a description of the changes to be made in the relevant financial statements in order to reflect changes in accounting principles and reporting periods that applied in preparation of the Original Financial Statements of the Group or the Debtor;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information in a form and content that meet the requirements of the Credit Agent and are sufficient to ensure that the Lenders can verify that the Borrower complies with the requirements of Article 18 (Financial </w:t>
            </w:r>
            <w:r>
              <w:rPr>
                <w:i/>
              </w:rPr>
              <w:t>Indicator Compliance Obligation</w:t>
            </w:r>
            <w:r>
              <w:rPr/>
              <w:t xml:space="preserve">) of the Loan Agreement and can adequately assess the Debtor’s financial position in accordance with the current financial statements compared to the Original Financial Statements of such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b/>
              </w:rPr>
              <w:t>Information: Other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provide the Credit Agent with: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6"/>
        <w:gridCol w:w="6636"/>
      </w:tblGrid>
      <w:tr>
        <w:trPr/>
        <w:tc>
          <w:tcPr>
            <w:tcW w:w="265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simultaneously with sending to addressees, copies of all documents sent to all Guarantor’s lenders, or in case of any circumstances that have the Material Negative Impact, copies of all documents sent to all Guarantor’s members;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immediately after it becomes aware of the following facts, but within 5 Business Days from the date on which it becomes aware of such facts, details of any judicial, commercial, arbitration or administrative proceedings, including any investigative actions which result in or are highly likely to result in making any decisions, as a result of which the Group’s expenses will exceed 2.5 (two point five) percent of the Consolidated EBITDA;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7"/>
        <w:gridCol w:w="6633"/>
      </w:tblGrid>
      <w:tr>
        <w:trPr/>
        <w:tc>
          <w:tcPr>
            <w:tcW w:w="265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6633" w:type="dxa"/>
            <w:tcBorders/>
            <w:shd w:fill="auto" w:val="clear"/>
          </w:tcPr>
          <w:p>
            <w:pPr>
              <w:pStyle w:val="TableContents"/>
              <w:spacing w:before="0" w:after="283"/>
              <w:jc w:val="left"/>
              <w:rPr/>
            </w:pPr>
            <w:r>
              <w:rPr/>
              <w:t xml:space="preserve">immediately upon its request, but within 5 (five) days from the date of the request, such additional information on the financial position and economic activities of any member of the Group that the Credit Agent may require in the interests of any Party to the Financing.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Guarantor shall notify the Credit Agent in writing of any of the following events immediately after the Guarantor becomes aware of them: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4" w:type="dxa"/>
            <w:tcBorders/>
            <w:shd w:fill="auto" w:val="clear"/>
          </w:tcPr>
          <w:p>
            <w:pPr>
              <w:pStyle w:val="TableContents"/>
              <w:spacing w:before="0" w:after="283"/>
              <w:jc w:val="left"/>
              <w:rPr/>
            </w:pPr>
            <w:r>
              <w:rPr/>
              <w:t xml:space="preserve">filing of a bankruptcy petition against the Pledgor to an arbitration court,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6"/>
        <w:gridCol w:w="6634"/>
      </w:tblGrid>
      <w:tr>
        <w:trPr/>
        <w:tc>
          <w:tcPr>
            <w:tcW w:w="265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6634" w:type="dxa"/>
            <w:tcBorders/>
            <w:shd w:fill="auto" w:val="clear"/>
          </w:tcPr>
          <w:p>
            <w:pPr>
              <w:pStyle w:val="TableContents"/>
              <w:spacing w:before="0" w:after="283"/>
              <w:jc w:val="left"/>
              <w:rPr/>
            </w:pPr>
            <w:r>
              <w:rPr/>
              <w:t xml:space="preserve">publication of a notice of the intention to apply with such petition in the manner prescribed by law;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6634" w:type="dxa"/>
            <w:tcBorders/>
            <w:shd w:fill="auto" w:val="clear"/>
          </w:tcPr>
          <w:p>
            <w:pPr>
              <w:pStyle w:val="TableContents"/>
              <w:spacing w:before="0" w:after="283"/>
              <w:jc w:val="left"/>
              <w:rPr/>
            </w:pPr>
            <w:r>
              <w:rPr/>
              <w:t xml:space="preserve">impending filing of a bankruptcy petition on the basis of a received notice from a person intending to apply.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b/>
              </w:rPr>
              <w:t>Auditors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change its Auditors without the consent of the Majority of the Lenders, except for the Auditors for the financial statements of the Group and of its members prepared in accordance with IFRS, approved or authorized pursuant to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b/>
              </w:rPr>
              <w:t>Notice of Default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5"/>
        <w:gridCol w:w="7559"/>
      </w:tblGrid>
      <w:tr>
        <w:trPr/>
        <w:tc>
          <w:tcPr>
            <w:tcW w:w="1730"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notify the Credit Agent of any Default (and measures, if any, to eliminate such Default) immediately after it becomes aware of this fact if the Borrower has not notified the Credit Agent of such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At the request of the Credit Agent, the Guarantor agrees to submit to the Credit Agent an application signed by the sole executive body or an authorized representative of the Guarantor certifying that the Default has been eliminated or, if the Default continues, explaining the measures taken to eliminate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4" w:type="dxa"/>
            <w:tcBorders/>
            <w:shd w:fill="auto" w:val="clear"/>
          </w:tcPr>
          <w:p>
            <w:pPr>
              <w:pStyle w:val="TableContents"/>
              <w:spacing w:before="0" w:after="283"/>
              <w:jc w:val="left"/>
              <w:rPr/>
            </w:pPr>
            <w:r>
              <w:rPr>
                <w:b/>
              </w:rPr>
              <w:t>Client Data Verification</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provide and undertakes to ensure that each of its Subsidiaries provides the Credit Agent with information and documents for the purposes of Article 17.8 (</w:t>
      </w:r>
      <w:r>
        <w:rPr>
          <w:rFonts w:ascii="Times New Roman" w:hAnsi="Times New Roman"/>
          <w:i/>
          <w:sz w:val="20"/>
        </w:rPr>
        <w:t>Client Data Verification</w:t>
      </w:r>
      <w:r>
        <w:rPr>
          <w:rFonts w:ascii="Times New Roman" w:hAnsi="Times New Roman"/>
          <w:sz w:val="20"/>
        </w:rPr>
        <w:t xml:space="preserve">) of the Loan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b/>
              </w:rPr>
              <w:t>Permissions and Corporate Approvals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The Guarantor shall timely receive, maintain and comply with and undertakes to ensure that each of its Subsidiaries timely receives, maintains and complies with the terms and conditions of any permits, consents and corporate approvals required by any applicable law in order to fulfill its obligations under the Financial Documents to which it is a party and to enable the use of the Financial Documents as evidence in arbitration proceedings and in courts of relevant jurisdictions, including arbitration courts.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Except for obtaining of a license to work with personal data in the Republic of Azerbaijan, the Guarantor shall timely receive, maintain and comply with and undertakes to ensure that each of its Subsidiaries timely receives, maintains and complies with any permits, consents required under any applicable laws to conduct business activities of any member of the Group in the manner in which such business is carried out.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(h)</w:t>
            </w:r>
          </w:p>
        </w:tc>
        <w:tc>
          <w:tcPr>
            <w:tcW w:w="8476" w:type="dxa"/>
            <w:tcBorders/>
            <w:shd w:fill="auto" w:val="clear"/>
          </w:tcPr>
          <w:p>
            <w:pPr>
              <w:pStyle w:val="TableContents"/>
              <w:spacing w:before="0" w:after="283"/>
              <w:jc w:val="left"/>
              <w:rPr/>
            </w:pPr>
            <w:r>
              <w:rPr>
                <w:b/>
              </w:rPr>
              <w:t>Prohibition Against Encumbrance of Assets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create or allow and undertakes to ensure that each of the Subsidiaries of the Guarantor does not create or allow any Encumbrance on its assets without the prior written consent of the Credit Agent, except for: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Encumbrance of assets (except for those specified in Clause (d) below, without double counting) whose aggregate book value at any time does not exceed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Encumbrance arising under the Security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any Encumbrance arising by virtue of law in the ordinary course of business;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any Encumbrance in the form of the right to debit funds from an account with a prior acceptance by the payer or a similar debiting right if this results in debiting of such funds in an amount of not more than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8473" w:type="dxa"/>
            <w:tcBorders/>
            <w:shd w:fill="auto" w:val="clear"/>
          </w:tcPr>
          <w:p>
            <w:pPr>
              <w:pStyle w:val="TableContents"/>
              <w:spacing w:before="0" w:after="283"/>
              <w:jc w:val="left"/>
              <w:rPr/>
            </w:pPr>
            <w:r>
              <w:rPr>
                <w:b/>
              </w:rPr>
              <w:t>Asset Disposal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sell, lease or otherwise dispose of any of its assets or property without the prior written consent of the Credit Agent and undertakes to ensure that any of its Subsidiaries does not sell, lease or otherwise dispose of any of its assets or property without the prior written consent of the Credit Agent, except for: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disposal of assets or property in the ordinary course of business;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disposal of assets or property as part of the Permitted Reorganization;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disposal of assets or property as part of restructuring due to the right of ownership to HEADHUNTER.KZ LLP;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disposal of assets or property of the members of the Group in such aggregate book or market value (whichever is greater) obtained as a result of one or more transactions made during each consecutive 12 (twelve) months, as does not exceed 5 (five) percent of the Consolidated EBITDA;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w:t>
            </w:r>
          </w:p>
        </w:tc>
        <w:tc>
          <w:tcPr>
            <w:tcW w:w="7553" w:type="dxa"/>
            <w:tcBorders/>
            <w:shd w:fill="auto" w:val="clear"/>
          </w:tcPr>
          <w:p>
            <w:pPr>
              <w:pStyle w:val="TableContents"/>
              <w:spacing w:before="0" w:after="283"/>
              <w:jc w:val="left"/>
              <w:rPr/>
            </w:pPr>
            <w:r>
              <w:rPr/>
              <w:t>disposal of shares of CV Keskus OU (a company registered at: Mustamae tee 46, Tallinna linn, Harju maakond 10621, registration number: 11325768) provided that the After-disposal Debt Ratio does not exceed the Debt Ratio as of the last Settlement Date. In order to comply with the After-Disposal Debt Ratio, the Guarantor (or another member of the Group) may, prior to payment of funds (obtained from CV Keskus OU shares sale) to another member of the Group or shareholders of the Guarantor, allocate a part of such funds (obtained from disposal of shares of CV Keskus OU) to a partial repayment of the Outstanding Loan under Article 8.3 (</w:t>
            </w:r>
            <w:r>
              <w:rPr>
                <w:i/>
              </w:rPr>
              <w:t>Voluntary Early Repayment of the Outstanding Loan</w:t>
            </w:r>
            <w:r>
              <w:rPr/>
              <w:t>) of the Loan Agreement. The Guarantor shall, within 5 (five) Business Days prior to the disposal of the shares of CV Keskus OU to the Credit Agent, ensure that the Borrower submits to the Credit Agent a certificate proving the Borrower’s fulfillment of the terms and conditions provided for in Clause (e) Article 19.3 (</w:t>
            </w:r>
            <w:r>
              <w:rPr>
                <w:i/>
              </w:rPr>
              <w:t>Asset Disposal</w:t>
            </w:r>
            <w:r>
              <w:rPr/>
              <w:t xml:space="preserve">) of the Loan Agreement. The Borrower or another member of the Group may pay funds obtained from disposal of shares of CV Keskus OU, to the shareholders of the Guarantor according to the disposal results only once.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w:t>
            </w:r>
          </w:p>
        </w:tc>
        <w:tc>
          <w:tcPr>
            <w:tcW w:w="7555" w:type="dxa"/>
            <w:tcBorders/>
            <w:shd w:fill="auto" w:val="clear"/>
          </w:tcPr>
          <w:p>
            <w:pPr>
              <w:pStyle w:val="TableContents"/>
              <w:spacing w:before="0" w:after="283"/>
              <w:jc w:val="left"/>
              <w:rPr/>
            </w:pPr>
            <w:r>
              <w:rPr/>
              <w:t xml:space="preserve">disposal of shares or participatory interest in the authorized capital of a member of the Group that is not the Debtor, except for CV Keskus OU, provided that after such disposal: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8"/>
        <w:gridCol w:w="6634"/>
      </w:tblGrid>
      <w:tr>
        <w:trPr/>
        <w:tc>
          <w:tcPr>
            <w:tcW w:w="265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6634" w:type="dxa"/>
            <w:tcBorders/>
            <w:shd w:fill="auto" w:val="clear"/>
          </w:tcPr>
          <w:p>
            <w:pPr>
              <w:pStyle w:val="TableContents"/>
              <w:spacing w:before="0" w:after="283"/>
              <w:jc w:val="left"/>
              <w:rPr/>
            </w:pPr>
            <w:r>
              <w:rPr/>
              <w:t xml:space="preserve">The Debt Indicator (as defined below) does not exceed 2.0:1;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4"/>
        <w:gridCol w:w="917"/>
        <w:gridCol w:w="6633"/>
      </w:tblGrid>
      <w:tr>
        <w:trPr/>
        <w:tc>
          <w:tcPr>
            <w:tcW w:w="265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6633" w:type="dxa"/>
            <w:tcBorders/>
            <w:shd w:fill="auto" w:val="clear"/>
          </w:tcPr>
          <w:p>
            <w:pPr>
              <w:pStyle w:val="TableContents"/>
              <w:spacing w:before="0" w:after="283"/>
              <w:jc w:val="left"/>
              <w:rPr/>
            </w:pPr>
            <w:r>
              <w:rPr/>
              <w:t xml:space="preserve">after payment of the Allocated Amount, the Debt Indicator does not increase in comparison with the Debt Ratio as of the last Settlement Date. </w:t>
            </w:r>
          </w:p>
        </w:tc>
      </w:tr>
    </w:tbl>
    <w:p>
      <w:pPr>
        <w:pStyle w:val="TextBody"/>
        <w:spacing w:before="120" w:after="0"/>
        <w:rPr>
          <w:rFonts w:ascii="Times New Roman" w:hAnsi="Times New Roman"/>
          <w:sz w:val="20"/>
        </w:rPr>
      </w:pPr>
      <w:r>
        <w:rPr>
          <w:rFonts w:ascii="Times New Roman" w:hAnsi="Times New Roman"/>
          <w:sz w:val="20"/>
        </w:rPr>
        <w:t xml:space="preserve">The disposal under this Clause (vi) must be carried out at arm’s length and subject to the terms and conditions provided for in Clause (f) Article 19.3 (Asset Disposal) of the Loan Agreement. </w:t>
      </w:r>
    </w:p>
    <w:p>
      <w:pPr>
        <w:pStyle w:val="TextBody"/>
        <w:spacing w:before="120" w:after="0"/>
        <w:rPr>
          <w:rFonts w:ascii="Times New Roman" w:hAnsi="Times New Roman"/>
          <w:sz w:val="20"/>
        </w:rPr>
      </w:pPr>
      <w:r>
        <w:rPr>
          <w:rFonts w:ascii="Times New Roman" w:hAnsi="Times New Roman"/>
          <w:sz w:val="20"/>
        </w:rPr>
        <w:t xml:space="preserve">A member of the Group alienating the Alienated Group Member may, without the consent of the Credit Agent, pay the Allocated Amount in an amount that does not entail a violation of the financial indicator provided for in Sub-Clauses (A) and (B) of this Clause (vi). The Allocated Amount may be paid according to the results of the sale of the Alienated Group Member only once. A seller of the Alienated Group Member may use any funds remaining after payment of the Allocated Amount in consultation with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(vii)</w:t>
            </w:r>
          </w:p>
        </w:tc>
        <w:tc>
          <w:tcPr>
            <w:tcW w:w="7552" w:type="dxa"/>
            <w:tcBorders/>
            <w:shd w:fill="auto" w:val="clear"/>
          </w:tcPr>
          <w:p>
            <w:pPr>
              <w:pStyle w:val="TableContents"/>
              <w:spacing w:before="0" w:after="283"/>
              <w:jc w:val="left"/>
              <w:rPr/>
            </w:pPr>
            <w:r>
              <w:rPr/>
              <w:t xml:space="preserve">For the purposes of Clauses (v) and (vi) above, the following definitions have the following meaning: </w:t>
            </w:r>
          </w:p>
        </w:tc>
      </w:tr>
    </w:tbl>
    <w:p>
      <w:pPr>
        <w:pStyle w:val="TextBody"/>
        <w:spacing w:before="120" w:after="0"/>
        <w:rPr/>
      </w:pPr>
      <w:r>
        <w:rPr/>
        <w:t>“</w:t>
      </w:r>
      <w:r>
        <w:rPr>
          <w:rFonts w:ascii="Times New Roman" w:hAnsi="Times New Roman"/>
          <w:b/>
          <w:sz w:val="20"/>
        </w:rPr>
        <w:t>Group Cash”</w:t>
      </w:r>
      <w:r>
        <w:rPr>
          <w:rFonts w:ascii="Times New Roman" w:hAnsi="Times New Roman"/>
          <w:sz w:val="20"/>
        </w:rPr>
        <w:t xml:space="preserve"> means the Cash and Cash Equivalent belonging to the Group. </w:t>
      </w:r>
    </w:p>
    <w:p>
      <w:pPr>
        <w:pStyle w:val="TextBody"/>
        <w:spacing w:before="120" w:after="0"/>
        <w:rPr/>
      </w:pPr>
      <w:r>
        <w:rPr/>
        <w:t>“</w:t>
      </w:r>
      <w:r>
        <w:rPr>
          <w:rFonts w:ascii="Times New Roman" w:hAnsi="Times New Roman"/>
          <w:b/>
          <w:sz w:val="20"/>
        </w:rPr>
        <w:t xml:space="preserve">Cash of the Alienated Group Member” </w:t>
      </w:r>
      <w:r>
        <w:rPr>
          <w:rFonts w:ascii="Times New Roman" w:hAnsi="Times New Roman"/>
          <w:sz w:val="20"/>
        </w:rPr>
        <w:t xml:space="preserve">means the Cash and Cash Equivalent belonging to the Alienated Group Member. </w:t>
      </w:r>
    </w:p>
    <w:p>
      <w:pPr>
        <w:pStyle w:val="TextBody"/>
        <w:spacing w:before="120" w:after="0"/>
        <w:rPr/>
      </w:pPr>
      <w:r>
        <w:rPr/>
        <w:t>“</w:t>
      </w:r>
      <w:r>
        <w:rPr>
          <w:rFonts w:ascii="Times New Roman" w:hAnsi="Times New Roman"/>
          <w:b/>
          <w:sz w:val="20"/>
        </w:rPr>
        <w:t>Alienated Group Member”</w:t>
      </w:r>
      <w:r>
        <w:rPr>
          <w:rFonts w:ascii="Times New Roman" w:hAnsi="Times New Roman"/>
          <w:sz w:val="20"/>
        </w:rPr>
        <w:t xml:space="preserve"> means a Group member which is not the Debtor (except for CV Keskus OU) whose shares or participatory interest in the authorized capital are to be disposed of. </w:t>
      </w:r>
    </w:p>
    <w:p>
      <w:pPr>
        <w:pStyle w:val="TextBody"/>
        <w:spacing w:before="120" w:after="0"/>
        <w:rPr/>
      </w:pPr>
      <w:r>
        <w:rPr/>
        <w:t>“</w:t>
      </w:r>
      <w:r>
        <w:rPr>
          <w:rFonts w:ascii="Times New Roman" w:hAnsi="Times New Roman"/>
          <w:b/>
          <w:sz w:val="20"/>
        </w:rPr>
        <w:t>Debt Indicator”</w:t>
      </w:r>
      <w:r>
        <w:rPr>
          <w:rFonts w:ascii="Times New Roman" w:hAnsi="Times New Roman"/>
          <w:sz w:val="20"/>
        </w:rPr>
        <w:t xml:space="preserve"> means the ratio of the Net Debt to the EBITDA. </w:t>
      </w:r>
    </w:p>
    <w:p>
      <w:pPr>
        <w:pStyle w:val="TextBody"/>
        <w:spacing w:before="120" w:after="0"/>
        <w:rPr/>
      </w:pPr>
      <w:r>
        <w:rPr/>
        <w:t>“</w:t>
      </w:r>
      <w:r>
        <w:rPr>
          <w:rFonts w:ascii="Times New Roman" w:hAnsi="Times New Roman"/>
          <w:b/>
          <w:sz w:val="20"/>
        </w:rPr>
        <w:t>After-Disposal Debt Ratio”</w:t>
      </w:r>
      <w:r>
        <w:rPr>
          <w:rFonts w:ascii="Times New Roman" w:hAnsi="Times New Roman"/>
          <w:sz w:val="20"/>
        </w:rPr>
        <w:t xml:space="preserve"> means an indicator calculated in case of disposal of shares or participatory interest in the authorized capital of a member of the Group (hereinafter referred to as the “Alienated Group Member”) by the following formula: </w:t>
      </w:r>
    </w:p>
    <w:p>
      <w:pPr>
        <w:pStyle w:val="TextBody"/>
        <w:spacing w:before="120" w:after="0"/>
        <w:rPr>
          <w:rFonts w:ascii="Times New Roman" w:hAnsi="Times New Roman"/>
          <w:sz w:val="20"/>
        </w:rPr>
      </w:pPr>
      <w:r>
        <w:rPr>
          <w:rFonts w:ascii="Times New Roman" w:hAnsi="Times New Roman"/>
          <w:sz w:val="20"/>
        </w:rPr>
        <w:t xml:space="preserve">After-Disposal Debt Ratio = (A - B - C)/p - E), </w:t>
      </w:r>
    </w:p>
    <w:p>
      <w:pPr>
        <w:pStyle w:val="TextBody"/>
        <w:spacing w:before="120" w:after="0"/>
        <w:rPr>
          <w:rFonts w:ascii="Times New Roman" w:hAnsi="Times New Roman"/>
          <w:sz w:val="20"/>
        </w:rPr>
      </w:pPr>
      <w:r>
        <w:rPr>
          <w:rFonts w:ascii="Times New Roman" w:hAnsi="Times New Roman"/>
          <w:sz w:val="20"/>
        </w:rPr>
        <w:t xml:space="preserve">where: </w:t>
      </w:r>
    </w:p>
    <w:p>
      <w:pPr>
        <w:pStyle w:val="TextBody"/>
        <w:spacing w:before="120" w:after="0"/>
        <w:rPr>
          <w:rFonts w:ascii="Times New Roman" w:hAnsi="Times New Roman"/>
          <w:sz w:val="20"/>
        </w:rPr>
      </w:pPr>
      <w:r>
        <w:rPr>
          <w:rFonts w:ascii="Times New Roman" w:hAnsi="Times New Roman"/>
          <w:b/>
          <w:sz w:val="20"/>
        </w:rPr>
        <w:t>A</w:t>
      </w:r>
      <w:r>
        <w:rPr>
          <w:rFonts w:ascii="Times New Roman" w:hAnsi="Times New Roman"/>
          <w:sz w:val="20"/>
        </w:rPr>
        <w:t xml:space="preserve"> means the Consolidated Net Debt as of the last Settlement Date; </w:t>
      </w:r>
    </w:p>
    <w:p>
      <w:pPr>
        <w:pStyle w:val="TextBody"/>
        <w:spacing w:before="120" w:after="0"/>
        <w:rPr>
          <w:rFonts w:ascii="Times New Roman" w:hAnsi="Times New Roman"/>
          <w:sz w:val="20"/>
        </w:rPr>
      </w:pPr>
      <w:r>
        <w:rPr>
          <w:rFonts w:ascii="Times New Roman" w:hAnsi="Times New Roman"/>
          <w:b/>
          <w:sz w:val="20"/>
        </w:rPr>
        <w:t xml:space="preserve">B </w:t>
      </w:r>
      <w:r>
        <w:rPr>
          <w:rFonts w:ascii="Times New Roman" w:hAnsi="Times New Roman"/>
          <w:sz w:val="20"/>
        </w:rPr>
        <w:t xml:space="preserve">means an amount of the part of the Outstanding Loan repaid by the Borrower in advance at the expense of funds obtained from the disposal of shares or participatory interest in the authorized capital of the Alienated Group Member;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C</w:t>
      </w:r>
      <w:r>
        <w:rPr>
          <w:rFonts w:ascii="Times New Roman" w:hAnsi="Times New Roman"/>
          <w:sz w:val="20"/>
        </w:rPr>
        <w:t xml:space="preserve"> means the Loan repaid by the Borrower within a period commencing on the expiry date of the last Settlement Period and ending on the day of submission of the certificate containing the calculation of a relevant After-Disposal Debt Ratio; </w:t>
      </w:r>
    </w:p>
    <w:p>
      <w:pPr>
        <w:pStyle w:val="TextBody"/>
        <w:spacing w:before="120" w:after="0"/>
        <w:rPr>
          <w:rFonts w:ascii="Times New Roman" w:hAnsi="Times New Roman"/>
          <w:sz w:val="20"/>
        </w:rPr>
      </w:pPr>
      <w:r>
        <w:rPr>
          <w:rFonts w:ascii="Times New Roman" w:hAnsi="Times New Roman"/>
          <w:b/>
          <w:sz w:val="20"/>
        </w:rPr>
        <w:t>D</w:t>
      </w:r>
      <w:r>
        <w:rPr>
          <w:rFonts w:ascii="Times New Roman" w:hAnsi="Times New Roman"/>
          <w:sz w:val="20"/>
        </w:rPr>
        <w:t xml:space="preserve"> means such Consolidated EBITDA for the most recent Settlement Date as determined in accordance with such Group’s latest financial statements for the relevant Settlement Period as prepared in accordance with IFRS and provided to the Credit Agent under Clause (a) or (b) of Article 17.1 (Financial Statements) of the Loan Agreement (or which was to be provided to the Credit Agent under the reporting terms provided for in Clause (a) or (b) of Article 17.1 (Financial Reporting) of the Loan Agreement); and </w:t>
      </w:r>
    </w:p>
    <w:p>
      <w:pPr>
        <w:pStyle w:val="TextBody"/>
        <w:spacing w:before="120" w:after="0"/>
        <w:rPr>
          <w:rFonts w:ascii="Times New Roman" w:hAnsi="Times New Roman"/>
          <w:sz w:val="20"/>
        </w:rPr>
      </w:pPr>
      <w:r>
        <w:rPr>
          <w:rFonts w:ascii="Times New Roman" w:hAnsi="Times New Roman"/>
          <w:b/>
          <w:sz w:val="20"/>
        </w:rPr>
        <w:t xml:space="preserve">E </w:t>
      </w:r>
      <w:r>
        <w:rPr>
          <w:rFonts w:ascii="Times New Roman" w:hAnsi="Times New Roman"/>
          <w:sz w:val="20"/>
        </w:rPr>
        <w:t xml:space="preserve">means the EBITDA of the Alienated Group Member calculated on the basis of the management statements of the company of the Alienated Group Member as of the last Settlement Date using a calculation procedure similar to the calculation method of the Consolidated EBITDA. </w:t>
      </w:r>
    </w:p>
    <w:p>
      <w:pPr>
        <w:pStyle w:val="TextBody"/>
        <w:spacing w:before="120" w:after="0"/>
        <w:rPr/>
      </w:pPr>
      <w:r>
        <w:rPr/>
        <w:t>“</w:t>
      </w:r>
      <w:r>
        <w:rPr>
          <w:rFonts w:ascii="Times New Roman" w:hAnsi="Times New Roman"/>
          <w:b/>
          <w:sz w:val="20"/>
        </w:rPr>
        <w:t>Purchase Price”</w:t>
      </w:r>
      <w:r>
        <w:rPr>
          <w:rFonts w:ascii="Times New Roman" w:hAnsi="Times New Roman"/>
          <w:sz w:val="20"/>
        </w:rPr>
        <w:t xml:space="preserve"> means cash that is actually received as a result of sale of the Alienated Group Member. </w:t>
      </w:r>
    </w:p>
    <w:p>
      <w:pPr>
        <w:pStyle w:val="TextBody"/>
        <w:spacing w:before="120" w:after="0"/>
        <w:rPr/>
      </w:pPr>
      <w:r>
        <w:rPr/>
        <w:t>“</w:t>
      </w:r>
      <w:r>
        <w:rPr>
          <w:rFonts w:ascii="Times New Roman" w:hAnsi="Times New Roman"/>
          <w:b/>
          <w:sz w:val="20"/>
        </w:rPr>
        <w:t xml:space="preserve">Allocated Amount” </w:t>
      </w:r>
      <w:r>
        <w:rPr>
          <w:rFonts w:ascii="Times New Roman" w:hAnsi="Times New Roman"/>
          <w:sz w:val="20"/>
        </w:rPr>
        <w:t xml:space="preserve">means a cash amount to be paid to the shareholders of Zemenik Trading as a result of disposal of the Alienated Group Member. </w:t>
      </w:r>
    </w:p>
    <w:p>
      <w:pPr>
        <w:pStyle w:val="TextBody"/>
        <w:spacing w:before="120" w:after="0"/>
        <w:rPr/>
      </w:pPr>
      <w:r>
        <w:rPr/>
        <w:t>“</w:t>
      </w:r>
      <w:r>
        <w:rPr>
          <w:rFonts w:ascii="Times New Roman" w:hAnsi="Times New Roman"/>
          <w:b/>
          <w:sz w:val="20"/>
        </w:rPr>
        <w:t>Cash Amount”</w:t>
      </w:r>
      <w:r>
        <w:rPr>
          <w:rFonts w:ascii="Times New Roman" w:hAnsi="Times New Roman"/>
          <w:sz w:val="20"/>
        </w:rPr>
        <w:t xml:space="preserve"> means an amount calculated as the difference between the Group Cash, the Cash of the Alienated Group Member and the Allocated Amount, plus the Purchase Price. </w:t>
      </w:r>
    </w:p>
    <w:p>
      <w:pPr>
        <w:pStyle w:val="TextBody"/>
        <w:spacing w:before="120" w:after="0"/>
        <w:rPr/>
      </w:pPr>
      <w:r>
        <w:rPr/>
        <w:t>“</w:t>
      </w:r>
      <w:r>
        <w:rPr>
          <w:rFonts w:ascii="Times New Roman" w:hAnsi="Times New Roman"/>
          <w:b/>
          <w:sz w:val="20"/>
        </w:rPr>
        <w:t>Net Debt”</w:t>
      </w:r>
      <w:r>
        <w:rPr>
          <w:rFonts w:ascii="Times New Roman" w:hAnsi="Times New Roman"/>
          <w:sz w:val="20"/>
        </w:rPr>
        <w:t xml:space="preserve"> means the difference between the Group’s Financial Indebtedness (taking into account the Group’s Financial Indebtedness to the Alienated Group Member recognized effectively after the disposal of the Alienated Group Member) and an amount of the Financial Indebtedness of the Alienated Group Member (excluding the Financial Indebtedness of the Alienated Group Member to other members of the Group) and the Cash Amount. </w:t>
      </w:r>
    </w:p>
    <w:p>
      <w:pPr>
        <w:pStyle w:val="TextBody"/>
        <w:spacing w:before="120" w:after="0"/>
        <w:rPr/>
      </w:pPr>
      <w:r>
        <w:rPr/>
        <w:t>“</w:t>
      </w:r>
      <w:r>
        <w:rPr>
          <w:rFonts w:ascii="Times New Roman" w:hAnsi="Times New Roman"/>
          <w:b/>
          <w:sz w:val="20"/>
        </w:rPr>
        <w:t>EBITDA”</w:t>
      </w:r>
      <w:r>
        <w:rPr>
          <w:rFonts w:ascii="Times New Roman" w:hAnsi="Times New Roman"/>
          <w:sz w:val="20"/>
        </w:rPr>
        <w:t xml:space="preserve"> means the difference between the Consolidated EBITDA and the EBITDA of the Alienated Group Member.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18"/>
        <w:gridCol w:w="8475"/>
      </w:tblGrid>
      <w:tr>
        <w:trPr/>
        <w:tc>
          <w:tcPr>
            <w:tcW w:w="81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(j)</w:t>
            </w:r>
          </w:p>
        </w:tc>
        <w:tc>
          <w:tcPr>
            <w:tcW w:w="8475" w:type="dxa"/>
            <w:tcBorders/>
            <w:shd w:fill="auto" w:val="clear"/>
          </w:tcPr>
          <w:p>
            <w:pPr>
              <w:pStyle w:val="TableContents"/>
              <w:spacing w:before="0" w:after="283"/>
              <w:jc w:val="left"/>
              <w:rPr/>
            </w:pPr>
            <w:r>
              <w:rPr>
                <w:b/>
              </w:rPr>
              <w:t>Acquisition of Assets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purchase any assets without the prior written consent of the Credit Agent and undertakes to ensure that no Subsidiary purchases any assets without the prior written consent of the Credit Agent, except for the acquisition of assets: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4"/>
        <w:gridCol w:w="7559"/>
      </w:tblGrid>
      <w:tr>
        <w:trPr/>
        <w:tc>
          <w:tcPr>
            <w:tcW w:w="1731"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9" w:type="dxa"/>
            <w:tcBorders/>
            <w:shd w:fill="auto" w:val="clear"/>
          </w:tcPr>
          <w:p>
            <w:pPr>
              <w:pStyle w:val="TableContents"/>
              <w:spacing w:before="0" w:after="283"/>
              <w:jc w:val="left"/>
              <w:rPr/>
            </w:pPr>
            <w:r>
              <w:rPr/>
              <w:t xml:space="preserve">in the ordinary course of business;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as part of the Permitted Reorganization;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as part of restructuring due to the right of ownership to HEADHUNTER.KZ LLP;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by a member of the Group in such total amount paid by the member of the Group due to one or more transactions made during each consecutive 12 (twelve) months, as does not exceed 7.5 (seven point five) percent of the Consolidated EBITDA;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5"/>
        <w:gridCol w:w="7555"/>
      </w:tblGrid>
      <w:tr>
        <w:trPr/>
        <w:tc>
          <w:tcPr>
            <w:tcW w:w="173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(v)</w:t>
            </w:r>
          </w:p>
        </w:tc>
        <w:tc>
          <w:tcPr>
            <w:tcW w:w="7555" w:type="dxa"/>
            <w:tcBorders/>
            <w:shd w:fill="auto" w:val="clear"/>
          </w:tcPr>
          <w:p>
            <w:pPr>
              <w:pStyle w:val="TableContents"/>
              <w:spacing w:before="0" w:after="283"/>
              <w:jc w:val="left"/>
              <w:rPr/>
            </w:pPr>
            <w:r>
              <w:rPr/>
              <w:t xml:space="preserve">purchased through the Permitted Financial Indebtedness.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(k)</w:t>
            </w:r>
          </w:p>
        </w:tc>
        <w:tc>
          <w:tcPr>
            <w:tcW w:w="8472" w:type="dxa"/>
            <w:tcBorders/>
            <w:shd w:fill="auto" w:val="clear"/>
          </w:tcPr>
          <w:p>
            <w:pPr>
              <w:pStyle w:val="TableContents"/>
              <w:spacing w:before="0" w:after="283"/>
              <w:jc w:val="left"/>
              <w:rPr/>
            </w:pPr>
            <w:r>
              <w:rPr>
                <w:b/>
              </w:rPr>
              <w:t>Arm’s Length Transactions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may conclude deals with any persons only at arm’s length and undertakes to ensure that any of its Subsidiaries concludes deals with any person only at arm’s length.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Clause (a) does not cover any transactions with the Debtors.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17"/>
        <w:gridCol w:w="8476"/>
      </w:tblGrid>
      <w:tr>
        <w:trPr/>
        <w:tc>
          <w:tcPr>
            <w:tcW w:w="81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(l)</w:t>
            </w:r>
          </w:p>
        </w:tc>
        <w:tc>
          <w:tcPr>
            <w:tcW w:w="8476" w:type="dxa"/>
            <w:tcBorders/>
            <w:shd w:fill="auto" w:val="clear"/>
          </w:tcPr>
          <w:p>
            <w:pPr>
              <w:pStyle w:val="TableContents"/>
              <w:spacing w:before="0" w:after="283"/>
              <w:jc w:val="left"/>
              <w:rPr/>
            </w:pPr>
            <w:r>
              <w:rPr>
                <w:b/>
              </w:rPr>
              <w:t>Lending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Except for the Permitted Loans, the Guarantor is not entitled to act as a lender in respect of any Financial Indebtedness without the prior written consent of the Credit Agent and undertakes to ensure that any of its Subsidiaries does not act as a lender in respect of any Financial Indebtedness without the prior written consent of the Credit Agent.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(m)</w:t>
            </w:r>
          </w:p>
        </w:tc>
        <w:tc>
          <w:tcPr>
            <w:tcW w:w="8472" w:type="dxa"/>
            <w:tcBorders/>
            <w:shd w:fill="auto" w:val="clear"/>
          </w:tcPr>
          <w:p>
            <w:pPr>
              <w:pStyle w:val="TableContents"/>
              <w:spacing w:before="0" w:after="283"/>
              <w:jc w:val="left"/>
              <w:rPr/>
            </w:pPr>
            <w:r>
              <w:rPr>
                <w:b/>
              </w:rPr>
              <w:t>Provision of Guarantees and Suretyships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is not entitled to act as a guarantor or surety for the obligations of any person without the prior written consent of the Credit Agent and undertakes to ensure that any of its Subsidiaries does not act as a guarantor or surety for the obligations of any person without the prior written consent of the Credit Agent;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 provisions of Clause (i) above do not apply when such guarantee or suretyship secures the performance of the obligations of another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created through the Permitted Financial Indebtedness;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claims under such guarantee or suretyship are subordinated to the obligations of the Guarantor under the Financial Documents pursuant to the Intercreditor Agreement, in any case without double counting.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(n)</w:t>
            </w:r>
          </w:p>
        </w:tc>
        <w:tc>
          <w:tcPr>
            <w:tcW w:w="8474" w:type="dxa"/>
            <w:tcBorders/>
            <w:shd w:fill="auto" w:val="clear"/>
          </w:tcPr>
          <w:p>
            <w:pPr>
              <w:pStyle w:val="TableContents"/>
              <w:spacing w:before="0" w:after="283"/>
              <w:jc w:val="left"/>
              <w:rPr/>
            </w:pPr>
            <w:r>
              <w:rPr>
                <w:b/>
              </w:rPr>
              <w:t>Financial Indebtedness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enter into any transactions which will result in the Financial Indebtedness for the Guarantor and shall not allow the existence of an overdue Financial Indebtedness, and undertakes to ensure that any of its Subsidiaries does not enter into any transaction which will result in the Financial Indebtedness for the Borrower’s Subsidiary and shall not allow the existence of an overdue Financial Indebtedness without the prior written consent of the Credit Agent, except for the Permitted Financial Indebtedness.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(o)</w:t>
            </w:r>
          </w:p>
        </w:tc>
        <w:tc>
          <w:tcPr>
            <w:tcW w:w="8472" w:type="dxa"/>
            <w:tcBorders/>
            <w:shd w:fill="auto" w:val="clear"/>
          </w:tcPr>
          <w:p>
            <w:pPr>
              <w:pStyle w:val="TableContents"/>
              <w:spacing w:before="0" w:after="283"/>
              <w:jc w:val="left"/>
              <w:rPr/>
            </w:pPr>
            <w:r>
              <w:rPr>
                <w:b/>
              </w:rPr>
              <w:t>Fulfillment of Subsequent Conditions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comply with and undertakes to ensure that any of its Subsidiaries complies with the terms and conditions set forth in the Loan Agreement, all related subsequent conditions specified in Part 2 of Appendix 2 (</w:t>
      </w:r>
      <w:r>
        <w:rPr>
          <w:rFonts w:ascii="Times New Roman" w:hAnsi="Times New Roman"/>
          <w:i/>
          <w:sz w:val="20"/>
        </w:rPr>
        <w:t>Requirements to the Borrower for Obtaining a Loan under Tranche A and Tranche B</w:t>
      </w:r>
      <w:r>
        <w:rPr>
          <w:rFonts w:ascii="Times New Roman" w:hAnsi="Times New Roman"/>
          <w:sz w:val="20"/>
        </w:rPr>
        <w:t xml:space="preserve">) to the Loan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(p)</w:t>
            </w:r>
          </w:p>
        </w:tc>
        <w:tc>
          <w:tcPr>
            <w:tcW w:w="8470" w:type="dxa"/>
            <w:tcBorders/>
            <w:shd w:fill="auto" w:val="clear"/>
          </w:tcPr>
          <w:p>
            <w:pPr>
              <w:pStyle w:val="TableContents"/>
              <w:spacing w:before="0" w:after="283"/>
              <w:jc w:val="left"/>
              <w:rPr/>
            </w:pPr>
            <w:r>
              <w:rPr>
                <w:b/>
              </w:rPr>
              <w:t>Net Assets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ensure that as at the end of each fiscal half a year within the validity term of this Agreement such amount of the Guarantor’s net assets and the net assets of the Borrower and Headhunter as determined for the Borrower and Headhunter under the financial statements submitted under Clause (d) Article 17.1 (</w:t>
      </w:r>
      <w:r>
        <w:rPr>
          <w:rFonts w:ascii="Times New Roman" w:hAnsi="Times New Roman"/>
          <w:i/>
          <w:sz w:val="20"/>
        </w:rPr>
        <w:t>Financial Statements</w:t>
      </w:r>
      <w:r>
        <w:rPr>
          <w:rFonts w:ascii="Times New Roman" w:hAnsi="Times New Roman"/>
          <w:sz w:val="20"/>
        </w:rPr>
        <w:t>) of the Loan Agreement and as determined for the Guarantor under the financial statements submitted under Clauses (a) or (b) Article 17.1 (</w:t>
      </w:r>
      <w:r>
        <w:rPr>
          <w:rFonts w:ascii="Times New Roman" w:hAnsi="Times New Roman"/>
          <w:i/>
          <w:sz w:val="20"/>
        </w:rPr>
        <w:t>Financial Statements</w:t>
      </w:r>
      <w:r>
        <w:rPr>
          <w:rFonts w:ascii="Times New Roman" w:hAnsi="Times New Roman"/>
          <w:sz w:val="20"/>
        </w:rPr>
        <w:t xml:space="preserve">) of the Loan Agreement is positive.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(q)</w:t>
            </w:r>
          </w:p>
        </w:tc>
        <w:tc>
          <w:tcPr>
            <w:tcW w:w="8470" w:type="dxa"/>
            <w:tcBorders/>
            <w:shd w:fill="auto" w:val="clear"/>
          </w:tcPr>
          <w:p>
            <w:pPr>
              <w:pStyle w:val="TableContents"/>
              <w:spacing w:before="0" w:after="283"/>
              <w:jc w:val="left"/>
              <w:rPr/>
            </w:pPr>
            <w:r>
              <w:rPr>
                <w:b/>
              </w:rPr>
              <w:t>Change of Business Activity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make any significant changes in the main areas of its economic activities and undertakes to ensure that each of its Subsidiaries does not make any significant changes in the main areas of its economic activities without the prior written consent of the Credit Agent. For the avoidance of doubt, this Clause (q) does not apply to the reduction or termination of the economic activities of Headhunter as a result of the Permitted Reorganization.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(r)</w:t>
            </w:r>
          </w:p>
        </w:tc>
        <w:tc>
          <w:tcPr>
            <w:tcW w:w="8471" w:type="dxa"/>
            <w:tcBorders/>
            <w:shd w:fill="auto" w:val="clear"/>
          </w:tcPr>
          <w:p>
            <w:pPr>
              <w:pStyle w:val="TableContents"/>
              <w:spacing w:before="0" w:after="283"/>
              <w:jc w:val="left"/>
              <w:rPr/>
            </w:pPr>
            <w:r>
              <w:rPr>
                <w:b/>
              </w:rPr>
              <w:t>Existing Business Contracts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maintain the Existing Business Contracts up to the Final Redemption Date or, if it is commercially justified, conclude new contracts on similar terms at least one month before the expiration of the Existing Business Contracts.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(s)</w:t>
            </w:r>
          </w:p>
        </w:tc>
        <w:tc>
          <w:tcPr>
            <w:tcW w:w="8476" w:type="dxa"/>
            <w:tcBorders/>
            <w:shd w:fill="auto" w:val="clear"/>
          </w:tcPr>
          <w:p>
            <w:pPr>
              <w:pStyle w:val="TableContents"/>
              <w:spacing w:before="0" w:after="283"/>
              <w:jc w:val="left"/>
              <w:rPr/>
            </w:pPr>
            <w:r>
              <w:rPr>
                <w:b/>
              </w:rPr>
              <w:t>Taxation</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shall pay taxes and levies in a timely manner under the laws of the Republic of Cyprus (hereinafter referred to as the “</w:t>
      </w:r>
      <w:r>
        <w:rPr>
          <w:rFonts w:ascii="Times New Roman" w:hAnsi="Times New Roman"/>
          <w:b/>
          <w:sz w:val="20"/>
        </w:rPr>
        <w:t>Mandatory Payments</w:t>
      </w:r>
      <w:r>
        <w:rPr>
          <w:rFonts w:ascii="Times New Roman" w:hAnsi="Times New Roman"/>
          <w:sz w:val="20"/>
        </w:rPr>
        <w:t xml:space="preserve">”) and shall ensure that each of its Subsidiaries timely pays the Mandatory Payments in accordance with the applicable law, with the exception of: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3"/>
        <w:gridCol w:w="7557"/>
      </w:tblGrid>
      <w:tr>
        <w:trPr/>
        <w:tc>
          <w:tcPr>
            <w:tcW w:w="1734"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Mandatory Payments which are contested by the Guarantor or any of its Subsidiaries in the manner prescribed by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the Mandatory Payments and costs for their contestation, for which there were created reserves recognized in the most recent financial statements submitted to the Credit Agent pursuant to Article 17.1 (</w:t>
            </w:r>
            <w:r>
              <w:rPr>
                <w:i/>
              </w:rPr>
              <w:t>Financial Statements</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a case where failure to pay such Mandatory Payments will not have the Material Negative Impact.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(t)</w:t>
            </w:r>
          </w:p>
        </w:tc>
        <w:tc>
          <w:tcPr>
            <w:tcW w:w="8474" w:type="dxa"/>
            <w:tcBorders/>
            <w:shd w:fill="auto" w:val="clear"/>
          </w:tcPr>
          <w:p>
            <w:pPr>
              <w:pStyle w:val="TableContents"/>
              <w:spacing w:before="0" w:after="283"/>
              <w:jc w:val="left"/>
              <w:rPr/>
            </w:pPr>
            <w:r>
              <w:rPr>
                <w:b/>
              </w:rPr>
              <w:t>Equal Status of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ensure that its obligations hereunder (when they are to be fulfilled) shall be deemed to be of the same class as its other existing and future unsecured payment obligations and that any of its Subsidiaries shall ensure that the Guarantor’s obligations hereunder (when they are to be fulfilled) shall be deemed to be of the same class as other existing and future unsecured payment obligations of such Subsidiary, except for any obligations, whose primary satisfaction is directly provided for by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(u)</w:t>
            </w:r>
          </w:p>
        </w:tc>
        <w:tc>
          <w:tcPr>
            <w:tcW w:w="8474" w:type="dxa"/>
            <w:tcBorders/>
            <w:shd w:fill="auto" w:val="clear"/>
          </w:tcPr>
          <w:p>
            <w:pPr>
              <w:pStyle w:val="TableContents"/>
              <w:spacing w:before="0" w:after="283"/>
              <w:jc w:val="left"/>
              <w:rPr/>
            </w:pPr>
            <w:r>
              <w:rPr>
                <w:b/>
              </w:rPr>
              <w:t>Group Structure Scheme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ensure maintaining the existing structure of the Group in accordance with the Group Structure Scheme. This obligation does not apply to any actions permitted or provided for under the Financial Documents.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(v)</w:t>
            </w:r>
          </w:p>
        </w:tc>
        <w:tc>
          <w:tcPr>
            <w:tcW w:w="8472" w:type="dxa"/>
            <w:tcBorders/>
            <w:shd w:fill="auto" w:val="clear"/>
          </w:tcPr>
          <w:p>
            <w:pPr>
              <w:pStyle w:val="TableContents"/>
              <w:spacing w:before="0" w:after="283"/>
              <w:jc w:val="left"/>
              <w:rPr/>
            </w:pPr>
            <w:r>
              <w:rPr>
                <w:b/>
              </w:rPr>
              <w:t>Access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When the Default occurs and remains uneliminated or when there are sufficient grounds for the Credit Agent to believe that the Default may occur, the Guarantor shall, at the request of the Credit Agent, provide (and ensure that each of its Subsidiaries provides) the Credit Agent and/or its auditors or other professional advisers free access to its premises, assets and primary accounting and tax accounting documents (on paper or electronic media), including issue of powers of attorney for the persons concerned, as well as organize a meeting with the Group management.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(w)</w:t>
            </w:r>
          </w:p>
        </w:tc>
        <w:tc>
          <w:tcPr>
            <w:tcW w:w="8470" w:type="dxa"/>
            <w:tcBorders/>
            <w:shd w:fill="auto" w:val="clear"/>
          </w:tcPr>
          <w:p>
            <w:pPr>
              <w:pStyle w:val="TableContents"/>
              <w:spacing w:before="0" w:after="283"/>
              <w:jc w:val="left"/>
              <w:rPr/>
            </w:pPr>
            <w:r>
              <w:rPr>
                <w:b/>
              </w:rPr>
              <w:t>Additional General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at the request of any Party to the Financing, at its own expense, take any actions and sign any documents and ensure that any of its Subsidiaries, at such Subsidiary’s own expense, takes any action and signs any documents necessary to ensure the validity and proper performance of the Financial Documents. In particular, the Guarantor shall, at its own expense, at the request of the Credit Agent, ensure: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taking all actions necessary to ensure the validity of the Borrower’s Pledge Agreement and the Headhunter’s Pledge Agreement if any Lender other than the Original Lender acquires any rights (claims) to the Borrower and (or) obligations to grant the Loan pursuant to the provisions of Article 22.2 (</w:t>
            </w:r>
            <w:r>
              <w:rPr>
                <w:i/>
              </w:rPr>
              <w:t>Assignment of Rights and Transfer of Obligations by the Lenders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entering into supplementary agreements to the Borrower’s Pledge Agreement and the Headhunter’s Pledge Agreement (on such terms and conditions as acceptable to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(x)</w:t>
            </w:r>
          </w:p>
        </w:tc>
        <w:tc>
          <w:tcPr>
            <w:tcW w:w="8475" w:type="dxa"/>
            <w:tcBorders/>
            <w:shd w:fill="auto" w:val="clear"/>
          </w:tcPr>
          <w:p>
            <w:pPr>
              <w:pStyle w:val="TableContents"/>
              <w:spacing w:before="0" w:after="283"/>
              <w:jc w:val="left"/>
              <w:rPr/>
            </w:pPr>
            <w:r>
              <w:rPr>
                <w:b/>
              </w:rPr>
              <w:t>Reorganization and Reduction of the Authorized Capital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reorganize or reduce its authorized, additional or another capital and undertakes to ensure that any Subsidiary of the Guarantor does not reorganize or reduce its authorized, additional or another capital without the prior written consent of the Credit Agent, except for (i) the Permitted Redemption , (ii) the payments provided for in Sub-Clauses (c) and (d) of the definition “Authorized Payments” of Clause 1.1 </w:t>
      </w:r>
      <w:r>
        <w:rPr>
          <w:rFonts w:ascii="Times New Roman" w:hAnsi="Times New Roman"/>
          <w:i/>
          <w:sz w:val="20"/>
        </w:rPr>
        <w:t>(Terms)</w:t>
      </w:r>
      <w:r>
        <w:rPr>
          <w:rFonts w:ascii="Times New Roman" w:hAnsi="Times New Roman"/>
          <w:sz w:val="20"/>
        </w:rPr>
        <w:t xml:space="preserve"> of the Loan Agreement in the form of a reduction in the additional capital of the Guarantor because of allocation of these amounts to the Guarantor’s shareholders and (iii) the reduction of the Guarantor’s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additional capital by a total amount not exceeding the amount of the Outstanding Loan relating to Tranche B and Tranche D because of allocation of these amounts to the Guarantor’s shareholders provided for by Sub-Clause (c) of Article 3 </w:t>
      </w:r>
      <w:r>
        <w:rPr>
          <w:rFonts w:ascii="Times New Roman" w:hAnsi="Times New Roman"/>
          <w:i/>
          <w:sz w:val="20"/>
        </w:rPr>
        <w:t xml:space="preserve">(Purpose) </w:t>
      </w:r>
      <w:r>
        <w:rPr>
          <w:rFonts w:ascii="Times New Roman" w:hAnsi="Times New Roman"/>
          <w:sz w:val="20"/>
        </w:rPr>
        <w:t xml:space="preserve">of the Loan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(y)</w:t>
            </w:r>
          </w:p>
        </w:tc>
        <w:tc>
          <w:tcPr>
            <w:tcW w:w="8473" w:type="dxa"/>
            <w:tcBorders/>
            <w:shd w:fill="auto" w:val="clear"/>
          </w:tcPr>
          <w:p>
            <w:pPr>
              <w:pStyle w:val="TableContents"/>
              <w:spacing w:before="0" w:after="283"/>
              <w:jc w:val="left"/>
              <w:rPr/>
            </w:pPr>
            <w:r>
              <w:rPr>
                <w:b/>
              </w:rPr>
              <w:t>Issue of New Shares and Increase in the Authorized Capital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increase its authorized capital and undertakes to ensure that any Subsidiary of the Guarantor does not issue new shares and does not increase its authorized capital without the prior written consent of the Credit Agent, except for the cases: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when a member of the Group acquires such issued shares or increases its participatory interest in the authorized capital of its Subsidiary;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if shares or participatory interests in the authorized capital of such Subsidiary are pledged in favor of the Lenders under the Pledge Agreement, such Pledge Agreement will cover all 100 (one hundred) percent of shares or participatory interests in the authorized capital of such Subsidiary owned by the Group members or the Pledgors.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(z)</w:t>
            </w:r>
          </w:p>
        </w:tc>
        <w:tc>
          <w:tcPr>
            <w:tcW w:w="8474" w:type="dxa"/>
            <w:tcBorders/>
            <w:shd w:fill="auto" w:val="clear"/>
          </w:tcPr>
          <w:p>
            <w:pPr>
              <w:pStyle w:val="TableContents"/>
              <w:spacing w:before="0" w:after="283"/>
              <w:jc w:val="left"/>
              <w:rPr/>
            </w:pPr>
            <w:r>
              <w:rPr>
                <w:b/>
              </w:rPr>
              <w:t>Amendments to the Constituent Documents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not make amendments to its constituent documents, including those related to any changes in the legal form or name of the Guarantor, and undertakes to ensure that no Debtor makes amendments to its constituent documents, including those related to any changes in its legal form or name, without the prior written consent of the Credit Agent, except for any technical changes and cases where changes are required under applicable laws.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(aa)</w:t>
            </w:r>
          </w:p>
        </w:tc>
        <w:tc>
          <w:tcPr>
            <w:tcW w:w="8472" w:type="dxa"/>
            <w:tcBorders/>
            <w:shd w:fill="auto" w:val="clear"/>
          </w:tcPr>
          <w:p>
            <w:pPr>
              <w:pStyle w:val="TableContents"/>
              <w:spacing w:before="0" w:after="283"/>
              <w:jc w:val="left"/>
              <w:rPr/>
            </w:pPr>
            <w:r>
              <w:rPr>
                <w:b/>
              </w:rPr>
              <w:t>Payment of Dividends and Redemption of Shares / Participatory Interests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The Guarantor shall not, without the prior written consent of the Credit Agent, declare or pay any dividends or repurchase its participatory interests (except where required by the applicable law) and shall ensure that the Borrower and the other Debtors do not, without the prior written consent of the Credit Agent, declare or pay any dividends or repurchase its participatory interests (except where required by the applicable laws), except for the following cases: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7"/>
        <w:gridCol w:w="6636"/>
      </w:tblGrid>
      <w:tr>
        <w:trPr/>
        <w:tc>
          <w:tcPr>
            <w:tcW w:w="2651"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6636" w:type="dxa"/>
            <w:tcBorders/>
            <w:shd w:fill="auto" w:val="clear"/>
          </w:tcPr>
          <w:p>
            <w:pPr>
              <w:pStyle w:val="TableContents"/>
              <w:spacing w:before="0" w:after="283"/>
              <w:jc w:val="left"/>
              <w:rPr/>
            </w:pPr>
            <w:r>
              <w:rPr/>
              <w:t xml:space="preserve">payment of allocated profit by any Debtor to another Debtor or by any member of the Group to the Borrower or any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8"/>
        <w:gridCol w:w="6633"/>
      </w:tblGrid>
      <w:tr>
        <w:trPr/>
        <w:tc>
          <w:tcPr>
            <w:tcW w:w="265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3" w:type="dxa"/>
            <w:tcBorders/>
            <w:shd w:fill="auto" w:val="clear"/>
          </w:tcPr>
          <w:p>
            <w:pPr>
              <w:pStyle w:val="TableContents"/>
              <w:spacing w:before="0" w:after="283"/>
              <w:jc w:val="left"/>
              <w:rPr/>
            </w:pPr>
            <w:r>
              <w:rPr/>
              <w:t xml:space="preserve">payment of allocated profit (inter alia, as the Permitted Redemption) to the Guarantor’s shareholders in an amount not exceeding 50 (fifty) percent of the Adjusted Consolidated Net Profit of the Group in case of confirmation by the Credit Agent that the value of the Adjusted Debt Ratio does not exceed 2.9:1;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(C)</w:t>
            </w:r>
          </w:p>
        </w:tc>
        <w:tc>
          <w:tcPr>
            <w:tcW w:w="6634" w:type="dxa"/>
            <w:tcBorders/>
            <w:shd w:fill="auto" w:val="clear"/>
          </w:tcPr>
          <w:p>
            <w:pPr>
              <w:pStyle w:val="TableContents"/>
              <w:spacing w:before="0" w:after="283"/>
              <w:jc w:val="left"/>
              <w:rPr/>
            </w:pPr>
            <w:r>
              <w:rPr/>
              <w:t xml:space="preserve">payment of allocated profit (inter alia, as the Permitted Redemption) to the Guarantor’s shareholders in an amount not exceeding 70 (seventy) percent of the Adjusted Consolidated Net Profit of the Group in case of confirmation by the Credit Agent that the value of the Adjusted Debt Ratio does not exceed 2.7:1;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6634" w:type="dxa"/>
            <w:tcBorders/>
            <w:shd w:fill="auto" w:val="clear"/>
          </w:tcPr>
          <w:p>
            <w:pPr>
              <w:pStyle w:val="TableContents"/>
              <w:spacing w:before="0" w:after="283"/>
              <w:jc w:val="left"/>
              <w:rPr/>
            </w:pPr>
            <w:r>
              <w:rPr/>
              <w:t xml:space="preserve">payments of the Allocated Profit by any member of the Group to any minority shareholders, provided that similar payments are made to shareholders (members) (being members of the Group) of such member of the Group in proportion to their participatory interest in the authorized capital of such member of the Group. </w:t>
            </w:r>
          </w:p>
        </w:tc>
      </w:tr>
    </w:tbl>
    <w:p>
      <w:pPr>
        <w:pStyle w:val="TextBody"/>
        <w:spacing w:before="120" w:after="0"/>
        <w:rPr>
          <w:rFonts w:ascii="Times New Roman" w:hAnsi="Times New Roman"/>
          <w:sz w:val="20"/>
        </w:rPr>
      </w:pPr>
      <w:r>
        <w:rPr>
          <w:rFonts w:ascii="Times New Roman" w:hAnsi="Times New Roman"/>
          <w:sz w:val="20"/>
        </w:rPr>
        <w:t xml:space="preserve">If any payments provided for by Sub-Clauses (B) or (C) above are made, the Guarantor undertakes to ensure that the Borrower submits to the Credit Agent the calculation of the Adjusted Debt Ratio at least 5 (five) business days prior to such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For the purposes of this Clause (aa): </w:t>
            </w:r>
          </w:p>
        </w:tc>
      </w:tr>
    </w:tbl>
    <w:p>
      <w:pPr>
        <w:pStyle w:val="TextBody"/>
        <w:spacing w:before="120" w:after="0"/>
        <w:rPr/>
      </w:pPr>
      <w:r>
        <w:rPr/>
        <w:t>“</w:t>
      </w:r>
      <w:r>
        <w:rPr>
          <w:rFonts w:ascii="Times New Roman" w:hAnsi="Times New Roman"/>
          <w:b/>
          <w:sz w:val="20"/>
        </w:rPr>
        <w:t xml:space="preserve">Consolidated Net Profit of the Group” </w:t>
      </w:r>
      <w:r>
        <w:rPr>
          <w:rFonts w:ascii="Times New Roman" w:hAnsi="Times New Roman"/>
          <w:sz w:val="20"/>
        </w:rPr>
        <w:t xml:space="preserve">has the meaning specified in Article 18.7 (Definitions) of the Loan Agreement. </w:t>
      </w:r>
    </w:p>
    <w:p>
      <w:pPr>
        <w:pStyle w:val="TextBody"/>
        <w:spacing w:before="120" w:after="0"/>
        <w:rPr/>
      </w:pPr>
      <w:r>
        <w:rPr/>
        <w:t>“</w:t>
      </w:r>
      <w:r>
        <w:rPr>
          <w:rFonts w:ascii="Times New Roman" w:hAnsi="Times New Roman"/>
          <w:b/>
          <w:sz w:val="20"/>
        </w:rPr>
        <w:t xml:space="preserve">Adjusted Consolidated Net Profit of the Group” </w:t>
      </w:r>
      <w:r>
        <w:rPr>
          <w:rFonts w:ascii="Times New Roman" w:hAnsi="Times New Roman"/>
          <w:sz w:val="20"/>
        </w:rPr>
        <w:t xml:space="preserve">means, as of the last Settlement Date, the Consolidated Net Profit of the Group for the Settlement Period ending on such Settlement Date, excluding: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9"/>
        <w:gridCol w:w="6634"/>
      </w:tblGrid>
      <w:tr>
        <w:trPr/>
        <w:tc>
          <w:tcPr>
            <w:tcW w:w="2651"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6634" w:type="dxa"/>
            <w:tcBorders/>
            <w:shd w:fill="auto" w:val="clear"/>
          </w:tcPr>
          <w:p>
            <w:pPr>
              <w:pStyle w:val="TableContents"/>
              <w:spacing w:before="0" w:after="283"/>
              <w:jc w:val="left"/>
              <w:rPr/>
            </w:pPr>
            <w:r>
              <w:rPr/>
              <w:t xml:space="preserve">gains and losses arising out of any revaluation of any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6634" w:type="dxa"/>
            <w:tcBorders/>
            <w:shd w:fill="auto" w:val="clear"/>
          </w:tcPr>
          <w:p>
            <w:pPr>
              <w:pStyle w:val="TableContents"/>
              <w:spacing w:before="0" w:after="283"/>
              <w:jc w:val="left"/>
              <w:rPr/>
            </w:pPr>
            <w:r>
              <w:rPr/>
              <w:t xml:space="preserve">impairment of goodwill;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6635" w:type="dxa"/>
            <w:tcBorders/>
            <w:shd w:fill="auto" w:val="clear"/>
          </w:tcPr>
          <w:p>
            <w:pPr>
              <w:pStyle w:val="TableContents"/>
              <w:spacing w:before="0" w:after="283"/>
              <w:jc w:val="left"/>
              <w:rPr/>
            </w:pPr>
            <w:r>
              <w:rPr/>
              <w:t>amortization and depreciation of the following intangible assets (identified at the acquiring of HeadHunter FSU in the Group’s 2016 financial statements prepared in accordance with IFRS based on the standard of IFRS 3), provided that such amortization / impairment of the intangible assets will be indicated in the financial indicator compliance certificate submitted by the Borrower to the Credit Agent together with the financial statements of the Group for the year 2016 under Article 17.2 (</w:t>
            </w:r>
            <w:r>
              <w:rPr>
                <w:i/>
              </w:rPr>
              <w:t>Financial Indicator Compliance Certificate</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4"/>
        <w:gridCol w:w="5819"/>
      </w:tblGrid>
      <w:tr>
        <w:trPr/>
        <w:tc>
          <w:tcPr>
            <w:tcW w:w="3571" w:type="dxa"/>
            <w:tcBorders/>
            <w:shd w:fill="auto" w:val="clear"/>
            <w:vAlign w:val="center"/>
          </w:tcPr>
          <w:p>
            <w:pPr>
              <w:pStyle w:val="TableContents"/>
              <w:spacing w:before="0" w:after="283"/>
              <w:rPr/>
            </w:pPr>
            <w:r>
              <w:rPr/>
              <w:t> </w:t>
            </w:r>
          </w:p>
        </w:tc>
        <w:tc>
          <w:tcPr>
            <w:tcW w:w="814" w:type="dxa"/>
            <w:tcBorders/>
            <w:shd w:fill="auto" w:val="clear"/>
          </w:tcPr>
          <w:p>
            <w:pPr>
              <w:pStyle w:val="TableContents"/>
              <w:spacing w:before="0" w:after="283"/>
              <w:jc w:val="left"/>
              <w:rPr/>
            </w:pPr>
            <w:r>
              <w:rPr/>
              <w:t>(1)</w:t>
            </w:r>
          </w:p>
        </w:tc>
        <w:tc>
          <w:tcPr>
            <w:tcW w:w="5819" w:type="dxa"/>
            <w:tcBorders/>
            <w:shd w:fill="auto" w:val="clear"/>
          </w:tcPr>
          <w:p>
            <w:pPr>
              <w:pStyle w:val="TableContents"/>
              <w:spacing w:before="0" w:after="283"/>
              <w:jc w:val="left"/>
              <w:rPr/>
            </w:pPr>
            <w:r>
              <w:rPr/>
              <w:t xml:space="preserve">the trademark “hh”;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4"/>
        <w:gridCol w:w="5819"/>
      </w:tblGrid>
      <w:tr>
        <w:trPr/>
        <w:tc>
          <w:tcPr>
            <w:tcW w:w="3571" w:type="dxa"/>
            <w:tcBorders/>
            <w:shd w:fill="auto" w:val="clear"/>
            <w:vAlign w:val="center"/>
          </w:tcPr>
          <w:p>
            <w:pPr>
              <w:pStyle w:val="TableContents"/>
              <w:spacing w:before="0" w:after="283"/>
              <w:rPr/>
            </w:pPr>
            <w:r>
              <w:rPr/>
              <w:t> </w:t>
            </w:r>
          </w:p>
        </w:tc>
        <w:tc>
          <w:tcPr>
            <w:tcW w:w="814" w:type="dxa"/>
            <w:tcBorders/>
            <w:shd w:fill="auto" w:val="clear"/>
          </w:tcPr>
          <w:p>
            <w:pPr>
              <w:pStyle w:val="TableContents"/>
              <w:spacing w:before="0" w:after="283"/>
              <w:jc w:val="left"/>
              <w:rPr/>
            </w:pPr>
            <w:r>
              <w:rPr/>
              <w:t>(2)</w:t>
            </w:r>
          </w:p>
        </w:tc>
        <w:tc>
          <w:tcPr>
            <w:tcW w:w="5819" w:type="dxa"/>
            <w:tcBorders/>
            <w:shd w:fill="auto" w:val="clear"/>
          </w:tcPr>
          <w:p>
            <w:pPr>
              <w:pStyle w:val="TableContents"/>
              <w:spacing w:before="0" w:after="283"/>
              <w:jc w:val="left"/>
              <w:rPr/>
            </w:pPr>
            <w:r>
              <w:rPr/>
              <w:t xml:space="preserve">the trademark “CV Keskus”;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2"/>
        <w:gridCol w:w="814"/>
        <w:gridCol w:w="5818"/>
      </w:tblGrid>
      <w:tr>
        <w:trPr/>
        <w:tc>
          <w:tcPr>
            <w:tcW w:w="3572" w:type="dxa"/>
            <w:tcBorders/>
            <w:shd w:fill="auto" w:val="clear"/>
            <w:vAlign w:val="center"/>
          </w:tcPr>
          <w:p>
            <w:pPr>
              <w:pStyle w:val="TableContents"/>
              <w:spacing w:before="0" w:after="283"/>
              <w:rPr/>
            </w:pPr>
            <w:r>
              <w:rPr/>
              <w:t> </w:t>
            </w:r>
          </w:p>
        </w:tc>
        <w:tc>
          <w:tcPr>
            <w:tcW w:w="814" w:type="dxa"/>
            <w:tcBorders/>
            <w:shd w:fill="auto" w:val="clear"/>
          </w:tcPr>
          <w:p>
            <w:pPr>
              <w:pStyle w:val="TableContents"/>
              <w:spacing w:before="0" w:after="283"/>
              <w:jc w:val="left"/>
              <w:rPr/>
            </w:pPr>
            <w:r>
              <w:rPr/>
              <w:t>(3)</w:t>
            </w:r>
          </w:p>
        </w:tc>
        <w:tc>
          <w:tcPr>
            <w:tcW w:w="5818" w:type="dxa"/>
            <w:tcBorders/>
            <w:shd w:fill="auto" w:val="clear"/>
          </w:tcPr>
          <w:p>
            <w:pPr>
              <w:pStyle w:val="TableContents"/>
              <w:spacing w:before="0" w:after="283"/>
              <w:jc w:val="left"/>
              <w:rPr/>
            </w:pPr>
            <w:r>
              <w:rPr/>
              <w:t xml:space="preserve">the CV database of hh.ru;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2"/>
        <w:gridCol w:w="814"/>
        <w:gridCol w:w="5818"/>
      </w:tblGrid>
      <w:tr>
        <w:trPr/>
        <w:tc>
          <w:tcPr>
            <w:tcW w:w="3572" w:type="dxa"/>
            <w:tcBorders/>
            <w:shd w:fill="auto" w:val="clear"/>
            <w:vAlign w:val="center"/>
          </w:tcPr>
          <w:p>
            <w:pPr>
              <w:pStyle w:val="TableContents"/>
              <w:spacing w:before="0" w:after="283"/>
              <w:rPr/>
            </w:pPr>
            <w:r>
              <w:rPr/>
              <w:t> </w:t>
            </w:r>
          </w:p>
        </w:tc>
        <w:tc>
          <w:tcPr>
            <w:tcW w:w="814" w:type="dxa"/>
            <w:tcBorders/>
            <w:shd w:fill="auto" w:val="clear"/>
          </w:tcPr>
          <w:p>
            <w:pPr>
              <w:pStyle w:val="TableContents"/>
              <w:spacing w:before="0" w:after="283"/>
              <w:jc w:val="left"/>
              <w:rPr/>
            </w:pPr>
            <w:r>
              <w:rPr/>
              <w:t>(4)</w:t>
            </w:r>
          </w:p>
        </w:tc>
        <w:tc>
          <w:tcPr>
            <w:tcW w:w="5818" w:type="dxa"/>
            <w:tcBorders/>
            <w:shd w:fill="auto" w:val="clear"/>
          </w:tcPr>
          <w:p>
            <w:pPr>
              <w:pStyle w:val="TableContents"/>
              <w:spacing w:before="0" w:after="283"/>
              <w:jc w:val="left"/>
              <w:rPr/>
            </w:pPr>
            <w:r>
              <w:rPr/>
              <w:t xml:space="preserve">the CV database of CV Keskus;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5"/>
        <w:gridCol w:w="5818"/>
      </w:tblGrid>
      <w:tr>
        <w:trPr/>
        <w:tc>
          <w:tcPr>
            <w:tcW w:w="3571"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(5)</w:t>
            </w:r>
          </w:p>
        </w:tc>
        <w:tc>
          <w:tcPr>
            <w:tcW w:w="5818" w:type="dxa"/>
            <w:tcBorders/>
            <w:shd w:fill="auto" w:val="clear"/>
          </w:tcPr>
          <w:p>
            <w:pPr>
              <w:pStyle w:val="TableContents"/>
              <w:spacing w:before="0" w:after="283"/>
              <w:jc w:val="left"/>
              <w:rPr/>
            </w:pPr>
            <w:r>
              <w:rPr/>
              <w:t xml:space="preserve">relations between Headhunter and its clients;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5"/>
        <w:gridCol w:w="5818"/>
      </w:tblGrid>
      <w:tr>
        <w:trPr/>
        <w:tc>
          <w:tcPr>
            <w:tcW w:w="3571"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(6)</w:t>
            </w:r>
          </w:p>
        </w:tc>
        <w:tc>
          <w:tcPr>
            <w:tcW w:w="5818" w:type="dxa"/>
            <w:tcBorders/>
            <w:shd w:fill="auto" w:val="clear"/>
          </w:tcPr>
          <w:p>
            <w:pPr>
              <w:pStyle w:val="TableContents"/>
              <w:spacing w:before="0" w:after="283"/>
              <w:jc w:val="left"/>
              <w:rPr/>
            </w:pPr>
            <w:r>
              <w:rPr/>
              <w:t xml:space="preserve">relations between CV Keskus and its clients;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6"/>
        <w:gridCol w:w="5817"/>
      </w:tblGrid>
      <w:tr>
        <w:trPr/>
        <w:tc>
          <w:tcPr>
            <w:tcW w:w="3571"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(7)</w:t>
            </w:r>
          </w:p>
        </w:tc>
        <w:tc>
          <w:tcPr>
            <w:tcW w:w="5817" w:type="dxa"/>
            <w:tcBorders/>
            <w:shd w:fill="auto" w:val="clear"/>
          </w:tcPr>
          <w:p>
            <w:pPr>
              <w:pStyle w:val="TableContents"/>
              <w:spacing w:before="0" w:after="283"/>
              <w:jc w:val="left"/>
              <w:rPr/>
            </w:pPr>
            <w:r>
              <w:rPr/>
              <w:t xml:space="preserve">hh.ru website software;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6635" w:type="dxa"/>
            <w:tcBorders/>
            <w:shd w:fill="auto" w:val="clear"/>
          </w:tcPr>
          <w:p>
            <w:pPr>
              <w:pStyle w:val="TableContents"/>
              <w:spacing w:before="0" w:after="283"/>
              <w:jc w:val="left"/>
              <w:rPr/>
            </w:pPr>
            <w:r>
              <w:rPr/>
              <w:t xml:space="preserve">any non-monetary gains or losses from the Incentive Plans Based on the Group’s Equity Instruments;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2654"/>
        <w:gridCol w:w="916"/>
        <w:gridCol w:w="6634"/>
      </w:tblGrid>
      <w:tr>
        <w:trPr/>
        <w:tc>
          <w:tcPr>
            <w:tcW w:w="265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6634" w:type="dxa"/>
            <w:tcBorders/>
            <w:shd w:fill="auto" w:val="clear"/>
          </w:tcPr>
          <w:p>
            <w:pPr>
              <w:pStyle w:val="TableContents"/>
              <w:spacing w:before="0" w:after="283"/>
              <w:jc w:val="left"/>
              <w:rPr/>
            </w:pPr>
            <w:r>
              <w:rPr/>
              <w:t xml:space="preserve">any income tax recognized in the Consolidated Net Profit of the Group for the non-monetary gains and losses as described in Clauses (A)—(D) above;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2"/>
        <w:gridCol w:w="918"/>
        <w:gridCol w:w="6634"/>
      </w:tblGrid>
      <w:tr>
        <w:trPr/>
        <w:tc>
          <w:tcPr>
            <w:tcW w:w="265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6634" w:type="dxa"/>
            <w:tcBorders/>
            <w:shd w:fill="auto" w:val="clear"/>
          </w:tcPr>
          <w:p>
            <w:pPr>
              <w:pStyle w:val="TableContents"/>
              <w:spacing w:before="0" w:after="283"/>
              <w:jc w:val="left"/>
              <w:rPr/>
            </w:pPr>
            <w:r>
              <w:rPr/>
              <w:t xml:space="preserve">gains and losses from any provision for a deferred tax on retained earnings. </w:t>
            </w:r>
          </w:p>
        </w:tc>
      </w:tr>
    </w:tbl>
    <w:p>
      <w:pPr>
        <w:pStyle w:val="TextBody"/>
        <w:spacing w:before="120" w:after="0"/>
        <w:rPr/>
      </w:pPr>
      <w:r>
        <w:rPr/>
        <w:t>“</w:t>
      </w:r>
      <w:r>
        <w:rPr>
          <w:rFonts w:ascii="Times New Roman" w:hAnsi="Times New Roman"/>
          <w:b/>
          <w:sz w:val="20"/>
        </w:rPr>
        <w:t>Adjusted Debt Ratio”</w:t>
      </w:r>
      <w:r>
        <w:rPr>
          <w:rFonts w:ascii="Times New Roman" w:hAnsi="Times New Roman"/>
          <w:sz w:val="20"/>
        </w:rPr>
        <w:t xml:space="preserve"> means, as of the last Settlement Date, such ratio of the Consolidated Net Debt (as of such Settlement Date) and the Dividend Amount to the Consolidated EBITDA as calculated on the basis of the consolidated financial statements of the Group (provided to the Credit Agent under Clause (a) or (b) of Article 17.1 (Financial Statements) of the Loan Agreement) as of the Settlement Date occurred within 5 (five) months prior to the date of payment of the allocated profit under Sub-Clauses (B) or (C) Clause (i) above. </w:t>
      </w:r>
    </w:p>
    <w:p>
      <w:pPr>
        <w:pStyle w:val="TextBody"/>
        <w:spacing w:before="120" w:after="0"/>
        <w:rPr/>
      </w:pPr>
      <w:r>
        <w:rPr/>
        <w:t>“</w:t>
      </w:r>
      <w:r>
        <w:rPr>
          <w:rFonts w:ascii="Times New Roman" w:hAnsi="Times New Roman"/>
          <w:b/>
          <w:sz w:val="20"/>
        </w:rPr>
        <w:t>Dividend Amount”</w:t>
      </w:r>
      <w:r>
        <w:rPr>
          <w:rFonts w:ascii="Times New Roman" w:hAnsi="Times New Roman"/>
          <w:sz w:val="20"/>
        </w:rPr>
        <w:t xml:space="preserve"> means an amount of dividends: (i) paid to the Guarantor’s shareholders during a fiscal half a year ending on the last Settlement Date and (ii) planned for payment to the Guarantor’s shareholders during a fiscal half a year beginning on a day immediately after such Settlement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4.2.</w:t>
            </w:r>
          </w:p>
        </w:tc>
        <w:tc>
          <w:tcPr>
            <w:tcW w:w="9390" w:type="dxa"/>
            <w:tcBorders/>
            <w:shd w:fill="auto" w:val="clear"/>
          </w:tcPr>
          <w:p>
            <w:pPr>
              <w:pStyle w:val="TableContents"/>
              <w:spacing w:before="0" w:after="283"/>
              <w:jc w:val="left"/>
              <w:rPr/>
            </w:pPr>
            <w:r>
              <w:rPr>
                <w:b/>
              </w:rPr>
              <w:t>Irrevocability of the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Guarantor under this Agreement and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are an irrevocable security according to the provisions of Article 5.1 (</w:t>
            </w:r>
            <w:r>
              <w:rPr>
                <w:i/>
              </w:rPr>
              <w:t>Validity Term</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supplement any other security and are unimpaired by any other security that is now or hereafter provided to the Lenders for all or any of the Secured Obligations;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are not affected by any reorganization of the Guarantor and (or) the Borrower, including, but not limited to, any changes in the legal form of the Guarantor and/or the Borrower;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continue to be valid during any liquidation or insolvency (bankruptcy) procedure initiated against the Guarantor and (or) the Borrower, or during any reorganization of the Guarantor and (or) the Borrower to the extent permitted by the applicable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 xml:space="preserve">continue to be valid until terminated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4.3.</w:t>
            </w:r>
          </w:p>
        </w:tc>
        <w:tc>
          <w:tcPr>
            <w:tcW w:w="9389" w:type="dxa"/>
            <w:tcBorders/>
            <w:shd w:fill="auto" w:val="clear"/>
          </w:tcPr>
          <w:p>
            <w:pPr>
              <w:pStyle w:val="TableContents"/>
              <w:spacing w:before="0" w:after="283"/>
              <w:jc w:val="left"/>
              <w:rPr/>
            </w:pPr>
            <w:r>
              <w:rPr>
                <w:b/>
              </w:rPr>
              <w:t>Material Change in Circumstances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Such material change in circumstances as described in Article 451 of the Civil Code does not justify revoking of the Guarantee, amending or terminating this Agreement on the initiative of the Guarantor and (or) the Borrower.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4.4.</w:t>
            </w:r>
          </w:p>
        </w:tc>
        <w:tc>
          <w:tcPr>
            <w:tcW w:w="9389" w:type="dxa"/>
            <w:tcBorders/>
            <w:shd w:fill="auto" w:val="clear"/>
          </w:tcPr>
          <w:p>
            <w:pPr>
              <w:pStyle w:val="TableContents"/>
              <w:spacing w:before="0" w:after="283"/>
              <w:jc w:val="left"/>
              <w:rPr/>
            </w:pPr>
            <w:r>
              <w:rPr>
                <w:b/>
              </w:rPr>
              <w:t>Waiver of Defense against Claims of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Any dispute between the Guarantor, the Borrower and (or) any other Debtor, as well as between the Guarantor, the Borrower and (or) any other Debtor, on the one hand, and the Lenders, on the other hand, does not relieve the Guarantor from fulfilling the obligations under this Agreement and under the Guarantee.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is not entitled: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to file any such counterclaims or objections against any claims of the Lenders which the Borrower or another Debtor could submit;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to fail to fulfill any obligations under this Agreement and the Guarantee or postpone their fulfillment, referring to the existence of any dispute between the Borrower or another Debtor, on the one hand, and the Lenders, on the other hand.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4.5.</w:t>
            </w:r>
          </w:p>
        </w:tc>
        <w:tc>
          <w:tcPr>
            <w:tcW w:w="9388" w:type="dxa"/>
            <w:tcBorders/>
            <w:shd w:fill="auto" w:val="clear"/>
          </w:tcPr>
          <w:p>
            <w:pPr>
              <w:pStyle w:val="TableContents"/>
              <w:spacing w:before="0" w:after="283"/>
              <w:jc w:val="left"/>
              <w:rPr/>
            </w:pPr>
            <w:r>
              <w:rPr>
                <w:b/>
              </w:rPr>
              <w:t>Change in the Secured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hereby expresses its consent to be jointly liable with the Borrower, irrespective of whether the terms and conditions of the Loan Agreement will be amended in any way, including any amendments leading to an increase in the volume of the Secured Obligations or other adverse consequences for the Guarantor. No additional written consent of the Guarantor is required for such amendment.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4.6.</w:t>
            </w:r>
          </w:p>
        </w:tc>
        <w:tc>
          <w:tcPr>
            <w:tcW w:w="9390"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Guarantor may not revoke or amend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term or condition of this Agreement and the Guarantee may be amended by a written agreement signed by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In case of any amendment to the terms and conditions of the Loan Agreement, the Guarantor and the Borrower shall, at the request of the Credit Agent, enter into an agreement with the Lender within a period agreed by the Parties to make relevant amendments to this Agreement and the Guarantee if, according to the current legislation (including the judicial practice then existing) such amendments are necessary for the Guarantee to remain valid and to ensure the complete fulfillment of the Secured Obligations, taking into account amendments to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4.7.</w:t>
            </w:r>
          </w:p>
        </w:tc>
        <w:tc>
          <w:tcPr>
            <w:tcW w:w="9390" w:type="dxa"/>
            <w:tcBorders/>
            <w:shd w:fill="auto" w:val="clear"/>
          </w:tcPr>
          <w:p>
            <w:pPr>
              <w:pStyle w:val="TableContents"/>
              <w:spacing w:before="0" w:after="283"/>
              <w:jc w:val="left"/>
              <w:rPr/>
            </w:pPr>
            <w:r>
              <w:rPr>
                <w:b/>
              </w:rPr>
              <w:t>Reimbursement to the 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Guarantor hereby confirms that the Lender’s claims (filed directly by the Lender or through the Credit Agent) under the Loan Agreement shall take precedence over the Guarantor’s claims with respect to the Reimbursement for the Amounts Paid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Guarantor hereby undertakes: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9"/>
        <w:gridCol w:w="7554"/>
      </w:tblGrid>
      <w:tr>
        <w:trPr/>
        <w:tc>
          <w:tcPr>
            <w:tcW w:w="1731"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not to file any claims against the Borrower for the Reimbursement for the Amounts Paid under the Guarantee until the Secured Obligations are fully repaid;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until the Secured Obligations are fully repaid, to refrain from assignment or any other transfer of its claims of the Reimbursement for the Amounts Paid under the Guarantee, and from encumbrance of such claims in favor of third parties (excluding the Credit Agent and (or) the Lenders in connection with the Loan Agreement), without the prior written consent of the Credit Agent acting under the provisions of the Loan Agreement;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without prejudice to the other provisions of this Agreement, if the Guarantor receives the Reimbursement for the Amounts Paid under the Guarantee in violation of the terms or conditions of this Agreement, to immediately transfer the amount received by the Guarantor as a result of the Reimbursement for the Amounts Paid under the Guarantee to the Credit Agent’s Account.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In accordance with the provisions of Article 309.1 paragraph 2 of the Civil Code, after the Guarantor’s transfer of an amount received by the Guarantor as a result of the Reimbursement for the Amounts Paid under the Guarantee to the Credit Agent’s Account, the Lenders’ claim to the Borrower in the relevant part passes to the Guarantor. The Guarantor that has transferred such amount to the Credit Agent’s Account may file such claim to the Borrower only after the Secured Obligations are fully repaid.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Until the Secured Obligations are fully repaid, the Borrower undertakes to refrain from the Reimbursement for the Amounts Paid under the Guarantee, without the prior written consent of the Credit Agent acting pursuant to a resolution of the Qualified Majority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5.</w:t>
            </w:r>
          </w:p>
        </w:tc>
        <w:tc>
          <w:tcPr>
            <w:tcW w:w="9390" w:type="dxa"/>
            <w:tcBorders/>
            <w:shd w:fill="auto" w:val="clear"/>
          </w:tcPr>
          <w:p>
            <w:pPr>
              <w:pStyle w:val="TableContents"/>
              <w:spacing w:before="0" w:after="283"/>
              <w:jc w:val="left"/>
              <w:rPr>
                <w:b/>
              </w:rPr>
            </w:pPr>
            <w:r>
              <w:rPr>
                <w:b/>
              </w:rPr>
              <w:t xml:space="preserve">VALIDITY TERM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5.1.</w:t>
            </w:r>
          </w:p>
        </w:tc>
        <w:tc>
          <w:tcPr>
            <w:tcW w:w="9390" w:type="dxa"/>
            <w:tcBorders/>
            <w:shd w:fill="auto" w:val="clear"/>
          </w:tcPr>
          <w:p>
            <w:pPr>
              <w:pStyle w:val="TableContents"/>
              <w:spacing w:before="0" w:after="283"/>
              <w:jc w:val="left"/>
              <w:rPr/>
            </w:pPr>
            <w:r>
              <w:rPr>
                <w:b/>
              </w:rPr>
              <w:t>Validity Term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Guarantee is issued for a period from the Issue Date through a date that occurs after 96 months from the date of Amendment Agreement No. 3. This Agreement shall become effective on the date of its signing indicated at the beginning of this Agreement, and shall remain in force until the obligations under the Guarantee issued hereunder are completely fulfilled.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5.2.</w:t>
            </w:r>
          </w:p>
        </w:tc>
        <w:tc>
          <w:tcPr>
            <w:tcW w:w="9388" w:type="dxa"/>
            <w:tcBorders/>
            <w:shd w:fill="auto" w:val="clear"/>
          </w:tcPr>
          <w:p>
            <w:pPr>
              <w:pStyle w:val="TableContents"/>
              <w:spacing w:before="0" w:after="283"/>
              <w:jc w:val="left"/>
              <w:rPr/>
            </w:pPr>
            <w:r>
              <w:rPr>
                <w:b/>
              </w:rPr>
              <w:t>Continuing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Guarantor under this Agreement and the Guarantee are permanent and are not considered fulfilled by any partial payment or partial fulfillment of all or any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6.</w:t>
            </w:r>
          </w:p>
        </w:tc>
        <w:tc>
          <w:tcPr>
            <w:tcW w:w="9392" w:type="dxa"/>
            <w:tcBorders/>
            <w:shd w:fill="auto" w:val="clear"/>
          </w:tcPr>
          <w:p>
            <w:pPr>
              <w:pStyle w:val="TableContents"/>
              <w:spacing w:before="0" w:after="283"/>
              <w:jc w:val="left"/>
              <w:rPr>
                <w:b/>
              </w:rPr>
            </w:pPr>
            <w:r>
              <w:rPr>
                <w:b/>
              </w:rPr>
              <w:t xml:space="preserve">PAYMENT CLAIM, PAYMENTS, TAXES AND CURRENCY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6.1.</w:t>
            </w:r>
          </w:p>
        </w:tc>
        <w:tc>
          <w:tcPr>
            <w:tcW w:w="9390" w:type="dxa"/>
            <w:tcBorders/>
            <w:shd w:fill="auto" w:val="clear"/>
          </w:tcPr>
          <w:p>
            <w:pPr>
              <w:pStyle w:val="TableContents"/>
              <w:spacing w:before="0" w:after="283"/>
              <w:jc w:val="left"/>
              <w:rPr/>
            </w:pPr>
            <w:r>
              <w:rPr>
                <w:b/>
              </w:rPr>
              <w:t>Payment Claim</w:t>
            </w:r>
            <w:r>
              <w:rPr/>
              <w:t xml:space="preserve"> </w:t>
            </w:r>
          </w:p>
        </w:tc>
      </w:tr>
    </w:tbl>
    <w:p>
      <w:pPr>
        <w:pStyle w:val="TextBody"/>
        <w:spacing w:before="120" w:after="0"/>
        <w:rPr>
          <w:rFonts w:ascii="Times New Roman" w:hAnsi="Times New Roman"/>
          <w:sz w:val="20"/>
        </w:rPr>
      </w:pPr>
      <w:r>
        <w:rPr>
          <w:rFonts w:ascii="Times New Roman" w:hAnsi="Times New Roman"/>
          <w:sz w:val="20"/>
        </w:rPr>
        <w:t>If the Secured Obligations are not fulfilled, as specified in Article 2 (</w:t>
      </w:r>
      <w:r>
        <w:rPr>
          <w:rFonts w:ascii="Times New Roman" w:hAnsi="Times New Roman"/>
          <w:i/>
          <w:sz w:val="20"/>
        </w:rPr>
        <w:t>Independent Guarantee and Reimbursement of Losses</w:t>
      </w:r>
      <w:r>
        <w:rPr>
          <w:rFonts w:ascii="Times New Roman" w:hAnsi="Times New Roman"/>
          <w:sz w:val="20"/>
        </w:rPr>
        <w:t>), the Original Lender (or, after assignment under this Agreement and the Guarantee in accordance with Article 9.2 (</w:t>
      </w:r>
      <w:r>
        <w:rPr>
          <w:rFonts w:ascii="Times New Roman" w:hAnsi="Times New Roman"/>
          <w:i/>
          <w:sz w:val="20"/>
        </w:rPr>
        <w:t>Transfer of Rights by the Lenders</w:t>
      </w:r>
      <w:r>
        <w:rPr>
          <w:rFonts w:ascii="Times New Roman" w:hAnsi="Times New Roman"/>
          <w:sz w:val="20"/>
        </w:rPr>
        <w:t>), the Credit Agent acting on behalf of the Lenders) shall send the Guarantor a Payment Claim and a copy of the notice of the Original Lender or the Credit Agent, respectively, sent to the Borrower under Article 21.18 (</w:t>
      </w:r>
      <w:r>
        <w:rPr>
          <w:rFonts w:ascii="Times New Roman" w:hAnsi="Times New Roman"/>
          <w:i/>
          <w:sz w:val="20"/>
        </w:rPr>
        <w:t>Acceleration</w:t>
      </w:r>
      <w:r>
        <w:rPr>
          <w:rFonts w:ascii="Times New Roman" w:hAnsi="Times New Roman"/>
          <w:sz w:val="20"/>
        </w:rPr>
        <w:t xml:space="preserve">) of the Loan Agreement. The Guarantor shall make a payment against the Payment Claim within a period not exceeding 5 (five) Business Days from the date when the Guarantor receives the Payment Claim.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6.2.</w:t>
            </w:r>
          </w:p>
        </w:tc>
        <w:tc>
          <w:tcPr>
            <w:tcW w:w="8472" w:type="dxa"/>
            <w:tcBorders/>
            <w:shd w:fill="auto" w:val="clear"/>
          </w:tcPr>
          <w:p>
            <w:pPr>
              <w:pStyle w:val="TableContents"/>
              <w:spacing w:before="0" w:after="283"/>
              <w:jc w:val="left"/>
              <w:rPr/>
            </w:pPr>
            <w:r>
              <w:rPr>
                <w:b/>
              </w:rPr>
              <w:t>Accounts for Receipt of Payments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obligations of the Guarantor set forth in Article 6.1 (</w:t>
            </w:r>
            <w:r>
              <w:rPr>
                <w:i/>
              </w:rPr>
              <w:t>Payment Claim</w:t>
            </w:r>
            <w:r>
              <w:rPr/>
              <w:t>) are fulfilled by payment of an amount specified in the Payment Claim to the account of the Original Lender (or after assignment of rights (claims) under this Agreement and the Guarantee in accordance with Article 9.2 (</w:t>
            </w:r>
            <w:r>
              <w:rPr>
                <w:i/>
              </w:rPr>
              <w:t>Transfer of Rights by the Lenders</w:t>
            </w:r>
            <w:r>
              <w:rPr/>
              <w:t xml:space="preserve">), to the account of the Credit Agent acting on behalf of the Lenders).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Any amounts received by the Credit Agent are to be allocated among the Lenders by the Credit Agent in accordance with the Proportional Share of each Lender in the manner provided for in the Loan Agreement. The provisions of this Clause shall come into force from the assignment of the rights (claims) under this Agreement and the Guarantee by the Original Lender in accordance with Article 9.2 (Transfer of Rights by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b/>
              </w:rPr>
              <w:t>Payments</w:t>
            </w:r>
            <w:r>
              <w:rPr/>
              <w:t xml:space="preserve"> </w:t>
            </w:r>
          </w:p>
        </w:tc>
      </w:tr>
    </w:tbl>
    <w:p>
      <w:pPr>
        <w:pStyle w:val="TextBody"/>
        <w:spacing w:before="120" w:after="0"/>
        <w:rPr>
          <w:rFonts w:ascii="Times New Roman" w:hAnsi="Times New Roman"/>
          <w:sz w:val="20"/>
        </w:rPr>
      </w:pPr>
      <w:r>
        <w:rPr>
          <w:rFonts w:ascii="Times New Roman" w:hAnsi="Times New Roman"/>
          <w:sz w:val="20"/>
        </w:rPr>
        <w:t>Any amounts due to the Lenders under this Agreement and the Guarantee shall be paid by the Guarantor to the Original Lender to the account of the Original Lender in Rubles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to the Credit Agent to the Credit Agent’s account for allocation among the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6.4.</w:t>
            </w:r>
          </w:p>
        </w:tc>
        <w:tc>
          <w:tcPr>
            <w:tcW w:w="9388" w:type="dxa"/>
            <w:tcBorders/>
            <w:shd w:fill="auto" w:val="clear"/>
          </w:tcPr>
          <w:p>
            <w:pPr>
              <w:pStyle w:val="TableContents"/>
              <w:spacing w:before="0" w:after="283"/>
              <w:jc w:val="left"/>
              <w:rPr/>
            </w:pPr>
            <w:r>
              <w:rPr>
                <w:b/>
              </w:rPr>
              <w:t>Performance of the Guarantor’s Obligations</w:t>
            </w:r>
            <w:r>
              <w:rPr/>
              <w:t xml:space="preserve"> </w:t>
            </w:r>
          </w:p>
        </w:tc>
      </w:tr>
    </w:tbl>
    <w:p>
      <w:pPr>
        <w:pStyle w:val="TextBody"/>
        <w:spacing w:before="120" w:after="0"/>
        <w:rPr>
          <w:rFonts w:ascii="Times New Roman" w:hAnsi="Times New Roman"/>
          <w:sz w:val="20"/>
        </w:rPr>
      </w:pPr>
      <w:r>
        <w:rPr>
          <w:rFonts w:ascii="Times New Roman" w:hAnsi="Times New Roman"/>
          <w:sz w:val="20"/>
        </w:rPr>
        <w:t>Any pecuniary obligations of the Guarantor under this Agreement and the Guarantee shall be deemed fulfilled on the date of crediting of funds in Rubles to the account of the Original Lender in Rubles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to the Credit Agent’s account for allocation among the Lenders). If this Agreement, the Guarantee or any other Financial Document establishes the time prior to which the Guarantor’s obligations are to be fulfilled, the Guarantor shall ensure before the set deadline that funds are credited to the account of the Original Lender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to the Credit Agent’s account).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6.5.</w:t>
            </w:r>
          </w:p>
        </w:tc>
        <w:tc>
          <w:tcPr>
            <w:tcW w:w="9388" w:type="dxa"/>
            <w:tcBorders/>
            <w:shd w:fill="auto" w:val="clear"/>
          </w:tcPr>
          <w:p>
            <w:pPr>
              <w:pStyle w:val="TableContents"/>
              <w:spacing w:before="0" w:after="283"/>
              <w:jc w:val="left"/>
              <w:rPr/>
            </w:pPr>
            <w:r>
              <w:rPr>
                <w:b/>
              </w:rPr>
              <w:t>Withholding and Deduction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payments made by the Guarantor under this Agreement and the Guarantee shall be without any deductions or withholdings, except for the deductions and withholdings expressly established by the applicable law. If the current legislation contains a requirement for any deductions or withholdings in respect of payments provided for in this Agreement and the Guarantee, the Guarantor shall: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ensure that such deductions or withholdings do not exceed an amount provided for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promptly pay the Original Lender (or, after assignment of rights (claims) under this Agreement and the Guarantee in accordance with Article 9.2 (Transfer of Rights by the Lenders), to the Credit Agent for allocation among the Lenders) an additional amount so that the total amount received by the Lenders is equal to the amount that would have been received by the Lenders if such deductions or withholdings were not made.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6.6.</w:t>
            </w:r>
          </w:p>
        </w:tc>
        <w:tc>
          <w:tcPr>
            <w:tcW w:w="9389" w:type="dxa"/>
            <w:tcBorders/>
            <w:shd w:fill="auto" w:val="clear"/>
          </w:tcPr>
          <w:p>
            <w:pPr>
              <w:pStyle w:val="TableContents"/>
              <w:spacing w:before="0" w:after="283"/>
              <w:jc w:val="left"/>
              <w:rPr/>
            </w:pPr>
            <w:r>
              <w:rPr>
                <w:b/>
              </w:rPr>
              <w:t>Receipt of Payments in Other Currencies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shall make all payments under this Agreement and the Guarantee in Rubles, except for compensation to the Lenders of any costs incurred in connection with this Agreement and with the Guarantee, which shall be paid by the Guarantor in the same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currency in which they arose (the “</w:t>
      </w:r>
      <w:r>
        <w:rPr>
          <w:rFonts w:ascii="Times New Roman" w:hAnsi="Times New Roman"/>
          <w:b/>
          <w:sz w:val="20"/>
        </w:rPr>
        <w:t>Agreement Currency</w:t>
      </w:r>
      <w:r>
        <w:rPr>
          <w:rFonts w:ascii="Times New Roman" w:hAnsi="Times New Roman"/>
          <w:sz w:val="20"/>
        </w:rPr>
        <w:t>”) if payments in such currency do not contradict the legislation. The payment obligations of the Guarantor are deemed to be performed only if the respective amounts are received by the Credit Agent in the Agreement Currency. If any amounts under this Agreement and the Guarantee are received against the obligations of the Guarantor in a currency other than the Agreement Currency, and the Original Lender (or, after assignment of rights (claims) under this Agreement and the Guarantee in accordance with Article 9.2 (</w:t>
      </w:r>
      <w:r>
        <w:rPr>
          <w:rFonts w:ascii="Times New Roman" w:hAnsi="Times New Roman"/>
          <w:i/>
          <w:sz w:val="20"/>
        </w:rPr>
        <w:t>Transfer of Rights by the Lenders</w:t>
      </w:r>
      <w:r>
        <w:rPr>
          <w:rFonts w:ascii="Times New Roman" w:hAnsi="Times New Roman"/>
          <w:sz w:val="20"/>
        </w:rPr>
        <w:t xml:space="preserve">), the Credit Agent) converts the received amount into the Agreement Currency, the Guarantor shall reimburse the Original Lender or the Credit Agent, respectively, for its expenses related to the conversion of the received amount to the Agreement Currency (at an internal currency rate of the Bank of the Account) and compensate the difference between an amount due from the Guarantor in the Agreement Currency and an amount received by the Credit Agent as a result of converting the funds received from the Guarantor into the Agreement Currency.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6.7.</w:t>
            </w:r>
          </w:p>
        </w:tc>
        <w:tc>
          <w:tcPr>
            <w:tcW w:w="9390" w:type="dxa"/>
            <w:tcBorders/>
            <w:shd w:fill="auto" w:val="clear"/>
          </w:tcPr>
          <w:p>
            <w:pPr>
              <w:pStyle w:val="TableContents"/>
              <w:spacing w:before="0" w:after="283"/>
              <w:jc w:val="left"/>
              <w:rPr/>
            </w:pPr>
            <w:r>
              <w:rPr>
                <w:b/>
              </w:rPr>
              <w:t>Prohibition of Set-Off or Counterclaim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Performance of the Guarantor’s obligations to make any payments provided for in this Agreement and the Guarantee is not a counterclaim for performance of the Lenders’ obligations in the meaning of Article 328 of the Civil Code. The obligations of the Guarantor to make any payments provided for by this Agreement and the Guarantee may not be stopped by offsetting any counterclaims of the Guarantor to the Lenders. The Parties agree in accordance with Article 411 of the Civil Code that the Guarantor may not terminate the claims of the Lenders to the Guarantor by set-off.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6.8.</w:t>
            </w:r>
          </w:p>
        </w:tc>
        <w:tc>
          <w:tcPr>
            <w:tcW w:w="9388" w:type="dxa"/>
            <w:tcBorders/>
            <w:shd w:fill="auto" w:val="clear"/>
          </w:tcPr>
          <w:p>
            <w:pPr>
              <w:pStyle w:val="TableContents"/>
              <w:spacing w:before="0" w:after="283"/>
              <w:jc w:val="left"/>
              <w:rPr/>
            </w:pPr>
            <w:r>
              <w:rPr>
                <w:b/>
              </w:rPr>
              <w:t>Maturity Date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any maturity date under this Agreement or the Guarantee falls on a day other than a Business Day, such payment must be made on the previous Business Day.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6.9.</w:t>
            </w:r>
          </w:p>
        </w:tc>
        <w:tc>
          <w:tcPr>
            <w:tcW w:w="9388" w:type="dxa"/>
            <w:tcBorders/>
            <w:shd w:fill="auto" w:val="clear"/>
          </w:tcPr>
          <w:p>
            <w:pPr>
              <w:pStyle w:val="TableContents"/>
              <w:spacing w:before="0" w:after="283"/>
              <w:jc w:val="left"/>
              <w:rPr/>
            </w:pPr>
            <w:r>
              <w:rPr>
                <w:b/>
              </w:rPr>
              <w:t>Value-Added Tax</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amounts payable under this Agreement and the Guarantee by the Guarantor to any Lender are specified without VAT. If VAT is payable, the Guarantor shall pay an amount of VAT (at a rate effective at the date of payment) to the Lenders (in addition to any amounts payable).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6.10.</w:t>
            </w:r>
          </w:p>
        </w:tc>
        <w:tc>
          <w:tcPr>
            <w:tcW w:w="9389" w:type="dxa"/>
            <w:tcBorders/>
            <w:shd w:fill="auto" w:val="clear"/>
          </w:tcPr>
          <w:p>
            <w:pPr>
              <w:pStyle w:val="TableContents"/>
              <w:spacing w:before="0" w:after="283"/>
              <w:jc w:val="left"/>
              <w:rPr/>
            </w:pPr>
            <w:r>
              <w:rPr>
                <w:b/>
              </w:rPr>
              <w:t>Use of Received Funds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funds received by the Lenders under this Agreement and the Guarantee shall be used by the Lenders to settle the Secured Obligations in accordance with the order of priority specified in the Loan Agreement respectively; each Lender shall receive part of the money received by the Lenders under this Agreement and the Guarantee according to its Proportional Share; no rights of the Lenders to recover any underpaid amounts from the Guarantor or any other persons, as provided for in the Loan Agreement, shall be infringed; and the Guarantor may not prevent such use. </w:t>
      </w:r>
    </w:p>
    <w:p>
      <w:pPr>
        <w:pStyle w:val="TextBody"/>
        <w:spacing w:before="120" w:after="0"/>
        <w:rPr>
          <w:rFonts w:ascii="Times New Roman" w:hAnsi="Times New Roman"/>
          <w:sz w:val="20"/>
        </w:rPr>
      </w:pPr>
      <w:r>
        <w:rPr>
          <w:rFonts w:ascii="Times New Roman" w:hAnsi="Times New Roman"/>
          <w:sz w:val="20"/>
        </w:rPr>
        <w:t xml:space="preserve">Any surplus cash remaining after the full performance of the Secured Obligations (that is, the full payment of principal, interest and commissions payable by the Borrower, but not paid, as well as any other payments due under the Loan Agreement) shall, within 3 (Three) Business Days from the date of receipt of the bank details from the Guarantor, be paid to the Guarantor according to the bank details specified by it.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7.</w:t>
            </w:r>
          </w:p>
        </w:tc>
        <w:tc>
          <w:tcPr>
            <w:tcW w:w="9390" w:type="dxa"/>
            <w:tcBorders/>
            <w:shd w:fill="auto" w:val="clear"/>
          </w:tcPr>
          <w:p>
            <w:pPr>
              <w:pStyle w:val="TableContents"/>
              <w:spacing w:before="0" w:after="283"/>
              <w:jc w:val="left"/>
              <w:rPr>
                <w:b/>
              </w:rPr>
            </w:pPr>
            <w:r>
              <w:rPr>
                <w:b/>
              </w:rPr>
              <w:t xml:space="preserve">NOTICES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7.1.</w:t>
            </w:r>
          </w:p>
        </w:tc>
        <w:tc>
          <w:tcPr>
            <w:tcW w:w="9390" w:type="dxa"/>
            <w:tcBorders/>
            <w:shd w:fill="auto" w:val="clear"/>
          </w:tcPr>
          <w:p>
            <w:pPr>
              <w:pStyle w:val="TableContents"/>
              <w:spacing w:before="0" w:after="283"/>
              <w:jc w:val="left"/>
              <w:rPr/>
            </w:pPr>
            <w:r>
              <w:rPr>
                <w:b/>
              </w:rPr>
              <w:t>Written Form</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messages sent by the Parties under this Agreement and the Guarantee shall be in writing and may be sent by courier, by mail with return receipt, and, unless otherwise provided, by fax or by other means enabling to reliably establish that a message is from a Party to this Agreement. For the purposes of this Agreement and the Guarantee, a message transmitted using electronic means of communication shall be deemed to be in writing.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7.2.</w:t>
            </w:r>
          </w:p>
        </w:tc>
        <w:tc>
          <w:tcPr>
            <w:tcW w:w="9389" w:type="dxa"/>
            <w:tcBorders/>
            <w:shd w:fill="auto" w:val="clear"/>
          </w:tcPr>
          <w:p>
            <w:pPr>
              <w:pStyle w:val="TableContents"/>
              <w:spacing w:before="0" w:after="283"/>
              <w:jc w:val="left"/>
              <w:rPr/>
            </w:pPr>
            <w:r>
              <w:rPr>
                <w:b/>
              </w:rPr>
              <w:t>Addresses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Unless otherwise provided for below, the contact details of each Party for all messages in connection with this Loan Agreement and the Guarantee are data which such Party reported to the Credit Agent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Contact details of the Guarantor: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1524"/>
        <w:gridCol w:w="169"/>
        <w:gridCol w:w="6776"/>
      </w:tblGrid>
      <w:tr>
        <w:trPr/>
        <w:tc>
          <w:tcPr>
            <w:tcW w:w="1524" w:type="dxa"/>
            <w:tcBorders/>
            <w:shd w:fill="auto" w:val="clear"/>
            <w:vAlign w:val="center"/>
          </w:tcPr>
          <w:p>
            <w:pPr>
              <w:pStyle w:val="TableContents"/>
              <w:spacing w:before="0" w:after="283"/>
              <w:rPr>
                <w:sz w:val="4"/>
                <w:szCs w:val="4"/>
              </w:rPr>
            </w:pPr>
            <w:r>
              <w:rPr>
                <w:sz w:val="4"/>
                <w:szCs w:val="4"/>
              </w:rPr>
            </w:r>
          </w:p>
        </w:tc>
        <w:tc>
          <w:tcPr>
            <w:tcW w:w="169" w:type="dxa"/>
            <w:tcBorders/>
            <w:shd w:fill="auto" w:val="clear"/>
            <w:vAlign w:val="bottom"/>
          </w:tcPr>
          <w:p>
            <w:pPr>
              <w:pStyle w:val="TableContents"/>
              <w:spacing w:before="0" w:after="283"/>
              <w:rPr>
                <w:sz w:val="4"/>
                <w:szCs w:val="4"/>
              </w:rPr>
            </w:pPr>
            <w:r>
              <w:rPr>
                <w:sz w:val="4"/>
                <w:szCs w:val="4"/>
              </w:rPr>
            </w:r>
          </w:p>
        </w:tc>
        <w:tc>
          <w:tcPr>
            <w:tcW w:w="6776" w:type="dxa"/>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tcPr>
          <w:p>
            <w:pPr>
              <w:pStyle w:val="TableContents"/>
              <w:spacing w:before="0" w:after="283"/>
              <w:rPr>
                <w:b/>
              </w:rPr>
            </w:pPr>
            <w:r>
              <w:rPr>
                <w:b/>
              </w:rPr>
              <w:t>ZEMENIK TRADING LIMITED</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Address:</w:t>
            </w:r>
          </w:p>
        </w:tc>
        <w:tc>
          <w:tcPr>
            <w:tcW w:w="169" w:type="dxa"/>
            <w:tcBorders/>
            <w:shd w:fill="auto" w:val="clear"/>
            <w:vAlign w:val="bottom"/>
          </w:tcPr>
          <w:p>
            <w:pPr>
              <w:pStyle w:val="TableContents"/>
              <w:spacing w:before="0" w:after="283"/>
              <w:rPr/>
            </w:pPr>
            <w:r>
              <w:rPr/>
              <w:t>  </w:t>
            </w:r>
          </w:p>
        </w:tc>
        <w:tc>
          <w:tcPr>
            <w:tcW w:w="6776" w:type="dxa"/>
            <w:tcBorders/>
            <w:shd w:fill="auto" w:val="clear"/>
          </w:tcPr>
          <w:p>
            <w:pPr>
              <w:pStyle w:val="TableContents"/>
              <w:spacing w:before="0" w:after="283"/>
              <w:rPr/>
            </w:pPr>
            <w:r>
              <w:rPr/>
              <w:t>42 Dositheou, Strovolos 2028, Nicosia, Cyprus</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Fax:</w:t>
            </w:r>
          </w:p>
        </w:tc>
        <w:tc>
          <w:tcPr>
            <w:tcW w:w="169" w:type="dxa"/>
            <w:tcBorders/>
            <w:shd w:fill="auto" w:val="clear"/>
            <w:vAlign w:val="bottom"/>
          </w:tcPr>
          <w:p>
            <w:pPr>
              <w:pStyle w:val="TableContents"/>
              <w:spacing w:before="0" w:after="283"/>
              <w:rPr/>
            </w:pPr>
            <w:r>
              <w:rPr/>
              <w:t>  </w:t>
            </w:r>
          </w:p>
        </w:tc>
        <w:tc>
          <w:tcPr>
            <w:tcW w:w="6776" w:type="dxa"/>
            <w:tcBorders/>
            <w:shd w:fill="auto" w:val="clear"/>
          </w:tcPr>
          <w:p>
            <w:pPr>
              <w:pStyle w:val="TableContents"/>
              <w:spacing w:before="0" w:after="283"/>
              <w:rPr/>
            </w:pPr>
            <w:r>
              <w:rPr/>
              <w:t>+357 2267 9096</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E-mail:</w:t>
            </w:r>
          </w:p>
        </w:tc>
        <w:tc>
          <w:tcPr>
            <w:tcW w:w="169" w:type="dxa"/>
            <w:tcBorders/>
            <w:shd w:fill="auto" w:val="clear"/>
            <w:vAlign w:val="bottom"/>
          </w:tcPr>
          <w:p>
            <w:pPr>
              <w:pStyle w:val="TableContents"/>
              <w:spacing w:before="0" w:after="283"/>
              <w:rPr/>
            </w:pPr>
            <w:r>
              <w:rPr/>
              <w:t>  </w:t>
            </w:r>
          </w:p>
        </w:tc>
        <w:tc>
          <w:tcPr>
            <w:tcW w:w="6776" w:type="dxa"/>
            <w:tcBorders/>
            <w:shd w:fill="auto" w:val="clear"/>
          </w:tcPr>
          <w:p>
            <w:pPr>
              <w:pStyle w:val="TableContents"/>
              <w:spacing w:before="0" w:after="283"/>
              <w:rPr/>
            </w:pPr>
            <w:r>
              <w:rPr/>
              <w:t>info@fiduserve.com</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Attn:</w:t>
            </w:r>
          </w:p>
        </w:tc>
        <w:tc>
          <w:tcPr>
            <w:tcW w:w="169" w:type="dxa"/>
            <w:tcBorders/>
            <w:shd w:fill="auto" w:val="clear"/>
            <w:vAlign w:val="bottom"/>
          </w:tcPr>
          <w:p>
            <w:pPr>
              <w:pStyle w:val="TableContents"/>
              <w:spacing w:before="0" w:after="283"/>
              <w:rPr/>
            </w:pPr>
            <w:r>
              <w:rPr/>
              <w:t>  </w:t>
            </w:r>
          </w:p>
        </w:tc>
        <w:tc>
          <w:tcPr>
            <w:tcW w:w="6776" w:type="dxa"/>
            <w:tcBorders/>
            <w:shd w:fill="auto" w:val="clear"/>
          </w:tcPr>
          <w:p>
            <w:pPr>
              <w:pStyle w:val="TableContents"/>
              <w:spacing w:before="0" w:after="283"/>
              <w:rPr/>
            </w:pPr>
            <w:r>
              <w:rPr/>
              <w:t>The Directors / Stelios Haralambous</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Contact details of the Borrower: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1524"/>
        <w:gridCol w:w="168"/>
        <w:gridCol w:w="6777"/>
      </w:tblGrid>
      <w:tr>
        <w:trPr/>
        <w:tc>
          <w:tcPr>
            <w:tcW w:w="1524" w:type="dxa"/>
            <w:tcBorders/>
            <w:shd w:fill="auto" w:val="clear"/>
            <w:vAlign w:val="center"/>
          </w:tcPr>
          <w:p>
            <w:pPr>
              <w:pStyle w:val="TableContents"/>
              <w:spacing w:before="0" w:after="283"/>
              <w:rPr>
                <w:sz w:val="4"/>
                <w:szCs w:val="4"/>
              </w:rPr>
            </w:pPr>
            <w:r>
              <w:rPr>
                <w:sz w:val="4"/>
                <w:szCs w:val="4"/>
              </w:rPr>
            </w:r>
          </w:p>
        </w:tc>
        <w:tc>
          <w:tcPr>
            <w:tcW w:w="168" w:type="dxa"/>
            <w:tcBorders/>
            <w:shd w:fill="auto" w:val="clear"/>
            <w:vAlign w:val="bottom"/>
          </w:tcPr>
          <w:p>
            <w:pPr>
              <w:pStyle w:val="TableContents"/>
              <w:spacing w:before="0" w:after="283"/>
              <w:rPr>
                <w:sz w:val="4"/>
                <w:szCs w:val="4"/>
              </w:rPr>
            </w:pPr>
            <w:r>
              <w:rPr>
                <w:sz w:val="4"/>
                <w:szCs w:val="4"/>
              </w:rPr>
            </w:r>
          </w:p>
        </w:tc>
        <w:tc>
          <w:tcPr>
            <w:tcW w:w="6777" w:type="dxa"/>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vAlign w:val="bottom"/>
          </w:tcPr>
          <w:p>
            <w:pPr>
              <w:pStyle w:val="TableContents"/>
              <w:spacing w:before="0" w:after="283"/>
              <w:rPr>
                <w:b/>
              </w:rPr>
            </w:pPr>
            <w:r>
              <w:rPr>
                <w:b/>
              </w:rPr>
              <w:t>Zemenik Limited Liability Company</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Address:</w:t>
            </w:r>
          </w:p>
        </w:tc>
        <w:tc>
          <w:tcPr>
            <w:tcW w:w="168"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0"/>
              <w:rPr>
                <w:rFonts w:ascii="Times New Roman" w:hAnsi="Times New Roman"/>
                <w:sz w:val="20"/>
              </w:rPr>
            </w:pPr>
            <w:r>
              <w:rPr>
                <w:rFonts w:ascii="Times New Roman" w:hAnsi="Times New Roman"/>
                <w:sz w:val="20"/>
              </w:rPr>
              <w:t>4 Akademika Ilyushina St., bld. 1, office 54,</w:t>
            </w:r>
          </w:p>
          <w:p>
            <w:pPr>
              <w:pStyle w:val="TableContents"/>
              <w:spacing w:before="0" w:after="20"/>
              <w:rPr>
                <w:rFonts w:ascii="Times New Roman" w:hAnsi="Times New Roman"/>
                <w:sz w:val="20"/>
              </w:rPr>
            </w:pPr>
            <w:r>
              <w:rPr>
                <w:rFonts w:ascii="Times New Roman" w:hAnsi="Times New Roman"/>
                <w:sz w:val="20"/>
              </w:rPr>
              <w:t>Moscow, the Russian Federation, 125319</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Fax:</w:t>
            </w:r>
          </w:p>
        </w:tc>
        <w:tc>
          <w:tcPr>
            <w:tcW w:w="168"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+7 495 974-64-27</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E-mail:</w:t>
            </w:r>
          </w:p>
        </w:tc>
        <w:tc>
          <w:tcPr>
            <w:tcW w:w="168"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karen.agayan@arpartners.ru</w:t>
            </w:r>
          </w:p>
        </w:tc>
      </w:tr>
      <w:tr>
        <w:trPr>
          <w:trHeight w:val="120" w:hRule="atLeast"/>
        </w:trPr>
        <w:tc>
          <w:tcPr>
            <w:tcW w:w="1524" w:type="dxa"/>
            <w:tcBorders/>
            <w:shd w:fill="auto" w:val="clear"/>
            <w:vAlign w:val="center"/>
          </w:tcPr>
          <w:p>
            <w:pPr>
              <w:pStyle w:val="TableContents"/>
              <w:spacing w:before="0" w:after="283"/>
              <w:rPr>
                <w:sz w:val="4"/>
                <w:szCs w:val="4"/>
              </w:rPr>
            </w:pPr>
            <w:r>
              <w:rPr>
                <w:sz w:val="4"/>
                <w:szCs w:val="4"/>
              </w:rPr>
            </w:r>
          </w:p>
        </w:tc>
        <w:tc>
          <w:tcPr>
            <w:tcW w:w="6945" w:type="dxa"/>
            <w:gridSpan w:val="2"/>
            <w:tcBorders/>
            <w:shd w:fill="auto" w:val="clear"/>
            <w:vAlign w:val="center"/>
          </w:tcPr>
          <w:p>
            <w:pPr>
              <w:pStyle w:val="TableContents"/>
              <w:spacing w:before="0" w:after="283"/>
              <w:rPr>
                <w:sz w:val="4"/>
                <w:szCs w:val="4"/>
              </w:rPr>
            </w:pPr>
            <w:r>
              <w:rPr>
                <w:sz w:val="4"/>
                <w:szCs w:val="4"/>
              </w:rPr>
            </w:r>
          </w:p>
        </w:tc>
      </w:tr>
      <w:tr>
        <w:trPr/>
        <w:tc>
          <w:tcPr>
            <w:tcW w:w="1524" w:type="dxa"/>
            <w:tcBorders/>
            <w:shd w:fill="auto" w:val="clear"/>
          </w:tcPr>
          <w:p>
            <w:pPr>
              <w:pStyle w:val="TableContents"/>
              <w:spacing w:before="0" w:after="283"/>
              <w:rPr/>
            </w:pPr>
            <w:r>
              <w:rPr/>
              <w:t>Attn:</w:t>
            </w:r>
          </w:p>
        </w:tc>
        <w:tc>
          <w:tcPr>
            <w:tcW w:w="168"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Karen Eduardovich Agayan</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Contact details of the Original Lender: </w:t>
            </w:r>
          </w:p>
        </w:tc>
      </w:tr>
    </w:tbl>
    <w:p>
      <w:pPr>
        <w:pStyle w:val="TextBody"/>
        <w:spacing w:before="0" w:after="0"/>
        <w:rPr/>
      </w:pPr>
      <w:r>
        <w:rPr/>
        <w:t> </w:t>
      </w:r>
    </w:p>
    <w:tbl>
      <w:tblPr>
        <w:tblW w:w="4150" w:type="pct"/>
        <w:jc w:val="right"/>
        <w:tblInd w:w="0" w:type="dxa"/>
        <w:tblBorders/>
        <w:tblCellMar>
          <w:top w:w="0" w:type="dxa"/>
          <w:left w:w="0" w:type="dxa"/>
          <w:bottom w:w="0" w:type="dxa"/>
          <w:right w:w="0" w:type="dxa"/>
        </w:tblCellMar>
      </w:tblPr>
      <w:tblGrid>
        <w:gridCol w:w="1523"/>
        <w:gridCol w:w="169"/>
        <w:gridCol w:w="6777"/>
      </w:tblGrid>
      <w:tr>
        <w:trPr/>
        <w:tc>
          <w:tcPr>
            <w:tcW w:w="1523" w:type="dxa"/>
            <w:tcBorders/>
            <w:shd w:fill="auto" w:val="clear"/>
            <w:vAlign w:val="center"/>
          </w:tcPr>
          <w:p>
            <w:pPr>
              <w:pStyle w:val="TableContents"/>
              <w:spacing w:before="0" w:after="283"/>
              <w:rPr>
                <w:sz w:val="4"/>
                <w:szCs w:val="4"/>
              </w:rPr>
            </w:pPr>
            <w:r>
              <w:rPr>
                <w:sz w:val="4"/>
                <w:szCs w:val="4"/>
              </w:rPr>
            </w:r>
          </w:p>
        </w:tc>
        <w:tc>
          <w:tcPr>
            <w:tcW w:w="169" w:type="dxa"/>
            <w:tcBorders/>
            <w:shd w:fill="auto" w:val="clear"/>
            <w:vAlign w:val="bottom"/>
          </w:tcPr>
          <w:p>
            <w:pPr>
              <w:pStyle w:val="TableContents"/>
              <w:spacing w:before="0" w:after="283"/>
              <w:rPr>
                <w:sz w:val="4"/>
                <w:szCs w:val="4"/>
              </w:rPr>
            </w:pPr>
            <w:r>
              <w:rPr>
                <w:sz w:val="4"/>
                <w:szCs w:val="4"/>
              </w:rPr>
            </w:r>
          </w:p>
        </w:tc>
        <w:tc>
          <w:tcPr>
            <w:tcW w:w="6777" w:type="dxa"/>
            <w:tcBorders/>
            <w:shd w:fill="auto" w:val="clear"/>
            <w:vAlign w:val="center"/>
          </w:tcPr>
          <w:p>
            <w:pPr>
              <w:pStyle w:val="TableContents"/>
              <w:spacing w:before="0" w:after="283"/>
              <w:rPr>
                <w:sz w:val="4"/>
                <w:szCs w:val="4"/>
              </w:rPr>
            </w:pPr>
            <w:r>
              <w:rPr>
                <w:sz w:val="4"/>
                <w:szCs w:val="4"/>
              </w:rPr>
            </w:r>
          </w:p>
        </w:tc>
      </w:tr>
      <w:tr>
        <w:trPr/>
        <w:tc>
          <w:tcPr>
            <w:tcW w:w="8469" w:type="dxa"/>
            <w:gridSpan w:val="3"/>
            <w:tcBorders/>
            <w:shd w:fill="auto" w:val="clear"/>
            <w:vAlign w:val="bottom"/>
          </w:tcPr>
          <w:p>
            <w:pPr>
              <w:pStyle w:val="TableContents"/>
              <w:spacing w:before="0" w:after="283"/>
              <w:rPr>
                <w:b/>
              </w:rPr>
            </w:pPr>
            <w:r>
              <w:rPr>
                <w:b/>
              </w:rPr>
              <w:t>BANK VTB (PUBLIC JOINT-STOCK COMPANY)</w:t>
            </w:r>
          </w:p>
        </w:tc>
      </w:tr>
      <w:tr>
        <w:trPr>
          <w:trHeight w:val="120" w:hRule="atLeast"/>
        </w:trPr>
        <w:tc>
          <w:tcPr>
            <w:tcW w:w="1523" w:type="dxa"/>
            <w:tcBorders/>
            <w:shd w:fill="auto" w:val="clear"/>
            <w:vAlign w:val="center"/>
          </w:tcPr>
          <w:p>
            <w:pPr>
              <w:pStyle w:val="TableContents"/>
              <w:spacing w:before="0" w:after="283"/>
              <w:rPr>
                <w:sz w:val="4"/>
                <w:szCs w:val="4"/>
              </w:rPr>
            </w:pPr>
            <w:r>
              <w:rPr>
                <w:sz w:val="4"/>
                <w:szCs w:val="4"/>
              </w:rPr>
            </w:r>
          </w:p>
        </w:tc>
        <w:tc>
          <w:tcPr>
            <w:tcW w:w="6946" w:type="dxa"/>
            <w:gridSpan w:val="2"/>
            <w:tcBorders/>
            <w:shd w:fill="auto" w:val="clear"/>
            <w:vAlign w:val="center"/>
          </w:tcPr>
          <w:p>
            <w:pPr>
              <w:pStyle w:val="TableContents"/>
              <w:spacing w:before="0" w:after="283"/>
              <w:rPr>
                <w:sz w:val="4"/>
                <w:szCs w:val="4"/>
              </w:rPr>
            </w:pPr>
            <w:r>
              <w:rPr>
                <w:sz w:val="4"/>
                <w:szCs w:val="4"/>
              </w:rPr>
            </w:r>
          </w:p>
        </w:tc>
      </w:tr>
      <w:tr>
        <w:trPr/>
        <w:tc>
          <w:tcPr>
            <w:tcW w:w="1523" w:type="dxa"/>
            <w:tcBorders/>
            <w:shd w:fill="auto" w:val="clear"/>
          </w:tcPr>
          <w:p>
            <w:pPr>
              <w:pStyle w:val="TableContents"/>
              <w:spacing w:before="0" w:after="283"/>
              <w:rPr/>
            </w:pPr>
            <w:r>
              <w:rPr/>
              <w:t>Location:</w:t>
            </w:r>
          </w:p>
        </w:tc>
        <w:tc>
          <w:tcPr>
            <w:tcW w:w="169"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29, Bolshaya Morskaya St., Saint Petersburg, the Russian Federation, 190000</w:t>
            </w:r>
          </w:p>
        </w:tc>
      </w:tr>
      <w:tr>
        <w:trPr>
          <w:trHeight w:val="120" w:hRule="atLeast"/>
        </w:trPr>
        <w:tc>
          <w:tcPr>
            <w:tcW w:w="1523" w:type="dxa"/>
            <w:tcBorders/>
            <w:shd w:fill="auto" w:val="clear"/>
            <w:vAlign w:val="center"/>
          </w:tcPr>
          <w:p>
            <w:pPr>
              <w:pStyle w:val="TableContents"/>
              <w:spacing w:before="0" w:after="283"/>
              <w:rPr>
                <w:sz w:val="4"/>
                <w:szCs w:val="4"/>
              </w:rPr>
            </w:pPr>
            <w:r>
              <w:rPr>
                <w:sz w:val="4"/>
                <w:szCs w:val="4"/>
              </w:rPr>
            </w:r>
          </w:p>
        </w:tc>
        <w:tc>
          <w:tcPr>
            <w:tcW w:w="6946" w:type="dxa"/>
            <w:gridSpan w:val="2"/>
            <w:tcBorders/>
            <w:shd w:fill="auto" w:val="clear"/>
            <w:vAlign w:val="center"/>
          </w:tcPr>
          <w:p>
            <w:pPr>
              <w:pStyle w:val="TableContents"/>
              <w:spacing w:before="0" w:after="283"/>
              <w:rPr>
                <w:sz w:val="4"/>
                <w:szCs w:val="4"/>
              </w:rPr>
            </w:pPr>
            <w:r>
              <w:rPr>
                <w:sz w:val="4"/>
                <w:szCs w:val="4"/>
              </w:rPr>
            </w:r>
          </w:p>
        </w:tc>
      </w:tr>
      <w:tr>
        <w:trPr/>
        <w:tc>
          <w:tcPr>
            <w:tcW w:w="1523" w:type="dxa"/>
            <w:tcBorders/>
            <w:shd w:fill="auto" w:val="clear"/>
          </w:tcPr>
          <w:p>
            <w:pPr>
              <w:pStyle w:val="TableContents"/>
              <w:spacing w:before="0" w:after="283"/>
              <w:rPr/>
            </w:pPr>
            <w:r>
              <w:rPr/>
              <w:t>Mail address:</w:t>
            </w:r>
          </w:p>
        </w:tc>
        <w:tc>
          <w:tcPr>
            <w:tcW w:w="169"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43 Vorontsovskaya St., bld. 1, Moscow, 109147</w:t>
            </w:r>
          </w:p>
        </w:tc>
      </w:tr>
      <w:tr>
        <w:trPr>
          <w:trHeight w:val="120" w:hRule="atLeast"/>
        </w:trPr>
        <w:tc>
          <w:tcPr>
            <w:tcW w:w="1523" w:type="dxa"/>
            <w:tcBorders/>
            <w:shd w:fill="auto" w:val="clear"/>
            <w:vAlign w:val="center"/>
          </w:tcPr>
          <w:p>
            <w:pPr>
              <w:pStyle w:val="TableContents"/>
              <w:spacing w:before="0" w:after="283"/>
              <w:rPr>
                <w:sz w:val="4"/>
                <w:szCs w:val="4"/>
              </w:rPr>
            </w:pPr>
            <w:r>
              <w:rPr>
                <w:sz w:val="4"/>
                <w:szCs w:val="4"/>
              </w:rPr>
            </w:r>
          </w:p>
        </w:tc>
        <w:tc>
          <w:tcPr>
            <w:tcW w:w="6946" w:type="dxa"/>
            <w:gridSpan w:val="2"/>
            <w:tcBorders/>
            <w:shd w:fill="auto" w:val="clear"/>
            <w:vAlign w:val="center"/>
          </w:tcPr>
          <w:p>
            <w:pPr>
              <w:pStyle w:val="TableContents"/>
              <w:spacing w:before="0" w:after="283"/>
              <w:rPr>
                <w:sz w:val="4"/>
                <w:szCs w:val="4"/>
              </w:rPr>
            </w:pPr>
            <w:r>
              <w:rPr>
                <w:sz w:val="4"/>
                <w:szCs w:val="4"/>
              </w:rPr>
            </w:r>
          </w:p>
        </w:tc>
      </w:tr>
      <w:tr>
        <w:trPr/>
        <w:tc>
          <w:tcPr>
            <w:tcW w:w="1523" w:type="dxa"/>
            <w:tcBorders/>
            <w:shd w:fill="auto" w:val="clear"/>
          </w:tcPr>
          <w:p>
            <w:pPr>
              <w:pStyle w:val="TableContents"/>
              <w:spacing w:before="0" w:after="283"/>
              <w:rPr/>
            </w:pPr>
            <w:r>
              <w:rPr/>
              <w:t>Telex:</w:t>
            </w:r>
          </w:p>
        </w:tc>
        <w:tc>
          <w:tcPr>
            <w:tcW w:w="169"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412362 BFTR RU</w:t>
            </w:r>
          </w:p>
        </w:tc>
      </w:tr>
      <w:tr>
        <w:trPr>
          <w:trHeight w:val="120" w:hRule="atLeast"/>
        </w:trPr>
        <w:tc>
          <w:tcPr>
            <w:tcW w:w="1523" w:type="dxa"/>
            <w:tcBorders/>
            <w:shd w:fill="auto" w:val="clear"/>
            <w:vAlign w:val="center"/>
          </w:tcPr>
          <w:p>
            <w:pPr>
              <w:pStyle w:val="TableContents"/>
              <w:spacing w:before="0" w:after="283"/>
              <w:rPr>
                <w:sz w:val="4"/>
                <w:szCs w:val="4"/>
              </w:rPr>
            </w:pPr>
            <w:r>
              <w:rPr>
                <w:sz w:val="4"/>
                <w:szCs w:val="4"/>
              </w:rPr>
            </w:r>
          </w:p>
        </w:tc>
        <w:tc>
          <w:tcPr>
            <w:tcW w:w="6946" w:type="dxa"/>
            <w:gridSpan w:val="2"/>
            <w:tcBorders/>
            <w:shd w:fill="auto" w:val="clear"/>
            <w:vAlign w:val="center"/>
          </w:tcPr>
          <w:p>
            <w:pPr>
              <w:pStyle w:val="TableContents"/>
              <w:spacing w:before="0" w:after="283"/>
              <w:rPr>
                <w:sz w:val="4"/>
                <w:szCs w:val="4"/>
              </w:rPr>
            </w:pPr>
            <w:r>
              <w:rPr>
                <w:sz w:val="4"/>
                <w:szCs w:val="4"/>
              </w:rPr>
            </w:r>
          </w:p>
        </w:tc>
      </w:tr>
      <w:tr>
        <w:trPr/>
        <w:tc>
          <w:tcPr>
            <w:tcW w:w="1523" w:type="dxa"/>
            <w:tcBorders/>
            <w:shd w:fill="auto" w:val="clear"/>
          </w:tcPr>
          <w:p>
            <w:pPr>
              <w:pStyle w:val="TableContents"/>
              <w:spacing w:before="0" w:after="283"/>
              <w:rPr/>
            </w:pPr>
            <w:r>
              <w:rPr/>
              <w:t>Telephone:</w:t>
            </w:r>
          </w:p>
        </w:tc>
        <w:tc>
          <w:tcPr>
            <w:tcW w:w="169"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+7 495 956-71-48</w:t>
            </w:r>
          </w:p>
        </w:tc>
      </w:tr>
      <w:tr>
        <w:trPr>
          <w:trHeight w:val="120" w:hRule="atLeast"/>
        </w:trPr>
        <w:tc>
          <w:tcPr>
            <w:tcW w:w="1523" w:type="dxa"/>
            <w:tcBorders/>
            <w:shd w:fill="auto" w:val="clear"/>
            <w:vAlign w:val="center"/>
          </w:tcPr>
          <w:p>
            <w:pPr>
              <w:pStyle w:val="TableContents"/>
              <w:spacing w:before="0" w:after="283"/>
              <w:rPr>
                <w:sz w:val="4"/>
                <w:szCs w:val="4"/>
              </w:rPr>
            </w:pPr>
            <w:r>
              <w:rPr>
                <w:sz w:val="4"/>
                <w:szCs w:val="4"/>
              </w:rPr>
            </w:r>
          </w:p>
        </w:tc>
        <w:tc>
          <w:tcPr>
            <w:tcW w:w="6946" w:type="dxa"/>
            <w:gridSpan w:val="2"/>
            <w:tcBorders/>
            <w:shd w:fill="auto" w:val="clear"/>
            <w:vAlign w:val="center"/>
          </w:tcPr>
          <w:p>
            <w:pPr>
              <w:pStyle w:val="TableContents"/>
              <w:spacing w:before="0" w:after="283"/>
              <w:rPr>
                <w:sz w:val="4"/>
                <w:szCs w:val="4"/>
              </w:rPr>
            </w:pPr>
            <w:r>
              <w:rPr>
                <w:sz w:val="4"/>
                <w:szCs w:val="4"/>
              </w:rPr>
            </w:r>
          </w:p>
        </w:tc>
      </w:tr>
      <w:tr>
        <w:trPr/>
        <w:tc>
          <w:tcPr>
            <w:tcW w:w="1523" w:type="dxa"/>
            <w:tcBorders/>
            <w:shd w:fill="auto" w:val="clear"/>
          </w:tcPr>
          <w:p>
            <w:pPr>
              <w:pStyle w:val="TableContents"/>
              <w:spacing w:before="0" w:after="283"/>
              <w:rPr/>
            </w:pPr>
            <w:r>
              <w:rPr/>
              <w:t>Fax:</w:t>
            </w:r>
          </w:p>
        </w:tc>
        <w:tc>
          <w:tcPr>
            <w:tcW w:w="169"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+7 495 775-54-54</w:t>
            </w:r>
          </w:p>
        </w:tc>
      </w:tr>
      <w:tr>
        <w:trPr>
          <w:trHeight w:val="120" w:hRule="atLeast"/>
        </w:trPr>
        <w:tc>
          <w:tcPr>
            <w:tcW w:w="1523" w:type="dxa"/>
            <w:tcBorders/>
            <w:shd w:fill="auto" w:val="clear"/>
            <w:vAlign w:val="center"/>
          </w:tcPr>
          <w:p>
            <w:pPr>
              <w:pStyle w:val="TableContents"/>
              <w:spacing w:before="0" w:after="283"/>
              <w:rPr>
                <w:sz w:val="4"/>
                <w:szCs w:val="4"/>
              </w:rPr>
            </w:pPr>
            <w:r>
              <w:rPr>
                <w:sz w:val="4"/>
                <w:szCs w:val="4"/>
              </w:rPr>
            </w:r>
          </w:p>
        </w:tc>
        <w:tc>
          <w:tcPr>
            <w:tcW w:w="6946" w:type="dxa"/>
            <w:gridSpan w:val="2"/>
            <w:tcBorders/>
            <w:shd w:fill="auto" w:val="clear"/>
            <w:vAlign w:val="center"/>
          </w:tcPr>
          <w:p>
            <w:pPr>
              <w:pStyle w:val="TableContents"/>
              <w:spacing w:before="0" w:after="283"/>
              <w:rPr>
                <w:sz w:val="4"/>
                <w:szCs w:val="4"/>
              </w:rPr>
            </w:pPr>
            <w:r>
              <w:rPr>
                <w:sz w:val="4"/>
                <w:szCs w:val="4"/>
              </w:rPr>
            </w:r>
          </w:p>
        </w:tc>
      </w:tr>
      <w:tr>
        <w:trPr/>
        <w:tc>
          <w:tcPr>
            <w:tcW w:w="1523" w:type="dxa"/>
            <w:tcBorders/>
            <w:shd w:fill="auto" w:val="clear"/>
          </w:tcPr>
          <w:p>
            <w:pPr>
              <w:pStyle w:val="TableContents"/>
              <w:spacing w:before="0" w:after="283"/>
              <w:rPr/>
            </w:pPr>
            <w:r>
              <w:rPr/>
              <w:t>E-mail:</w:t>
            </w:r>
          </w:p>
        </w:tc>
        <w:tc>
          <w:tcPr>
            <w:tcW w:w="169"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 xml:space="preserve">loanadmin@msk.vtb.ru, </w:t>
            </w:r>
            <w:r>
              <w:rPr>
                <w:u w:val="single"/>
              </w:rPr>
              <w:t>TM21@msk.vtb.ru</w:t>
            </w:r>
          </w:p>
        </w:tc>
      </w:tr>
      <w:tr>
        <w:trPr>
          <w:trHeight w:val="120" w:hRule="atLeast"/>
        </w:trPr>
        <w:tc>
          <w:tcPr>
            <w:tcW w:w="1523" w:type="dxa"/>
            <w:tcBorders/>
            <w:shd w:fill="auto" w:val="clear"/>
            <w:vAlign w:val="center"/>
          </w:tcPr>
          <w:p>
            <w:pPr>
              <w:pStyle w:val="TableContents"/>
              <w:spacing w:before="0" w:after="283"/>
              <w:rPr>
                <w:sz w:val="4"/>
                <w:szCs w:val="4"/>
              </w:rPr>
            </w:pPr>
            <w:r>
              <w:rPr>
                <w:sz w:val="4"/>
                <w:szCs w:val="4"/>
              </w:rPr>
            </w:r>
          </w:p>
        </w:tc>
        <w:tc>
          <w:tcPr>
            <w:tcW w:w="6946" w:type="dxa"/>
            <w:gridSpan w:val="2"/>
            <w:tcBorders/>
            <w:shd w:fill="auto" w:val="clear"/>
            <w:vAlign w:val="center"/>
          </w:tcPr>
          <w:p>
            <w:pPr>
              <w:pStyle w:val="TableContents"/>
              <w:spacing w:before="0" w:after="283"/>
              <w:rPr>
                <w:sz w:val="4"/>
                <w:szCs w:val="4"/>
              </w:rPr>
            </w:pPr>
            <w:r>
              <w:rPr>
                <w:sz w:val="4"/>
                <w:szCs w:val="4"/>
              </w:rPr>
            </w:r>
          </w:p>
        </w:tc>
      </w:tr>
      <w:tr>
        <w:trPr/>
        <w:tc>
          <w:tcPr>
            <w:tcW w:w="1523" w:type="dxa"/>
            <w:tcBorders/>
            <w:shd w:fill="auto" w:val="clear"/>
          </w:tcPr>
          <w:p>
            <w:pPr>
              <w:pStyle w:val="TableContents"/>
              <w:spacing w:before="0" w:after="283"/>
              <w:rPr/>
            </w:pPr>
            <w:r>
              <w:rPr/>
              <w:t>Attn:</w:t>
            </w:r>
          </w:p>
        </w:tc>
        <w:tc>
          <w:tcPr>
            <w:tcW w:w="169" w:type="dxa"/>
            <w:tcBorders/>
            <w:shd w:fill="auto" w:val="clear"/>
            <w:vAlign w:val="bottom"/>
          </w:tcPr>
          <w:p>
            <w:pPr>
              <w:pStyle w:val="TableContents"/>
              <w:spacing w:before="0" w:after="283"/>
              <w:rPr/>
            </w:pPr>
            <w:r>
              <w:rPr/>
              <w:t>  </w:t>
            </w:r>
          </w:p>
        </w:tc>
        <w:tc>
          <w:tcPr>
            <w:tcW w:w="6777" w:type="dxa"/>
            <w:tcBorders/>
            <w:shd w:fill="auto" w:val="clear"/>
          </w:tcPr>
          <w:p>
            <w:pPr>
              <w:pStyle w:val="TableContents"/>
              <w:spacing w:before="0" w:after="283"/>
              <w:rPr/>
            </w:pPr>
            <w:r>
              <w:rPr/>
              <w:t>Credit Authority</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Any Party may change its contact details sending the Credit Agent an appropriate notice at least 5 (five) Business Days prior to such change. The Credit Agent shall notify all other Parties of any change in contact details.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(f)</w:t>
            </w:r>
          </w:p>
        </w:tc>
        <w:tc>
          <w:tcPr>
            <w:tcW w:w="8471" w:type="dxa"/>
            <w:tcBorders/>
            <w:shd w:fill="auto" w:val="clear"/>
          </w:tcPr>
          <w:p>
            <w:pPr>
              <w:pStyle w:val="TableContents"/>
              <w:spacing w:before="0" w:after="283"/>
              <w:jc w:val="left"/>
              <w:rPr/>
            </w:pPr>
            <w:r>
              <w:rPr/>
              <w:t xml:space="preserve">If a Party specifies a particular division or official as a recipient of a message, such message shall not be considered to be sent if such division or official is not designated as the recipient.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7.3.</w:t>
            </w:r>
          </w:p>
        </w:tc>
        <w:tc>
          <w:tcPr>
            <w:tcW w:w="9390" w:type="dxa"/>
            <w:tcBorders/>
            <w:shd w:fill="auto" w:val="clear"/>
          </w:tcPr>
          <w:p>
            <w:pPr>
              <w:pStyle w:val="TableContents"/>
              <w:spacing w:before="0" w:after="283"/>
              <w:jc w:val="left"/>
              <w:rPr/>
            </w:pPr>
            <w:r>
              <w:rPr>
                <w:b/>
              </w:rPr>
              <w:t>Notice Delivery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message or document sent by a Party to another Party in connection with this Agreement and the Guarantee shall be deemed to have been received (except for a notice sent in accordance with the laws of the Russian Federation in case of filing of any claims under the Guarantee and any other cases expressly provided for by the Agreement and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after receiving a message in a legible form when sent by fax or by another method which allows to establish reliably that the message is from a Party hereto; or upon delivery to the appropriate address when sent by courier;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upon delivery to the appropriate address or after 5 (five) Business Days after submitting to the post office when sent by mail with return receipt,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All notices sent by the Guarantor or to the Guarantor’s address shall be transmitted through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7.4.</w:t>
            </w:r>
          </w:p>
        </w:tc>
        <w:tc>
          <w:tcPr>
            <w:tcW w:w="9389" w:type="dxa"/>
            <w:tcBorders/>
            <w:shd w:fill="auto" w:val="clear"/>
          </w:tcPr>
          <w:p>
            <w:pPr>
              <w:pStyle w:val="TableContents"/>
              <w:spacing w:before="0" w:after="283"/>
              <w:jc w:val="left"/>
              <w:rPr/>
            </w:pPr>
            <w:r>
              <w:rPr>
                <w:b/>
              </w:rPr>
              <w:t>Language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notice or message sent by a Party in connection with this Agreement and the Guarantee must be in the Russian language. For the avoidance of doubt, the text is in Russian and may be accompanied by a translation into English; the text in Russian shall prevail.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8.</w:t>
            </w:r>
          </w:p>
        </w:tc>
        <w:tc>
          <w:tcPr>
            <w:tcW w:w="9391" w:type="dxa"/>
            <w:tcBorders/>
            <w:shd w:fill="auto" w:val="clear"/>
          </w:tcPr>
          <w:p>
            <w:pPr>
              <w:pStyle w:val="TableContents"/>
              <w:spacing w:before="0" w:after="283"/>
              <w:jc w:val="left"/>
              <w:rPr>
                <w:b/>
              </w:rPr>
            </w:pPr>
            <w:r>
              <w:rPr>
                <w:b/>
              </w:rPr>
              <w:t xml:space="preserve">MISCELLANEOUS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w:t>
            </w:r>
          </w:p>
        </w:tc>
        <w:tc>
          <w:tcPr>
            <w:tcW w:w="9389" w:type="dxa"/>
            <w:tcBorders/>
            <w:shd w:fill="auto" w:val="clear"/>
          </w:tcPr>
          <w:p>
            <w:pPr>
              <w:pStyle w:val="TableContents"/>
              <w:spacing w:before="0" w:after="283"/>
              <w:jc w:val="left"/>
              <w:rPr/>
            </w:pPr>
            <w:r>
              <w:rPr>
                <w:b/>
              </w:rPr>
              <w:t>Partial Invalidity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any provision of this Agreement is or becomes illegal, invalid or unenforceable, this does not affect the legality, validity or enforceability of any other provision of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8.2.</w:t>
            </w:r>
          </w:p>
        </w:tc>
        <w:tc>
          <w:tcPr>
            <w:tcW w:w="9389" w:type="dxa"/>
            <w:tcBorders/>
            <w:shd w:fill="auto" w:val="clear"/>
          </w:tcPr>
          <w:p>
            <w:pPr>
              <w:pStyle w:val="TableContents"/>
              <w:spacing w:before="0" w:after="283"/>
              <w:jc w:val="left"/>
              <w:rPr/>
            </w:pPr>
            <w:r>
              <w:rPr>
                <w:b/>
              </w:rPr>
              <w:t>Wording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Parties acknowledge that the terms and conditions of this Agreement, as well as its wording, have been jointly determined by the Parties, each Party was equally able to influence the content of this Agreement based on its own reasonable interests.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9.</w:t>
            </w:r>
          </w:p>
        </w:tc>
        <w:tc>
          <w:tcPr>
            <w:tcW w:w="9391" w:type="dxa"/>
            <w:tcBorders/>
            <w:shd w:fill="auto" w:val="clear"/>
          </w:tcPr>
          <w:p>
            <w:pPr>
              <w:pStyle w:val="TableContents"/>
              <w:spacing w:before="0" w:after="283"/>
              <w:jc w:val="left"/>
              <w:rPr>
                <w:b/>
              </w:rPr>
            </w:pPr>
            <w:r>
              <w:rPr>
                <w:b/>
              </w:rPr>
              <w:t xml:space="preserve">CLAIM ASSIGNMENT AND DEBT TRANSFER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9.1.</w:t>
            </w:r>
          </w:p>
        </w:tc>
        <w:tc>
          <w:tcPr>
            <w:tcW w:w="9389"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Neither the Guarantor nor the Borrower may assign its rights or transfer the debt under this Agreement and the Guarantee or otherwise dispose of any of its rights and (or) obligations under this Agreement and the Guarantee without the written consent of all Lenders.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9.2.</w:t>
            </w:r>
          </w:p>
        </w:tc>
        <w:tc>
          <w:tcPr>
            <w:tcW w:w="9389" w:type="dxa"/>
            <w:tcBorders/>
            <w:shd w:fill="auto" w:val="clear"/>
          </w:tcPr>
          <w:p>
            <w:pPr>
              <w:pStyle w:val="TableContents"/>
              <w:spacing w:before="0" w:after="283"/>
              <w:jc w:val="left"/>
              <w:rPr/>
            </w:pPr>
            <w:r>
              <w:rPr>
                <w:b/>
              </w:rPr>
              <w:t>Transfer of Rights by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The Lender may, without the consent of the Guarantor and the Borrower, assign all or part of its rights (claims) under this Agreement and the Guarantee to any person to whom it has assigned its rights under the Loan Agreement, in accordance with the requirements established by Article 22.2 (</w:t>
            </w:r>
            <w:r>
              <w:rPr>
                <w:i/>
              </w:rPr>
              <w:t>Assignment of Rights and Transfer of Obligations by the Lenders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If the Lender assigns its rights (claims) under Clause (a) above, the Lenders that have wholly or partially assigned the rights (claims) under this Agreement and the Guarantee become beneficiaries under this Agreement and the Guarantee issued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If the Lender assigns its rights (claims) under Clause (a) above, the Guarantor shall, at its own expense, take any actions and sign any documents necessary for the purposes of exercising and protecting the rights of the Lenders as beneficiaries under the Guarantee provided for by this Agreement and the Guarantee issued hereunder. In particular, the Guarantor shall, at its own expense, at the request of the Credit Agent, ensure: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taking all actions necessary to ensure the validity of this Agreement and the Guarantee issued hereunder;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entering into a new Independent Guarantee Issue Agreement with the Lenders and issuing a new Independent Guarantee on the terms and conditions similar to those of this Agreement and the Guarantee issued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9.3.</w:t>
            </w:r>
          </w:p>
        </w:tc>
        <w:tc>
          <w:tcPr>
            <w:tcW w:w="9389" w:type="dxa"/>
            <w:tcBorders/>
            <w:shd w:fill="auto" w:val="clear"/>
          </w:tcPr>
          <w:p>
            <w:pPr>
              <w:pStyle w:val="TableContents"/>
              <w:spacing w:before="0" w:after="283"/>
              <w:jc w:val="left"/>
              <w:rPr/>
            </w:pPr>
            <w:r>
              <w:rPr>
                <w:b/>
              </w:rPr>
              <w:t>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the Borrower assigns or transfers its debt (in whole or in part) under the Loan Agreement (with the consent of all Lenders) to another person under the terms and conditions provided for in the Loan Agreement or transfers the Borrower’s obligations under the Loan Agreement to another person through a universal succession, the Guarantor hereby expresses its consent to such assignment or transfer of the debt and agrees to be jointly liable with the new borrower in the amount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10.</w:t>
            </w:r>
          </w:p>
        </w:tc>
        <w:tc>
          <w:tcPr>
            <w:tcW w:w="9388" w:type="dxa"/>
            <w:tcBorders/>
            <w:shd w:fill="auto" w:val="clear"/>
          </w:tcPr>
          <w:p>
            <w:pPr>
              <w:pStyle w:val="TableContents"/>
              <w:spacing w:before="0" w:after="283"/>
              <w:jc w:val="left"/>
              <w:rPr>
                <w:b/>
              </w:rPr>
            </w:pPr>
            <w:r>
              <w:rPr>
                <w:b/>
              </w:rPr>
              <w:t xml:space="preserve">APPLICABLE LAW </w:t>
            </w:r>
          </w:p>
        </w:tc>
      </w:tr>
    </w:tbl>
    <w:p>
      <w:pPr>
        <w:pStyle w:val="TextBody"/>
        <w:spacing w:before="120" w:after="0"/>
        <w:rPr>
          <w:rFonts w:ascii="Times New Roman" w:hAnsi="Times New Roman"/>
          <w:sz w:val="20"/>
        </w:rPr>
      </w:pPr>
      <w:r>
        <w:rPr>
          <w:rFonts w:ascii="Times New Roman" w:hAnsi="Times New Roman"/>
          <w:sz w:val="20"/>
        </w:rPr>
        <w:t xml:space="preserve">This Agreement and the rights and obligations of the Parties arising out of this Agreement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11.</w:t>
            </w:r>
          </w:p>
        </w:tc>
        <w:tc>
          <w:tcPr>
            <w:tcW w:w="9389" w:type="dxa"/>
            <w:tcBorders/>
            <w:shd w:fill="auto" w:val="clear"/>
          </w:tcPr>
          <w:p>
            <w:pPr>
              <w:pStyle w:val="TableContents"/>
              <w:spacing w:before="0" w:after="283"/>
              <w:jc w:val="left"/>
              <w:rPr>
                <w:b/>
              </w:rPr>
            </w:pPr>
            <w:r>
              <w:rPr>
                <w:b/>
              </w:rPr>
              <w:t xml:space="preserve">DISPUTE SETTLEMENT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Agreement,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12.</w:t>
            </w:r>
          </w:p>
        </w:tc>
        <w:tc>
          <w:tcPr>
            <w:tcW w:w="9388"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Agreement has been made in 3 (three) counterparts of equal legal effect, all of which together shall constitute one and the same instrument, one counterpart for each Party.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TERMS OF THE LOAN AGREEMENT </w:t>
      </w:r>
    </w:p>
    <w:p>
      <w:pPr>
        <w:pStyle w:val="TextBody"/>
        <w:spacing w:before="240" w:after="0"/>
        <w:rPr>
          <w:rFonts w:ascii="Times New Roman" w:hAnsi="Times New Roman"/>
          <w:sz w:val="20"/>
        </w:rPr>
      </w:pPr>
      <w:r>
        <w:rPr>
          <w:rFonts w:ascii="Times New Roman" w:hAnsi="Times New Roman"/>
          <w:sz w:val="20"/>
        </w:rPr>
        <w:t>In the Loan Agreement, except where the context otherwise requires: “</w:t>
      </w:r>
      <w:r>
        <w:rPr>
          <w:rFonts w:ascii="Times New Roman" w:hAnsi="Times New Roman"/>
          <w:b/>
          <w:sz w:val="20"/>
        </w:rPr>
        <w:t xml:space="preserve">Auditors”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(a)</w:t>
            </w:r>
          </w:p>
        </w:tc>
        <w:tc>
          <w:tcPr>
            <w:tcW w:w="9392" w:type="dxa"/>
            <w:tcBorders/>
            <w:shd w:fill="auto" w:val="clear"/>
          </w:tcPr>
          <w:p>
            <w:pPr>
              <w:pStyle w:val="TableContents"/>
              <w:spacing w:before="0" w:after="283"/>
              <w:jc w:val="left"/>
              <w:rPr/>
            </w:pPr>
            <w:r>
              <w:rPr/>
              <w:t xml:space="preserve">KPMG Joint-Stock Company, Deloitte CIS Holdings Limited, PricewaterhouseCoopers Consulting LLC, or Ernst &amp; Young Global Limited for the financial statements of the Group and its members prepared under IFRS;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any company listed in Clause (a) above, Moore Stephens LLC, FinExpertiza LLC, BDO CJSC, FBK LLC, and 2K—Business Consulting CJSC, and any other audit firm approved by the Majority of the Lenders for the financial statements of members of the Group prepared under any Applicable Accounting Standards other than IFRS. </w:t>
            </w:r>
          </w:p>
        </w:tc>
      </w:tr>
    </w:tbl>
    <w:p>
      <w:pPr>
        <w:pStyle w:val="TextBody"/>
        <w:spacing w:before="240" w:after="0"/>
        <w:rPr/>
      </w:pPr>
      <w:r>
        <w:rPr/>
        <w:t>“</w:t>
      </w:r>
      <w:r>
        <w:rPr>
          <w:rFonts w:ascii="Times New Roman" w:hAnsi="Times New Roman"/>
          <w:b/>
          <w:sz w:val="20"/>
        </w:rPr>
        <w:t>Affiliate”</w:t>
      </w:r>
      <w:r>
        <w:rPr>
          <w:rFonts w:ascii="Times New Roman" w:hAnsi="Times New Roman"/>
          <w:sz w:val="20"/>
        </w:rPr>
        <w:t xml:space="preserve"> means a Subsidiary or an Associated Company of such person or a Holding Company of such person or any other Subsidiary or Associated Company of such Holding Company. </w:t>
      </w:r>
    </w:p>
    <w:p>
      <w:pPr>
        <w:pStyle w:val="TextBody"/>
        <w:spacing w:before="240" w:after="0"/>
        <w:rPr/>
      </w:pPr>
      <w:r>
        <w:rPr/>
        <w:t>“</w:t>
      </w:r>
      <w:r>
        <w:rPr>
          <w:rFonts w:ascii="Times New Roman" w:hAnsi="Times New Roman"/>
          <w:b/>
          <w:sz w:val="20"/>
        </w:rPr>
        <w:t xml:space="preserve">Basel II” </w:t>
      </w:r>
      <w:r>
        <w:rPr>
          <w:rFonts w:ascii="Times New Roman" w:hAnsi="Times New Roman"/>
          <w:sz w:val="20"/>
        </w:rPr>
        <w:t xml:space="preserve">means the recommendations contained in the document adopted by the Basel Committee on Banking Supervision in June 2004 “International Convergence of Capital Measurement and Capital Standards: a Revised Framework”. </w:t>
      </w:r>
    </w:p>
    <w:p>
      <w:pPr>
        <w:pStyle w:val="TextBody"/>
        <w:spacing w:before="240" w:after="0"/>
        <w:rPr/>
      </w:pPr>
      <w:r>
        <w:rPr/>
        <w:t>“</w:t>
      </w:r>
      <w:r>
        <w:rPr>
          <w:rFonts w:ascii="Times New Roman" w:hAnsi="Times New Roman"/>
          <w:b/>
          <w:sz w:val="20"/>
        </w:rPr>
        <w:t>Basel III”</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the recommendations contained in the documents published by the Basel Committee on Banking Supervision in December 2010: “Basel III: A Global Regulatory Framework for More Resilient Banks and Banking Systems”, “Basel III: International framework for liquidity risk measurement, standards and monitoring” and “Guidance for national authorities operating the countercyclical capital buffer”, as amended;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such recommendations for global systemically important banks as contained in a document published by the Basel Committee on Banking Supervision in November 2011 “Global systemically important banks: Assessment methodology and the additional loss absorbency requirement. Consultative Document”, as amended;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(c)</w:t>
            </w:r>
          </w:p>
        </w:tc>
        <w:tc>
          <w:tcPr>
            <w:tcW w:w="9389" w:type="dxa"/>
            <w:tcBorders/>
            <w:shd w:fill="auto" w:val="clear"/>
          </w:tcPr>
          <w:p>
            <w:pPr>
              <w:pStyle w:val="TableContents"/>
              <w:spacing w:before="0" w:after="283"/>
              <w:jc w:val="left"/>
              <w:rPr/>
            </w:pPr>
            <w:r>
              <w:rPr/>
              <w:t xml:space="preserve">any other documents, explanations or standards published by the Basel Committee on Banking Supervision with respect of Basel III. </w:t>
            </w:r>
          </w:p>
        </w:tc>
      </w:tr>
    </w:tbl>
    <w:p>
      <w:pPr>
        <w:pStyle w:val="TextBody"/>
        <w:spacing w:before="240" w:after="0"/>
        <w:rPr/>
      </w:pPr>
      <w:r>
        <w:rPr/>
        <w:t>“</w:t>
      </w:r>
      <w:r>
        <w:rPr>
          <w:rFonts w:ascii="Times New Roman" w:hAnsi="Times New Roman"/>
          <w:b/>
          <w:sz w:val="20"/>
        </w:rPr>
        <w:t xml:space="preserve">Majority of the Lenders”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in a period up to the Settlement Date, the Lenders whose Loan Limits together amount to 75 (seventy-five) percent or more of the Aggregate Loan Limit;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if there is no Outstanding Loan and the Aggregate Loan Limit has been reduced to zero, the Lenders whose Loan Limits together amount to 75 (seventy-five) percent or more of the Aggregate Loan Limit immediately prior to the date of such reduction;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in any other period of time, the Lenders whose participation in the Outstanding Loan, their Unused Loan Limit and the Amount to be provided together amount to 75 (seventy-five) percent or more of the total amount of the Outstanding Loan, the Aggregate Unused Loan Limit and the Amount to be granted by all Lenders. </w:t>
            </w:r>
          </w:p>
        </w:tc>
      </w:tr>
    </w:tbl>
    <w:p>
      <w:pPr>
        <w:pStyle w:val="TextBody"/>
        <w:spacing w:before="240" w:after="0"/>
        <w:rPr/>
      </w:pPr>
      <w:r>
        <w:rPr/>
        <w:t>“</w:t>
      </w:r>
      <w:r>
        <w:rPr>
          <w:rFonts w:ascii="Times New Roman" w:hAnsi="Times New Roman"/>
          <w:b/>
          <w:sz w:val="20"/>
        </w:rPr>
        <w:t xml:space="preserve">Revenue” </w:t>
      </w:r>
      <w:r>
        <w:rPr>
          <w:rFonts w:ascii="Times New Roman" w:hAnsi="Times New Roman"/>
          <w:sz w:val="20"/>
        </w:rPr>
        <w:t>means, in relation to any Debtor, the revenue of such Debtor determined under the financial statements prepared pursuant to the Applicable Accounting Standards and provided under Article 17.1 (</w:t>
      </w:r>
      <w:r>
        <w:rPr>
          <w:rFonts w:ascii="Times New Roman" w:hAnsi="Times New Roman"/>
          <w:i/>
          <w:sz w:val="20"/>
        </w:rPr>
        <w:t>Financial Statements</w:t>
      </w:r>
      <w:r>
        <w:rPr>
          <w:rFonts w:ascii="Times New Roman" w:hAnsi="Times New Roman"/>
          <w:sz w:val="20"/>
        </w:rPr>
        <w:t xml:space="preserve">).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Guarantor”</w:t>
      </w:r>
      <w:r>
        <w:rPr>
          <w:rFonts w:ascii="Times New Roman" w:hAnsi="Times New Roman"/>
          <w:sz w:val="20"/>
        </w:rPr>
        <w:t xml:space="preserve"> means each of HeadHunter FSU, Zemenik Trading, and Headhunter, and each Additional Guarantor. </w:t>
      </w:r>
    </w:p>
    <w:p>
      <w:pPr>
        <w:pStyle w:val="TextBody"/>
        <w:spacing w:before="240" w:after="0"/>
        <w:rPr>
          <w:rFonts w:ascii="Times New Roman" w:hAnsi="Times New Roman"/>
          <w:b/>
          <w:sz w:val="20"/>
        </w:rPr>
      </w:pPr>
      <w:r>
        <w:rPr>
          <w:rFonts w:ascii="Times New Roman" w:hAnsi="Times New Roman"/>
          <w:b/>
          <w:sz w:val="20"/>
        </w:rPr>
        <w:t xml:space="preserve">Contracting State to a Double Taxation Agreement </w:t>
      </w:r>
    </w:p>
    <w:p>
      <w:pPr>
        <w:pStyle w:val="TextBody"/>
        <w:spacing w:before="240" w:after="0"/>
        <w:rPr>
          <w:rFonts w:ascii="Times New Roman" w:hAnsi="Times New Roman"/>
          <w:sz w:val="20"/>
        </w:rPr>
      </w:pPr>
      <w:r>
        <w:rPr>
          <w:rFonts w:ascii="Times New Roman" w:hAnsi="Times New Roman"/>
          <w:sz w:val="20"/>
        </w:rPr>
        <w:t xml:space="preserve">means a state that has entered into the Double Taxation Agreement with the Russian Federation. </w:t>
      </w:r>
    </w:p>
    <w:p>
      <w:pPr>
        <w:pStyle w:val="TextBody"/>
        <w:spacing w:before="240" w:after="0"/>
        <w:rPr/>
      </w:pPr>
      <w:r>
        <w:rPr/>
        <w:t>“</w:t>
      </w:r>
      <w:r>
        <w:rPr>
          <w:rFonts w:ascii="Times New Roman" w:hAnsi="Times New Roman"/>
          <w:b/>
          <w:sz w:val="20"/>
        </w:rPr>
        <w:t xml:space="preserve">Civil Code” </w:t>
      </w:r>
      <w:r>
        <w:rPr>
          <w:rFonts w:ascii="Times New Roman" w:hAnsi="Times New Roman"/>
          <w:sz w:val="20"/>
        </w:rPr>
        <w:t xml:space="preserve">means the Civil Code of the Russian Federation. </w:t>
      </w:r>
    </w:p>
    <w:p>
      <w:pPr>
        <w:pStyle w:val="TextBody"/>
        <w:spacing w:before="240" w:after="0"/>
        <w:rPr/>
      </w:pPr>
      <w:r>
        <w:rPr/>
        <w:t>“</w:t>
      </w:r>
      <w:r>
        <w:rPr>
          <w:rFonts w:ascii="Times New Roman" w:hAnsi="Times New Roman"/>
          <w:b/>
          <w:sz w:val="20"/>
        </w:rPr>
        <w:t xml:space="preserve">Group” </w:t>
      </w:r>
      <w:r>
        <w:rPr>
          <w:rFonts w:ascii="Times New Roman" w:hAnsi="Times New Roman"/>
          <w:sz w:val="20"/>
        </w:rPr>
        <w:t xml:space="preserve">means, for the purposes of this Agreement, Zemenik Trading, as well as the Subsidiaries of Zemenik Trading whose financial statements are consolidated with the financial statements of Zemenik Trading under IFRS in the relevant period of time. </w:t>
      </w:r>
    </w:p>
    <w:p>
      <w:pPr>
        <w:pStyle w:val="TextBody"/>
        <w:spacing w:before="240" w:after="0"/>
        <w:rPr/>
      </w:pPr>
      <w:r>
        <w:rPr/>
        <w:t>“</w:t>
      </w:r>
      <w:r>
        <w:rPr>
          <w:rFonts w:ascii="Times New Roman" w:hAnsi="Times New Roman"/>
          <w:b/>
          <w:sz w:val="20"/>
        </w:rPr>
        <w:t xml:space="preserve">Disbursement Date” </w:t>
      </w:r>
      <w:r>
        <w:rPr>
          <w:rFonts w:ascii="Times New Roman" w:hAnsi="Times New Roman"/>
          <w:sz w:val="20"/>
        </w:rPr>
        <w:t xml:space="preserve">means every date on which the Credit Agent transfers the Loan or its part specified in the Disbursement Request to the account of the Borrower. </w:t>
      </w:r>
    </w:p>
    <w:p>
      <w:pPr>
        <w:pStyle w:val="TextBody"/>
        <w:spacing w:before="240" w:after="0"/>
        <w:rPr/>
      </w:pPr>
      <w:r>
        <w:rPr/>
        <w:t>“</w:t>
      </w:r>
      <w:r>
        <w:rPr>
          <w:rFonts w:ascii="Times New Roman" w:hAnsi="Times New Roman"/>
          <w:b/>
          <w:sz w:val="20"/>
        </w:rPr>
        <w:t>Date of the Final Redemption of Tranche A and Tranche B”</w:t>
      </w:r>
      <w:r>
        <w:rPr>
          <w:rFonts w:ascii="Times New Roman" w:hAnsi="Times New Roman"/>
          <w:sz w:val="20"/>
        </w:rPr>
        <w:t xml:space="preserve"> means a date coming in 1,824 (one thousand eight hundred and twenty-four) calendar days from the date of this Agreement. </w:t>
      </w:r>
    </w:p>
    <w:p>
      <w:pPr>
        <w:pStyle w:val="TextBody"/>
        <w:spacing w:before="240" w:after="0"/>
        <w:rPr/>
      </w:pPr>
      <w:r>
        <w:rPr/>
        <w:t>“</w:t>
      </w:r>
      <w:r>
        <w:rPr>
          <w:rFonts w:ascii="Times New Roman" w:hAnsi="Times New Roman"/>
          <w:b/>
          <w:sz w:val="20"/>
        </w:rPr>
        <w:t>Date of the Final Redemption of Tranche C and Tranche D”</w:t>
      </w:r>
      <w:r>
        <w:rPr>
          <w:rFonts w:ascii="Times New Roman" w:hAnsi="Times New Roman"/>
          <w:sz w:val="20"/>
        </w:rPr>
        <w:t xml:space="preserve"> means a date coming in 1,825 (one thousand eight hundred and twenty-five) calendar days from the date of Amendment Agreement No. 3. </w:t>
      </w:r>
    </w:p>
    <w:p>
      <w:pPr>
        <w:pStyle w:val="TextBody"/>
        <w:spacing w:before="240" w:after="0"/>
        <w:rPr/>
      </w:pPr>
      <w:r>
        <w:rPr/>
        <w:t>“</w:t>
      </w:r>
      <w:r>
        <w:rPr>
          <w:rFonts w:ascii="Times New Roman" w:hAnsi="Times New Roman"/>
          <w:b/>
          <w:sz w:val="20"/>
        </w:rPr>
        <w:t>Interest Payment Date”</w:t>
      </w:r>
      <w:r>
        <w:rPr>
          <w:rFonts w:ascii="Times New Roman" w:hAnsi="Times New Roman"/>
          <w:sz w:val="20"/>
        </w:rPr>
        <w:t xml:space="preserve"> means March 31, June 30, September 30 and December 31 of each year; and if the relevant day is not a Business Day, “Interest Payment Date” means the Business Day preceding a day specified above. </w:t>
      </w:r>
    </w:p>
    <w:p>
      <w:pPr>
        <w:pStyle w:val="TextBody"/>
        <w:spacing w:before="240" w:after="0"/>
        <w:rPr/>
      </w:pPr>
      <w:r>
        <w:rPr/>
        <w:t>“</w:t>
      </w:r>
      <w:r>
        <w:rPr>
          <w:rFonts w:ascii="Times New Roman" w:hAnsi="Times New Roman"/>
          <w:b/>
          <w:sz w:val="20"/>
        </w:rPr>
        <w:t>Cash”</w:t>
      </w:r>
      <w:r>
        <w:rPr>
          <w:rFonts w:ascii="Times New Roman" w:hAnsi="Times New Roman"/>
          <w:sz w:val="20"/>
        </w:rPr>
        <w:t xml:space="preserve"> has the meaning specified for this term in IFRS. “</w:t>
      </w:r>
      <w:r>
        <w:rPr>
          <w:rFonts w:ascii="Times New Roman" w:hAnsi="Times New Roman"/>
          <w:b/>
          <w:sz w:val="20"/>
        </w:rPr>
        <w:t>Pledge Agreement”</w:t>
      </w:r>
      <w:r>
        <w:rPr>
          <w:rFonts w:ascii="Times New Roman" w:hAnsi="Times New Roman"/>
          <w:sz w:val="20"/>
        </w:rPr>
        <w:t xml:space="preserve"> means each of the following contracts: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the Borrower’s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the Headhunter’s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(c)</w:t>
            </w:r>
          </w:p>
        </w:tc>
        <w:tc>
          <w:tcPr>
            <w:tcW w:w="9389" w:type="dxa"/>
            <w:tcBorders/>
            <w:shd w:fill="auto" w:val="clear"/>
          </w:tcPr>
          <w:p>
            <w:pPr>
              <w:pStyle w:val="TableContents"/>
              <w:spacing w:before="0" w:after="283"/>
              <w:jc w:val="left"/>
              <w:rPr/>
            </w:pPr>
            <w:r>
              <w:rPr/>
              <w:t xml:space="preserve">the Headhunter FSU’s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(d)</w:t>
            </w:r>
          </w:p>
        </w:tc>
        <w:tc>
          <w:tcPr>
            <w:tcW w:w="9391" w:type="dxa"/>
            <w:tcBorders/>
            <w:shd w:fill="auto" w:val="clear"/>
          </w:tcPr>
          <w:p>
            <w:pPr>
              <w:pStyle w:val="TableContents"/>
              <w:spacing w:before="0" w:after="283"/>
              <w:jc w:val="left"/>
              <w:rPr/>
            </w:pPr>
            <w:r>
              <w:rPr/>
              <w:t xml:space="preserve">the Zemenik Trading’s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each Supplementary Pledge Agreement. </w:t>
            </w:r>
          </w:p>
        </w:tc>
      </w:tr>
    </w:tbl>
    <w:p>
      <w:pPr>
        <w:pStyle w:val="TextBody"/>
        <w:spacing w:before="240" w:after="0"/>
        <w:rPr/>
      </w:pPr>
      <w:r>
        <w:rPr/>
        <w:t>“</w:t>
      </w:r>
      <w:r>
        <w:rPr>
          <w:rFonts w:ascii="Times New Roman" w:hAnsi="Times New Roman"/>
          <w:b/>
          <w:sz w:val="20"/>
        </w:rPr>
        <w:t>Borrower’s Pledge Agreement”</w:t>
      </w:r>
      <w:r>
        <w:rPr>
          <w:rFonts w:ascii="Times New Roman" w:hAnsi="Times New Roman"/>
          <w:sz w:val="20"/>
        </w:rPr>
        <w:t xml:space="preserve"> means an agreement of pledge of a participatory interest in the authorized capital of the Borrower governed by the Russian law, executed between the Lenders and Zemenik Trading to ensure performance of the Borrower’s obligations hereunder. </w:t>
      </w:r>
    </w:p>
    <w:p>
      <w:pPr>
        <w:pStyle w:val="TextBody"/>
        <w:spacing w:before="240" w:after="0"/>
        <w:rPr/>
      </w:pPr>
      <w:r>
        <w:rPr/>
        <w:t>“</w:t>
      </w:r>
      <w:r>
        <w:rPr>
          <w:rFonts w:ascii="Times New Roman" w:hAnsi="Times New Roman"/>
          <w:b/>
          <w:sz w:val="20"/>
        </w:rPr>
        <w:t>Headhunter’s Pledge Agreement”</w:t>
      </w:r>
      <w:r>
        <w:rPr>
          <w:rFonts w:ascii="Times New Roman" w:hAnsi="Times New Roman"/>
          <w:sz w:val="20"/>
        </w:rPr>
        <w:t xml:space="preserve"> means an agreement of pledge of a participatory interest in the authorized capital of the Headhunter governed by the Russian law, executed between the Lenders and Headhunter FSU to ensure performance of the Borrower’s obligations hereunder. </w:t>
      </w:r>
    </w:p>
    <w:p>
      <w:pPr>
        <w:pStyle w:val="TextBody"/>
        <w:spacing w:before="240" w:after="0"/>
        <w:rPr/>
      </w:pPr>
      <w:r>
        <w:rPr/>
        <w:t>“</w:t>
      </w:r>
      <w:r>
        <w:rPr>
          <w:rFonts w:ascii="Times New Roman" w:hAnsi="Times New Roman"/>
          <w:b/>
          <w:sz w:val="20"/>
        </w:rPr>
        <w:t>Headhunter FSU’s Pledge Agreement”</w:t>
      </w:r>
      <w:r>
        <w:rPr>
          <w:rFonts w:ascii="Times New Roman" w:hAnsi="Times New Roman"/>
          <w:sz w:val="20"/>
        </w:rPr>
        <w:t xml:space="preserve"> means an agreement of pledge of shares in Headhunter FSU governed by the Cyprus law, executed between the Lenders and the Borrower to ensure performance of the Borrower’s obligations hereunder. </w:t>
      </w:r>
    </w:p>
    <w:p>
      <w:pPr>
        <w:pStyle w:val="TextBody"/>
        <w:spacing w:before="240" w:after="0"/>
        <w:rPr/>
      </w:pPr>
      <w:r>
        <w:rPr/>
        <w:t>“</w:t>
      </w:r>
      <w:r>
        <w:rPr>
          <w:rFonts w:ascii="Times New Roman" w:hAnsi="Times New Roman"/>
          <w:b/>
          <w:sz w:val="20"/>
        </w:rPr>
        <w:t>Zemenik Trading’s Pledge Agreement”</w:t>
      </w:r>
      <w:r>
        <w:rPr>
          <w:rFonts w:ascii="Times New Roman" w:hAnsi="Times New Roman"/>
          <w:sz w:val="20"/>
        </w:rPr>
        <w:t xml:space="preserve"> means each agreement of pledge of shares in Zemenik Trading governed by the Cyprus law, executed between the Lenders, Highworld and ELQ Investors VIII to ensure performance of the Borrower’s obligations hereunder.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Sale and Purchase Agreement 1”</w:t>
      </w:r>
      <w:r>
        <w:rPr>
          <w:rFonts w:ascii="Times New Roman" w:hAnsi="Times New Roman"/>
          <w:sz w:val="20"/>
        </w:rPr>
        <w:t xml:space="preserve"> means an agreement of sale and purchase of 100 (one hundred) shares in the authorized capital of HeadHunter FSU executed between the Seller as the seller and Zemenik Trading as the buyer on February 24, 2016. </w:t>
      </w:r>
    </w:p>
    <w:p>
      <w:pPr>
        <w:pStyle w:val="TextBody"/>
        <w:spacing w:before="240" w:after="0"/>
        <w:rPr/>
      </w:pPr>
      <w:r>
        <w:rPr/>
        <w:t>“</w:t>
      </w:r>
      <w:r>
        <w:rPr>
          <w:rFonts w:ascii="Times New Roman" w:hAnsi="Times New Roman"/>
          <w:b/>
          <w:sz w:val="20"/>
        </w:rPr>
        <w:t>Sale and Purchase Agreement 2”</w:t>
      </w:r>
      <w:r>
        <w:rPr>
          <w:rFonts w:ascii="Times New Roman" w:hAnsi="Times New Roman"/>
          <w:sz w:val="20"/>
        </w:rPr>
        <w:t xml:space="preserve"> means an agreement of sale and purchase of 50 (fifty) percent minus one share in the authorized capital of HeadHunter FSU executed between Zemenik Trading as the seller and the Borrower as the buyer and providing for payment through such accounts of parties to Sale and Purchase Agreement 2 as opened with the Credit Agent, RCB Bank Ltd. (Cyprus) or with any banks affiliated to the Credit Agent. </w:t>
      </w:r>
    </w:p>
    <w:p>
      <w:pPr>
        <w:pStyle w:val="TextBody"/>
        <w:spacing w:before="240" w:after="0"/>
        <w:rPr/>
      </w:pPr>
      <w:r>
        <w:rPr/>
        <w:t>“</w:t>
      </w:r>
      <w:r>
        <w:rPr>
          <w:rFonts w:ascii="Times New Roman" w:hAnsi="Times New Roman"/>
          <w:b/>
          <w:sz w:val="20"/>
        </w:rPr>
        <w:t>Double Taxation Agreement”</w:t>
      </w:r>
      <w:r>
        <w:rPr>
          <w:rFonts w:ascii="Times New Roman" w:hAnsi="Times New Roman"/>
          <w:sz w:val="20"/>
        </w:rPr>
        <w:t xml:space="preserve"> means a double taxation agreement between a foreign state and the Russian Federation which provides for a full or partial exemption from payment of income tax in the Russian Federation for such income as paid to foreign organizations and provided for in this Agreement. </w:t>
      </w:r>
    </w:p>
    <w:p>
      <w:pPr>
        <w:pStyle w:val="TextBody"/>
        <w:spacing w:before="240" w:after="0"/>
        <w:rPr/>
      </w:pPr>
      <w:r>
        <w:rPr/>
        <w:t>“</w:t>
      </w:r>
      <w:r>
        <w:rPr>
          <w:rFonts w:ascii="Times New Roman" w:hAnsi="Times New Roman"/>
          <w:b/>
          <w:sz w:val="20"/>
        </w:rPr>
        <w:t>Security Agreement”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each Pledge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each Independent Guarantee;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each Supplementary Guarantee. </w:t>
            </w:r>
          </w:p>
        </w:tc>
      </w:tr>
    </w:tbl>
    <w:p>
      <w:pPr>
        <w:pStyle w:val="TextBody"/>
        <w:spacing w:before="240" w:after="0"/>
        <w:rPr/>
      </w:pPr>
      <w:r>
        <w:rPr/>
        <w:t>“</w:t>
      </w:r>
      <w:r>
        <w:rPr>
          <w:rFonts w:ascii="Times New Roman" w:hAnsi="Times New Roman"/>
          <w:b/>
          <w:sz w:val="20"/>
        </w:rPr>
        <w:t>Lender’s Assignment Agreement”</w:t>
      </w:r>
      <w:r>
        <w:rPr>
          <w:rFonts w:ascii="Times New Roman" w:hAnsi="Times New Roman"/>
          <w:sz w:val="20"/>
        </w:rPr>
        <w:t xml:space="preserve"> means an agreement made primarily in the form of Appendix 4 (</w:t>
      </w:r>
      <w:r>
        <w:rPr>
          <w:rFonts w:ascii="Times New Roman" w:hAnsi="Times New Roman"/>
          <w:i/>
          <w:sz w:val="20"/>
        </w:rPr>
        <w:t>Form of the Lender’s Assignment Agreement</w:t>
      </w:r>
      <w:r>
        <w:rPr>
          <w:rFonts w:ascii="Times New Roman" w:hAnsi="Times New Roman"/>
          <w:sz w:val="20"/>
        </w:rPr>
        <w:t>) or in any other form by virtue of which the Existing Lender (as defined in Article 22 (</w:t>
      </w:r>
      <w:r>
        <w:rPr>
          <w:rFonts w:ascii="Times New Roman" w:hAnsi="Times New Roman"/>
          <w:i/>
          <w:sz w:val="20"/>
        </w:rPr>
        <w:t>Substitution of Parties</w:t>
      </w:r>
      <w:r>
        <w:rPr>
          <w:rFonts w:ascii="Times New Roman" w:hAnsi="Times New Roman"/>
          <w:sz w:val="20"/>
        </w:rPr>
        <w:t>) assigns its rights and (or) transfers its obligations under this Agreement to the New Lender (as defined in Article 22 (</w:t>
      </w:r>
      <w:r>
        <w:rPr>
          <w:rFonts w:ascii="Times New Roman" w:hAnsi="Times New Roman"/>
          <w:i/>
          <w:sz w:val="20"/>
        </w:rPr>
        <w:t>Substitution of Parties</w:t>
      </w:r>
      <w:r>
        <w:rPr>
          <w:rFonts w:ascii="Times New Roman" w:hAnsi="Times New Roman"/>
          <w:sz w:val="20"/>
        </w:rPr>
        <w:t xml:space="preserve">)). </w:t>
      </w:r>
    </w:p>
    <w:p>
      <w:pPr>
        <w:pStyle w:val="TextBody"/>
        <w:spacing w:before="240" w:after="0"/>
        <w:rPr/>
      </w:pPr>
      <w:r>
        <w:rPr/>
        <w:t>“</w:t>
      </w:r>
      <w:r>
        <w:rPr>
          <w:rFonts w:ascii="Times New Roman" w:hAnsi="Times New Roman"/>
          <w:b/>
          <w:sz w:val="20"/>
        </w:rPr>
        <w:t>Document Related to the Reorganization”</w:t>
      </w:r>
      <w:r>
        <w:rPr>
          <w:rFonts w:ascii="Times New Roman" w:hAnsi="Times New Roman"/>
          <w:sz w:val="20"/>
        </w:rPr>
        <w:t xml:space="preserve"> has the meaning specified in Amendment Agreement No. 2. </w:t>
      </w:r>
    </w:p>
    <w:p>
      <w:pPr>
        <w:pStyle w:val="TextBody"/>
        <w:spacing w:before="240" w:after="0"/>
        <w:rPr/>
      </w:pPr>
      <w:r>
        <w:rPr/>
        <w:t>“</w:t>
      </w:r>
      <w:r>
        <w:rPr>
          <w:rFonts w:ascii="Times New Roman" w:hAnsi="Times New Roman"/>
          <w:b/>
          <w:sz w:val="20"/>
        </w:rPr>
        <w:t>Equity Instruments of the Group”</w:t>
      </w:r>
      <w:r>
        <w:rPr>
          <w:rFonts w:ascii="Times New Roman" w:hAnsi="Times New Roman"/>
          <w:sz w:val="20"/>
        </w:rPr>
        <w:t xml:space="preserve"> means shares or participatory interests in the authorized capital of any member of the Group, as well as options or other instruments securing the right of their owner to acquire or receive shares or participatory interests in the authorized capital of any member of the Group. </w:t>
      </w:r>
    </w:p>
    <w:p>
      <w:pPr>
        <w:pStyle w:val="TextBody"/>
        <w:spacing w:before="240" w:after="0"/>
        <w:rPr/>
      </w:pPr>
      <w:r>
        <w:rPr/>
        <w:t>“</w:t>
      </w:r>
      <w:r>
        <w:rPr>
          <w:rFonts w:ascii="Times New Roman" w:hAnsi="Times New Roman"/>
          <w:b/>
          <w:sz w:val="20"/>
        </w:rPr>
        <w:t xml:space="preserve">Debtor” </w:t>
      </w:r>
      <w:r>
        <w:rPr>
          <w:rFonts w:ascii="Times New Roman" w:hAnsi="Times New Roman"/>
          <w:sz w:val="20"/>
        </w:rPr>
        <w:t xml:space="preserve">means the Borrower and each Guarantor. </w:t>
      </w:r>
    </w:p>
    <w:p>
      <w:pPr>
        <w:pStyle w:val="TextBody"/>
        <w:spacing w:before="240" w:after="0"/>
        <w:rPr/>
      </w:pPr>
      <w:r>
        <w:rPr/>
        <w:t>“</w:t>
      </w:r>
      <w:r>
        <w:rPr>
          <w:rFonts w:ascii="Times New Roman" w:hAnsi="Times New Roman"/>
          <w:b/>
          <w:sz w:val="20"/>
        </w:rPr>
        <w:t xml:space="preserve">Highworld’s Dollar Loan” </w:t>
      </w:r>
      <w:r>
        <w:rPr>
          <w:rFonts w:ascii="Times New Roman" w:hAnsi="Times New Roman"/>
          <w:sz w:val="20"/>
        </w:rPr>
        <w:t xml:space="preserve">means a loan of USD 27,031,978 granted under a loan agreement between Zemenik Trading (as the borrower) and Highworld (as the lender) on February 24, 2016. </w:t>
      </w:r>
    </w:p>
    <w:p>
      <w:pPr>
        <w:pStyle w:val="TextBody"/>
        <w:spacing w:before="240" w:after="0"/>
        <w:rPr/>
      </w:pPr>
      <w:r>
        <w:rPr/>
        <w:t>“</w:t>
      </w:r>
      <w:r>
        <w:rPr>
          <w:rFonts w:ascii="Times New Roman" w:hAnsi="Times New Roman"/>
          <w:b/>
          <w:sz w:val="20"/>
        </w:rPr>
        <w:t>Supplementary Guarantee”</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Additional Guarantor”</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Supplementary Pledge Agreement”</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Subsidiary”</w:t>
      </w:r>
      <w:r>
        <w:rPr>
          <w:rFonts w:ascii="Times New Roman" w:hAnsi="Times New Roman"/>
          <w:sz w:val="20"/>
        </w:rPr>
        <w:t xml:space="preserve"> means any legal entity, if another (parent) company or partnership: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owns the majority of voting rights in such legal entity;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has an equity participation and may appoint or dismiss the majority of members of the executive body of such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is entitled to exert a dominant influence on such legal entity by virtue of the provisions contained in the constituent documents of such legal entity or in a management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is a member (shareholder) of such legal entity and independently or jointly (with other members) controls the majority of votes in this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(e)</w:t>
            </w:r>
          </w:p>
        </w:tc>
        <w:tc>
          <w:tcPr>
            <w:tcW w:w="9389" w:type="dxa"/>
            <w:tcBorders/>
            <w:shd w:fill="auto" w:val="clear"/>
          </w:tcPr>
          <w:p>
            <w:pPr>
              <w:pStyle w:val="TableContents"/>
              <w:spacing w:before="0" w:after="283"/>
              <w:jc w:val="left"/>
              <w:rPr/>
            </w:pPr>
            <w:r>
              <w:rPr/>
              <w:t xml:space="preserve">controls such legal entity, </w:t>
            </w:r>
          </w:p>
        </w:tc>
      </w:tr>
    </w:tbl>
    <w:p>
      <w:pPr>
        <w:pStyle w:val="TextBody"/>
        <w:spacing w:before="240" w:after="0"/>
        <w:rPr>
          <w:rFonts w:ascii="Times New Roman" w:hAnsi="Times New Roman"/>
          <w:sz w:val="20"/>
        </w:rPr>
      </w:pPr>
      <w:r>
        <w:rPr>
          <w:rFonts w:ascii="Times New Roman" w:hAnsi="Times New Roman"/>
          <w:sz w:val="20"/>
        </w:rPr>
        <w:t xml:space="preserve">including any legal entity whose authorized capital shares or participatory interests are subject to the Encumbrance, and the ownership of such encumbered shares or participatory interests is registered by virtue of such Encumbrance in favor of the secured party or a nominee acting in favor of such party. </w:t>
      </w:r>
    </w:p>
    <w:p>
      <w:pPr>
        <w:pStyle w:val="TextBody"/>
        <w:spacing w:before="240" w:after="0"/>
        <w:rPr/>
      </w:pPr>
      <w:r>
        <w:rPr/>
        <w:t>“</w:t>
      </w:r>
      <w:r>
        <w:rPr>
          <w:rFonts w:ascii="Times New Roman" w:hAnsi="Times New Roman"/>
          <w:b/>
          <w:sz w:val="20"/>
        </w:rPr>
        <w:t>Associated Company”</w:t>
      </w:r>
      <w:r>
        <w:rPr>
          <w:rFonts w:ascii="Times New Roman" w:hAnsi="Times New Roman"/>
          <w:sz w:val="20"/>
        </w:rPr>
        <w:t xml:space="preserve"> means any legal entity in which the first legal entity owns 20 (twenty) percent or more (but not more than 50 (fifty) percent) of the authorized capital. </w:t>
      </w:r>
    </w:p>
    <w:p>
      <w:pPr>
        <w:pStyle w:val="TextBody"/>
        <w:spacing w:before="240" w:after="0"/>
        <w:rPr/>
      </w:pPr>
      <w:r>
        <w:rPr/>
        <w:t>“</w:t>
      </w:r>
      <w:r>
        <w:rPr>
          <w:rFonts w:ascii="Times New Roman" w:hAnsi="Times New Roman"/>
          <w:b/>
          <w:sz w:val="20"/>
        </w:rPr>
        <w:t>Representations of Circumstances”</w:t>
      </w:r>
      <w:r>
        <w:rPr>
          <w:rFonts w:ascii="Times New Roman" w:hAnsi="Times New Roman"/>
          <w:sz w:val="20"/>
        </w:rPr>
        <w:t xml:space="preserve"> means the representations of the Borrower in Article 16 (</w:t>
      </w:r>
      <w:r>
        <w:rPr>
          <w:rFonts w:ascii="Times New Roman" w:hAnsi="Times New Roman"/>
          <w:i/>
          <w:sz w:val="20"/>
        </w:rPr>
        <w:t>Representations of Circumstances</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Bankruptcy Law” </w:t>
      </w:r>
      <w:r>
        <w:rPr>
          <w:rFonts w:ascii="Times New Roman" w:hAnsi="Times New Roman"/>
          <w:sz w:val="20"/>
        </w:rPr>
        <w:t xml:space="preserve">means Federal Law of the Russian Federation No. 127- </w:t>
      </w:r>
      <w:r>
        <w:rPr>
          <w:rFonts w:ascii="Times New Roman" w:hAnsi="Times New Roman"/>
          <w:sz w:val="20"/>
        </w:rPr>
        <w:drawing>
          <wp:inline distT="0" distB="0" distL="0" distR="0">
            <wp:extent cx="718820" cy="359410"/>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link="rId45"/>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dated October 26, 2002, “On Insolvency (Bankruptcy)”. </w:t>
      </w:r>
    </w:p>
    <w:p>
      <w:pPr>
        <w:pStyle w:val="TextBody"/>
        <w:spacing w:before="240" w:after="0"/>
        <w:rPr/>
      </w:pPr>
      <w:r>
        <w:rPr/>
        <w:t>“</w:t>
      </w:r>
      <w:r>
        <w:rPr>
          <w:rFonts w:ascii="Times New Roman" w:hAnsi="Times New Roman"/>
          <w:b/>
          <w:sz w:val="20"/>
        </w:rPr>
        <w:t xml:space="preserve">Law on Credit Histories” </w:t>
      </w:r>
      <w:r>
        <w:rPr>
          <w:rFonts w:ascii="Times New Roman" w:hAnsi="Times New Roman"/>
          <w:sz w:val="20"/>
        </w:rPr>
        <w:t xml:space="preserve">means Federal Law of the Russian Federation No. 218- </w:t>
      </w:r>
      <w:r>
        <w:rPr>
          <w:rFonts w:ascii="Times New Roman" w:hAnsi="Times New Roman"/>
          <w:sz w:val="20"/>
        </w:rPr>
        <w:drawing>
          <wp:inline distT="0" distB="0" distL="0" distR="0">
            <wp:extent cx="718820" cy="359410"/>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link="rId46"/>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dated December 30, 2004, “On Credit Histories”. </w:t>
      </w:r>
    </w:p>
    <w:p>
      <w:pPr>
        <w:pStyle w:val="TextBody"/>
        <w:spacing w:before="240" w:after="0"/>
        <w:rPr/>
      </w:pPr>
      <w:r>
        <w:rPr/>
        <w:t>“</w:t>
      </w:r>
      <w:r>
        <w:rPr>
          <w:rFonts w:ascii="Times New Roman" w:hAnsi="Times New Roman"/>
          <w:b/>
          <w:sz w:val="20"/>
        </w:rPr>
        <w:t xml:space="preserve">Law on Regulated Procurement” </w:t>
      </w:r>
      <w:r>
        <w:rPr>
          <w:rFonts w:ascii="Times New Roman" w:hAnsi="Times New Roman"/>
          <w:sz w:val="20"/>
        </w:rPr>
        <w:t xml:space="preserve">means Federal Law of the Russian Federation No. 223- </w:t>
      </w:r>
      <w:r>
        <w:rPr>
          <w:rFonts w:ascii="Times New Roman" w:hAnsi="Times New Roman"/>
          <w:sz w:val="20"/>
        </w:rPr>
        <w:drawing>
          <wp:inline distT="0" distB="0" distL="0" distR="0">
            <wp:extent cx="718820" cy="359410"/>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link="rId47"/>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dated July 18, 2011, “On Procurement of Goods, Works, Services by Separate Types of Legal Entities” </w:t>
      </w:r>
    </w:p>
    <w:p>
      <w:pPr>
        <w:pStyle w:val="TextBody"/>
        <w:spacing w:before="240" w:after="0"/>
        <w:rPr/>
      </w:pPr>
      <w:r>
        <w:rPr/>
        <w:t>“</w:t>
      </w:r>
      <w:r>
        <w:rPr>
          <w:rFonts w:ascii="Times New Roman" w:hAnsi="Times New Roman"/>
          <w:b/>
          <w:sz w:val="20"/>
        </w:rPr>
        <w:t xml:space="preserve">Pledgor” </w:t>
      </w:r>
      <w:r>
        <w:rPr>
          <w:rFonts w:ascii="Times New Roman" w:hAnsi="Times New Roman"/>
          <w:sz w:val="20"/>
        </w:rPr>
        <w:t xml:space="preserve">means the Borrower, HeadHunter FSU, Zemenik Trading, Highworld, and ELQ Investors VIII, as well as each pledgor under each Supplementary Pledge Agreement. </w:t>
      </w:r>
    </w:p>
    <w:p>
      <w:pPr>
        <w:pStyle w:val="TextBody"/>
        <w:spacing w:before="240" w:after="0"/>
        <w:rPr/>
      </w:pPr>
      <w:r>
        <w:rPr/>
        <w:t>“</w:t>
      </w:r>
      <w:r>
        <w:rPr>
          <w:rFonts w:ascii="Times New Roman" w:hAnsi="Times New Roman"/>
          <w:b/>
          <w:sz w:val="20"/>
        </w:rPr>
        <w:t xml:space="preserve">Disbursement Request” </w:t>
      </w:r>
      <w:r>
        <w:rPr>
          <w:rFonts w:ascii="Times New Roman" w:hAnsi="Times New Roman"/>
          <w:sz w:val="20"/>
        </w:rPr>
        <w:t>means such request of the Borrower for disbursement of the Loan as prepared in general in the form of Appendix 3 (</w:t>
      </w:r>
      <w:r>
        <w:rPr>
          <w:rFonts w:ascii="Times New Roman" w:hAnsi="Times New Roman"/>
          <w:i/>
          <w:sz w:val="20"/>
        </w:rPr>
        <w:t>Form of the Disbursement Request</w:t>
      </w:r>
      <w:r>
        <w:rPr>
          <w:rFonts w:ascii="Times New Roman" w:hAnsi="Times New Roman"/>
          <w:sz w:val="20"/>
        </w:rPr>
        <w:t xml:space="preserve">). </w:t>
      </w:r>
    </w:p>
    <w:p>
      <w:pPr>
        <w:pStyle w:val="TextBody"/>
        <w:spacing w:before="240" w:after="0"/>
        <w:rPr/>
      </w:pPr>
      <w:r>
        <w:rPr/>
        <w:t>“</w:t>
      </w:r>
      <w:r>
        <w:rPr>
          <w:rFonts w:ascii="Times New Roman" w:hAnsi="Times New Roman"/>
          <w:b/>
          <w:sz w:val="20"/>
        </w:rPr>
        <w:t>Intellectual Property”</w:t>
      </w:r>
      <w:r>
        <w:rPr>
          <w:rFonts w:ascii="Times New Roman" w:hAnsi="Times New Roman"/>
          <w:sz w:val="20"/>
        </w:rPr>
        <w:t xml:space="preserve"> means the Trademarks of the Debtors, domain names (including the Websites of the Debtors) registered in the name of Group’s members, a database and other intellectual property, the rights to which belong to Group’s members specified in Appendix 8 (</w:t>
      </w:r>
      <w:r>
        <w:rPr>
          <w:rFonts w:ascii="Times New Roman" w:hAnsi="Times New Roman"/>
          <w:i/>
          <w:sz w:val="20"/>
        </w:rPr>
        <w:t>Intellectual Property</w:t>
      </w:r>
      <w:r>
        <w:rPr>
          <w:rFonts w:ascii="Times New Roman" w:hAnsi="Times New Roman"/>
          <w:sz w:val="20"/>
        </w:rPr>
        <w:t xml:space="preserve">), and similar significant intellectual property owned by the Additional Guarantors (if such Additional Guarantors are not the Debtors at the date of this Agreement). </w:t>
      </w:r>
    </w:p>
    <w:p>
      <w:pPr>
        <w:pStyle w:val="TextBody"/>
        <w:spacing w:before="240" w:after="0"/>
        <w:rPr/>
      </w:pPr>
      <w:r>
        <w:rPr/>
        <w:t>“</w:t>
      </w:r>
      <w:r>
        <w:rPr>
          <w:rFonts w:ascii="Times New Roman" w:hAnsi="Times New Roman"/>
          <w:b/>
          <w:sz w:val="20"/>
        </w:rPr>
        <w:t>Exceptional Income or Expenses”</w:t>
      </w:r>
      <w:r>
        <w:rPr>
          <w:rFonts w:ascii="Times New Roman" w:hAnsi="Times New Roman"/>
          <w:sz w:val="20"/>
        </w:rPr>
        <w:t xml:space="preserve"> means any income or expenses arising out of extraordinary circumstances of the Debtor’s business and recognized as such by a resolution of the Majority of the Lenders. </w:t>
      </w:r>
    </w:p>
    <w:p>
      <w:pPr>
        <w:pStyle w:val="TextBody"/>
        <w:spacing w:before="240" w:after="0"/>
        <w:rPr/>
      </w:pPr>
      <w:r>
        <w:rPr/>
        <w:t>“</w:t>
      </w:r>
      <w:r>
        <w:rPr>
          <w:rFonts w:ascii="Times New Roman" w:hAnsi="Times New Roman"/>
          <w:b/>
          <w:sz w:val="20"/>
        </w:rPr>
        <w:t xml:space="preserve">Key Rate”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with respect to each Interest Period, a key rate established by the Central Bank of the Russian Federation and effective as of each day of the Interest Period;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with respect to any other period, a key rate established by the Central Bank of the Russian Federation effective as of each day of such period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and determined daily based on the data on the website of the Central Bank of the Russian Federation on the Internet at www.cbr.ru or, if changed, on any other official website of the Central Bank of the Russian Federation. If the Central Bank of the Russian Federation abolishes or ceases to use a key rate and if it is needed to determine pricing conditions for provision of financing to credit institutions of the Russian Federation, the Key Rate shall be a similar rate established by the Central Bank of the Russian Federation for pricing of refinancing through repo transactions and (or) against non-market assets. </w:t>
      </w:r>
    </w:p>
    <w:p>
      <w:pPr>
        <w:pStyle w:val="TextBody"/>
        <w:spacing w:before="240" w:after="0"/>
        <w:rPr/>
      </w:pPr>
      <w:r>
        <w:rPr/>
        <w:t>“</w:t>
      </w:r>
      <w:r>
        <w:rPr>
          <w:rFonts w:ascii="Times New Roman" w:hAnsi="Times New Roman"/>
          <w:b/>
          <w:sz w:val="20"/>
        </w:rPr>
        <w:t xml:space="preserve">Consolidated Net Debt” </w:t>
      </w:r>
      <w:r>
        <w:rPr>
          <w:rFonts w:ascii="Times New Roman" w:hAnsi="Times New Roman"/>
          <w:sz w:val="20"/>
        </w:rPr>
        <w:t>has the meaning specified in Article 18.7 (</w:t>
      </w:r>
      <w:r>
        <w:rPr>
          <w:rFonts w:ascii="Times New Roman" w:hAnsi="Times New Roman"/>
          <w:i/>
          <w:sz w:val="20"/>
        </w:rPr>
        <w:t>Definitions</w:t>
      </w:r>
      <w:r>
        <w:rPr>
          <w:rFonts w:ascii="Times New Roman" w:hAnsi="Times New Roman"/>
          <w:sz w:val="20"/>
        </w:rPr>
        <w:t xml:space="preserve">). </w:t>
      </w:r>
    </w:p>
    <w:p>
      <w:pPr>
        <w:pStyle w:val="TextBody"/>
        <w:spacing w:before="240" w:after="0"/>
        <w:rPr/>
      </w:pPr>
      <w:r>
        <w:rPr/>
        <w:t>“</w:t>
      </w:r>
      <w:r>
        <w:rPr>
          <w:rFonts w:ascii="Times New Roman" w:hAnsi="Times New Roman"/>
          <w:b/>
          <w:sz w:val="20"/>
        </w:rPr>
        <w:t>Consolidated EBIT”</w:t>
      </w:r>
      <w:r>
        <w:rPr>
          <w:rFonts w:ascii="Times New Roman" w:hAnsi="Times New Roman"/>
          <w:sz w:val="20"/>
        </w:rPr>
        <w:t xml:space="preserve"> means such Group’s consolidated profit before tax for the Settlement Period as adjusted taking into account termination of transactions occurring during the Settlement Period: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before deduction of any amounts related to financial expenses;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without taking into account any amounts related to the interest to be received by any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after deducting profits or adding losses of any member of the Group relating to non-controlling participatory interests;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without taking into account positive or negative unrealized exchange rate differences;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without taking into account gains or losses arising out of a revaluation of any asset or a decrease in the carrying amount of any asset when it is disposed of by any member of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(f)</w:t>
            </w:r>
          </w:p>
        </w:tc>
        <w:tc>
          <w:tcPr>
            <w:tcW w:w="9392" w:type="dxa"/>
            <w:tcBorders/>
            <w:shd w:fill="auto" w:val="clear"/>
          </w:tcPr>
          <w:p>
            <w:pPr>
              <w:pStyle w:val="TableContents"/>
              <w:spacing w:before="0" w:after="283"/>
              <w:jc w:val="left"/>
              <w:rPr/>
            </w:pPr>
            <w:r>
              <w:rPr/>
              <w:t xml:space="preserve">without taking into account an expected return on the assets of a pension plan;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(g)</w:t>
            </w:r>
          </w:p>
        </w:tc>
        <w:tc>
          <w:tcPr>
            <w:tcW w:w="9390" w:type="dxa"/>
            <w:tcBorders/>
            <w:shd w:fill="auto" w:val="clear"/>
          </w:tcPr>
          <w:p>
            <w:pPr>
              <w:pStyle w:val="TableContents"/>
              <w:spacing w:before="0" w:after="283"/>
              <w:jc w:val="left"/>
              <w:rPr/>
            </w:pPr>
            <w:r>
              <w:rPr/>
              <w:t xml:space="preserve">without taking into account any non-monetary gains or losses from the Incentive Plans Based on the Group’s Equity Instruments;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exclusively for the Settlement Periods ending on June 30, 2016, December 31, 2016, and June 30, 2017, without taking into account the Transaction Costs. </w:t>
            </w:r>
          </w:p>
        </w:tc>
      </w:tr>
    </w:tbl>
    <w:p>
      <w:pPr>
        <w:pStyle w:val="TextBody"/>
        <w:spacing w:before="240" w:after="0"/>
        <w:rPr/>
      </w:pPr>
      <w:r>
        <w:rPr/>
        <w:t>“</w:t>
      </w:r>
      <w:r>
        <w:rPr>
          <w:rFonts w:ascii="Times New Roman" w:hAnsi="Times New Roman"/>
          <w:b/>
          <w:sz w:val="20"/>
        </w:rPr>
        <w:t>Consolidated EBITDA”</w:t>
      </w:r>
      <w:r>
        <w:rPr>
          <w:rFonts w:ascii="Times New Roman" w:hAnsi="Times New Roman"/>
          <w:sz w:val="20"/>
        </w:rPr>
        <w:t xml:space="preserve"> means such Consolidated EBIT for the Settlement Period as adjusted by adding the following amounts, provided that these amounts were not taken into account when calculating EBIT: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any amounts related to depreciation and impairment of fixed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any amounts related to impairment of goodwill;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any amounts related to depreciation and impairment of other non-fixed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for the purpose of determining the financial indicators specified in Clause (a) of Article 9.2 (</w:t>
            </w:r>
            <w:r>
              <w:rPr>
                <w:i/>
              </w:rPr>
              <w:t>Margin Adjustment</w:t>
            </w:r>
            <w:r>
              <w:rPr/>
              <w:t xml:space="preserve">), advertising costs incurred in 2016 in an amount of up to RUB 200,000,000. </w:t>
            </w:r>
          </w:p>
        </w:tc>
      </w:tr>
    </w:tbl>
    <w:p>
      <w:pPr>
        <w:pStyle w:val="TextBody"/>
        <w:spacing w:before="240" w:after="0"/>
        <w:rPr/>
      </w:pPr>
      <w:r>
        <w:rPr/>
        <w:t>“</w:t>
      </w:r>
      <w:r>
        <w:rPr>
          <w:rFonts w:ascii="Times New Roman" w:hAnsi="Times New Roman"/>
          <w:b/>
          <w:sz w:val="20"/>
        </w:rPr>
        <w:t>Confidential Information”</w:t>
      </w:r>
      <w:r>
        <w:rPr>
          <w:rFonts w:ascii="Times New Roman" w:hAnsi="Times New Roman"/>
          <w:sz w:val="20"/>
        </w:rPr>
        <w:t xml:space="preserve"> means any such information (including personal data) in any form (including oral information, and any documents and information recorded or stored as electronic files or on any other media) on any Debtor, Pledgor or member of the Group, the Financial Documents, or the Loan which becomes known to a Party to the Financing or which is obtained by any person intending to become a Party to the Financing, from: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any member of the Group or its adviser;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another Party to the Financing or its adviser if the information has been received by such a Party to the Financing from any member of the Group or its adviser, </w:t>
            </w:r>
          </w:p>
        </w:tc>
      </w:tr>
    </w:tbl>
    <w:p>
      <w:pPr>
        <w:pStyle w:val="TextBody"/>
        <w:spacing w:before="120" w:after="0"/>
        <w:rPr>
          <w:rFonts w:ascii="Times New Roman" w:hAnsi="Times New Roman"/>
          <w:sz w:val="20"/>
        </w:rPr>
      </w:pPr>
      <w:r>
        <w:rPr>
          <w:rFonts w:ascii="Times New Roman" w:hAnsi="Times New Roman"/>
          <w:sz w:val="20"/>
        </w:rPr>
        <w:t xml:space="preserve">except for any information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4"/>
        <w:gridCol w:w="8475"/>
      </w:tblGrid>
      <w:tr>
        <w:trPr/>
        <w:tc>
          <w:tcPr>
            <w:tcW w:w="815"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8475" w:type="dxa"/>
            <w:tcBorders/>
            <w:shd w:fill="auto" w:val="clear"/>
          </w:tcPr>
          <w:p>
            <w:pPr>
              <w:pStyle w:val="TableContents"/>
              <w:spacing w:before="0" w:after="283"/>
              <w:jc w:val="left"/>
              <w:rPr/>
            </w:pPr>
            <w:r>
              <w:rPr/>
              <w:t>is or becomes available to an unrestricted circle of persons other than as a result of a violation of the terms and conditions of Article 28 (</w:t>
            </w:r>
            <w:r>
              <w:rPr>
                <w:i/>
              </w:rPr>
              <w:t>Confidentiality</w:t>
            </w:r>
            <w:r>
              <w:rPr/>
              <w:t xml:space="preserve">) by a Party to the Financing;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(ii)</w:t>
            </w:r>
          </w:p>
        </w:tc>
        <w:tc>
          <w:tcPr>
            <w:tcW w:w="8474" w:type="dxa"/>
            <w:tcBorders/>
            <w:shd w:fill="auto" w:val="clear"/>
          </w:tcPr>
          <w:p>
            <w:pPr>
              <w:pStyle w:val="TableContents"/>
              <w:spacing w:before="0" w:after="283"/>
              <w:jc w:val="left"/>
              <w:rPr/>
            </w:pPr>
            <w:r>
              <w:rPr/>
              <w:t xml:space="preserve">was known to a Party to the Financing prior to a date of disclosure to it or its adviser of such information or has been legally received by a Party to the Financing or its adviser after such date from a source, to the knowledge of such Party to the Financing, not associated with the Group, and that in any case, to the knowledge of such Party to the Financing, was not obtained due to breach of a confidentiality obligation. </w:t>
            </w:r>
          </w:p>
        </w:tc>
      </w:tr>
    </w:tbl>
    <w:p>
      <w:pPr>
        <w:pStyle w:val="TextBody"/>
        <w:spacing w:before="240" w:after="0"/>
        <w:rPr/>
      </w:pPr>
      <w:r>
        <w:rPr/>
        <w:t>“</w:t>
      </w:r>
      <w:r>
        <w:rPr>
          <w:rFonts w:ascii="Times New Roman" w:hAnsi="Times New Roman"/>
          <w:b/>
          <w:sz w:val="20"/>
        </w:rPr>
        <w:t xml:space="preserve">Loan” </w:t>
      </w:r>
      <w:r>
        <w:rPr>
          <w:rFonts w:ascii="Times New Roman" w:hAnsi="Times New Roman"/>
          <w:sz w:val="20"/>
        </w:rPr>
        <w:t xml:space="preserve">means funds within the Aggregate Loan Limit granted by the Lenders to the Borrower under this Agreement as Tranche A, Tranche B, Tranche C, and Tranche D. </w:t>
      </w:r>
    </w:p>
    <w:p>
      <w:pPr>
        <w:pStyle w:val="TextBody"/>
        <w:spacing w:before="240" w:after="0"/>
        <w:rPr/>
      </w:pPr>
      <w:r>
        <w:rPr/>
        <w:t>“</w:t>
      </w:r>
      <w:r>
        <w:rPr>
          <w:rFonts w:ascii="Times New Roman" w:hAnsi="Times New Roman"/>
          <w:b/>
          <w:sz w:val="20"/>
        </w:rPr>
        <w:t>Lender”</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any Original Lender;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any banks or other credit or other organizations (except for any person belonging to the Borrower’s Group) which acquire the rights of claim to the Borrower and (or) the obligation to grant the Loan under the provisions of Article 22.2 (</w:t>
            </w:r>
            <w:r>
              <w:rPr>
                <w:i/>
              </w:rPr>
              <w:t>Assignment of Rights and Transfer of Obligations by the Lenders</w:t>
            </w:r>
            <w:r>
              <w:rPr/>
              <w:t xml:space="preserve">) and the current laws. </w:t>
            </w:r>
          </w:p>
        </w:tc>
      </w:tr>
    </w:tbl>
    <w:p>
      <w:pPr>
        <w:pStyle w:val="TextBody"/>
        <w:spacing w:before="240" w:after="0"/>
        <w:rPr/>
      </w:pPr>
      <w:r>
        <w:rPr/>
        <w:t>“</w:t>
      </w:r>
      <w:r>
        <w:rPr>
          <w:rFonts w:ascii="Times New Roman" w:hAnsi="Times New Roman"/>
          <w:b/>
          <w:sz w:val="20"/>
        </w:rPr>
        <w:t xml:space="preserve">Loan Limit” </w:t>
      </w:r>
      <w:r>
        <w:rPr>
          <w:rFonts w:ascii="Times New Roman" w:hAnsi="Times New Roman"/>
          <w:sz w:val="20"/>
        </w:rPr>
        <w:t xml:space="preserve">means an amount of money: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with respect to the Original Lender, which the Original Lender shall grant the Borrower as a loan within Tranche A, Tranche B, Tranche C, and Tranche D under the terms and conditions of this Agreement and specified in the table in Appendix 1 (</w:t>
            </w:r>
            <w:r>
              <w:rPr>
                <w:i/>
              </w:rPr>
              <w:t>List of Original Lenders and Loan Limits</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with respect to any other Lender, which such Lender shall grant the Borrower by virtue of an Original Lender’s transfer to it of the obligation to grant the Loan to the Borrower </w:t>
            </w:r>
          </w:p>
        </w:tc>
      </w:tr>
    </w:tbl>
    <w:p>
      <w:pPr>
        <w:pStyle w:val="TextBody"/>
        <w:spacing w:before="240" w:after="0"/>
        <w:rPr>
          <w:rFonts w:ascii="Times New Roman" w:hAnsi="Times New Roman"/>
          <w:sz w:val="20"/>
        </w:rPr>
      </w:pPr>
      <w:r>
        <w:rPr>
          <w:rFonts w:ascii="Times New Roman" w:hAnsi="Times New Roman"/>
          <w:sz w:val="20"/>
        </w:rPr>
        <w:t xml:space="preserve">and which may be changed under the terms and conditions hereof. </w:t>
      </w:r>
    </w:p>
    <w:p>
      <w:pPr>
        <w:pStyle w:val="TextBody"/>
        <w:spacing w:before="240" w:after="0"/>
        <w:rPr/>
      </w:pPr>
      <w:r>
        <w:rPr/>
        <w:t>“</w:t>
      </w:r>
      <w:r>
        <w:rPr>
          <w:rFonts w:ascii="Times New Roman" w:hAnsi="Times New Roman"/>
          <w:b/>
          <w:sz w:val="20"/>
        </w:rPr>
        <w:t>Margin”</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3"/>
        <w:gridCol w:w="8476"/>
      </w:tblGrid>
      <w:tr>
        <w:trPr/>
        <w:tc>
          <w:tcPr>
            <w:tcW w:w="81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8"/>
        <w:gridCol w:w="8472"/>
      </w:tblGrid>
      <w:tr>
        <w:trPr/>
        <w:tc>
          <w:tcPr>
            <w:tcW w:w="81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8472"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Intercreditor Agreement”</w:t>
      </w:r>
      <w:r>
        <w:rPr>
          <w:rFonts w:ascii="Times New Roman" w:hAnsi="Times New Roman"/>
          <w:sz w:val="20"/>
        </w:rPr>
        <w:t xml:space="preserve"> means the Subordination Agreement executed on or about the date of this Agreement between the Borrower, Zemenik Trading, HeadHunter FSU, Headhunter and the Lenders on the priority of claims of the lenders. </w:t>
      </w:r>
    </w:p>
    <w:p>
      <w:pPr>
        <w:pStyle w:val="TextBody"/>
        <w:spacing w:before="240" w:after="0"/>
        <w:rPr/>
      </w:pPr>
      <w:r>
        <w:rPr/>
        <w:t>“</w:t>
      </w:r>
      <w:r>
        <w:rPr>
          <w:rFonts w:ascii="Times New Roman" w:hAnsi="Times New Roman"/>
          <w:b/>
          <w:sz w:val="20"/>
        </w:rPr>
        <w:t>IFRS”</w:t>
      </w:r>
      <w:r>
        <w:rPr>
          <w:rFonts w:ascii="Times New Roman" w:hAnsi="Times New Roman"/>
          <w:sz w:val="20"/>
        </w:rPr>
        <w:t xml:space="preserve"> means the international accounting standards referred to in Regulation No. 1606/2002 adopted by the European Parliament and the Council of Europe on July 19, 2002, insofar as applicable to respective financial statements. </w:t>
      </w:r>
    </w:p>
    <w:p>
      <w:pPr>
        <w:pStyle w:val="TextBody"/>
        <w:spacing w:before="240" w:after="0"/>
        <w:rPr/>
      </w:pPr>
      <w:r>
        <w:rPr/>
        <w:t>“</w:t>
      </w:r>
      <w:r>
        <w:rPr>
          <w:rFonts w:ascii="Times New Roman" w:hAnsi="Times New Roman"/>
          <w:b/>
          <w:sz w:val="20"/>
        </w:rPr>
        <w:t xml:space="preserve">Tax” </w:t>
      </w:r>
      <w:r>
        <w:rPr>
          <w:rFonts w:ascii="Times New Roman" w:hAnsi="Times New Roman"/>
          <w:sz w:val="20"/>
        </w:rPr>
        <w:t xml:space="preserve">means any tax, levy, duty or other charge or withholding of a similar nature (including any fines and penalties due in case of failure to pay or untimely payment of any of the foregoing) established by the applicable laws. </w:t>
      </w:r>
    </w:p>
    <w:p>
      <w:pPr>
        <w:pStyle w:val="TextBody"/>
        <w:spacing w:before="240" w:after="0"/>
        <w:rPr/>
      </w:pPr>
      <w:r>
        <w:rPr/>
        <w:t>“</w:t>
      </w:r>
      <w:r>
        <w:rPr>
          <w:rFonts w:ascii="Times New Roman" w:hAnsi="Times New Roman"/>
          <w:b/>
          <w:sz w:val="20"/>
        </w:rPr>
        <w:t>Tax Refund”</w:t>
      </w:r>
      <w:r>
        <w:rPr>
          <w:rFonts w:ascii="Times New Roman" w:hAnsi="Times New Roman"/>
          <w:sz w:val="20"/>
        </w:rPr>
        <w:t xml:space="preserve"> means exemption from payment of the Tax (application of a reduced tax rate or of a tax refund) granted outside the Russian Federation in respect of any Tax relating to payments under the Financial Documents. </w:t>
      </w:r>
    </w:p>
    <w:p>
      <w:pPr>
        <w:pStyle w:val="TextBody"/>
        <w:spacing w:before="240" w:after="0"/>
        <w:rPr/>
      </w:pPr>
      <w:r>
        <w:rPr/>
        <w:t>“</w:t>
      </w:r>
      <w:r>
        <w:rPr>
          <w:rFonts w:ascii="Times New Roman" w:hAnsi="Times New Roman"/>
          <w:b/>
          <w:sz w:val="20"/>
        </w:rPr>
        <w:t xml:space="preserve">Tax Deduction” </w:t>
      </w:r>
      <w:r>
        <w:rPr>
          <w:rFonts w:ascii="Times New Roman" w:hAnsi="Times New Roman"/>
          <w:sz w:val="20"/>
        </w:rPr>
        <w:t xml:space="preserve">means withholding from any payment under the Financial Document of an amount of any tax or levy, including, but not limited to, a value-added tax and income tax levied on a source, as well as any similar taxes that may replace or supplement existing taxes under the applicable laws, in the amount and within the terms provided for by law. </w:t>
      </w:r>
    </w:p>
    <w:p>
      <w:pPr>
        <w:pStyle w:val="TextBody"/>
        <w:spacing w:before="240" w:after="0"/>
        <w:rPr/>
      </w:pPr>
      <w:r>
        <w:rPr/>
        <w:t>“</w:t>
      </w:r>
      <w:r>
        <w:rPr>
          <w:rFonts w:ascii="Times New Roman" w:hAnsi="Times New Roman"/>
          <w:b/>
          <w:sz w:val="20"/>
        </w:rPr>
        <w:t>Tax Payment”</w:t>
      </w:r>
      <w:r>
        <w:rPr>
          <w:rFonts w:ascii="Times New Roman" w:hAnsi="Times New Roman"/>
          <w:sz w:val="20"/>
        </w:rPr>
        <w:t xml:space="preserve"> means an increase in the amount of payment made by the Debtor to a Party to the Financing under Article 12.1 (</w:t>
      </w:r>
      <w:r>
        <w:rPr>
          <w:rFonts w:ascii="Times New Roman" w:hAnsi="Times New Roman"/>
          <w:i/>
          <w:sz w:val="20"/>
        </w:rPr>
        <w:t>Reimbursement of Tax Deduction Costs</w:t>
      </w:r>
      <w:r>
        <w:rPr>
          <w:rFonts w:ascii="Times New Roman" w:hAnsi="Times New Roman"/>
          <w:sz w:val="20"/>
        </w:rPr>
        <w:t>), or making a payment by the Debtor to a Party to the Financing under 12.2 (</w:t>
      </w:r>
      <w:r>
        <w:rPr>
          <w:rFonts w:ascii="Times New Roman" w:hAnsi="Times New Roman"/>
          <w:i/>
          <w:sz w:val="20"/>
        </w:rPr>
        <w:t>Reimbursement of Tax-Related Costs</w:t>
      </w:r>
      <w:r>
        <w:rPr>
          <w:rFonts w:ascii="Times New Roman" w:hAnsi="Times New Roman"/>
          <w:sz w:val="20"/>
        </w:rPr>
        <w:t xml:space="preserve">). </w:t>
      </w:r>
    </w:p>
    <w:p>
      <w:pPr>
        <w:pStyle w:val="TextBody"/>
        <w:spacing w:before="240" w:after="0"/>
        <w:rPr/>
      </w:pPr>
      <w:r>
        <w:rPr/>
        <w:t>“</w:t>
      </w:r>
      <w:r>
        <w:rPr>
          <w:rFonts w:ascii="Times New Roman" w:hAnsi="Times New Roman"/>
          <w:b/>
          <w:sz w:val="20"/>
        </w:rPr>
        <w:t>Independent Guarantee”</w:t>
      </w:r>
      <w:r>
        <w:rPr>
          <w:rFonts w:ascii="Times New Roman" w:hAnsi="Times New Roman"/>
          <w:sz w:val="20"/>
        </w:rPr>
        <w:t xml:space="preserve"> means each independent guarantee issued by Headhunter, HeadHunter FSU, and Zemenik Trading in favor of the Lenders. </w:t>
      </w:r>
    </w:p>
    <w:p>
      <w:pPr>
        <w:pStyle w:val="TextBody"/>
        <w:spacing w:before="240" w:after="0"/>
        <w:rPr/>
      </w:pPr>
      <w:r>
        <w:rPr/>
        <w:t>“</w:t>
      </w:r>
      <w:r>
        <w:rPr>
          <w:rFonts w:ascii="Times New Roman" w:hAnsi="Times New Roman"/>
          <w:b/>
          <w:sz w:val="20"/>
        </w:rPr>
        <w:t>Default”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the Event of Default;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an event or circumstance specified in Article 21 (</w:t>
            </w:r>
            <w:r>
              <w:rPr>
                <w:i/>
              </w:rPr>
              <w:t>Events of Default</w:t>
            </w:r>
            <w:r>
              <w:rPr/>
              <w:t xml:space="preserve">) which shall hereunder become the Event of Default if (1) any period established by this Agreement for elimination of any violation expires, (2) any notice is sent, or (3) a respective resolution under the Financial Documents is adopted. </w:t>
            </w:r>
          </w:p>
        </w:tc>
      </w:tr>
    </w:tbl>
    <w:p>
      <w:pPr>
        <w:pStyle w:val="TextBody"/>
        <w:spacing w:before="240" w:after="0"/>
        <w:rPr/>
      </w:pPr>
      <w:r>
        <w:rPr/>
        <w:t>“</w:t>
      </w:r>
      <w:r>
        <w:rPr>
          <w:rFonts w:ascii="Times New Roman" w:hAnsi="Times New Roman"/>
          <w:b/>
          <w:sz w:val="20"/>
        </w:rPr>
        <w:t xml:space="preserve">Unused Loan Limit” </w:t>
      </w:r>
      <w:r>
        <w:rPr>
          <w:rFonts w:ascii="Times New Roman" w:hAnsi="Times New Roman"/>
          <w:sz w:val="20"/>
        </w:rPr>
        <w:t xml:space="preserve">means the Loan Limit for each individual Lender minus: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 cash amount already provided to the Borrower by this Lender,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the Amount to be Granted by this Lender. </w:t>
            </w:r>
          </w:p>
        </w:tc>
      </w:tr>
    </w:tbl>
    <w:p>
      <w:pPr>
        <w:pStyle w:val="TextBody"/>
        <w:spacing w:before="240" w:after="0"/>
        <w:rPr/>
      </w:pPr>
      <w:r>
        <w:rPr/>
        <w:t>“</w:t>
      </w:r>
      <w:r>
        <w:rPr>
          <w:rFonts w:ascii="Times New Roman" w:hAnsi="Times New Roman"/>
          <w:b/>
          <w:sz w:val="20"/>
        </w:rPr>
        <w:t xml:space="preserve">Outstanding Loan” </w:t>
      </w:r>
      <w:r>
        <w:rPr>
          <w:rFonts w:ascii="Times New Roman" w:hAnsi="Times New Roman"/>
          <w:sz w:val="20"/>
        </w:rPr>
        <w:t xml:space="preserve">means, at any time, cash provided to the Borrower as a loan under this Agreement and not returned to the Lenders. </w:t>
      </w:r>
    </w:p>
    <w:p>
      <w:pPr>
        <w:pStyle w:val="TextBody"/>
        <w:spacing w:before="240" w:after="0"/>
        <w:rPr/>
      </w:pPr>
      <w:r>
        <w:rPr/>
        <w:t>“</w:t>
      </w:r>
      <w:r>
        <w:rPr>
          <w:rFonts w:ascii="Times New Roman" w:hAnsi="Times New Roman"/>
          <w:b/>
          <w:sz w:val="20"/>
        </w:rPr>
        <w:t xml:space="preserve">Encumbrance” </w:t>
      </w:r>
      <w:r>
        <w:rPr>
          <w:rFonts w:ascii="Times New Roman" w:hAnsi="Times New Roman"/>
          <w:sz w:val="20"/>
        </w:rPr>
        <w:t xml:space="preserve">means a mortgage, pledge, lien, pawn, assignment, the right to debit funds from an account with the acceptance of a payer given in advance or a similar write-off right or another encumbrance created to ensure performance of any person’s obligations or any other agreement concluded to ensure the performance of obligations. </w:t>
      </w:r>
    </w:p>
    <w:p>
      <w:pPr>
        <w:pStyle w:val="TextBody"/>
        <w:spacing w:before="240" w:after="0"/>
        <w:rPr/>
      </w:pPr>
      <w:r>
        <w:rPr/>
        <w:t>“</w:t>
      </w:r>
      <w:r>
        <w:rPr>
          <w:rFonts w:ascii="Times New Roman" w:hAnsi="Times New Roman"/>
          <w:b/>
          <w:sz w:val="20"/>
        </w:rPr>
        <w:t xml:space="preserve">Original Financial Statements”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the audited financial statements of Zemenik Trading for the year 2015;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the annual statements of Headhunter for the year 2015 prepared under RAS;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the management statements of HeadHunter FSU as of December 31, 2015, prepared under the accounting policy of the Group for management accounting. </w:t>
            </w:r>
          </w:p>
        </w:tc>
      </w:tr>
    </w:tbl>
    <w:p>
      <w:pPr>
        <w:pStyle w:val="TextBody"/>
        <w:spacing w:before="240" w:after="0"/>
        <w:rPr/>
      </w:pPr>
      <w:r>
        <w:rPr/>
        <w:t>“</w:t>
      </w:r>
      <w:r>
        <w:rPr>
          <w:rFonts w:ascii="Times New Roman" w:hAnsi="Times New Roman"/>
          <w:b/>
          <w:sz w:val="20"/>
        </w:rPr>
        <w:t>Loan Disbursement Period”</w:t>
      </w:r>
      <w:r>
        <w:rPr>
          <w:rFonts w:ascii="Times New Roman" w:hAnsi="Times New Roman"/>
          <w:sz w:val="20"/>
        </w:rPr>
        <w:t xml:space="preserve"> means the Disbursement Period of Tranche A, the Disbursement Period of Tranche B, or the Disbursement Period of Tranche C and Tranche D. </w:t>
      </w:r>
    </w:p>
    <w:p>
      <w:pPr>
        <w:pStyle w:val="TextBody"/>
        <w:spacing w:before="240" w:after="0"/>
        <w:rPr/>
      </w:pPr>
      <w:r>
        <w:rPr/>
        <w:t>“</w:t>
      </w:r>
      <w:r>
        <w:rPr>
          <w:rFonts w:ascii="Times New Roman" w:hAnsi="Times New Roman"/>
          <w:b/>
          <w:sz w:val="20"/>
        </w:rPr>
        <w:t>Disbursement Period of Tranche A”</w:t>
      </w:r>
      <w:r>
        <w:rPr>
          <w:rFonts w:ascii="Times New Roman" w:hAnsi="Times New Roman"/>
          <w:sz w:val="20"/>
        </w:rPr>
        <w:t xml:space="preserve"> means a period from the date of this Agreement (inclusive) to the date (inclusive) occurring 45 (forty-five) days from the date of this Agreement. </w:t>
      </w:r>
    </w:p>
    <w:p>
      <w:pPr>
        <w:pStyle w:val="TextBody"/>
        <w:spacing w:before="240" w:after="0"/>
        <w:rPr/>
      </w:pPr>
      <w:r>
        <w:rPr/>
        <w:t>“</w:t>
      </w:r>
      <w:r>
        <w:rPr>
          <w:rFonts w:ascii="Times New Roman" w:hAnsi="Times New Roman"/>
          <w:b/>
          <w:sz w:val="20"/>
        </w:rPr>
        <w:t>Disbursement Period of Tranche B”</w:t>
      </w:r>
      <w:r>
        <w:rPr>
          <w:rFonts w:ascii="Times New Roman" w:hAnsi="Times New Roman"/>
          <w:sz w:val="20"/>
        </w:rPr>
        <w:t xml:space="preserve"> means a period from the date of this Agreement (inclusive) to the date (inclusive) occurring 730 (seven hundred and thirty) days from the date of this Agreement. </w:t>
      </w:r>
    </w:p>
    <w:p>
      <w:pPr>
        <w:pStyle w:val="TextBody"/>
        <w:spacing w:before="240" w:after="0"/>
        <w:rPr/>
      </w:pPr>
      <w:r>
        <w:rPr/>
        <w:t>“</w:t>
      </w:r>
      <w:r>
        <w:rPr>
          <w:rFonts w:ascii="Times New Roman" w:hAnsi="Times New Roman"/>
          <w:b/>
          <w:sz w:val="20"/>
        </w:rPr>
        <w:t xml:space="preserve">Disbursement Period of Tranche C and Tranche D” </w:t>
      </w:r>
      <w:r>
        <w:rPr>
          <w:rFonts w:ascii="Times New Roman" w:hAnsi="Times New Roman"/>
          <w:sz w:val="20"/>
        </w:rPr>
        <w:t xml:space="preserve">means a period from the date of Amendment Agreement No.3 (inclusive) to the date (inclusive) occurring 180 (one hundred and eighty) days from the date of Amendment Agreement No.3. </w:t>
      </w:r>
    </w:p>
    <w:p>
      <w:pPr>
        <w:pStyle w:val="TextBody"/>
        <w:spacing w:before="240" w:after="0"/>
        <w:rPr/>
      </w:pPr>
      <w:r>
        <w:rPr/>
        <w:t>“</w:t>
      </w:r>
      <w:r>
        <w:rPr>
          <w:rFonts w:ascii="Times New Roman" w:hAnsi="Times New Roman"/>
          <w:b/>
          <w:sz w:val="20"/>
        </w:rPr>
        <w:t>Incentive Plan Based on the Group’s Equity Instruments”</w:t>
      </w:r>
      <w:r>
        <w:rPr>
          <w:rFonts w:ascii="Times New Roman" w:hAnsi="Times New Roman"/>
          <w:sz w:val="20"/>
        </w:rPr>
        <w:t xml:space="preserve"> means an agreement providing for the receipt of the following by employees (or former employees) of the Group and (or) owners of shares and (or) participatory interests of any member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consideration by provision of the Group’s Equity Instruments;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consideration by cash payments or provision of other assets, provided that an amount of this consideration is determined on the basis of and (or) depends on the value of the Group’s Equity Instruments. </w:t>
            </w:r>
          </w:p>
        </w:tc>
      </w:tr>
    </w:tbl>
    <w:p>
      <w:pPr>
        <w:pStyle w:val="TextBody"/>
        <w:spacing w:before="240" w:after="0"/>
        <w:rPr/>
      </w:pPr>
      <w:r>
        <w:rPr/>
        <w:t>“</w:t>
      </w:r>
      <w:r>
        <w:rPr>
          <w:rFonts w:ascii="Times New Roman" w:hAnsi="Times New Roman"/>
          <w:b/>
          <w:sz w:val="20"/>
        </w:rPr>
        <w:t xml:space="preserve">Sanctioned Person” </w:t>
      </w:r>
      <w:r>
        <w:rPr>
          <w:rFonts w:ascii="Times New Roman" w:hAnsi="Times New Roman"/>
          <w:sz w:val="20"/>
        </w:rPr>
        <w:t>has the meaning specified in Article 22.2 (</w:t>
      </w:r>
      <w:r>
        <w:rPr>
          <w:rFonts w:ascii="Times New Roman" w:hAnsi="Times New Roman"/>
          <w:i/>
          <w:sz w:val="20"/>
        </w:rPr>
        <w:t>Assignment of Rights and Transfer of Obligations by the Lenders</w:t>
      </w:r>
      <w:r>
        <w:rPr>
          <w:rFonts w:ascii="Times New Roman" w:hAnsi="Times New Roman"/>
          <w:sz w:val="20"/>
        </w:rPr>
        <w:t xml:space="preserve">). </w:t>
      </w:r>
    </w:p>
    <w:p>
      <w:pPr>
        <w:pStyle w:val="TextBody"/>
        <w:spacing w:before="240" w:after="0"/>
        <w:rPr/>
      </w:pPr>
      <w:r>
        <w:rPr/>
        <w:t>“</w:t>
      </w:r>
      <w:r>
        <w:rPr>
          <w:rFonts w:ascii="Times New Roman" w:hAnsi="Times New Roman"/>
          <w:b/>
          <w:sz w:val="20"/>
        </w:rPr>
        <w:t>Debt Ratio”</w:t>
      </w:r>
      <w:r>
        <w:rPr>
          <w:rFonts w:ascii="Times New Roman" w:hAnsi="Times New Roman"/>
          <w:sz w:val="20"/>
        </w:rPr>
        <w:t xml:space="preserve"> has the meaning specified in Article 18.2 (</w:t>
      </w:r>
      <w:r>
        <w:rPr>
          <w:rFonts w:ascii="Times New Roman" w:hAnsi="Times New Roman"/>
          <w:i/>
          <w:sz w:val="20"/>
        </w:rPr>
        <w:t>Debt Ratio</w:t>
      </w:r>
      <w:r>
        <w:rPr>
          <w:rFonts w:ascii="Times New Roman" w:hAnsi="Times New Roman"/>
          <w:sz w:val="20"/>
        </w:rPr>
        <w:t xml:space="preserve">). </w:t>
      </w:r>
    </w:p>
    <w:p>
      <w:pPr>
        <w:pStyle w:val="TextBody"/>
        <w:spacing w:before="240" w:after="0"/>
        <w:rPr/>
      </w:pPr>
      <w:r>
        <w:rPr/>
        <w:t>“</w:t>
      </w:r>
      <w:r>
        <w:rPr>
          <w:rFonts w:ascii="Times New Roman" w:hAnsi="Times New Roman"/>
          <w:b/>
          <w:sz w:val="20"/>
        </w:rPr>
        <w:t>Percentage Covering”</w:t>
      </w:r>
      <w:r>
        <w:rPr>
          <w:rFonts w:ascii="Times New Roman" w:hAnsi="Times New Roman"/>
          <w:sz w:val="20"/>
        </w:rPr>
        <w:t xml:space="preserve"> has the meaning specified in Article 18.3 (</w:t>
      </w:r>
      <w:r>
        <w:rPr>
          <w:rFonts w:ascii="Times New Roman" w:hAnsi="Times New Roman"/>
          <w:i/>
          <w:sz w:val="20"/>
        </w:rPr>
        <w:t>Percentage Covering</w:t>
      </w:r>
      <w:r>
        <w:rPr>
          <w:rFonts w:ascii="Times New Roman" w:hAnsi="Times New Roman"/>
          <w:sz w:val="20"/>
        </w:rPr>
        <w:t xml:space="preserve">). </w:t>
      </w:r>
    </w:p>
    <w:p>
      <w:pPr>
        <w:pStyle w:val="TextBody"/>
        <w:spacing w:before="240" w:after="0"/>
        <w:rPr/>
      </w:pPr>
      <w:r>
        <w:rPr/>
        <w:t>“</w:t>
      </w:r>
      <w:r>
        <w:rPr>
          <w:rFonts w:ascii="Times New Roman" w:hAnsi="Times New Roman"/>
          <w:b/>
          <w:sz w:val="20"/>
        </w:rPr>
        <w:t>EBITDA”</w:t>
      </w:r>
      <w:r>
        <w:rPr>
          <w:rFonts w:ascii="Times New Roman" w:hAnsi="Times New Roman"/>
          <w:sz w:val="20"/>
        </w:rPr>
        <w:t xml:space="preserve"> means the EBITDA of any member of the Group that is determined as of the last reporting date: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as of the end of a fiscal year or a fiscal half a year, in accordance with such Group’s financial statements for the relevant fiscal year or fiscal half a year (respectively) as prepared in accordance with IFRS and provided to the Credit Agent under Clause (a) or (b) of Article 17.1 (</w:t>
            </w:r>
            <w:r>
              <w:rPr>
                <w:i/>
              </w:rPr>
              <w:t>Financial Statements</w:t>
            </w:r>
            <w:r>
              <w:rPr/>
              <w:t xml:space="preser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as of the end of the first or third financial quarter, based on such respective management statements of the Group as provided to the Credit Agent under Clause (c) of Article 17.1 (</w:t>
            </w:r>
            <w:r>
              <w:rPr>
                <w:i/>
              </w:rPr>
              <w:t>Financial Statements</w:t>
            </w:r>
            <w:r>
              <w:rPr/>
              <w:t xml:space="preserve">). </w:t>
            </w:r>
          </w:p>
        </w:tc>
      </w:tr>
    </w:tbl>
    <w:p>
      <w:pPr>
        <w:pStyle w:val="TextBody"/>
        <w:spacing w:before="240" w:after="0"/>
        <w:rPr/>
      </w:pPr>
      <w:r>
        <w:rPr/>
        <w:t>“</w:t>
      </w:r>
      <w:r>
        <w:rPr>
          <w:rFonts w:ascii="Times New Roman" w:hAnsi="Times New Roman"/>
          <w:b/>
          <w:sz w:val="20"/>
        </w:rPr>
        <w:t>Acceptable Lender”</w:t>
      </w:r>
      <w:r>
        <w:rPr>
          <w:rFonts w:ascii="Times New Roman" w:hAnsi="Times New Roman"/>
          <w:sz w:val="20"/>
        </w:rPr>
        <w:t xml:space="preserve"> means the Lender that is: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a Russian legal entity,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a resident of the Contracting State to the Double Taxation Agreement, provided that the status of such Lender shall, at the request of the Debtor, be proved by a copy of a document issued by a competent tax authority of the Contracting State to the Double Taxation Agreement and certifying that the Lender is a taxable resident of this Contracting State to the Double Taxation Agreement; such copy shall be translated into Russian.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Applicable Reporting Standards” </w:t>
      </w:r>
      <w:r>
        <w:rPr>
          <w:rFonts w:ascii="Times New Roman" w:hAnsi="Times New Roman"/>
          <w:sz w:val="20"/>
        </w:rPr>
        <w:t xml:space="preserve">means financial reporting standards applicable to any Debtor. </w:t>
      </w:r>
    </w:p>
    <w:p>
      <w:pPr>
        <w:pStyle w:val="TextBody"/>
        <w:spacing w:before="240" w:after="0"/>
        <w:rPr/>
      </w:pPr>
      <w:r>
        <w:rPr/>
        <w:t>“</w:t>
      </w:r>
      <w:r>
        <w:rPr>
          <w:rFonts w:ascii="Times New Roman" w:hAnsi="Times New Roman"/>
          <w:b/>
          <w:sz w:val="20"/>
        </w:rPr>
        <w:t>Seller”</w:t>
      </w:r>
      <w:r>
        <w:rPr>
          <w:rFonts w:ascii="Times New Roman" w:hAnsi="Times New Roman"/>
          <w:sz w:val="20"/>
        </w:rPr>
        <w:t xml:space="preserve"> means Mail.ru Group LTD, a limited liability company incorporated under the laws of the British Virgin Islands, registration number 655058, located at: 28 Oktovriou, 232, Oceanic Building, office 501, 3035 Limassol, Cyprus </w:t>
      </w:r>
    </w:p>
    <w:p>
      <w:pPr>
        <w:pStyle w:val="TextBody"/>
        <w:spacing w:before="240" w:after="0"/>
        <w:rPr/>
      </w:pPr>
      <w:r>
        <w:rPr/>
        <w:t>“</w:t>
      </w:r>
      <w:r>
        <w:rPr>
          <w:rFonts w:ascii="Times New Roman" w:hAnsi="Times New Roman"/>
          <w:b/>
          <w:sz w:val="20"/>
        </w:rPr>
        <w:t xml:space="preserve">Proportional Share”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for the purposes of determination of the extent of the Lender’s participation in granting of the Loan against any Disbursement Request, the ratio between the Unused Loan Limit of such Lender and the Aggregate Unused Loan Limit.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for any other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2"/>
        <w:gridCol w:w="8477"/>
      </w:tblGrid>
      <w:tr>
        <w:trPr/>
        <w:tc>
          <w:tcPr>
            <w:tcW w:w="815" w:type="dxa"/>
            <w:tcBorders/>
            <w:shd w:fill="auto" w:val="clear"/>
            <w:vAlign w:val="center"/>
          </w:tcPr>
          <w:p>
            <w:pPr>
              <w:pStyle w:val="TableContents"/>
              <w:spacing w:before="0" w:after="283"/>
              <w:rPr/>
            </w:pPr>
            <w:r>
              <w:rPr/>
              <w:t> </w:t>
            </w:r>
          </w:p>
        </w:tc>
        <w:tc>
          <w:tcPr>
            <w:tcW w:w="912" w:type="dxa"/>
            <w:tcBorders/>
            <w:shd w:fill="auto" w:val="clear"/>
          </w:tcPr>
          <w:p>
            <w:pPr>
              <w:pStyle w:val="TableContents"/>
              <w:spacing w:before="0" w:after="283"/>
              <w:jc w:val="left"/>
              <w:rPr/>
            </w:pPr>
            <w:r>
              <w:rPr/>
              <w:t>(i)</w:t>
            </w:r>
          </w:p>
        </w:tc>
        <w:tc>
          <w:tcPr>
            <w:tcW w:w="8477" w:type="dxa"/>
            <w:tcBorders/>
            <w:shd w:fill="auto" w:val="clear"/>
          </w:tcPr>
          <w:p>
            <w:pPr>
              <w:pStyle w:val="TableContents"/>
              <w:spacing w:before="0" w:after="283"/>
              <w:jc w:val="left"/>
              <w:rPr/>
            </w:pPr>
            <w:r>
              <w:rPr/>
              <w:t xml:space="preserve">in the absence of the Outstanding Loan, the ratio between the Loan Limit of a separate Lender and the Aggregate Loan Limit,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8473" w:type="dxa"/>
            <w:tcBorders/>
            <w:shd w:fill="auto" w:val="clear"/>
          </w:tcPr>
          <w:p>
            <w:pPr>
              <w:pStyle w:val="TableContents"/>
              <w:spacing w:before="0" w:after="283"/>
              <w:jc w:val="left"/>
              <w:rPr/>
            </w:pPr>
            <w:r>
              <w:rPr/>
              <w:t xml:space="preserve">in case of the Outstanding Loan, the ratio between the Outstanding Loan granted to the Borrower by a separate Lender, together with the Amount to be Granted by this Lender, and the Outstanding Loan granted to the Borrower by all Lenders, together with the Amount to be Granted by all Lenders. </w:t>
            </w:r>
          </w:p>
        </w:tc>
      </w:tr>
    </w:tbl>
    <w:p>
      <w:pPr>
        <w:pStyle w:val="TextBody"/>
        <w:spacing w:before="240" w:after="0"/>
        <w:rPr/>
      </w:pPr>
      <w:r>
        <w:rPr/>
        <w:t>“</w:t>
      </w:r>
      <w:r>
        <w:rPr>
          <w:rFonts w:ascii="Times New Roman" w:hAnsi="Times New Roman"/>
          <w:b/>
          <w:sz w:val="20"/>
        </w:rPr>
        <w:t xml:space="preserve">Interest Period” </w:t>
      </w:r>
      <w:r>
        <w:rPr>
          <w:rFonts w:ascii="Times New Roman" w:hAnsi="Times New Roman"/>
          <w:sz w:val="20"/>
        </w:rPr>
        <w:t>means, in respect of the Outstanding Loan, each period during which interest is accrued under Article 10 (</w:t>
      </w:r>
      <w:r>
        <w:rPr>
          <w:rFonts w:ascii="Times New Roman" w:hAnsi="Times New Roman"/>
          <w:i/>
          <w:sz w:val="20"/>
        </w:rPr>
        <w:t>Interest Periods</w:t>
      </w:r>
      <w:r>
        <w:rPr>
          <w:rFonts w:ascii="Times New Roman" w:hAnsi="Times New Roman"/>
          <w:sz w:val="20"/>
        </w:rPr>
        <w:t>) and, in respect of any overdue amount, each period determined under Article 9.4 (</w:t>
      </w:r>
      <w:r>
        <w:rPr>
          <w:rFonts w:ascii="Times New Roman" w:hAnsi="Times New Roman"/>
          <w:i/>
          <w:sz w:val="20"/>
        </w:rPr>
        <w:t>Penalty</w:t>
      </w:r>
      <w:r>
        <w:rPr>
          <w:rFonts w:ascii="Times New Roman" w:hAnsi="Times New Roman"/>
          <w:sz w:val="20"/>
        </w:rPr>
        <w:t xml:space="preserve">). </w:t>
      </w:r>
    </w:p>
    <w:p>
      <w:pPr>
        <w:pStyle w:val="TextBody"/>
        <w:spacing w:before="240" w:after="0"/>
        <w:rPr/>
      </w:pPr>
      <w:r>
        <w:rPr/>
        <w:t>“</w:t>
      </w:r>
      <w:r>
        <w:rPr>
          <w:rFonts w:ascii="Times New Roman" w:hAnsi="Times New Roman"/>
          <w:b/>
          <w:sz w:val="20"/>
        </w:rPr>
        <w:t>Business Day”</w:t>
      </w:r>
      <w:r>
        <w:rPr>
          <w:rFonts w:ascii="Times New Roman" w:hAnsi="Times New Roman"/>
          <w:sz w:val="20"/>
        </w:rPr>
        <w:t xml:space="preserve"> means any day on which banks are open to conduct ordinary banking operations in Moscow and Nicosia; except for Clause 4.2 (b) of Article 4.2 (</w:t>
      </w:r>
      <w:r>
        <w:rPr>
          <w:rFonts w:ascii="Times New Roman" w:hAnsi="Times New Roman"/>
          <w:i/>
          <w:sz w:val="20"/>
        </w:rPr>
        <w:t>Submission of Disbursement Requests)</w:t>
      </w:r>
      <w:r>
        <w:rPr>
          <w:rFonts w:ascii="Times New Roman" w:hAnsi="Times New Roman"/>
          <w:sz w:val="20"/>
        </w:rPr>
        <w:t xml:space="preserve"> and Clause 8.3 (a) of Article 8.3 (</w:t>
      </w:r>
      <w:r>
        <w:rPr>
          <w:rFonts w:ascii="Times New Roman" w:hAnsi="Times New Roman"/>
          <w:i/>
          <w:sz w:val="20"/>
        </w:rPr>
        <w:t>Voluntary Early Repayment of the Outstanding Loan</w:t>
      </w:r>
      <w:r>
        <w:rPr>
          <w:rFonts w:ascii="Times New Roman" w:hAnsi="Times New Roman"/>
          <w:sz w:val="20"/>
        </w:rPr>
        <w:t xml:space="preserve">), for which the </w:t>
      </w:r>
      <w:r>
        <w:rPr>
          <w:rFonts w:ascii="Times New Roman" w:hAnsi="Times New Roman"/>
          <w:b/>
          <w:sz w:val="20"/>
        </w:rPr>
        <w:t>Business Day</w:t>
      </w:r>
      <w:r>
        <w:rPr>
          <w:rFonts w:ascii="Times New Roman" w:hAnsi="Times New Roman"/>
          <w:sz w:val="20"/>
        </w:rPr>
        <w:t xml:space="preserve"> will be any day on which banks are open for ordinary banking operations in Moscow. </w:t>
      </w:r>
    </w:p>
    <w:p>
      <w:pPr>
        <w:pStyle w:val="TextBody"/>
        <w:spacing w:before="240" w:after="0"/>
        <w:rPr/>
      </w:pPr>
      <w:r>
        <w:rPr/>
        <w:t>“</w:t>
      </w:r>
      <w:r>
        <w:rPr>
          <w:rFonts w:ascii="Times New Roman" w:hAnsi="Times New Roman"/>
          <w:b/>
          <w:sz w:val="20"/>
        </w:rPr>
        <w:t>Permitted Reorganization”</w:t>
      </w:r>
      <w:r>
        <w:rPr>
          <w:rFonts w:ascii="Times New Roman" w:hAnsi="Times New Roman"/>
          <w:sz w:val="20"/>
        </w:rPr>
        <w:t xml:space="preserve"> means a full or partial transfer of business, including contracts, assets and clients, from Headhunter to the Borrower, as well as a transfer of ownership to participatory interests in Headhunter from Headhunter FSU to the Borrower in any legal procedure not contradicting to the applicable laws, 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such actions result in no risk of termination or contestation of the Security Agreements;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transfer of title to such participatory interests and shares, respectively, takes place taking into account the existing pledge in favor of the Lenders;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all agreements and other documents necessary for transfer of title to such participatory interests in Headhunter from Headhunter FSU to the Borrower are agreed with the Credit Agent in advance;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composition of the Borrower’s members does not change;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any documents and information related to these actions are provided within 5 (five) Business Days after the receipt of a reasonable request of the Credit Agent.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Permitted Financial Indebtedness”</w:t>
      </w:r>
      <w:r>
        <w:rPr>
          <w:rFonts w:ascii="Times New Roman" w:hAnsi="Times New Roman"/>
          <w:sz w:val="20"/>
        </w:rPr>
        <w:t xml:space="preserve"> means the Financial Indebtedness: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arising under the terms and conditions of the Financial Documents or authorized by the Financial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of a member of the Group that exists on the date of this Agreement, as specified in Appendix 7 (</w:t>
            </w:r>
            <w:r>
              <w:rPr>
                <w:i/>
              </w:rPr>
              <w:t>Existing Financial Indebtedness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of members of the Group,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of Zemenik Trading to its shareholders,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of Zemenik Trading within the loans from Highworld and ELQ Investors granted on April 27, 2016, in an amount not exceeding in aggregate RUB 4,000,000,000 (four billion Rubles) for the purposes of payment of a purchase price by Zemenik Trading to the Seller for 100 (one hundred) percent of shares in the authorized capital of Headhunter FSU under Sale and Purchase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of the Borrower to any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(g)</w:t>
            </w:r>
          </w:p>
        </w:tc>
        <w:tc>
          <w:tcPr>
            <w:tcW w:w="9390" w:type="dxa"/>
            <w:tcBorders/>
            <w:shd w:fill="auto" w:val="clear"/>
          </w:tcPr>
          <w:p>
            <w:pPr>
              <w:pStyle w:val="TableContents"/>
              <w:spacing w:before="0" w:after="283"/>
              <w:jc w:val="left"/>
              <w:rPr/>
            </w:pPr>
            <w:r>
              <w:rPr/>
              <w:t xml:space="preserve">of the Guarantor to another Guarantor or the Borrower;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of Group’s members to third parties for loans and borrowings in a total amount not exceeding 10 (ten) percent of the Consolidated EBITDA. </w:t>
            </w:r>
          </w:p>
        </w:tc>
      </w:tr>
    </w:tbl>
    <w:p>
      <w:pPr>
        <w:pStyle w:val="TextBody"/>
        <w:spacing w:before="240" w:after="0"/>
        <w:rPr/>
      </w:pPr>
      <w:r>
        <w:rPr/>
        <w:t>“</w:t>
      </w:r>
      <w:r>
        <w:rPr>
          <w:rFonts w:ascii="Times New Roman" w:hAnsi="Times New Roman"/>
          <w:b/>
          <w:sz w:val="20"/>
        </w:rPr>
        <w:t>Permitted Disbursements”</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any payments made by a member of the Group to the Borrower or the Guarantor;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any payments made by any Debtor to another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payment of an allocated profit by any member of the Group to Zemenik Trading’s shareholders (inter alia, as the Permitted Redemption), subject to the requirements of Article 19.12 (</w:t>
            </w:r>
            <w:r>
              <w:rPr>
                <w:i/>
              </w:rPr>
              <w:t>Payment of Dividends and Redemption of Shares / Participatory Interests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payment to another member of the Group or Zemenik Trading’s shareholders, of funds received by any member of the Group from sale of shares / participatory interests in another member of the Group that is not the Debtor, provided that after such payment the Debt Ratio does not change (subject to the provisions of Clause (e) of Article 19.3 (</w:t>
            </w:r>
            <w:r>
              <w:rPr>
                <w:i/>
              </w:rPr>
              <w:t>Asset Disposal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payment of funds by a member of the Group to another member of the Group in an amount not exceeding RUB 300,000,000 within three months from the Disbursement Date of Tranche A, as well as a subsequent payment of such funds by Zemenik Trading to Zemenik Trading’s shareholders;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making payments by Zemenik Trading to the Seller under Sale and Purchase Agreement 1 in an amount not exceeding RUB 5,000,000,000 (five billion Rubles) within three months from the date hereof;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(g)</w:t>
            </w:r>
          </w:p>
        </w:tc>
        <w:tc>
          <w:tcPr>
            <w:tcW w:w="9388" w:type="dxa"/>
            <w:tcBorders/>
            <w:shd w:fill="auto" w:val="clear"/>
          </w:tcPr>
          <w:p>
            <w:pPr>
              <w:pStyle w:val="TableContents"/>
              <w:spacing w:before="0" w:after="283"/>
              <w:jc w:val="left"/>
              <w:rPr/>
            </w:pPr>
            <w:r>
              <w:rPr/>
              <w:t xml:space="preserve">making the following payments by Zemenik Trading within 5 (five) Business Days after the Disbursement Date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3"/>
        <w:gridCol w:w="8476"/>
      </w:tblGrid>
      <w:tr>
        <w:trPr/>
        <w:tc>
          <w:tcPr>
            <w:tcW w:w="81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to Highworld for repayment of the Highworld’s Dollar Loan;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2"/>
        <w:gridCol w:w="917"/>
        <w:gridCol w:w="8475"/>
      </w:tblGrid>
      <w:tr>
        <w:trPr/>
        <w:tc>
          <w:tcPr>
            <w:tcW w:w="81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8475" w:type="dxa"/>
            <w:tcBorders/>
            <w:shd w:fill="auto" w:val="clear"/>
          </w:tcPr>
          <w:p>
            <w:pPr>
              <w:pStyle w:val="TableContents"/>
              <w:spacing w:before="0" w:after="283"/>
              <w:jc w:val="left"/>
              <w:rPr/>
            </w:pPr>
            <w:r>
              <w:rPr/>
              <w:t xml:space="preserve">payment to Highworld for repayment of the Highworld’s loan granted on April 27, 2016, the funds of which were sent to Zemenik Trading (or according to instructions of and on behalf of Zemenik Trading) for payment to the Seller of a part of the purchase price for 100 (one hundred) percent shares in the authorized capital of Headhunter FSU under Sale and Purchase Agreement 1;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8473" w:type="dxa"/>
            <w:tcBorders/>
            <w:shd w:fill="auto" w:val="clear"/>
          </w:tcPr>
          <w:p>
            <w:pPr>
              <w:pStyle w:val="TableContents"/>
              <w:spacing w:before="0" w:after="283"/>
              <w:jc w:val="left"/>
              <w:rPr/>
            </w:pPr>
            <w:r>
              <w:rPr/>
              <w:t xml:space="preserve">payment to ELQ Investors for repayment of the ELQ Investors’ loan granted on April 27, 2016, the funds of which were sent to Zemenik Trading (or according to instructions of and on behalf of Zemenik Trading) for payment to the Seller of a part of the purchase price for 100 (one hundred) percent shares in the authorized capital of Headhunter FSU under Sale and Purchase Agreement 1.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(h)</w:t>
            </w:r>
          </w:p>
        </w:tc>
        <w:tc>
          <w:tcPr>
            <w:tcW w:w="9388" w:type="dxa"/>
            <w:tcBorders/>
            <w:shd w:fill="auto" w:val="clear"/>
          </w:tcPr>
          <w:p>
            <w:pPr>
              <w:pStyle w:val="TableContents"/>
              <w:spacing w:before="0" w:after="283"/>
              <w:jc w:val="left"/>
              <w:rPr/>
            </w:pPr>
            <w:r>
              <w:rPr/>
              <w:t xml:space="preserve">making the following payments within 5 (five) Business Days after the Disbursement Date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 amount (not exceeding the amount of Tranche B) by the Borrower to Zemenik Trading under Sale and Purchase Agreement 2;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5"/>
        <w:gridCol w:w="8477"/>
      </w:tblGrid>
      <w:tr>
        <w:trPr/>
        <w:tc>
          <w:tcPr>
            <w:tcW w:w="81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8477" w:type="dxa"/>
            <w:tcBorders/>
            <w:shd w:fill="auto" w:val="clear"/>
          </w:tcPr>
          <w:p>
            <w:pPr>
              <w:pStyle w:val="TableContents"/>
              <w:spacing w:before="0" w:after="283"/>
              <w:jc w:val="left"/>
              <w:rPr/>
            </w:pPr>
            <w:r>
              <w:rPr/>
              <w:t xml:space="preserve">payment of an amount received from the Borrower under Sale and Purchase Agreement 2, to ELQ Investors and Highworld for repayment of loans granted by ELQ Investors and Highworld to Zemenik Trading prior to the date of this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8470" w:type="dxa"/>
            <w:tcBorders/>
            <w:shd w:fill="auto" w:val="clear"/>
          </w:tcPr>
          <w:p>
            <w:pPr>
              <w:pStyle w:val="TableContents"/>
              <w:spacing w:before="0" w:after="283"/>
              <w:jc w:val="left"/>
              <w:rPr/>
            </w:pPr>
            <w:r>
              <w:rPr/>
              <w:t xml:space="preserve">payment of any fees binding by virtue of the applicable laws, to any shareholders not being members of the Group or members of legal entities being members of the Group if such shareholder or member withdraws from the legal entity, </w:t>
            </w:r>
          </w:p>
        </w:tc>
      </w:tr>
    </w:tbl>
    <w:p>
      <w:pPr>
        <w:pStyle w:val="TextBody"/>
        <w:spacing w:before="120" w:after="0"/>
        <w:rPr>
          <w:rFonts w:ascii="Times New Roman" w:hAnsi="Times New Roman"/>
          <w:sz w:val="20"/>
        </w:rPr>
      </w:pPr>
      <w:r>
        <w:rPr>
          <w:rFonts w:ascii="Times New Roman" w:hAnsi="Times New Roman"/>
          <w:sz w:val="20"/>
        </w:rPr>
        <w:t xml:space="preserve">provided that no such payments as specified in Clauses (a)-(i) of this definition result in any negative net assets of a person making such payments. </w:t>
      </w:r>
    </w:p>
    <w:p>
      <w:pPr>
        <w:pStyle w:val="TextBody"/>
        <w:spacing w:before="240" w:after="0"/>
        <w:rPr/>
      </w:pPr>
      <w:r>
        <w:rPr/>
        <w:t>“</w:t>
      </w:r>
      <w:r>
        <w:rPr>
          <w:rFonts w:ascii="Times New Roman" w:hAnsi="Times New Roman"/>
          <w:b/>
          <w:sz w:val="20"/>
        </w:rPr>
        <w:t xml:space="preserve">Permitted Redemption” </w:t>
      </w:r>
      <w:r>
        <w:rPr>
          <w:rFonts w:ascii="Times New Roman" w:hAnsi="Times New Roman"/>
          <w:sz w:val="20"/>
        </w:rPr>
        <w:t xml:space="preserve">means a Group member’s repurchase of its own shares or participatory interests in the authorized capital of such member of the Group, provided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if such participatory interests or shares are a subject-matter of the Pledge Agreement, such participatory interests or shares will continue to be pledged, regardless of the repurchase;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such member of the Group complies with all applicable legal requirements for such redemption, including requirements for the amount of the authorized capital of such member of the Group;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(c)</w:t>
            </w:r>
          </w:p>
        </w:tc>
        <w:tc>
          <w:tcPr>
            <w:tcW w:w="9390" w:type="dxa"/>
            <w:tcBorders/>
            <w:shd w:fill="auto" w:val="clear"/>
          </w:tcPr>
          <w:p>
            <w:pPr>
              <w:pStyle w:val="TableContents"/>
              <w:spacing w:before="0" w:after="283"/>
              <w:jc w:val="left"/>
              <w:rPr/>
            </w:pPr>
            <w:r>
              <w:rPr/>
              <w:t xml:space="preserve">repurchased shares or participatory interests are to be repaid within a period established by the applicable laws. </w:t>
            </w:r>
          </w:p>
        </w:tc>
      </w:tr>
    </w:tbl>
    <w:p>
      <w:pPr>
        <w:pStyle w:val="TextBody"/>
        <w:spacing w:before="240" w:after="0"/>
        <w:rPr/>
      </w:pPr>
      <w:r>
        <w:rPr/>
        <w:t>“</w:t>
      </w:r>
      <w:r>
        <w:rPr>
          <w:rFonts w:ascii="Times New Roman" w:hAnsi="Times New Roman"/>
          <w:b/>
          <w:sz w:val="20"/>
        </w:rPr>
        <w:t>Permitted Loan”</w:t>
      </w:r>
      <w:r>
        <w:rPr>
          <w:rFonts w:ascii="Times New Roman" w:hAnsi="Times New Roman"/>
          <w:sz w:val="20"/>
        </w:rPr>
        <w:t xml:space="preserve"> means any loans: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granted by members of the Group prior to the date of this Agreement and listed in Appendix 11 (</w:t>
            </w:r>
            <w:r>
              <w:rPr>
                <w:i/>
              </w:rPr>
              <w:t>List of Existing Loans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granted by any Debtor to another Debtor;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granted by any member of the Group to the Debtor under loan agreements, for which the procedure and priority of claims are regulated by 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granted by any member of the Group which is not the Debtor, to another member of the Group which is not the Debtor;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(e)</w:t>
            </w:r>
          </w:p>
        </w:tc>
        <w:tc>
          <w:tcPr>
            <w:tcW w:w="9391" w:type="dxa"/>
            <w:tcBorders/>
            <w:shd w:fill="auto" w:val="clear"/>
          </w:tcPr>
          <w:p>
            <w:pPr>
              <w:pStyle w:val="TableContents"/>
              <w:spacing w:before="0" w:after="283"/>
              <w:jc w:val="left"/>
              <w:rPr/>
            </w:pPr>
            <w:r>
              <w:rPr/>
              <w:t xml:space="preserve">granted in aggregate by any member of the Group to third parties in a total principal amount not exceeding 5 (five) percent of the Consolidated EBITDA at any time;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(f)</w:t>
            </w:r>
          </w:p>
        </w:tc>
        <w:tc>
          <w:tcPr>
            <w:tcW w:w="9391" w:type="dxa"/>
            <w:tcBorders/>
            <w:shd w:fill="auto" w:val="clear"/>
          </w:tcPr>
          <w:p>
            <w:pPr>
              <w:pStyle w:val="TableContents"/>
              <w:spacing w:before="0" w:after="283"/>
              <w:jc w:val="left"/>
              <w:rPr/>
            </w:pPr>
            <w:r>
              <w:rPr/>
              <w:t xml:space="preserve">granted by the shareholders of Zemenik Trading on April 27, 2016, in an aggregate amount not exceeding RUB 4,000,000,000 (four billion Rubles), which funds were transferred to Zemenik Trading (or according to instructions of and on behalf of Zemenik Trading) for payment to the Seller of a part of the purchase price for 100 (one hundred) percent of shares in the authorized capital of Headhunter FSU under Sale and Purchase Agreement 1. </w:t>
            </w:r>
          </w:p>
        </w:tc>
      </w:tr>
    </w:tbl>
    <w:p>
      <w:pPr>
        <w:pStyle w:val="TextBody"/>
        <w:spacing w:before="240" w:after="0"/>
        <w:rPr/>
      </w:pPr>
      <w:r>
        <w:rPr/>
        <w:t>“</w:t>
      </w:r>
      <w:r>
        <w:rPr>
          <w:rFonts w:ascii="Times New Roman" w:hAnsi="Times New Roman"/>
          <w:b/>
          <w:sz w:val="20"/>
        </w:rPr>
        <w:t xml:space="preserve">Transaction Costs” </w:t>
      </w:r>
      <w:r>
        <w:rPr>
          <w:rFonts w:ascii="Times New Roman" w:hAnsi="Times New Roman"/>
          <w:sz w:val="20"/>
        </w:rPr>
        <w:t xml:space="preserve">means such amount of expenses for legal advisers and due diligence as incurred in relation to a transaction under Sale and Purchase Agreement 1 in an amount of RUB 45,605,039 (from which RUB 36,281,344 was granted in the first half a year in 2016 and RUB 9,323,695 in the second half a year in 2016). </w:t>
      </w:r>
    </w:p>
    <w:p>
      <w:pPr>
        <w:pStyle w:val="TextBody"/>
        <w:spacing w:before="240" w:after="0"/>
        <w:rPr/>
      </w:pPr>
      <w:r>
        <w:rPr/>
        <w:t>“</w:t>
      </w:r>
      <w:r>
        <w:rPr>
          <w:rFonts w:ascii="Times New Roman" w:hAnsi="Times New Roman"/>
          <w:b/>
          <w:sz w:val="20"/>
        </w:rPr>
        <w:t xml:space="preserve">Settlement Date” </w:t>
      </w:r>
      <w:r>
        <w:rPr>
          <w:rFonts w:ascii="Times New Roman" w:hAnsi="Times New Roman"/>
          <w:sz w:val="20"/>
        </w:rPr>
        <w:t xml:space="preserve">means the end date of the Settlement Period. </w:t>
      </w:r>
    </w:p>
    <w:p>
      <w:pPr>
        <w:pStyle w:val="TextBody"/>
        <w:spacing w:before="240" w:after="0"/>
        <w:rPr/>
      </w:pPr>
      <w:r>
        <w:rPr/>
        <w:t>“</w:t>
      </w:r>
      <w:r>
        <w:rPr>
          <w:rFonts w:ascii="Times New Roman" w:hAnsi="Times New Roman"/>
          <w:b/>
          <w:sz w:val="20"/>
        </w:rPr>
        <w:t>Settlement Period”</w:t>
      </w:r>
      <w:r>
        <w:rPr>
          <w:rFonts w:ascii="Times New Roman" w:hAnsi="Times New Roman"/>
          <w:sz w:val="20"/>
        </w:rPr>
        <w:t xml:space="preserve"> means, for the purposes of calculating the financial indicators set out in Article 18 (</w:t>
      </w:r>
      <w:r>
        <w:rPr>
          <w:rFonts w:ascii="Times New Roman" w:hAnsi="Times New Roman"/>
          <w:i/>
          <w:sz w:val="20"/>
        </w:rPr>
        <w:t>Financial Indicator Compliance Obligation</w:t>
      </w:r>
      <w:r>
        <w:rPr>
          <w:rFonts w:ascii="Times New Roman" w:hAnsi="Times New Roman"/>
          <w:sz w:val="20"/>
        </w:rPr>
        <w:t xml:space="preserve">), any period of 12 (twelve) months ending on the last day of a Group’s fiscal half a year or on the last day of a Group’s fiscal year. </w:t>
      </w:r>
    </w:p>
    <w:p>
      <w:pPr>
        <w:pStyle w:val="TextBody"/>
        <w:spacing w:before="240" w:after="0"/>
        <w:rPr/>
      </w:pPr>
      <w:r>
        <w:rPr/>
        <w:t>“</w:t>
      </w:r>
      <w:r>
        <w:rPr>
          <w:rFonts w:ascii="Times New Roman" w:hAnsi="Times New Roman"/>
          <w:b/>
          <w:sz w:val="20"/>
        </w:rPr>
        <w:t xml:space="preserve">Resolution” </w:t>
      </w:r>
      <w:r>
        <w:rPr>
          <w:rFonts w:ascii="Times New Roman" w:hAnsi="Times New Roman"/>
          <w:sz w:val="20"/>
        </w:rPr>
        <w:t>has the meaning given to this term in Article 23.1 (</w:t>
      </w:r>
      <w:r>
        <w:rPr>
          <w:rFonts w:ascii="Times New Roman" w:hAnsi="Times New Roman"/>
          <w:i/>
          <w:sz w:val="20"/>
        </w:rPr>
        <w:t>Resolutions of the Majority of the Lenders</w:t>
      </w:r>
      <w:r>
        <w:rPr>
          <w:rFonts w:ascii="Times New Roman" w:hAnsi="Times New Roman"/>
          <w:sz w:val="20"/>
        </w:rPr>
        <w:t xml:space="preserve">). </w:t>
      </w:r>
    </w:p>
    <w:p>
      <w:pPr>
        <w:pStyle w:val="TextBody"/>
        <w:spacing w:before="240" w:after="0"/>
        <w:rPr/>
      </w:pPr>
      <w:r>
        <w:rPr/>
        <w:t>“</w:t>
      </w:r>
      <w:r>
        <w:rPr>
          <w:rFonts w:ascii="Times New Roman" w:hAnsi="Times New Roman"/>
          <w:b/>
          <w:sz w:val="20"/>
        </w:rPr>
        <w:t>RAS”</w:t>
      </w:r>
      <w:r>
        <w:rPr>
          <w:rFonts w:ascii="Times New Roman" w:hAnsi="Times New Roman"/>
          <w:sz w:val="20"/>
        </w:rPr>
        <w:t xml:space="preserve"> means accounting rules in accordance with the Russian laws. </w:t>
      </w:r>
    </w:p>
    <w:p>
      <w:pPr>
        <w:pStyle w:val="TextBody"/>
        <w:spacing w:before="240" w:after="0"/>
        <w:rPr/>
      </w:pPr>
      <w:r>
        <w:rPr/>
        <w:t>“</w:t>
      </w:r>
      <w:r>
        <w:rPr>
          <w:rFonts w:ascii="Times New Roman" w:hAnsi="Times New Roman"/>
          <w:b/>
          <w:sz w:val="20"/>
        </w:rPr>
        <w:t>Ruble”, “RUB”</w:t>
      </w:r>
      <w:r>
        <w:rPr>
          <w:rFonts w:ascii="Times New Roman" w:hAnsi="Times New Roman"/>
          <w:sz w:val="20"/>
        </w:rPr>
        <w:t xml:space="preserve"> means a legal tender of the Russian Federation. </w:t>
      </w:r>
    </w:p>
    <w:p>
      <w:pPr>
        <w:pStyle w:val="TextBody"/>
        <w:spacing w:before="240" w:after="0"/>
        <w:rPr/>
      </w:pPr>
      <w:r>
        <w:rPr/>
        <w:t>“</w:t>
      </w:r>
      <w:r>
        <w:rPr>
          <w:rFonts w:ascii="Times New Roman" w:hAnsi="Times New Roman"/>
          <w:b/>
          <w:sz w:val="20"/>
        </w:rPr>
        <w:t xml:space="preserve">Websites of the Debtors” </w:t>
      </w:r>
      <w:r>
        <w:rPr>
          <w:rFonts w:ascii="Times New Roman" w:hAnsi="Times New Roman"/>
          <w:sz w:val="20"/>
        </w:rPr>
        <w:t>means Internet websites owned by the Debtors and listed in Appendix 8 (</w:t>
      </w:r>
      <w:r>
        <w:rPr>
          <w:rFonts w:ascii="Times New Roman" w:hAnsi="Times New Roman"/>
          <w:i/>
          <w:sz w:val="20"/>
        </w:rPr>
        <w:t>Intellectual Property</w:t>
      </w:r>
      <w:r>
        <w:rPr>
          <w:rFonts w:ascii="Times New Roman" w:hAnsi="Times New Roman"/>
          <w:sz w:val="20"/>
        </w:rPr>
        <w:t xml:space="preserve">). </w:t>
      </w:r>
    </w:p>
    <w:p>
      <w:pPr>
        <w:pStyle w:val="TextBody"/>
        <w:spacing w:before="240" w:after="0"/>
        <w:rPr/>
      </w:pPr>
      <w:r>
        <w:rPr/>
        <w:t>“</w:t>
      </w:r>
      <w:r>
        <w:rPr>
          <w:rFonts w:ascii="Times New Roman" w:hAnsi="Times New Roman"/>
          <w:b/>
          <w:sz w:val="20"/>
        </w:rPr>
        <w:t>Event of Default”</w:t>
      </w:r>
      <w:r>
        <w:rPr>
          <w:rFonts w:ascii="Times New Roman" w:hAnsi="Times New Roman"/>
          <w:sz w:val="20"/>
        </w:rPr>
        <w:t xml:space="preserve"> means any event or circumstance specified in Article 21 (</w:t>
      </w:r>
      <w:r>
        <w:rPr>
          <w:rFonts w:ascii="Times New Roman" w:hAnsi="Times New Roman"/>
          <w:i/>
          <w:sz w:val="20"/>
        </w:rPr>
        <w:t>Events of Default</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Aggregate Loan Limit” </w:t>
      </w:r>
      <w:r>
        <w:rPr>
          <w:rFonts w:ascii="Times New Roman" w:hAnsi="Times New Roman"/>
          <w:sz w:val="20"/>
        </w:rPr>
        <w:t xml:space="preserve">means a total amount of all Lenders’ Loan Limits of RUB 7,000,000,000 (seven billion Rubles) as of the date of Amendment Agreement 3. </w:t>
      </w:r>
    </w:p>
    <w:p>
      <w:pPr>
        <w:pStyle w:val="TextBody"/>
        <w:spacing w:before="240" w:after="0"/>
        <w:rPr/>
      </w:pPr>
      <w:r>
        <w:rPr/>
        <w:t>“</w:t>
      </w:r>
      <w:r>
        <w:rPr>
          <w:rFonts w:ascii="Times New Roman" w:hAnsi="Times New Roman"/>
          <w:b/>
          <w:sz w:val="20"/>
        </w:rPr>
        <w:t xml:space="preserve">Aggregate Unused Loan Limit” </w:t>
      </w:r>
      <w:r>
        <w:rPr>
          <w:rFonts w:ascii="Times New Roman" w:hAnsi="Times New Roman"/>
          <w:sz w:val="20"/>
        </w:rPr>
        <w:t xml:space="preserve">means an aggregate amount of the Unused Loan Limits of all Lenders. </w:t>
      </w:r>
    </w:p>
    <w:p>
      <w:pPr>
        <w:pStyle w:val="TextBody"/>
        <w:spacing w:before="24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2”</w:t>
      </w:r>
      <w:r>
        <w:rPr>
          <w:rFonts w:ascii="Times New Roman" w:hAnsi="Times New Roman"/>
          <w:sz w:val="20"/>
        </w:rPr>
        <w:t xml:space="preserve"> means Amendment Agreement No. 2 hereto dated June 28, 2017. </w:t>
      </w:r>
    </w:p>
    <w:p>
      <w:pPr>
        <w:pStyle w:val="TextBody"/>
        <w:spacing w:before="24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hereto dated October     , 2017. </w:t>
      </w:r>
    </w:p>
    <w:p>
      <w:pPr>
        <w:pStyle w:val="TextBody"/>
        <w:spacing w:before="240" w:after="0"/>
        <w:rPr/>
      </w:pPr>
      <w:r>
        <w:rPr/>
        <w:t>“</w:t>
      </w:r>
      <w:r>
        <w:rPr>
          <w:rFonts w:ascii="Times New Roman" w:hAnsi="Times New Roman"/>
          <w:b/>
          <w:sz w:val="20"/>
        </w:rPr>
        <w:t>Supplementary Guarantee Issue Agreement”</w:t>
      </w:r>
      <w:r>
        <w:rPr>
          <w:rFonts w:ascii="Times New Roman" w:hAnsi="Times New Roman"/>
          <w:sz w:val="20"/>
        </w:rPr>
        <w:t xml:space="preserve"> has the meaning specified in Article 18.5 (</w:t>
      </w:r>
      <w:r>
        <w:rPr>
          <w:rFonts w:ascii="Times New Roman" w:hAnsi="Times New Roman"/>
          <w:i/>
          <w:sz w:val="20"/>
        </w:rPr>
        <w:t>Provision of Supplementary Guarantees</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Independent Guarantee Issue Agreement” </w:t>
      </w:r>
      <w:r>
        <w:rPr>
          <w:rFonts w:ascii="Times New Roman" w:hAnsi="Times New Roman"/>
          <w:sz w:val="20"/>
        </w:rPr>
        <w:t xml:space="preserve">means each independent guarantee issue agreement between the Borrower, the Lenders and a respective Guarantor for provision of the Independent Guarantee. </w:t>
      </w:r>
    </w:p>
    <w:p>
      <w:pPr>
        <w:pStyle w:val="TextBody"/>
        <w:spacing w:before="240" w:after="0"/>
        <w:rPr/>
      </w:pPr>
      <w:r>
        <w:rPr/>
        <w:t>“</w:t>
      </w:r>
      <w:r>
        <w:rPr>
          <w:rFonts w:ascii="Times New Roman" w:hAnsi="Times New Roman"/>
          <w:b/>
          <w:sz w:val="20"/>
        </w:rPr>
        <w:t>Party”</w:t>
      </w:r>
      <w:r>
        <w:rPr>
          <w:rFonts w:ascii="Times New Roman" w:hAnsi="Times New Roman"/>
          <w:sz w:val="20"/>
        </w:rPr>
        <w:t xml:space="preserve"> means a party hereto. </w:t>
      </w:r>
    </w:p>
    <w:p>
      <w:pPr>
        <w:pStyle w:val="TextBody"/>
        <w:spacing w:before="240" w:after="0"/>
        <w:rPr/>
      </w:pPr>
      <w:r>
        <w:rPr/>
        <w:t>“</w:t>
      </w:r>
      <w:r>
        <w:rPr>
          <w:rFonts w:ascii="Times New Roman" w:hAnsi="Times New Roman"/>
          <w:b/>
          <w:sz w:val="20"/>
        </w:rPr>
        <w:t>Party to the Financing”</w:t>
      </w:r>
      <w:r>
        <w:rPr>
          <w:rFonts w:ascii="Times New Roman" w:hAnsi="Times New Roman"/>
          <w:sz w:val="20"/>
        </w:rPr>
        <w:t xml:space="preserve"> means each Lender, Credit Agent and Organizer.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Amount to be Granted” </w:t>
      </w:r>
      <w:r>
        <w:rPr>
          <w:rFonts w:ascii="Times New Roman" w:hAnsi="Times New Roman"/>
          <w:sz w:val="20"/>
        </w:rPr>
        <w:t xml:space="preserve">means a cash amount to be granted by any Lender or Lenders on the Disbursement Date specified in the Disbursement Request submitted by the Borrower. </w:t>
      </w:r>
    </w:p>
    <w:p>
      <w:pPr>
        <w:pStyle w:val="TextBody"/>
        <w:spacing w:before="240" w:after="0"/>
        <w:rPr/>
      </w:pPr>
      <w:r>
        <w:rPr/>
        <w:t>“</w:t>
      </w:r>
      <w:r>
        <w:rPr>
          <w:rFonts w:ascii="Times New Roman" w:hAnsi="Times New Roman"/>
          <w:b/>
          <w:sz w:val="20"/>
        </w:rPr>
        <w:t>Material Negative Impact”</w:t>
      </w:r>
      <w:r>
        <w:rPr>
          <w:rFonts w:ascii="Times New Roman" w:hAnsi="Times New Roman"/>
          <w:sz w:val="20"/>
        </w:rPr>
        <w:t xml:space="preserve"> means a significant adverse effect that, in the opinion of the Majority of the Lenders, is possible 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the financial condition of the Group in general;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the ability of the Debtors to fulfill their obligations under any Financial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validity or priority of the security that is, or should be, granted under any Financial Document or the possibility of enforcement of such collateral;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validity of the Financial Documents or the possibility of exercising such rights of the Parties to the Financing as provided by each respective Financial Document. </w:t>
            </w:r>
          </w:p>
        </w:tc>
      </w:tr>
    </w:tbl>
    <w:p>
      <w:pPr>
        <w:pStyle w:val="TextBody"/>
        <w:spacing w:before="240" w:after="0"/>
        <w:rPr/>
      </w:pPr>
      <w:r>
        <w:rPr/>
        <w:t>“</w:t>
      </w:r>
      <w:r>
        <w:rPr>
          <w:rFonts w:ascii="Times New Roman" w:hAnsi="Times New Roman"/>
          <w:b/>
          <w:sz w:val="20"/>
        </w:rPr>
        <w:t>Significant Member of the Group”</w:t>
      </w:r>
      <w:r>
        <w:rPr>
          <w:rFonts w:ascii="Times New Roman" w:hAnsi="Times New Roman"/>
          <w:sz w:val="20"/>
        </w:rPr>
        <w:t xml:space="preserve"> means any Debtor or any member of the Group whose EBITDA, assets and revenues, determined on the basis of such consolidated financial statements of the Group as of the last reporting date as prepared in accordance with IFRS and submitted to the Credit Agent under Clause (a) or (b) of Article 17.1 (</w:t>
      </w:r>
      <w:r>
        <w:rPr>
          <w:rFonts w:ascii="Times New Roman" w:hAnsi="Times New Roman"/>
          <w:i/>
          <w:sz w:val="20"/>
        </w:rPr>
        <w:t>Financial Statements</w:t>
      </w:r>
      <w:r>
        <w:rPr>
          <w:rFonts w:ascii="Times New Roman" w:hAnsi="Times New Roman"/>
          <w:sz w:val="20"/>
        </w:rPr>
        <w:t xml:space="preserve">), exceed 2.5 (two point five) percent of the Group’s similar consolidated indicators determined on the basis of the same financial statements. </w:t>
      </w:r>
    </w:p>
    <w:p>
      <w:pPr>
        <w:pStyle w:val="TextBody"/>
        <w:spacing w:before="240" w:after="0"/>
        <w:rPr/>
      </w:pPr>
      <w:r>
        <w:rPr/>
        <w:t>“</w:t>
      </w:r>
      <w:r>
        <w:rPr>
          <w:rFonts w:ascii="Times New Roman" w:hAnsi="Times New Roman"/>
          <w:b/>
          <w:sz w:val="20"/>
        </w:rPr>
        <w:t>Existing Business Contracts”</w:t>
      </w:r>
      <w:r>
        <w:rPr>
          <w:rFonts w:ascii="Times New Roman" w:hAnsi="Times New Roman"/>
          <w:sz w:val="20"/>
        </w:rPr>
        <w:t xml:space="preserve"> means the following agreements on lease of the Headhunter office in Moscow between Headhunter as the lessee and Kalibr LLC as the lessor: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Lease Agreement No. 3706 dated March 1, 2013;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Lease Agreement No. 4480 dated September 16, 2015;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Lease Agreement No. 4735 dated May 4, 2016. </w:t>
            </w:r>
          </w:p>
        </w:tc>
      </w:tr>
    </w:tbl>
    <w:p>
      <w:pPr>
        <w:pStyle w:val="TextBody"/>
        <w:spacing w:before="240" w:after="0"/>
        <w:rPr/>
      </w:pPr>
      <w:r>
        <w:rPr/>
        <w:t>“</w:t>
      </w:r>
      <w:r>
        <w:rPr>
          <w:rFonts w:ascii="Times New Roman" w:hAnsi="Times New Roman"/>
          <w:b/>
          <w:sz w:val="20"/>
        </w:rPr>
        <w:t xml:space="preserve">Group Structure Scheme” </w:t>
      </w:r>
      <w:r>
        <w:rPr>
          <w:rFonts w:ascii="Times New Roman" w:hAnsi="Times New Roman"/>
          <w:sz w:val="20"/>
        </w:rPr>
        <w:t>means the structure of the Group attached as Appendix 9 (</w:t>
      </w:r>
      <w:r>
        <w:rPr>
          <w:rFonts w:ascii="Times New Roman" w:hAnsi="Times New Roman"/>
          <w:i/>
          <w:sz w:val="20"/>
        </w:rPr>
        <w:t>Group Structure Scheme</w:t>
      </w:r>
      <w:r>
        <w:rPr>
          <w:rFonts w:ascii="Times New Roman" w:hAnsi="Times New Roman"/>
          <w:sz w:val="20"/>
        </w:rPr>
        <w:t xml:space="preserve">) or (if the Borrower provided the Credit Agent with a new scheme of the Group structure after the date of this Agreement) the structure of the Group submitted by the Borrower to the Credit Agent at the latest date. </w:t>
      </w:r>
    </w:p>
    <w:p>
      <w:pPr>
        <w:pStyle w:val="TextBody"/>
        <w:spacing w:before="240" w:after="0"/>
        <w:rPr/>
      </w:pPr>
      <w:r>
        <w:rPr/>
        <w:t>“</w:t>
      </w:r>
      <w:r>
        <w:rPr>
          <w:rFonts w:ascii="Times New Roman" w:hAnsi="Times New Roman"/>
          <w:b/>
          <w:sz w:val="20"/>
        </w:rPr>
        <w:t xml:space="preserve">Credit Agent’s Account” </w:t>
      </w:r>
      <w:r>
        <w:rPr>
          <w:rFonts w:ascii="Times New Roman" w:hAnsi="Times New Roman"/>
          <w:sz w:val="20"/>
        </w:rPr>
        <w:t xml:space="preserve">means the account whose details the Credit Agent reports to the Parties to the Financing. </w:t>
      </w:r>
    </w:p>
    <w:p>
      <w:pPr>
        <w:pStyle w:val="TextBody"/>
        <w:spacing w:before="240" w:after="0"/>
        <w:rPr/>
      </w:pPr>
      <w:r>
        <w:rPr/>
        <w:t>“</w:t>
      </w:r>
      <w:r>
        <w:rPr>
          <w:rFonts w:ascii="Times New Roman" w:hAnsi="Times New Roman"/>
          <w:b/>
          <w:sz w:val="20"/>
        </w:rPr>
        <w:t>Technical Failure”</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such a significant malfunction (as occurred for reasons beyond the control of any of the Parties) in those payment systems or communication systems or in those financial markets whose operation in each case is necessary for making payments (or other transactions to be performed) in accordance with the transactions provided for by the Financial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 xml:space="preserve">occurrence of any other event that entails such a (technical or systemic) failure in the cash or settlement transactions of any Party which prevents this or any other Party from: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2"/>
        <w:gridCol w:w="8477"/>
      </w:tblGrid>
      <w:tr>
        <w:trPr/>
        <w:tc>
          <w:tcPr>
            <w:tcW w:w="815" w:type="dxa"/>
            <w:tcBorders/>
            <w:shd w:fill="auto" w:val="clear"/>
            <w:vAlign w:val="center"/>
          </w:tcPr>
          <w:p>
            <w:pPr>
              <w:pStyle w:val="TableContents"/>
              <w:spacing w:before="0" w:after="283"/>
              <w:rPr/>
            </w:pPr>
            <w:r>
              <w:rPr/>
              <w:t> </w:t>
            </w:r>
          </w:p>
        </w:tc>
        <w:tc>
          <w:tcPr>
            <w:tcW w:w="912" w:type="dxa"/>
            <w:tcBorders/>
            <w:shd w:fill="auto" w:val="clear"/>
          </w:tcPr>
          <w:p>
            <w:pPr>
              <w:pStyle w:val="TableContents"/>
              <w:spacing w:before="0" w:after="283"/>
              <w:jc w:val="left"/>
              <w:rPr/>
            </w:pPr>
            <w:r>
              <w:rPr/>
              <w:t>(i)</w:t>
            </w:r>
          </w:p>
        </w:tc>
        <w:tc>
          <w:tcPr>
            <w:tcW w:w="8477" w:type="dxa"/>
            <w:tcBorders/>
            <w:shd w:fill="auto" w:val="clear"/>
          </w:tcPr>
          <w:p>
            <w:pPr>
              <w:pStyle w:val="TableContents"/>
              <w:spacing w:before="0" w:after="283"/>
              <w:jc w:val="left"/>
              <w:rPr/>
            </w:pPr>
            <w:r>
              <w:rPr/>
              <w:t xml:space="preserve">fulfillment of its payment obligations under the Financial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8473" w:type="dxa"/>
            <w:tcBorders/>
            <w:shd w:fill="auto" w:val="clear"/>
          </w:tcPr>
          <w:p>
            <w:pPr>
              <w:pStyle w:val="TableContents"/>
              <w:spacing w:before="0" w:after="283"/>
              <w:jc w:val="left"/>
              <w:rPr/>
            </w:pPr>
            <w:r>
              <w:rPr/>
              <w:t xml:space="preserve">communication with other Parties under the Financial Documents and that was not caused by a Party whose operations were disrupted and which occurred for any reasons beyond the control of that Party. </w:t>
            </w:r>
          </w:p>
        </w:tc>
      </w:tr>
    </w:tbl>
    <w:r>
      <w:br w:type="page"/>
    </w:r>
    <w:p>
      <w:pPr>
        <w:pStyle w:val="HorizontalLine"/>
        <w:pBdr>
          <w:bottom w:val="double" w:sz="6" w:space="0" w:color="808080"/>
        </w:pBdr>
        <w:rPr/>
      </w:pPr>
      <w:r>
        <w:rPr/>
      </w:r>
    </w:p>
    <w:p>
      <w:pPr>
        <w:pStyle w:val="TextBody"/>
        <w:spacing w:before="0" w:after="0"/>
        <w:rPr/>
      </w:pPr>
      <w:r>
        <w:rPr/>
        <w:t>“</w:t>
      </w:r>
      <w:r>
        <w:rPr>
          <w:rFonts w:ascii="Times New Roman" w:hAnsi="Times New Roman"/>
          <w:b/>
          <w:sz w:val="20"/>
        </w:rPr>
        <w:t xml:space="preserve">Trademarks of the Debtors” </w:t>
      </w:r>
      <w:r>
        <w:rPr>
          <w:rFonts w:ascii="Times New Roman" w:hAnsi="Times New Roman"/>
          <w:sz w:val="20"/>
        </w:rPr>
        <w:t>means any trademarks registered by the Debtors and the Additional Guarantors and specified in Appendix 8 (</w:t>
      </w:r>
      <w:r>
        <w:rPr>
          <w:rFonts w:ascii="Times New Roman" w:hAnsi="Times New Roman"/>
          <w:i/>
          <w:sz w:val="20"/>
        </w:rPr>
        <w:t>Intellectual Property</w:t>
      </w:r>
      <w:r>
        <w:rPr>
          <w:rFonts w:ascii="Times New Roman" w:hAnsi="Times New Roman"/>
          <w:sz w:val="20"/>
        </w:rPr>
        <w:t xml:space="preserve">). </w:t>
      </w:r>
    </w:p>
    <w:p>
      <w:pPr>
        <w:pStyle w:val="TextBody"/>
        <w:spacing w:before="240" w:after="0"/>
        <w:rPr/>
      </w:pPr>
      <w:r>
        <w:rPr/>
        <w:t>“</w:t>
      </w:r>
      <w:r>
        <w:rPr>
          <w:rFonts w:ascii="Times New Roman" w:hAnsi="Times New Roman"/>
          <w:b/>
          <w:sz w:val="20"/>
        </w:rPr>
        <w:t xml:space="preserve">Tranche” </w:t>
      </w:r>
      <w:r>
        <w:rPr>
          <w:rFonts w:ascii="Times New Roman" w:hAnsi="Times New Roman"/>
          <w:sz w:val="20"/>
        </w:rPr>
        <w:t xml:space="preserve">means Tranche A, Tranche B, Tranche C, or Tranche D. </w:t>
      </w:r>
    </w:p>
    <w:p>
      <w:pPr>
        <w:pStyle w:val="TextBody"/>
        <w:spacing w:before="240" w:after="0"/>
        <w:rPr/>
      </w:pPr>
      <w:r>
        <w:rPr/>
        <w:t>“</w:t>
      </w:r>
      <w:r>
        <w:rPr>
          <w:rFonts w:ascii="Times New Roman" w:hAnsi="Times New Roman"/>
          <w:b/>
          <w:sz w:val="20"/>
        </w:rPr>
        <w:t>Tranche A”</w:t>
      </w:r>
      <w:r>
        <w:rPr>
          <w:rFonts w:ascii="Times New Roman" w:hAnsi="Times New Roman"/>
          <w:sz w:val="20"/>
        </w:rPr>
        <w:t xml:space="preserve"> means a part of the Loan granted to the Borrower under the terms and conditions hereof in an amount of RUB 4,000,000,000 (four billion Rubles). </w:t>
      </w:r>
    </w:p>
    <w:p>
      <w:pPr>
        <w:pStyle w:val="TextBody"/>
        <w:spacing w:before="240" w:after="0"/>
        <w:rPr/>
      </w:pPr>
      <w:r>
        <w:rPr/>
        <w:t>“</w:t>
      </w:r>
      <w:r>
        <w:rPr>
          <w:rFonts w:ascii="Times New Roman" w:hAnsi="Times New Roman"/>
          <w:b/>
          <w:sz w:val="20"/>
        </w:rPr>
        <w:t>Tranche B”</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Tranche C”</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Tranche D”</w:t>
      </w:r>
      <w:r>
        <w:rPr>
          <w:rFonts w:ascii="Times New Roman" w:hAnsi="Times New Roman"/>
          <w:sz w:val="20"/>
        </w:rPr>
        <w:t xml:space="preserve"> means a part of the Loan granted to the Borrower under the terms and conditions hereof in an amount of RUB 1,000,000,000 (one billion Rubles). </w:t>
      </w:r>
    </w:p>
    <w:p>
      <w:pPr>
        <w:pStyle w:val="TextBody"/>
        <w:spacing w:before="240" w:after="0"/>
        <w:rPr/>
      </w:pPr>
      <w:r>
        <w:rPr/>
        <w:t>“</w:t>
      </w:r>
      <w:r>
        <w:rPr>
          <w:rFonts w:ascii="Times New Roman" w:hAnsi="Times New Roman"/>
          <w:b/>
          <w:sz w:val="20"/>
        </w:rPr>
        <w:t>Financial Indebtedness”</w:t>
      </w:r>
      <w:r>
        <w:rPr>
          <w:rFonts w:ascii="Times New Roman" w:hAnsi="Times New Roman"/>
          <w:sz w:val="20"/>
        </w:rPr>
        <w:t xml:space="preserve"> means any indebtedness resulting from: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 xml:space="preserve">receiving cash as a loan;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obtaining a commodity loan, a commercial loan for a period of more than 30 (thirty) days, or issuing an uncovered letter of credit if such debt is classified as a “financial indebtedness”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issuing bonds, notes and any other debt instruments;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concluding a financial lease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(e)</w:t>
            </w:r>
          </w:p>
        </w:tc>
        <w:tc>
          <w:tcPr>
            <w:tcW w:w="9390" w:type="dxa"/>
            <w:tcBorders/>
            <w:shd w:fill="auto" w:val="clear"/>
          </w:tcPr>
          <w:p>
            <w:pPr>
              <w:pStyle w:val="TableContents"/>
              <w:spacing w:before="0" w:after="283"/>
              <w:jc w:val="left"/>
              <w:rPr/>
            </w:pPr>
            <w:r>
              <w:rPr/>
              <w:t xml:space="preserve">making transactions with derivative financial instruments in order to get protection against or benefit from fluctuations in any exchange rates, interest rates or prices, and the amount of the transaction with such derivative financial instruments shall be calculated on the basis of market indicators at each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(f)</w:t>
            </w:r>
          </w:p>
        </w:tc>
        <w:tc>
          <w:tcPr>
            <w:tcW w:w="9388" w:type="dxa"/>
            <w:tcBorders/>
            <w:shd w:fill="auto" w:val="clear"/>
          </w:tcPr>
          <w:p>
            <w:pPr>
              <w:pStyle w:val="TableContents"/>
              <w:spacing w:before="0" w:after="283"/>
              <w:jc w:val="left"/>
              <w:rPr/>
            </w:pPr>
            <w:r>
              <w:rPr/>
              <w:t xml:space="preserve">making repo transactions or any other transaction that is a borrowing in accordance with IFRS;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(g)</w:t>
            </w:r>
          </w:p>
        </w:tc>
        <w:tc>
          <w:tcPr>
            <w:tcW w:w="9391" w:type="dxa"/>
            <w:tcBorders/>
            <w:shd w:fill="auto" w:val="clear"/>
          </w:tcPr>
          <w:p>
            <w:pPr>
              <w:pStyle w:val="TableContents"/>
              <w:spacing w:before="0" w:after="283"/>
              <w:jc w:val="left"/>
              <w:rPr/>
            </w:pPr>
            <w:r>
              <w:rPr/>
              <w:t xml:space="preserve">assuming the obligation to recover losses or expenses incurred by persons not belonging to the Group;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(h)</w:t>
            </w:r>
          </w:p>
        </w:tc>
        <w:tc>
          <w:tcPr>
            <w:tcW w:w="9389" w:type="dxa"/>
            <w:tcBorders/>
            <w:shd w:fill="auto" w:val="clear"/>
          </w:tcPr>
          <w:p>
            <w:pPr>
              <w:pStyle w:val="TableContents"/>
              <w:spacing w:before="0" w:after="283"/>
              <w:jc w:val="left"/>
              <w:rPr/>
            </w:pPr>
            <w:r>
              <w:rPr/>
              <w:t xml:space="preserve">entering into the Incentive Plans Based on the Group’s Equity Instruments;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(i)</w:t>
            </w:r>
          </w:p>
        </w:tc>
        <w:tc>
          <w:tcPr>
            <w:tcW w:w="9393" w:type="dxa"/>
            <w:tcBorders/>
            <w:shd w:fill="auto" w:val="clear"/>
          </w:tcPr>
          <w:p>
            <w:pPr>
              <w:pStyle w:val="TableContents"/>
              <w:spacing w:before="0" w:after="283"/>
              <w:jc w:val="left"/>
              <w:rPr/>
            </w:pPr>
            <w:r>
              <w:rPr/>
              <w:t xml:space="preserve">making transactions providing for the assumption of any obligations: (A) of suretyship or guarantee for performance of any obligations by any persons not belonging to the Group; or (B) of reimbursement to a guarantor, surety under suretyship for any amounts under the guarantee, suretyship; or (C) of liability with respect to the right of subrogation claims against any purchaser of a traded or discounted receivable, </w:t>
            </w:r>
          </w:p>
        </w:tc>
      </w:tr>
    </w:tbl>
    <w:p>
      <w:pPr>
        <w:pStyle w:val="TextBody"/>
        <w:spacing w:before="240" w:after="0"/>
        <w:rPr>
          <w:rFonts w:ascii="Times New Roman" w:hAnsi="Times New Roman"/>
          <w:sz w:val="20"/>
        </w:rPr>
      </w:pPr>
      <w:r>
        <w:rPr>
          <w:rFonts w:ascii="Times New Roman" w:hAnsi="Times New Roman"/>
          <w:sz w:val="20"/>
        </w:rPr>
        <w:t xml:space="preserve">or any other obligation having the economic nature of borrowing in accordance with IFRS. In each case no double counting shall apply.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Financial Document”</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(a)</w:t>
            </w:r>
          </w:p>
        </w:tc>
        <w:tc>
          <w:tcPr>
            <w:tcW w:w="9391" w:type="dxa"/>
            <w:tcBorders/>
            <w:shd w:fill="auto" w:val="clear"/>
          </w:tcPr>
          <w:p>
            <w:pPr>
              <w:pStyle w:val="TableContents"/>
              <w:spacing w:before="0" w:after="283"/>
              <w:jc w:val="left"/>
              <w:rPr/>
            </w:pPr>
            <w:r>
              <w:rPr/>
              <w:t xml:space="preserve">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(b)</w:t>
            </w:r>
          </w:p>
        </w:tc>
        <w:tc>
          <w:tcPr>
            <w:tcW w:w="9391" w:type="dxa"/>
            <w:tcBorders/>
            <w:shd w:fill="auto" w:val="clear"/>
          </w:tcPr>
          <w:p>
            <w:pPr>
              <w:pStyle w:val="TableContents"/>
              <w:spacing w:before="0" w:after="283"/>
              <w:jc w:val="left"/>
              <w:rPr/>
            </w:pPr>
            <w:r>
              <w:rPr/>
              <w:t xml:space="preserve">each Security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(c)</w:t>
            </w:r>
          </w:p>
        </w:tc>
        <w:tc>
          <w:tcPr>
            <w:tcW w:w="9388" w:type="dxa"/>
            <w:tcBorders/>
            <w:shd w:fill="auto" w:val="clear"/>
          </w:tcPr>
          <w:p>
            <w:pPr>
              <w:pStyle w:val="TableContents"/>
              <w:spacing w:before="0" w:after="283"/>
              <w:jc w:val="left"/>
              <w:rPr/>
            </w:pPr>
            <w:r>
              <w:rPr/>
              <w:t xml:space="preserve">each Independent Guarantee Issue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(d)</w:t>
            </w:r>
          </w:p>
        </w:tc>
        <w:tc>
          <w:tcPr>
            <w:tcW w:w="9390" w:type="dxa"/>
            <w:tcBorders/>
            <w:shd w:fill="auto" w:val="clear"/>
          </w:tcPr>
          <w:p>
            <w:pPr>
              <w:pStyle w:val="TableContents"/>
              <w:spacing w:before="0" w:after="283"/>
              <w:jc w:val="left"/>
              <w:rPr/>
            </w:pPr>
            <w:r>
              <w:rPr/>
              <w:t xml:space="preserve">each Supplementary Guarantee Issue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(e)</w:t>
            </w:r>
          </w:p>
        </w:tc>
        <w:tc>
          <w:tcPr>
            <w:tcW w:w="9388" w:type="dxa"/>
            <w:tcBorders/>
            <w:shd w:fill="auto" w:val="clear"/>
          </w:tcPr>
          <w:p>
            <w:pPr>
              <w:pStyle w:val="TableContents"/>
              <w:spacing w:before="0" w:after="283"/>
              <w:jc w:val="left"/>
              <w:rPr/>
            </w:pPr>
            <w:r>
              <w:rPr/>
              <w:t xml:space="preserve">the Intercreditor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(f)</w:t>
            </w:r>
          </w:p>
        </w:tc>
        <w:tc>
          <w:tcPr>
            <w:tcW w:w="9389" w:type="dxa"/>
            <w:tcBorders/>
            <w:shd w:fill="auto" w:val="clear"/>
          </w:tcPr>
          <w:p>
            <w:pPr>
              <w:pStyle w:val="TableContents"/>
              <w:spacing w:before="0" w:after="283"/>
              <w:jc w:val="left"/>
              <w:rPr/>
            </w:pPr>
            <w:r>
              <w:rPr/>
              <w:t xml:space="preserve">each Lender’s Assignment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(g)</w:t>
            </w:r>
          </w:p>
        </w:tc>
        <w:tc>
          <w:tcPr>
            <w:tcW w:w="9388" w:type="dxa"/>
            <w:tcBorders/>
            <w:shd w:fill="auto" w:val="clear"/>
          </w:tcPr>
          <w:p>
            <w:pPr>
              <w:pStyle w:val="TableContents"/>
              <w:spacing w:before="0" w:after="283"/>
              <w:jc w:val="left"/>
              <w:rPr/>
            </w:pPr>
            <w:r>
              <w:rPr/>
              <w:t xml:space="preserve">each Disbursement Request;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(h)</w:t>
            </w:r>
          </w:p>
        </w:tc>
        <w:tc>
          <w:tcPr>
            <w:tcW w:w="9391" w:type="dxa"/>
            <w:tcBorders/>
            <w:shd w:fill="auto" w:val="clear"/>
          </w:tcPr>
          <w:p>
            <w:pPr>
              <w:pStyle w:val="TableContents"/>
              <w:spacing w:before="0" w:after="283"/>
              <w:jc w:val="left"/>
              <w:rPr/>
            </w:pPr>
            <w:r>
              <w:rPr/>
              <w:t xml:space="preserve">any other document which the Credit Agent and the Borrower have agreed in writing to consider as the Financial Document;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(i)</w:t>
            </w:r>
          </w:p>
        </w:tc>
        <w:tc>
          <w:tcPr>
            <w:tcW w:w="9388" w:type="dxa"/>
            <w:tcBorders/>
            <w:shd w:fill="auto" w:val="clear"/>
          </w:tcPr>
          <w:p>
            <w:pPr>
              <w:pStyle w:val="TableContents"/>
              <w:spacing w:before="0" w:after="283"/>
              <w:jc w:val="left"/>
              <w:rPr/>
            </w:pPr>
            <w:r>
              <w:rPr/>
              <w:t xml:space="preserve">each Document Related to the Reorganization. </w:t>
            </w:r>
          </w:p>
        </w:tc>
      </w:tr>
    </w:tbl>
    <w:p>
      <w:pPr>
        <w:pStyle w:val="TextBody"/>
        <w:spacing w:before="240" w:after="0"/>
        <w:rPr/>
      </w:pPr>
      <w:r>
        <w:rPr/>
        <w:t>“</w:t>
      </w:r>
      <w:r>
        <w:rPr>
          <w:rFonts w:ascii="Times New Roman" w:hAnsi="Times New Roman"/>
          <w:b/>
          <w:sz w:val="20"/>
        </w:rPr>
        <w:t>Holding Company”</w:t>
      </w:r>
      <w:r>
        <w:rPr>
          <w:rFonts w:ascii="Times New Roman" w:hAnsi="Times New Roman"/>
          <w:sz w:val="20"/>
        </w:rPr>
        <w:t xml:space="preserve"> means, in relation to a legal entity, any other legal entity for which the first legal entity is the Subsidiary. </w:t>
      </w:r>
    </w:p>
    <w:p>
      <w:pPr>
        <w:pStyle w:val="TextBody"/>
        <w:spacing w:before="240" w:after="0"/>
        <w:rPr/>
      </w:pPr>
      <w:r>
        <w:rPr/>
        <w:t>“</w:t>
      </w:r>
      <w:r>
        <w:rPr>
          <w:rFonts w:ascii="Times New Roman" w:hAnsi="Times New Roman"/>
          <w:b/>
          <w:sz w:val="20"/>
        </w:rPr>
        <w:t>Headhunter”</w:t>
      </w:r>
      <w:r>
        <w:rPr>
          <w:rFonts w:ascii="Times New Roman" w:hAnsi="Times New Roman"/>
          <w:sz w:val="20"/>
        </w:rPr>
        <w:t xml:space="preserve"> means Headhunter Limited Liability Company incorporated under the laws of the Russian Federation, registered in the Unified State Register of Legal Entities of the Russian Federation under number (OGRN (Primary State Registration Number)): 1067761906805, located at: 9, Godovikova St., bld. 10, Moscow, the Russian Federation. </w:t>
      </w:r>
    </w:p>
    <w:p>
      <w:pPr>
        <w:pStyle w:val="TextBody"/>
        <w:spacing w:before="240" w:after="0"/>
        <w:rPr/>
      </w:pPr>
      <w:r>
        <w:rPr/>
        <w:t>“</w:t>
      </w:r>
      <w:r>
        <w:rPr>
          <w:rFonts w:ascii="Times New Roman" w:hAnsi="Times New Roman"/>
          <w:b/>
          <w:sz w:val="20"/>
        </w:rPr>
        <w:t>Cash Equivalent”</w:t>
      </w:r>
      <w:r>
        <w:rPr>
          <w:rFonts w:ascii="Times New Roman" w:hAnsi="Times New Roman"/>
          <w:sz w:val="20"/>
        </w:rPr>
        <w:t xml:space="preserve"> has the meaning specified for this term in IFRS. </w:t>
      </w:r>
    </w:p>
    <w:p>
      <w:pPr>
        <w:pStyle w:val="TextBody"/>
        <w:spacing w:before="240" w:after="0"/>
        <w:rPr/>
      </w:pPr>
      <w:r>
        <w:rPr/>
        <w:t>“</w:t>
      </w:r>
      <w:r>
        <w:rPr>
          <w:rFonts w:ascii="Times New Roman" w:hAnsi="Times New Roman"/>
          <w:b/>
          <w:sz w:val="20"/>
        </w:rPr>
        <w:t xml:space="preserve">ELQ Investors” </w:t>
      </w:r>
      <w:r>
        <w:rPr>
          <w:rFonts w:ascii="Times New Roman" w:hAnsi="Times New Roman"/>
          <w:sz w:val="20"/>
        </w:rPr>
        <w:t xml:space="preserve">means ELQ Investors II Ltd, a limited liability company incorporated under the laws of England and Wales, registration number 06375035, registered at the address: Peterborough Court, 133 Fleet Street, London EC4A 2BB, United Kingdom. </w:t>
      </w:r>
    </w:p>
    <w:p>
      <w:pPr>
        <w:pStyle w:val="TextBody"/>
        <w:spacing w:before="240" w:after="0"/>
        <w:rPr/>
      </w:pPr>
      <w:r>
        <w:rPr/>
        <w:t>“</w:t>
      </w:r>
      <w:r>
        <w:rPr>
          <w:rFonts w:ascii="Times New Roman" w:hAnsi="Times New Roman"/>
          <w:b/>
          <w:sz w:val="20"/>
        </w:rPr>
        <w:t xml:space="preserve">ELQ Investors VIII” </w:t>
      </w:r>
      <w:r>
        <w:rPr>
          <w:rFonts w:ascii="Times New Roman" w:hAnsi="Times New Roman"/>
          <w:sz w:val="20"/>
        </w:rPr>
        <w:t xml:space="preserve">means ELQ Investors VIII Ltd, a limited liability company incorporated under the laws of England and Wales, registration number 9182214, registered at the address: Peterborough Court, 133 Fleet Street, London EC4A 2BB, United Kingdom. </w:t>
      </w:r>
    </w:p>
    <w:p>
      <w:pPr>
        <w:pStyle w:val="TextBody"/>
        <w:spacing w:before="240" w:after="0"/>
        <w:rPr/>
      </w:pPr>
      <w:r>
        <w:rPr/>
        <w:t>“</w:t>
      </w:r>
      <w:r>
        <w:rPr>
          <w:rFonts w:ascii="Times New Roman" w:hAnsi="Times New Roman"/>
          <w:b/>
          <w:sz w:val="20"/>
        </w:rPr>
        <w:t xml:space="preserve">HeadHunter FSU” </w:t>
      </w:r>
      <w:r>
        <w:rPr>
          <w:rFonts w:ascii="Times New Roman" w:hAnsi="Times New Roman"/>
          <w:sz w:val="20"/>
        </w:rPr>
        <w:t xml:space="preserve">means HeadHunter FSU Limited, a limited liability company incorporated under the laws of the Republic of Cyprus, registration number HE 178226, registered at the address: 42 Dositheou, Strovolos 2028, Nicosia, Cyprus. </w:t>
      </w:r>
    </w:p>
    <w:p>
      <w:pPr>
        <w:pStyle w:val="TextBody"/>
        <w:spacing w:before="240" w:after="0"/>
        <w:rPr/>
      </w:pPr>
      <w:r>
        <w:rPr/>
        <w:t>“</w:t>
      </w:r>
      <w:r>
        <w:rPr>
          <w:rFonts w:ascii="Times New Roman" w:hAnsi="Times New Roman"/>
          <w:b/>
          <w:sz w:val="20"/>
        </w:rPr>
        <w:t xml:space="preserve">Highworld” </w:t>
      </w:r>
      <w:r>
        <w:rPr>
          <w:rFonts w:ascii="Times New Roman" w:hAnsi="Times New Roman"/>
          <w:sz w:val="20"/>
        </w:rPr>
        <w:t xml:space="preserve">means Highworld Investments Limited, a limited liability company incorporated under the laws of the British Virgin Islands, registration number 1802016, registered at the address: Trident Chambers, P.O. Box 146, Road Town, Tortola, BVI). </w:t>
      </w:r>
    </w:p>
    <w:p>
      <w:pPr>
        <w:pStyle w:val="TextBody"/>
        <w:spacing w:before="240" w:after="0"/>
        <w:rPr/>
      </w:pPr>
      <w:r>
        <w:rPr/>
        <w:t>“</w:t>
      </w:r>
      <w:r>
        <w:rPr>
          <w:rFonts w:ascii="Times New Roman" w:hAnsi="Times New Roman"/>
          <w:b/>
          <w:sz w:val="20"/>
        </w:rPr>
        <w:t xml:space="preserve">Zemenik Trading” </w:t>
      </w:r>
      <w:r>
        <w:rPr>
          <w:rFonts w:ascii="Times New Roman" w:hAnsi="Times New Roman"/>
          <w:sz w:val="20"/>
        </w:rPr>
        <w:t xml:space="preserve">means Zemenik Trading Limited, a limited liability company incorporated under the laws of the Republic of Cyprus, registration number HE 332806, registered at the address: 42 Dositheou, Strovolos 2028, Nicosia, Cyprus. </w:t>
      </w:r>
    </w:p>
    <w:p>
      <w:pPr>
        <w:pStyle w:val="TextBody"/>
        <w:spacing w:before="240" w:after="0"/>
        <w:rPr>
          <w:rFonts w:ascii="Times New Roman" w:hAnsi="Times New Roman"/>
          <w:sz w:val="20"/>
        </w:rPr>
      </w:pPr>
      <w:r>
        <w:rPr>
          <w:rFonts w:ascii="Times New Roman" w:hAnsi="Times New Roman"/>
          <w:sz w:val="20"/>
        </w:rPr>
        <w:t xml:space="preserve">Any reference to a Sub-Clause, Clause, Article or Appendix in the above terms of the Loan Agreement shall be interpreted as a reference to the said Sub-Clause, Clause, Article of the Loan Agreement or the Appendix thereto, unless otherwise expressly stated in the text of the Loan Agreement.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OF THE PARTIES </w:t>
      </w:r>
    </w:p>
    <w:p>
      <w:pPr>
        <w:pStyle w:val="TextBody"/>
        <w:spacing w:before="120" w:after="0"/>
        <w:rPr>
          <w:rFonts w:ascii="Times New Roman" w:hAnsi="Times New Roman"/>
          <w:b/>
          <w:sz w:val="20"/>
        </w:rPr>
      </w:pPr>
      <w:r>
        <w:rPr>
          <w:rFonts w:ascii="Times New Roman" w:hAnsi="Times New Roman"/>
          <w:b/>
          <w:sz w:val="20"/>
        </w:rPr>
        <w:t xml:space="preserve">Guarantor </w:t>
      </w:r>
    </w:p>
    <w:p>
      <w:pPr>
        <w:pStyle w:val="TextBody"/>
        <w:spacing w:before="240" w:after="0"/>
        <w:rPr>
          <w:rFonts w:ascii="Times New Roman" w:hAnsi="Times New Roman"/>
          <w:b/>
          <w:sz w:val="20"/>
        </w:rPr>
      </w:pPr>
      <w:r>
        <w:rPr>
          <w:rFonts w:ascii="Times New Roman" w:hAnsi="Times New Roman"/>
          <w:b/>
          <w:sz w:val="20"/>
        </w:rPr>
        <w:t xml:space="preserve">LIMITED LIABILITY COMPANY </w:t>
      </w:r>
    </w:p>
    <w:p>
      <w:pPr>
        <w:pStyle w:val="TextBody"/>
        <w:spacing w:before="0" w:after="0"/>
        <w:rPr>
          <w:rFonts w:ascii="Times New Roman" w:hAnsi="Times New Roman"/>
          <w:b/>
          <w:sz w:val="20"/>
        </w:rPr>
      </w:pPr>
      <w:r>
        <w:rPr>
          <w:rFonts w:ascii="Times New Roman" w:hAnsi="Times New Roman"/>
          <w:b/>
          <w:sz w:val="20"/>
        </w:rPr>
        <w:t xml:space="preserve">ZEMENIK TRADING LIMITED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245"/>
        <w:gridCol w:w="217"/>
        <w:gridCol w:w="4432"/>
        <w:gridCol w:w="122"/>
        <w:gridCol w:w="4189"/>
      </w:tblGrid>
      <w:tr>
        <w:trPr/>
        <w:tc>
          <w:tcPr>
            <w:tcW w:w="1245"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sz w:val="4"/>
                <w:szCs w:val="4"/>
              </w:rPr>
            </w:pPr>
            <w:r>
              <w:rPr>
                <w:sz w:val="4"/>
                <w:szCs w:val="4"/>
              </w:rPr>
            </w:r>
          </w:p>
        </w:tc>
        <w:tc>
          <w:tcPr>
            <w:tcW w:w="4432" w:type="dxa"/>
            <w:tcBorders/>
            <w:shd w:fill="auto" w:val="clear"/>
            <w:vAlign w:val="cente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sz w:val="4"/>
                <w:szCs w:val="4"/>
              </w:rPr>
            </w:pPr>
            <w:r>
              <w:rPr>
                <w:sz w:val="4"/>
                <w:szCs w:val="4"/>
              </w:rPr>
            </w:r>
          </w:p>
        </w:tc>
        <w:tc>
          <w:tcPr>
            <w:tcW w:w="4189" w:type="dxa"/>
            <w:tcBorders/>
            <w:shd w:fill="auto" w:val="clear"/>
            <w:vAlign w:val="center"/>
          </w:tcPr>
          <w:p>
            <w:pPr>
              <w:pStyle w:val="TableContents"/>
              <w:spacing w:before="0" w:after="283"/>
              <w:rPr>
                <w:sz w:val="4"/>
                <w:szCs w:val="4"/>
              </w:rPr>
            </w:pPr>
            <w:r>
              <w:rPr>
                <w:sz w:val="4"/>
                <w:szCs w:val="4"/>
              </w:rPr>
            </w:r>
          </w:p>
        </w:tc>
      </w:tr>
      <w:tr>
        <w:trPr/>
        <w:tc>
          <w:tcPr>
            <w:tcW w:w="1245" w:type="dxa"/>
            <w:tcBorders/>
            <w:shd w:fill="auto" w:val="clear"/>
          </w:tcPr>
          <w:p>
            <w:pPr>
              <w:pStyle w:val="TableContents"/>
              <w:spacing w:before="0" w:after="283"/>
              <w:rPr/>
            </w:pPr>
            <w:r>
              <w:rPr/>
              <w:t>Signature:</w:t>
            </w:r>
          </w:p>
        </w:tc>
        <w:tc>
          <w:tcPr>
            <w:tcW w:w="217" w:type="dxa"/>
            <w:tcBorders/>
            <w:shd w:fill="auto" w:val="clear"/>
            <w:vAlign w:val="bottom"/>
          </w:tcPr>
          <w:p>
            <w:pPr>
              <w:pStyle w:val="TableContents"/>
              <w:spacing w:before="0" w:after="283"/>
              <w:rPr/>
            </w:pPr>
            <w:r>
              <w:rPr/>
              <w:t>  </w:t>
            </w:r>
          </w:p>
        </w:tc>
        <w:tc>
          <w:tcPr>
            <w:tcW w:w="4432" w:type="dxa"/>
            <w:tcBorders/>
            <w:shd w:fill="auto" w:val="clear"/>
          </w:tcPr>
          <w:p>
            <w:pPr>
              <w:pStyle w:val="TableContents"/>
              <w:spacing w:before="0" w:after="283"/>
              <w:rPr>
                <w:i/>
              </w:rPr>
            </w:pPr>
            <w:r>
              <w:rPr>
                <w:i/>
              </w:rPr>
              <w:t>/signature/</w:t>
            </w:r>
          </w:p>
        </w:tc>
        <w:tc>
          <w:tcPr>
            <w:tcW w:w="122" w:type="dxa"/>
            <w:tcBorders/>
            <w:shd w:fill="auto" w:val="clear"/>
            <w:vAlign w:val="bottom"/>
          </w:tcPr>
          <w:p>
            <w:pPr>
              <w:pStyle w:val="TableContents"/>
              <w:spacing w:before="0" w:after="283"/>
              <w:rPr/>
            </w:pPr>
            <w:r>
              <w:rPr/>
              <w:t>  </w:t>
            </w:r>
          </w:p>
        </w:tc>
        <w:tc>
          <w:tcPr>
            <w:tcW w:w="4189" w:type="dxa"/>
            <w:tcBorders/>
            <w:shd w:fill="auto" w:val="clear"/>
          </w:tcPr>
          <w:p>
            <w:pPr>
              <w:pStyle w:val="TableContents"/>
              <w:spacing w:before="0" w:after="283"/>
              <w:jc w:val="center"/>
              <w:rPr/>
            </w:pPr>
            <w:r>
              <w:rPr/>
              <w:t>Seal:</w:t>
            </w:r>
          </w:p>
        </w:tc>
      </w:tr>
      <w:tr>
        <w:trPr/>
        <w:tc>
          <w:tcPr>
            <w:tcW w:w="1245" w:type="dxa"/>
            <w:tcBorders/>
            <w:shd w:fill="auto" w:val="clea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pPr>
            <w:r>
              <w:rPr/>
              <w:t>  </w:t>
            </w:r>
          </w:p>
        </w:tc>
        <w:tc>
          <w:tcPr>
            <w:tcW w:w="4432" w:type="dxa"/>
            <w:tcBorders/>
            <w:shd w:fill="auto" w:val="clea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pPr>
            <w:r>
              <w:rPr/>
              <w:t>  </w:t>
            </w:r>
          </w:p>
        </w:tc>
        <w:tc>
          <w:tcPr>
            <w:tcW w:w="4189" w:type="dxa"/>
            <w:tcBorders/>
            <w:shd w:fill="auto" w:val="clear"/>
          </w:tcPr>
          <w:p>
            <w:pPr>
              <w:pStyle w:val="TableContents"/>
              <w:spacing w:before="0" w:after="283"/>
              <w:jc w:val="center"/>
              <w:rPr/>
            </w:pPr>
            <w:r>
              <w:rPr/>
              <w:t>[ZEMENIK TRADING LIMITED]</w:t>
            </w:r>
          </w:p>
        </w:tc>
      </w:tr>
      <w:tr>
        <w:trPr/>
        <w:tc>
          <w:tcPr>
            <w:tcW w:w="1245" w:type="dxa"/>
            <w:tcBorders/>
            <w:shd w:fill="auto" w:val="clear"/>
          </w:tcPr>
          <w:p>
            <w:pPr>
              <w:pStyle w:val="TableContents"/>
              <w:spacing w:before="0" w:after="283"/>
              <w:rPr/>
            </w:pPr>
            <w:r>
              <w:rPr/>
              <w:t>Full name:</w:t>
            </w:r>
          </w:p>
        </w:tc>
        <w:tc>
          <w:tcPr>
            <w:tcW w:w="217" w:type="dxa"/>
            <w:tcBorders/>
            <w:shd w:fill="auto" w:val="clear"/>
            <w:vAlign w:val="bottom"/>
          </w:tcPr>
          <w:p>
            <w:pPr>
              <w:pStyle w:val="TableContents"/>
              <w:spacing w:before="0" w:after="283"/>
              <w:rPr/>
            </w:pPr>
            <w:r>
              <w:rPr/>
              <w:t>  </w:t>
            </w:r>
          </w:p>
        </w:tc>
        <w:tc>
          <w:tcPr>
            <w:tcW w:w="4432" w:type="dxa"/>
            <w:tcBorders/>
            <w:shd w:fill="auto" w:val="clear"/>
          </w:tcPr>
          <w:p>
            <w:pPr>
              <w:pStyle w:val="TableContents"/>
              <w:spacing w:before="0" w:after="283"/>
              <w:rPr>
                <w:i/>
              </w:rPr>
            </w:pPr>
            <w:r>
              <w:rPr>
                <w:i/>
              </w:rPr>
              <w:t>Katerina Losif</w:t>
            </w:r>
          </w:p>
        </w:tc>
        <w:tc>
          <w:tcPr>
            <w:tcW w:w="122" w:type="dxa"/>
            <w:tcBorders/>
            <w:shd w:fill="auto" w:val="clear"/>
            <w:vAlign w:val="bottom"/>
          </w:tcPr>
          <w:p>
            <w:pPr>
              <w:pStyle w:val="TableContents"/>
              <w:spacing w:before="0" w:after="283"/>
              <w:rPr/>
            </w:pPr>
            <w:r>
              <w:rPr/>
              <w:t>  </w:t>
            </w:r>
          </w:p>
        </w:tc>
        <w:tc>
          <w:tcPr>
            <w:tcW w:w="4189" w:type="dxa"/>
            <w:tcBorders/>
            <w:shd w:fill="auto" w:val="clear"/>
          </w:tcPr>
          <w:p>
            <w:pPr>
              <w:pStyle w:val="TableContents"/>
              <w:spacing w:before="0" w:after="283"/>
              <w:rPr>
                <w:sz w:val="4"/>
                <w:szCs w:val="4"/>
              </w:rPr>
            </w:pPr>
            <w:r>
              <w:rPr>
                <w:sz w:val="4"/>
                <w:szCs w:val="4"/>
              </w:rPr>
            </w:r>
          </w:p>
        </w:tc>
      </w:tr>
      <w:tr>
        <w:trPr>
          <w:trHeight w:val="240" w:hRule="atLeast"/>
        </w:trPr>
        <w:tc>
          <w:tcPr>
            <w:tcW w:w="1245" w:type="dxa"/>
            <w:tcBorders/>
            <w:shd w:fill="auto" w:val="clear"/>
            <w:vAlign w:val="center"/>
          </w:tcPr>
          <w:p>
            <w:pPr>
              <w:pStyle w:val="TableContents"/>
              <w:spacing w:before="0" w:after="283"/>
              <w:rPr>
                <w:sz w:val="4"/>
                <w:szCs w:val="4"/>
              </w:rPr>
            </w:pPr>
            <w:r>
              <w:rPr>
                <w:sz w:val="4"/>
                <w:szCs w:val="4"/>
              </w:rPr>
            </w:r>
          </w:p>
        </w:tc>
        <w:tc>
          <w:tcPr>
            <w:tcW w:w="4649" w:type="dxa"/>
            <w:gridSpan w:val="2"/>
            <w:tcBorders/>
            <w:shd w:fill="auto" w:val="clear"/>
            <w:vAlign w:val="center"/>
          </w:tcPr>
          <w:p>
            <w:pPr>
              <w:pStyle w:val="TableContents"/>
              <w:spacing w:before="0" w:after="283"/>
              <w:rPr>
                <w:sz w:val="4"/>
                <w:szCs w:val="4"/>
              </w:rPr>
            </w:pPr>
            <w:r>
              <w:rPr>
                <w:sz w:val="4"/>
                <w:szCs w:val="4"/>
              </w:rPr>
            </w:r>
          </w:p>
        </w:tc>
        <w:tc>
          <w:tcPr>
            <w:tcW w:w="4311" w:type="dxa"/>
            <w:gridSpan w:val="2"/>
            <w:tcBorders/>
            <w:shd w:fill="auto" w:val="clear"/>
            <w:vAlign w:val="center"/>
          </w:tcPr>
          <w:p>
            <w:pPr>
              <w:pStyle w:val="TableContents"/>
              <w:spacing w:before="0" w:after="283"/>
              <w:rPr>
                <w:sz w:val="4"/>
                <w:szCs w:val="4"/>
              </w:rPr>
            </w:pPr>
            <w:r>
              <w:rPr>
                <w:sz w:val="4"/>
                <w:szCs w:val="4"/>
              </w:rPr>
            </w:r>
          </w:p>
        </w:tc>
      </w:tr>
      <w:tr>
        <w:trPr/>
        <w:tc>
          <w:tcPr>
            <w:tcW w:w="1245" w:type="dxa"/>
            <w:tcBorders/>
            <w:shd w:fill="auto" w:val="clear"/>
          </w:tcPr>
          <w:p>
            <w:pPr>
              <w:pStyle w:val="TableContents"/>
              <w:spacing w:before="0" w:after="283"/>
              <w:rPr/>
            </w:pPr>
            <w:r>
              <w:rPr/>
              <w:t>Position:</w:t>
            </w:r>
          </w:p>
        </w:tc>
        <w:tc>
          <w:tcPr>
            <w:tcW w:w="217" w:type="dxa"/>
            <w:tcBorders/>
            <w:shd w:fill="auto" w:val="clear"/>
            <w:vAlign w:val="bottom"/>
          </w:tcPr>
          <w:p>
            <w:pPr>
              <w:pStyle w:val="TableContents"/>
              <w:spacing w:before="0" w:after="283"/>
              <w:rPr/>
            </w:pPr>
            <w:r>
              <w:rPr/>
              <w:t>  </w:t>
            </w:r>
          </w:p>
        </w:tc>
        <w:tc>
          <w:tcPr>
            <w:tcW w:w="4432" w:type="dxa"/>
            <w:tcBorders/>
            <w:shd w:fill="auto" w:val="clear"/>
          </w:tcPr>
          <w:p>
            <w:pPr>
              <w:pStyle w:val="TableContents"/>
              <w:spacing w:before="0" w:after="283"/>
              <w:rPr/>
            </w:pPr>
            <w:r>
              <w:rPr/>
              <w:t>Director</w:t>
            </w:r>
          </w:p>
        </w:tc>
        <w:tc>
          <w:tcPr>
            <w:tcW w:w="122" w:type="dxa"/>
            <w:tcBorders/>
            <w:shd w:fill="auto" w:val="clear"/>
            <w:vAlign w:val="bottom"/>
          </w:tcPr>
          <w:p>
            <w:pPr>
              <w:pStyle w:val="TableContents"/>
              <w:spacing w:before="0" w:after="283"/>
              <w:rPr/>
            </w:pPr>
            <w:r>
              <w:rPr/>
              <w:t>  </w:t>
            </w:r>
          </w:p>
        </w:tc>
        <w:tc>
          <w:tcPr>
            <w:tcW w:w="4189" w:type="dxa"/>
            <w:tcBorders/>
            <w:shd w:fill="auto" w:val="clear"/>
          </w:tcPr>
          <w:p>
            <w:pPr>
              <w:pStyle w:val="TableContents"/>
              <w:spacing w:before="0" w:after="283"/>
              <w:rPr>
                <w:sz w:val="4"/>
                <w:szCs w:val="4"/>
              </w:rPr>
            </w:pPr>
            <w:r>
              <w:rPr>
                <w:sz w:val="4"/>
                <w:szCs w:val="4"/>
              </w:rPr>
            </w:r>
          </w:p>
        </w:tc>
      </w:tr>
      <w:tr>
        <w:trPr>
          <w:trHeight w:val="240" w:hRule="atLeast"/>
        </w:trPr>
        <w:tc>
          <w:tcPr>
            <w:tcW w:w="1245" w:type="dxa"/>
            <w:tcBorders/>
            <w:shd w:fill="auto" w:val="clear"/>
            <w:vAlign w:val="center"/>
          </w:tcPr>
          <w:p>
            <w:pPr>
              <w:pStyle w:val="TableContents"/>
              <w:spacing w:before="0" w:after="283"/>
              <w:rPr>
                <w:sz w:val="4"/>
                <w:szCs w:val="4"/>
              </w:rPr>
            </w:pPr>
            <w:r>
              <w:rPr>
                <w:sz w:val="4"/>
                <w:szCs w:val="4"/>
              </w:rPr>
            </w:r>
          </w:p>
        </w:tc>
        <w:tc>
          <w:tcPr>
            <w:tcW w:w="4649" w:type="dxa"/>
            <w:gridSpan w:val="2"/>
            <w:tcBorders/>
            <w:shd w:fill="auto" w:val="clear"/>
            <w:vAlign w:val="center"/>
          </w:tcPr>
          <w:p>
            <w:pPr>
              <w:pStyle w:val="TableContents"/>
              <w:spacing w:before="0" w:after="283"/>
              <w:rPr>
                <w:sz w:val="4"/>
                <w:szCs w:val="4"/>
              </w:rPr>
            </w:pPr>
            <w:r>
              <w:rPr>
                <w:sz w:val="4"/>
                <w:szCs w:val="4"/>
              </w:rPr>
            </w:r>
          </w:p>
        </w:tc>
        <w:tc>
          <w:tcPr>
            <w:tcW w:w="4311" w:type="dxa"/>
            <w:gridSpan w:val="2"/>
            <w:tcBorders/>
            <w:shd w:fill="auto" w:val="clear"/>
            <w:vAlign w:val="center"/>
          </w:tcPr>
          <w:p>
            <w:pPr>
              <w:pStyle w:val="TableContents"/>
              <w:spacing w:before="0" w:after="283"/>
              <w:rPr>
                <w:sz w:val="4"/>
                <w:szCs w:val="4"/>
              </w:rPr>
            </w:pPr>
            <w:r>
              <w:rPr>
                <w:sz w:val="4"/>
                <w:szCs w:val="4"/>
              </w:rPr>
            </w:r>
          </w:p>
        </w:tc>
      </w:tr>
      <w:tr>
        <w:trPr/>
        <w:tc>
          <w:tcPr>
            <w:tcW w:w="1245" w:type="dxa"/>
            <w:tcBorders/>
            <w:shd w:fill="auto" w:val="clear"/>
          </w:tcPr>
          <w:p>
            <w:pPr>
              <w:pStyle w:val="TableContents"/>
              <w:spacing w:before="0" w:after="283"/>
              <w:rPr/>
            </w:pPr>
            <w:r>
              <w:rPr/>
              <w:t>Witness:</w:t>
            </w:r>
          </w:p>
        </w:tc>
        <w:tc>
          <w:tcPr>
            <w:tcW w:w="217" w:type="dxa"/>
            <w:tcBorders/>
            <w:shd w:fill="auto" w:val="clear"/>
            <w:vAlign w:val="bottom"/>
          </w:tcPr>
          <w:p>
            <w:pPr>
              <w:pStyle w:val="TableContents"/>
              <w:spacing w:before="0" w:after="283"/>
              <w:rPr/>
            </w:pPr>
            <w:r>
              <w:rPr/>
              <w:t>  </w:t>
            </w:r>
          </w:p>
        </w:tc>
        <w:tc>
          <w:tcPr>
            <w:tcW w:w="4432" w:type="dxa"/>
            <w:tcBorders/>
            <w:shd w:fill="auto" w:val="clear"/>
          </w:tcPr>
          <w:p>
            <w:pPr>
              <w:pStyle w:val="TableContents"/>
              <w:spacing w:before="0" w:after="283"/>
              <w:rPr>
                <w:i/>
              </w:rPr>
            </w:pPr>
            <w:r>
              <w:rPr>
                <w:i/>
              </w:rPr>
              <w:t>/signature/</w:t>
            </w:r>
          </w:p>
        </w:tc>
        <w:tc>
          <w:tcPr>
            <w:tcW w:w="122" w:type="dxa"/>
            <w:tcBorders/>
            <w:shd w:fill="auto" w:val="clear"/>
            <w:vAlign w:val="bottom"/>
          </w:tcPr>
          <w:p>
            <w:pPr>
              <w:pStyle w:val="TableContents"/>
              <w:spacing w:before="0" w:after="283"/>
              <w:rPr/>
            </w:pPr>
            <w:r>
              <w:rPr/>
              <w:t>  </w:t>
            </w:r>
          </w:p>
        </w:tc>
        <w:tc>
          <w:tcPr>
            <w:tcW w:w="4189" w:type="dxa"/>
            <w:tcBorders/>
            <w:shd w:fill="auto" w:val="clear"/>
          </w:tcPr>
          <w:p>
            <w:pPr>
              <w:pStyle w:val="TableContents"/>
              <w:spacing w:before="0" w:after="283"/>
              <w:rPr>
                <w:sz w:val="4"/>
                <w:szCs w:val="4"/>
              </w:rPr>
            </w:pPr>
            <w:r>
              <w:rPr>
                <w:sz w:val="4"/>
                <w:szCs w:val="4"/>
              </w:rPr>
            </w:r>
          </w:p>
        </w:tc>
      </w:tr>
      <w:tr>
        <w:trPr/>
        <w:tc>
          <w:tcPr>
            <w:tcW w:w="1245" w:type="dxa"/>
            <w:tcBorders/>
            <w:shd w:fill="auto" w:val="clea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pPr>
            <w:r>
              <w:rPr/>
              <w:t>  </w:t>
            </w:r>
          </w:p>
        </w:tc>
        <w:tc>
          <w:tcPr>
            <w:tcW w:w="4432" w:type="dxa"/>
            <w:tcBorders/>
            <w:shd w:fill="auto" w:val="clear"/>
          </w:tcPr>
          <w:p>
            <w:pPr>
              <w:pStyle w:val="TableContents"/>
              <w:spacing w:before="0" w:after="283"/>
              <w:rPr/>
            </w:pPr>
            <w:r>
              <w:rPr/>
              <w:t>Marina Koskiri</w:t>
            </w:r>
          </w:p>
        </w:tc>
        <w:tc>
          <w:tcPr>
            <w:tcW w:w="122" w:type="dxa"/>
            <w:tcBorders/>
            <w:shd w:fill="auto" w:val="clear"/>
            <w:vAlign w:val="bottom"/>
          </w:tcPr>
          <w:p>
            <w:pPr>
              <w:pStyle w:val="TableContents"/>
              <w:spacing w:before="0" w:after="283"/>
              <w:rPr/>
            </w:pPr>
            <w:r>
              <w:rPr/>
              <w:t>  </w:t>
            </w:r>
          </w:p>
        </w:tc>
        <w:tc>
          <w:tcPr>
            <w:tcW w:w="4189"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Borrower </w:t>
      </w:r>
    </w:p>
    <w:p>
      <w:pPr>
        <w:pStyle w:val="TextBody"/>
        <w:spacing w:before="240" w:after="0"/>
        <w:rPr>
          <w:rFonts w:ascii="Times New Roman" w:hAnsi="Times New Roman"/>
          <w:b/>
          <w:sz w:val="20"/>
        </w:rPr>
      </w:pPr>
      <w:r>
        <w:rPr>
          <w:rFonts w:ascii="Times New Roman" w:hAnsi="Times New Roman"/>
          <w:b/>
          <w:sz w:val="20"/>
        </w:rPr>
        <w:t xml:space="preserve">ZEMENIK LIMITED LIABILITY COMPANY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078"/>
        <w:gridCol w:w="60"/>
        <w:gridCol w:w="2944"/>
      </w:tblGrid>
      <w:tr>
        <w:trPr/>
        <w:tc>
          <w:tcPr>
            <w:tcW w:w="1078"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2944" w:type="dxa"/>
            <w:tcBorders/>
            <w:shd w:fill="auto" w:val="clear"/>
            <w:vAlign w:val="center"/>
          </w:tcPr>
          <w:p>
            <w:pPr>
              <w:pStyle w:val="TableContents"/>
              <w:spacing w:before="0" w:after="283"/>
              <w:rPr>
                <w:sz w:val="4"/>
                <w:szCs w:val="4"/>
              </w:rPr>
            </w:pPr>
            <w:r>
              <w:rPr>
                <w:sz w:val="4"/>
                <w:szCs w:val="4"/>
              </w:rPr>
            </w:r>
          </w:p>
        </w:tc>
      </w:tr>
      <w:tr>
        <w:trPr/>
        <w:tc>
          <w:tcPr>
            <w:tcW w:w="1078" w:type="dxa"/>
            <w:tcBorders/>
            <w:shd w:fill="auto" w:val="clear"/>
            <w:vAlign w:val="bottom"/>
          </w:tcPr>
          <w:p>
            <w:pPr>
              <w:pStyle w:val="TableContents"/>
              <w:spacing w:before="0" w:after="283"/>
              <w:rPr/>
            </w:pPr>
            <w:r>
              <w:rPr/>
              <w:t>Signature:</w:t>
            </w:r>
          </w:p>
        </w:tc>
        <w:tc>
          <w:tcPr>
            <w:tcW w:w="60" w:type="dxa"/>
            <w:tcBorders/>
            <w:shd w:fill="auto" w:val="clear"/>
            <w:vAlign w:val="bottom"/>
          </w:tcPr>
          <w:p>
            <w:pPr>
              <w:pStyle w:val="TableContents"/>
              <w:spacing w:before="0" w:after="283"/>
              <w:rPr/>
            </w:pPr>
            <w:r>
              <w:rPr/>
              <w:t> </w:t>
            </w:r>
          </w:p>
        </w:tc>
        <w:tc>
          <w:tcPr>
            <w:tcW w:w="2944" w:type="dxa"/>
            <w:tcBorders/>
            <w:shd w:fill="auto" w:val="clear"/>
            <w:vAlign w:val="bottom"/>
          </w:tcPr>
          <w:p>
            <w:pPr>
              <w:pStyle w:val="TableContents"/>
              <w:spacing w:before="0" w:after="283"/>
              <w:rPr>
                <w:i/>
              </w:rPr>
            </w:pPr>
            <w:r>
              <w:rPr>
                <w:i/>
              </w:rPr>
              <w:t>/signature/</w:t>
            </w:r>
          </w:p>
        </w:tc>
      </w:tr>
      <w:tr>
        <w:trPr>
          <w:trHeight w:val="240" w:hRule="atLeast"/>
        </w:trPr>
        <w:tc>
          <w:tcPr>
            <w:tcW w:w="1078" w:type="dxa"/>
            <w:tcBorders/>
            <w:shd w:fill="auto" w:val="clear"/>
            <w:vAlign w:val="center"/>
          </w:tcPr>
          <w:p>
            <w:pPr>
              <w:pStyle w:val="TableContents"/>
              <w:spacing w:before="0" w:after="283"/>
              <w:rPr>
                <w:sz w:val="4"/>
                <w:szCs w:val="4"/>
              </w:rPr>
            </w:pPr>
            <w:r>
              <w:rPr>
                <w:sz w:val="4"/>
                <w:szCs w:val="4"/>
              </w:rPr>
            </w:r>
          </w:p>
        </w:tc>
        <w:tc>
          <w:tcPr>
            <w:tcW w:w="3004" w:type="dxa"/>
            <w:gridSpan w:val="2"/>
            <w:tcBorders/>
            <w:shd w:fill="auto" w:val="clear"/>
            <w:vAlign w:val="center"/>
          </w:tcPr>
          <w:p>
            <w:pPr>
              <w:pStyle w:val="TableContents"/>
              <w:spacing w:before="0" w:after="283"/>
              <w:rPr>
                <w:sz w:val="4"/>
                <w:szCs w:val="4"/>
              </w:rPr>
            </w:pPr>
            <w:r>
              <w:rPr>
                <w:sz w:val="4"/>
                <w:szCs w:val="4"/>
              </w:rPr>
            </w:r>
          </w:p>
        </w:tc>
      </w:tr>
      <w:tr>
        <w:trPr/>
        <w:tc>
          <w:tcPr>
            <w:tcW w:w="1078" w:type="dxa"/>
            <w:tcBorders/>
            <w:shd w:fill="auto" w:val="clear"/>
            <w:vAlign w:val="bottom"/>
          </w:tcPr>
          <w:p>
            <w:pPr>
              <w:pStyle w:val="TableContents"/>
              <w:spacing w:before="0" w:after="283"/>
              <w:rPr/>
            </w:pPr>
            <w:r>
              <w:rPr/>
              <w:t>Full name:</w:t>
            </w:r>
          </w:p>
        </w:tc>
        <w:tc>
          <w:tcPr>
            <w:tcW w:w="60" w:type="dxa"/>
            <w:tcBorders/>
            <w:shd w:fill="auto" w:val="clear"/>
            <w:vAlign w:val="bottom"/>
          </w:tcPr>
          <w:p>
            <w:pPr>
              <w:pStyle w:val="TableContents"/>
              <w:spacing w:before="0" w:after="283"/>
              <w:rPr/>
            </w:pPr>
            <w:r>
              <w:rPr/>
              <w:t> </w:t>
            </w:r>
          </w:p>
        </w:tc>
        <w:tc>
          <w:tcPr>
            <w:tcW w:w="2944" w:type="dxa"/>
            <w:tcBorders/>
            <w:shd w:fill="auto" w:val="clear"/>
            <w:vAlign w:val="bottom"/>
          </w:tcPr>
          <w:p>
            <w:pPr>
              <w:pStyle w:val="TableContents"/>
              <w:spacing w:before="0" w:after="283"/>
              <w:rPr/>
            </w:pPr>
            <w:r>
              <w:rPr/>
              <w:t>Karen Eduardovich Agayan</w:t>
            </w:r>
          </w:p>
        </w:tc>
      </w:tr>
      <w:tr>
        <w:trPr>
          <w:trHeight w:val="240" w:hRule="atLeast"/>
        </w:trPr>
        <w:tc>
          <w:tcPr>
            <w:tcW w:w="1078" w:type="dxa"/>
            <w:tcBorders/>
            <w:shd w:fill="auto" w:val="clear"/>
            <w:vAlign w:val="center"/>
          </w:tcPr>
          <w:p>
            <w:pPr>
              <w:pStyle w:val="TableContents"/>
              <w:spacing w:before="0" w:after="283"/>
              <w:rPr>
                <w:sz w:val="4"/>
                <w:szCs w:val="4"/>
              </w:rPr>
            </w:pPr>
            <w:r>
              <w:rPr>
                <w:sz w:val="4"/>
                <w:szCs w:val="4"/>
              </w:rPr>
            </w:r>
          </w:p>
        </w:tc>
        <w:tc>
          <w:tcPr>
            <w:tcW w:w="3004" w:type="dxa"/>
            <w:gridSpan w:val="2"/>
            <w:tcBorders/>
            <w:shd w:fill="auto" w:val="clear"/>
            <w:vAlign w:val="center"/>
          </w:tcPr>
          <w:p>
            <w:pPr>
              <w:pStyle w:val="TableContents"/>
              <w:spacing w:before="0" w:after="283"/>
              <w:rPr>
                <w:sz w:val="4"/>
                <w:szCs w:val="4"/>
              </w:rPr>
            </w:pPr>
            <w:r>
              <w:rPr>
                <w:sz w:val="4"/>
                <w:szCs w:val="4"/>
              </w:rPr>
            </w:r>
          </w:p>
        </w:tc>
      </w:tr>
      <w:tr>
        <w:trPr/>
        <w:tc>
          <w:tcPr>
            <w:tcW w:w="1078" w:type="dxa"/>
            <w:tcBorders/>
            <w:shd w:fill="auto" w:val="clear"/>
            <w:vAlign w:val="bottom"/>
          </w:tcPr>
          <w:p>
            <w:pPr>
              <w:pStyle w:val="TableContents"/>
              <w:spacing w:before="0" w:after="283"/>
              <w:rPr/>
            </w:pPr>
            <w:r>
              <w:rPr/>
              <w:t>Position:</w:t>
            </w:r>
          </w:p>
        </w:tc>
        <w:tc>
          <w:tcPr>
            <w:tcW w:w="60" w:type="dxa"/>
            <w:tcBorders/>
            <w:shd w:fill="auto" w:val="clear"/>
            <w:vAlign w:val="bottom"/>
          </w:tcPr>
          <w:p>
            <w:pPr>
              <w:pStyle w:val="TableContents"/>
              <w:spacing w:before="0" w:after="283"/>
              <w:rPr/>
            </w:pPr>
            <w:r>
              <w:rPr/>
              <w:t> </w:t>
            </w:r>
          </w:p>
        </w:tc>
        <w:tc>
          <w:tcPr>
            <w:tcW w:w="2944" w:type="dxa"/>
            <w:tcBorders/>
            <w:shd w:fill="auto" w:val="clear"/>
            <w:vAlign w:val="bottom"/>
          </w:tcPr>
          <w:p>
            <w:pPr>
              <w:pStyle w:val="TableContents"/>
              <w:spacing w:before="0" w:after="283"/>
              <w:rPr/>
            </w:pPr>
            <w:r>
              <w:rPr/>
              <w:t>General Director</w:t>
            </w:r>
          </w:p>
        </w:tc>
      </w:tr>
    </w:tbl>
    <w:p>
      <w:pPr>
        <w:pStyle w:val="TextBody"/>
        <w:spacing w:before="48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7714373561 </w:t>
      </w:r>
    </w:p>
    <w:p>
      <w:pPr>
        <w:pStyle w:val="TextBody"/>
        <w:spacing w:before="0" w:after="0"/>
        <w:jc w:val="center"/>
        <w:rPr>
          <w:rFonts w:ascii="Times New Roman" w:hAnsi="Times New Roman"/>
          <w:sz w:val="20"/>
        </w:rPr>
      </w:pPr>
      <w:r>
        <w:rPr>
          <w:rFonts w:ascii="Times New Roman" w:hAnsi="Times New Roman"/>
          <w:sz w:val="20"/>
        </w:rPr>
        <w:t xml:space="preserve">LIMITED LIABILITY COMPANY </w:t>
      </w:r>
    </w:p>
    <w:p>
      <w:pPr>
        <w:pStyle w:val="TextBody"/>
        <w:spacing w:before="0" w:after="0"/>
        <w:jc w:val="center"/>
        <w:rPr>
          <w:rFonts w:ascii="Times New Roman" w:hAnsi="Times New Roman"/>
          <w:sz w:val="20"/>
        </w:rPr>
      </w:pPr>
      <w:r>
        <w:rPr>
          <w:rFonts w:ascii="Times New Roman" w:hAnsi="Times New Roman"/>
          <w:sz w:val="20"/>
        </w:rPr>
        <w:t xml:space="preserve">OGRN (Primary State Registration Number) 1167746153860 </w:t>
      </w:r>
    </w:p>
    <w:p>
      <w:pPr>
        <w:pStyle w:val="TextBody"/>
        <w:spacing w:before="0" w:after="0"/>
        <w:jc w:val="center"/>
        <w:rPr>
          <w:rFonts w:ascii="Times New Roman" w:hAnsi="Times New Roman"/>
          <w:sz w:val="20"/>
        </w:rPr>
      </w:pPr>
      <w:r>
        <w:rPr>
          <w:rFonts w:ascii="Times New Roman" w:hAnsi="Times New Roman"/>
          <w:sz w:val="20"/>
        </w:rPr>
        <w:t xml:space="preserve">MOSCOW </w:t>
      </w:r>
    </w:p>
    <w:p>
      <w:pPr>
        <w:pStyle w:val="TextBody"/>
        <w:spacing w:before="0" w:after="0"/>
        <w:jc w:val="center"/>
        <w:rPr>
          <w:rFonts w:ascii="Times New Roman" w:hAnsi="Times New Roman"/>
          <w:sz w:val="20"/>
        </w:rPr>
      </w:pPr>
      <w:r>
        <w:rPr>
          <w:rFonts w:ascii="Times New Roman" w:hAnsi="Times New Roman"/>
          <w:sz w:val="20"/>
        </w:rPr>
        <w:t xml:space="preserve">Zemenik] </w:t>
      </w:r>
      <w:r>
        <w:br w:type="page"/>
      </w:r>
    </w:p>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Original Lender </w:t>
      </w:r>
    </w:p>
    <w:p>
      <w:pPr>
        <w:pStyle w:val="TextBody"/>
        <w:spacing w:before="240" w:after="0"/>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060"/>
        <w:gridCol w:w="60"/>
        <w:gridCol w:w="2962"/>
      </w:tblGrid>
      <w:tr>
        <w:trPr/>
        <w:tc>
          <w:tcPr>
            <w:tcW w:w="1060"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2962" w:type="dxa"/>
            <w:tcBorders/>
            <w:shd w:fill="auto" w:val="clear"/>
            <w:vAlign w:val="center"/>
          </w:tcPr>
          <w:p>
            <w:pPr>
              <w:pStyle w:val="TableContents"/>
              <w:spacing w:before="0" w:after="283"/>
              <w:rPr>
                <w:sz w:val="4"/>
                <w:szCs w:val="4"/>
              </w:rPr>
            </w:pPr>
            <w:r>
              <w:rPr>
                <w:sz w:val="4"/>
                <w:szCs w:val="4"/>
              </w:rPr>
            </w:r>
          </w:p>
        </w:tc>
      </w:tr>
      <w:tr>
        <w:trPr/>
        <w:tc>
          <w:tcPr>
            <w:tcW w:w="1060" w:type="dxa"/>
            <w:tcBorders/>
            <w:shd w:fill="auto" w:val="clear"/>
            <w:vAlign w:val="bottom"/>
          </w:tcPr>
          <w:p>
            <w:pPr>
              <w:pStyle w:val="TableContents"/>
              <w:spacing w:before="0" w:after="283"/>
              <w:rPr/>
            </w:pPr>
            <w:r>
              <w:rPr/>
              <w:t>Signature:</w:t>
            </w:r>
          </w:p>
        </w:tc>
        <w:tc>
          <w:tcPr>
            <w:tcW w:w="60" w:type="dxa"/>
            <w:tcBorders/>
            <w:shd w:fill="auto" w:val="clear"/>
            <w:vAlign w:val="bottom"/>
          </w:tcPr>
          <w:p>
            <w:pPr>
              <w:pStyle w:val="TableContents"/>
              <w:spacing w:before="0" w:after="283"/>
              <w:rPr/>
            </w:pPr>
            <w:r>
              <w:rPr/>
              <w:t> </w:t>
            </w:r>
          </w:p>
        </w:tc>
        <w:tc>
          <w:tcPr>
            <w:tcW w:w="2962" w:type="dxa"/>
            <w:tcBorders/>
            <w:shd w:fill="auto" w:val="clear"/>
            <w:vAlign w:val="bottom"/>
          </w:tcPr>
          <w:p>
            <w:pPr>
              <w:pStyle w:val="TableContents"/>
              <w:spacing w:before="0" w:after="283"/>
              <w:rPr>
                <w:i/>
              </w:rPr>
            </w:pPr>
            <w:r>
              <w:rPr>
                <w:i/>
              </w:rPr>
              <w:t>/signature/</w:t>
            </w:r>
          </w:p>
        </w:tc>
      </w:tr>
      <w:tr>
        <w:trPr>
          <w:trHeight w:val="240" w:hRule="atLeast"/>
        </w:trPr>
        <w:tc>
          <w:tcPr>
            <w:tcW w:w="1060" w:type="dxa"/>
            <w:tcBorders/>
            <w:shd w:fill="auto" w:val="clear"/>
            <w:vAlign w:val="center"/>
          </w:tcPr>
          <w:p>
            <w:pPr>
              <w:pStyle w:val="TableContents"/>
              <w:spacing w:before="0" w:after="283"/>
              <w:rPr>
                <w:sz w:val="4"/>
                <w:szCs w:val="4"/>
              </w:rPr>
            </w:pPr>
            <w:r>
              <w:rPr>
                <w:sz w:val="4"/>
                <w:szCs w:val="4"/>
              </w:rPr>
            </w:r>
          </w:p>
        </w:tc>
        <w:tc>
          <w:tcPr>
            <w:tcW w:w="3022" w:type="dxa"/>
            <w:gridSpan w:val="2"/>
            <w:tcBorders/>
            <w:shd w:fill="auto" w:val="clear"/>
            <w:vAlign w:val="center"/>
          </w:tcPr>
          <w:p>
            <w:pPr>
              <w:pStyle w:val="TableContents"/>
              <w:spacing w:before="0" w:after="283"/>
              <w:rPr>
                <w:sz w:val="4"/>
                <w:szCs w:val="4"/>
              </w:rPr>
            </w:pPr>
            <w:r>
              <w:rPr>
                <w:sz w:val="4"/>
                <w:szCs w:val="4"/>
              </w:rPr>
            </w:r>
          </w:p>
        </w:tc>
      </w:tr>
      <w:tr>
        <w:trPr/>
        <w:tc>
          <w:tcPr>
            <w:tcW w:w="1060" w:type="dxa"/>
            <w:tcBorders/>
            <w:shd w:fill="auto" w:val="clear"/>
            <w:vAlign w:val="bottom"/>
          </w:tcPr>
          <w:p>
            <w:pPr>
              <w:pStyle w:val="TableContents"/>
              <w:spacing w:before="0" w:after="283"/>
              <w:rPr/>
            </w:pPr>
            <w:r>
              <w:rPr/>
              <w:t>Full name:</w:t>
            </w:r>
          </w:p>
        </w:tc>
        <w:tc>
          <w:tcPr>
            <w:tcW w:w="60" w:type="dxa"/>
            <w:tcBorders/>
            <w:shd w:fill="auto" w:val="clear"/>
            <w:vAlign w:val="bottom"/>
          </w:tcPr>
          <w:p>
            <w:pPr>
              <w:pStyle w:val="TableContents"/>
              <w:spacing w:before="0" w:after="283"/>
              <w:rPr/>
            </w:pPr>
            <w:r>
              <w:rPr/>
              <w:t> </w:t>
            </w:r>
          </w:p>
        </w:tc>
        <w:tc>
          <w:tcPr>
            <w:tcW w:w="2962" w:type="dxa"/>
            <w:tcBorders/>
            <w:shd w:fill="auto" w:val="clear"/>
            <w:vAlign w:val="bottom"/>
          </w:tcPr>
          <w:p>
            <w:pPr>
              <w:pStyle w:val="TableContents"/>
              <w:spacing w:before="0" w:after="283"/>
              <w:rPr/>
            </w:pPr>
            <w:r>
              <w:rPr/>
              <w:t>Vitaly Nikolaevich Buzoverya</w:t>
            </w:r>
          </w:p>
        </w:tc>
      </w:tr>
      <w:tr>
        <w:trPr>
          <w:trHeight w:val="240" w:hRule="atLeast"/>
        </w:trPr>
        <w:tc>
          <w:tcPr>
            <w:tcW w:w="1060" w:type="dxa"/>
            <w:tcBorders/>
            <w:shd w:fill="auto" w:val="clear"/>
            <w:vAlign w:val="center"/>
          </w:tcPr>
          <w:p>
            <w:pPr>
              <w:pStyle w:val="TableContents"/>
              <w:spacing w:before="0" w:after="283"/>
              <w:rPr>
                <w:sz w:val="4"/>
                <w:szCs w:val="4"/>
              </w:rPr>
            </w:pPr>
            <w:r>
              <w:rPr>
                <w:sz w:val="4"/>
                <w:szCs w:val="4"/>
              </w:rPr>
            </w:r>
          </w:p>
        </w:tc>
        <w:tc>
          <w:tcPr>
            <w:tcW w:w="3022" w:type="dxa"/>
            <w:gridSpan w:val="2"/>
            <w:tcBorders/>
            <w:shd w:fill="auto" w:val="clear"/>
            <w:vAlign w:val="center"/>
          </w:tcPr>
          <w:p>
            <w:pPr>
              <w:pStyle w:val="TableContents"/>
              <w:spacing w:before="0" w:after="283"/>
              <w:rPr>
                <w:sz w:val="4"/>
                <w:szCs w:val="4"/>
              </w:rPr>
            </w:pPr>
            <w:r>
              <w:rPr>
                <w:sz w:val="4"/>
                <w:szCs w:val="4"/>
              </w:rPr>
            </w:r>
          </w:p>
        </w:tc>
      </w:tr>
      <w:tr>
        <w:trPr/>
        <w:tc>
          <w:tcPr>
            <w:tcW w:w="1060" w:type="dxa"/>
            <w:tcBorders/>
            <w:shd w:fill="auto" w:val="clear"/>
            <w:vAlign w:val="bottom"/>
          </w:tcPr>
          <w:p>
            <w:pPr>
              <w:pStyle w:val="TableContents"/>
              <w:spacing w:before="0" w:after="283"/>
              <w:rPr/>
            </w:pPr>
            <w:r>
              <w:rPr/>
              <w:t>Position:</w:t>
            </w:r>
          </w:p>
        </w:tc>
        <w:tc>
          <w:tcPr>
            <w:tcW w:w="60" w:type="dxa"/>
            <w:tcBorders/>
            <w:shd w:fill="auto" w:val="clear"/>
            <w:vAlign w:val="bottom"/>
          </w:tcPr>
          <w:p>
            <w:pPr>
              <w:pStyle w:val="TableContents"/>
              <w:spacing w:before="0" w:after="283"/>
              <w:rPr/>
            </w:pPr>
            <w:r>
              <w:rPr/>
              <w:t> </w:t>
            </w:r>
          </w:p>
        </w:tc>
        <w:tc>
          <w:tcPr>
            <w:tcW w:w="2962" w:type="dxa"/>
            <w:tcBorders/>
            <w:shd w:fill="auto" w:val="clear"/>
            <w:vAlign w:val="bottom"/>
          </w:tcPr>
          <w:p>
            <w:pPr>
              <w:pStyle w:val="TableContents"/>
              <w:spacing w:before="0" w:after="283"/>
              <w:rPr/>
            </w:pPr>
            <w:r>
              <w:rPr/>
              <w:t>Attorney-in-Fact</w:t>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b/>
          <w:sz w:val="20"/>
        </w:rPr>
      </w:pPr>
      <w:r>
        <w:rPr>
          <w:rFonts w:ascii="Times New Roman" w:hAnsi="Times New Roman"/>
          <w:b/>
          <w:sz w:val="20"/>
        </w:rPr>
        <w:t xml:space="preserve">EXECUTION COPY </w:t>
      </w:r>
    </w:p>
    <w:p>
      <w:pPr>
        <w:pStyle w:val="TextBody"/>
        <w:spacing w:before="240" w:after="0"/>
        <w:rPr>
          <w:rFonts w:ascii="Times New Roman" w:hAnsi="Times New Roman"/>
          <w:sz w:val="20"/>
        </w:rPr>
      </w:pPr>
      <w:r>
        <w:rPr>
          <w:rFonts w:ascii="Times New Roman" w:hAnsi="Times New Roman"/>
          <w:b/>
          <w:sz w:val="20"/>
        </w:rPr>
        <w:t>THIS AMENDMENT No.</w:t>
      </w:r>
      <w:r>
        <w:rPr>
          <w:rFonts w:ascii="Times New Roman" w:hAnsi="Times New Roman"/>
          <w:sz w:val="20"/>
        </w:rPr>
        <w:t> </w:t>
      </w:r>
      <w:r>
        <w:rPr>
          <w:rFonts w:ascii="Times New Roman" w:hAnsi="Times New Roman"/>
          <w:b/>
          <w:sz w:val="20"/>
        </w:rPr>
        <w:t xml:space="preserve">1 </w:t>
      </w:r>
      <w:r>
        <w:rPr>
          <w:rFonts w:ascii="Times New Roman" w:hAnsi="Times New Roman"/>
          <w:sz w:val="20"/>
        </w:rPr>
        <w:t>to the Independent Guarantee dated June 1, 2016, (the “</w:t>
      </w:r>
      <w:r>
        <w:rPr>
          <w:rFonts w:ascii="Times New Roman" w:hAnsi="Times New Roman"/>
          <w:b/>
          <w:sz w:val="20"/>
        </w:rPr>
        <w:t>Amendment</w:t>
      </w:r>
      <w:r>
        <w:rPr>
          <w:rFonts w:ascii="Times New Roman" w:hAnsi="Times New Roman"/>
          <w:sz w:val="20"/>
        </w:rPr>
        <w:t xml:space="preserve">”) were made on October </w:t>
      </w:r>
      <w:r>
        <w:rPr>
          <w:rFonts w:ascii="Times New Roman" w:hAnsi="Times New Roman"/>
          <w:sz w:val="20"/>
          <w:u w:val="single"/>
        </w:rPr>
        <w:t>5</w:t>
      </w:r>
      <w:r>
        <w:rPr>
          <w:rFonts w:ascii="Times New Roman" w:hAnsi="Times New Roman"/>
          <w:sz w:val="20"/>
        </w:rPr>
        <w:t xml:space="preserve">, 2017, by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w:t>
            </w:r>
          </w:p>
        </w:tc>
        <w:tc>
          <w:tcPr>
            <w:tcW w:w="9388" w:type="dxa"/>
            <w:tcBorders/>
            <w:shd w:fill="auto" w:val="clear"/>
          </w:tcPr>
          <w:p>
            <w:pPr>
              <w:pStyle w:val="TableContents"/>
              <w:spacing w:before="0" w:after="283"/>
              <w:jc w:val="left"/>
              <w:rPr/>
            </w:pPr>
            <w:r>
              <w:rPr>
                <w:b/>
              </w:rPr>
              <w:t>ZEMENIK TRADING LIMITED</w:t>
            </w:r>
            <w:r>
              <w:rPr/>
              <w:t>, a limited liability company incorporated under the laws of the Republic of Cyprus, registration number HE 332806, address (location) of the legal entity: 42 Dositheou, Strovolos 2028, Nicosia, Cyprus, as the guarantor under the Guarantee and the Independent Guarantee Issue Agreement (the “</w:t>
            </w:r>
            <w:r>
              <w:rPr>
                <w:b/>
              </w:rPr>
              <w:t>Guarantor</w:t>
            </w:r>
            <w:r>
              <w:rPr/>
              <w:t xml:space="preserve">”) </w:t>
            </w:r>
          </w:p>
        </w:tc>
      </w:tr>
    </w:tbl>
    <w:p>
      <w:pPr>
        <w:pStyle w:val="TextBody"/>
        <w:spacing w:before="240" w:after="0"/>
        <w:rPr>
          <w:rFonts w:ascii="Times New Roman" w:hAnsi="Times New Roman"/>
          <w:b/>
          <w:sz w:val="20"/>
        </w:rPr>
      </w:pPr>
      <w:r>
        <w:rPr>
          <w:rFonts w:ascii="Times New Roman" w:hAnsi="Times New Roman"/>
          <w:b/>
          <w:sz w:val="20"/>
        </w:rPr>
        <w:t xml:space="preserve">TO THE INDEPENDENT GUARANTEE GRANTED BY THE GUARANTOR: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t xml:space="preserve">to </w:t>
            </w:r>
            <w:r>
              <w:rPr>
                <w:b/>
              </w:rPr>
              <w:t>BANK VTB (PUBLIC JOINT-STOCK COMPANY)</w:t>
            </w:r>
            <w:r>
              <w:rPr/>
              <w:t>, a public joint-stock company incorporated under the laws of the Russian Federation, registered in the Unified State Register of Legal Entities (EGRUL) under number (Primary State Registration Number (OGRN)): 1027739609391, with its office at the address: 29, Bolshaya Morskaya St., Saint Petersburg, Russia, 190000, as the beneficiary under the Guarantee and the Independent Guarantee Issue Agreement (the “</w:t>
            </w:r>
            <w:r>
              <w:rPr>
                <w:b/>
              </w:rPr>
              <w:t>Original Lender</w:t>
            </w:r>
            <w:r>
              <w:rPr/>
              <w:t>” and the “</w:t>
            </w:r>
            <w:r>
              <w:rPr>
                <w:b/>
              </w:rPr>
              <w:t>Credit Agent</w:t>
            </w:r>
            <w:r>
              <w:rPr/>
              <w:t xml:space="preserve">”). </w:t>
            </w:r>
          </w:p>
        </w:tc>
      </w:tr>
    </w:tbl>
    <w:p>
      <w:pPr>
        <w:pStyle w:val="TextBody"/>
        <w:spacing w:before="24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The Original Lender as a credit agent, organizer and original lender and the Borrower as a borrower have entered into the Syndicated Loan Agreement dated May 16, 2016, (the “</w:t>
            </w:r>
            <w:r>
              <w:rPr>
                <w:b/>
              </w:rPr>
              <w:t>Loan Agreement</w:t>
            </w:r>
            <w:r>
              <w:rPr/>
              <w:t xml:space="preserve">”) as amended by Amendment Agreement No. 1 dated December 14, 2016, Amendment Agreement No. 2 dated June 28, 2017, and Amendment Agreement No. 3 dated October </w:t>
            </w:r>
            <w:r>
              <w:rPr>
                <w:u w:val="single"/>
              </w:rPr>
              <w:t>5</w:t>
            </w:r>
            <w:r>
              <w:rPr/>
              <w:t>, 2017, (hereinafter referred to as “</w:t>
            </w:r>
            <w:r>
              <w:rPr>
                <w:b/>
              </w:rPr>
              <w:t>Amendment Agreement No.</w:t>
            </w:r>
            <w:r>
              <w:rPr/>
              <w:t> </w:t>
            </w:r>
            <w:r>
              <w:rPr>
                <w:b/>
              </w:rPr>
              <w:t>3</w:t>
            </w:r>
            <w:r>
              <w:rPr/>
              <w:t xml:space="preserve">”) by which the Lender and the Borrower agreed to amend the Loan Agreement, inter alia, to increase a loan amount up to RUB 7,000,000,000 (seven billion Rubles).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(B)</w:t>
            </w:r>
          </w:p>
        </w:tc>
        <w:tc>
          <w:tcPr>
            <w:tcW w:w="9390" w:type="dxa"/>
            <w:tcBorders/>
            <w:shd w:fill="auto" w:val="clear"/>
          </w:tcPr>
          <w:p>
            <w:pPr>
              <w:pStyle w:val="TableContents"/>
              <w:spacing w:before="0" w:after="283"/>
              <w:jc w:val="left"/>
              <w:rPr/>
            </w:pPr>
            <w:r>
              <w:rPr/>
              <w:t>The Guarantor, the Borrower and the Original Lender entered into the Independent Guarantee Issue Agreement dated June 1, 2016, as amended by Amendment Agreement No. 1 dated June 28, 2017 (the “</w:t>
            </w:r>
            <w:r>
              <w:rPr>
                <w:b/>
              </w:rPr>
              <w:t>Independent Guarantee Issue Agreement</w:t>
            </w:r>
            <w:r>
              <w:rPr/>
              <w:t>”), and the Guarantor issued an independent guarantee dated June 1, 2016, (the “</w:t>
            </w:r>
            <w:r>
              <w:rPr>
                <w:b/>
              </w:rPr>
              <w:t>Guarantee</w:t>
            </w:r>
            <w:r>
              <w:rPr/>
              <w:t>”) in favor of the Original Lender under the Guarantee Issue Agreement to ensure performance of the Borrower’s obligations under the Loan Agreement</w:t>
            </w:r>
            <w:r>
              <w:rPr>
                <w:b/>
              </w:rPr>
              <w: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(C)</w:t>
            </w:r>
          </w:p>
        </w:tc>
        <w:tc>
          <w:tcPr>
            <w:tcW w:w="9391" w:type="dxa"/>
            <w:tcBorders/>
            <w:shd w:fill="auto" w:val="clear"/>
          </w:tcPr>
          <w:p>
            <w:pPr>
              <w:pStyle w:val="TableContents"/>
              <w:spacing w:before="0" w:after="283"/>
              <w:jc w:val="left"/>
              <w:rPr/>
            </w:pPr>
            <w:r>
              <w:rPr/>
              <w:t xml:space="preserve">The Guarantor hereby confirms that it is aware of all the terms and conditions of the Loan Agreement as amended by Amendment Agreement No. 3 and does not have the right to invoke the fact that it was not aware of such terms and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(D)</w:t>
            </w:r>
          </w:p>
        </w:tc>
        <w:tc>
          <w:tcPr>
            <w:tcW w:w="9389" w:type="dxa"/>
            <w:tcBorders/>
            <w:shd w:fill="auto" w:val="clear"/>
          </w:tcPr>
          <w:p>
            <w:pPr>
              <w:pStyle w:val="TableContents"/>
              <w:spacing w:before="0" w:after="283"/>
              <w:jc w:val="left"/>
              <w:rPr/>
            </w:pPr>
            <w:r>
              <w:rPr/>
              <w:t xml:space="preserve">The Parties entered into an agreement to make amendments No. 2 to the Independent Guarantee Issue Agreement dated October </w:t>
            </w:r>
            <w:r>
              <w:rPr>
                <w:u w:val="single"/>
              </w:rPr>
              <w:t>5</w:t>
            </w:r>
            <w:r>
              <w:rPr/>
              <w:t xml:space="preserve">, 2017, under which the Guarantor undertakes to amend the Guarantee as specified in this Amendment to ensure the fulfillment of the Borrower’s obligations under the Loan Agreement as amended by Amendment Agreement No. 3. </w:t>
            </w:r>
          </w:p>
        </w:tc>
      </w:tr>
    </w:tbl>
    <w:p>
      <w:pPr>
        <w:pStyle w:val="TextBody"/>
        <w:spacing w:before="24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taking into account the provisions of Article 371 of the Civil Code, the Guarantor hereby makes the following amendments to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Amendment: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Revised Guarantee”</w:t>
      </w:r>
      <w:r>
        <w:rPr>
          <w:rFonts w:ascii="Times New Roman" w:hAnsi="Times New Roman"/>
          <w:sz w:val="20"/>
        </w:rPr>
        <w:t xml:space="preserve"> means the Guarantee as amended by this Amendment in the form of Appendix 1 (</w:t>
      </w:r>
      <w:r>
        <w:rPr>
          <w:rFonts w:ascii="Times New Roman" w:hAnsi="Times New Roman"/>
          <w:i/>
          <w:sz w:val="20"/>
        </w:rPr>
        <w:t>Revised Guarantee</w:t>
      </w:r>
      <w:r>
        <w:rPr>
          <w:rFonts w:ascii="Times New Roman" w:hAnsi="Times New Roman"/>
          <w:sz w:val="20"/>
        </w:rPr>
        <w:t xml:space="preserve">).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has the meaning specified in Clause (A) of the Preamble. </w:t>
      </w:r>
    </w:p>
    <w:p>
      <w:pPr>
        <w:pStyle w:val="TextBody"/>
        <w:spacing w:before="120" w:after="0"/>
        <w:rPr/>
      </w:pPr>
      <w:r>
        <w:rPr/>
        <w:t>“</w:t>
      </w:r>
      <w:r>
        <w:rPr>
          <w:rFonts w:ascii="Times New Roman" w:hAnsi="Times New Roman"/>
          <w:b/>
          <w:sz w:val="20"/>
        </w:rPr>
        <w:t xml:space="preserve">Party” </w:t>
      </w:r>
      <w:r>
        <w:rPr>
          <w:rFonts w:ascii="Times New Roman" w:hAnsi="Times New Roman"/>
          <w:sz w:val="20"/>
        </w:rPr>
        <w:t>means the Guarantor or the Original Lender (or the Credit Agent after accession of rights (claims) under the Independent Guarantee Issue Agreement and this Guarantee under Article 5.2 (</w:t>
      </w:r>
      <w:r>
        <w:rPr>
          <w:rFonts w:ascii="Times New Roman" w:hAnsi="Times New Roman"/>
          <w:i/>
          <w:sz w:val="20"/>
        </w:rPr>
        <w:t>Transfer of Rights by the Lenders</w:t>
      </w:r>
      <w:r>
        <w:rPr>
          <w:rFonts w:ascii="Times New Roman" w:hAnsi="Times New Roman"/>
          <w:sz w:val="20"/>
        </w:rPr>
        <w:t xml:space="preserve">) of the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Embedded Terms</w:t>
            </w:r>
            <w:r>
              <w:rPr/>
              <w:t xml:space="preserve"> </w:t>
            </w:r>
          </w:p>
        </w:tc>
      </w:tr>
    </w:tbl>
    <w:p>
      <w:pPr>
        <w:pStyle w:val="TextBody"/>
        <w:spacing w:before="120" w:after="0"/>
        <w:rPr>
          <w:rFonts w:ascii="Times New Roman" w:hAnsi="Times New Roman"/>
          <w:sz w:val="20"/>
        </w:rPr>
      </w:pPr>
      <w:r>
        <w:rPr>
          <w:rFonts w:ascii="Times New Roman" w:hAnsi="Times New Roman"/>
          <w:sz w:val="20"/>
        </w:rPr>
        <w:t>Unless the context requires otherwise, any capitalized terms used in the Loan Agreement which are not defined herein have the same meaning as in the Loan Agreement as they are specified in Appendix 1 (</w:t>
      </w:r>
      <w:r>
        <w:rPr>
          <w:rFonts w:ascii="Times New Roman" w:hAnsi="Times New Roman"/>
          <w:i/>
          <w:sz w:val="20"/>
        </w:rPr>
        <w:t>Terms of the Loan Agreement</w:t>
      </w:r>
      <w:r>
        <w:rPr>
          <w:rFonts w:ascii="Times New Roman" w:hAnsi="Times New Roman"/>
          <w:sz w:val="20"/>
        </w:rPr>
        <w:t xml:space="preserve">) of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w:t>
            </w:r>
          </w:p>
        </w:tc>
        <w:tc>
          <w:tcPr>
            <w:tcW w:w="9389" w:type="dxa"/>
            <w:tcBorders/>
            <w:shd w:fill="auto" w:val="clear"/>
          </w:tcPr>
          <w:p>
            <w:pPr>
              <w:pStyle w:val="TableContents"/>
              <w:spacing w:before="0" w:after="283"/>
              <w:jc w:val="left"/>
              <w:rPr/>
            </w:pPr>
            <w:r>
              <w:rPr>
                <w:b/>
              </w:rPr>
              <w:t>Purpose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is a Financial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pPr>
            <w:r>
              <w:rPr/>
              <w:t>2.</w:t>
            </w:r>
          </w:p>
        </w:tc>
        <w:tc>
          <w:tcPr>
            <w:tcW w:w="9393" w:type="dxa"/>
            <w:tcBorders/>
            <w:shd w:fill="auto" w:val="clear"/>
          </w:tcPr>
          <w:p>
            <w:pPr>
              <w:pStyle w:val="TableContents"/>
              <w:spacing w:before="0" w:after="283"/>
              <w:jc w:val="left"/>
              <w:rPr/>
            </w:pPr>
            <w:r>
              <w:rPr>
                <w:b/>
              </w:rPr>
              <w:t>AMENDMENTS</w:t>
            </w:r>
            <w:r>
              <w:rPr/>
              <w:t xml:space="preserve"> </w:t>
            </w:r>
          </w:p>
        </w:tc>
      </w:tr>
    </w:tbl>
    <w:p>
      <w:pPr>
        <w:pStyle w:val="TextBody"/>
        <w:spacing w:before="120" w:after="0"/>
        <w:rPr>
          <w:rFonts w:ascii="Times New Roman" w:hAnsi="Times New Roman"/>
          <w:sz w:val="20"/>
        </w:rPr>
      </w:pPr>
      <w:r>
        <w:rPr>
          <w:rFonts w:ascii="Times New Roman" w:hAnsi="Times New Roman"/>
          <w:sz w:val="20"/>
        </w:rPr>
        <w:t>The Guarantor confirms that, since the date of this Amendment, the Guarantee shall be read in the wording of Appendix 1 (</w:t>
      </w:r>
      <w:r>
        <w:rPr>
          <w:rFonts w:ascii="Times New Roman" w:hAnsi="Times New Roman"/>
          <w:i/>
          <w:sz w:val="20"/>
        </w:rPr>
        <w:t>Revised Guarantee</w:t>
      </w:r>
      <w:r>
        <w:rPr>
          <w:rFonts w:ascii="Times New Roman" w:hAnsi="Times New Roman"/>
          <w:sz w:val="20"/>
        </w:rPr>
        <w:t xml:space="preserve">) and the rights and obligations of the Parties under the Guarantee from the date of this Amendment shall be regulated and construed under the terms and conditions of the Revised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w:t>
            </w:r>
          </w:p>
        </w:tc>
        <w:tc>
          <w:tcPr>
            <w:tcW w:w="9390"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order to comply with the provisions of Article 371 of the Civil Code, the Guarantee shall be deemed amended in accordance with this Amendment only if the Guarantor obtains the consent of the Original Lender to make amendments in accordance with this Amendment.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7"/>
        <w:gridCol w:w="8473"/>
      </w:tblGrid>
      <w:tr>
        <w:trPr/>
        <w:tc>
          <w:tcPr>
            <w:tcW w:w="81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Any amendments to the Guarantee hereunder shall be limited to the amendments specified in Article 2 (</w:t>
            </w:r>
            <w:r>
              <w:rPr>
                <w:i/>
              </w:rPr>
              <w:t>Amendments</w:t>
            </w:r>
            <w:r>
              <w:rPr/>
              <w:t>). No other provisions of the Guarantee (except for those specified in Article 2 (</w:t>
            </w:r>
            <w:r>
              <w:rPr>
                <w:i/>
              </w:rPr>
              <w:t>Amendments</w:t>
            </w:r>
            <w:r>
              <w:rPr/>
              <w:t xml:space="preserve">)) shall be amended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This Amendment does not relieve the Guarantor of any obligations under the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4.</w:t>
            </w:r>
          </w:p>
        </w:tc>
        <w:tc>
          <w:tcPr>
            <w:tcW w:w="9389" w:type="dxa"/>
            <w:tcBorders/>
            <w:shd w:fill="auto" w:val="clear"/>
          </w:tcPr>
          <w:p>
            <w:pPr>
              <w:pStyle w:val="TableContents"/>
              <w:spacing w:before="0" w:after="283"/>
              <w:jc w:val="left"/>
              <w:rPr/>
            </w:pPr>
            <w:r>
              <w:rPr>
                <w:b/>
              </w:rPr>
              <w:t>APPLICABLE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as well as the rights and obligations of the Parties arising out of this Amendment, shall be governed and construed by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5.</w:t>
            </w:r>
          </w:p>
        </w:tc>
        <w:tc>
          <w:tcPr>
            <w:tcW w:w="9391" w:type="dxa"/>
            <w:tcBorders/>
            <w:shd w:fill="auto" w:val="clear"/>
          </w:tcPr>
          <w:p>
            <w:pPr>
              <w:pStyle w:val="TableContents"/>
              <w:spacing w:before="0" w:after="283"/>
              <w:jc w:val="left"/>
              <w:rPr/>
            </w:pPr>
            <w:r>
              <w:rPr>
                <w:b/>
              </w:rPr>
              <w:t>DISPUTE SETTLEMENT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inter alia, concerning their provisions, existence, validity or termination, arises in connection with this Amendment,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Sub-Clause (b) below.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According to the provisions of Sub-Clause (a) above, if any dispute arises in connection with this Amendment, including, but not limited to, any dispute concerning their provisions, existence, validity or termination, such dispute shall be settled by the Moscow Arbitrazh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w:t>
            </w:r>
          </w:p>
        </w:tc>
        <w:tc>
          <w:tcPr>
            <w:tcW w:w="9390" w:type="dxa"/>
            <w:tcBorders/>
            <w:shd w:fill="auto" w:val="clear"/>
          </w:tcPr>
          <w:p>
            <w:pPr>
              <w:pStyle w:val="TableContents"/>
              <w:spacing w:before="0" w:after="283"/>
              <w:jc w:val="left"/>
              <w:rPr/>
            </w:pPr>
            <w:r>
              <w:rPr>
                <w:b/>
              </w:rPr>
              <w:t>EXECUTION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Amendment shall be signed in four original counterparts of equal legal effect, all of which together shall constitute one and the same instrument. </w:t>
      </w:r>
    </w:p>
    <w:p>
      <w:pPr>
        <w:pStyle w:val="TextBody"/>
        <w:spacing w:before="120" w:after="0"/>
        <w:rPr>
          <w:rFonts w:ascii="Times New Roman" w:hAnsi="Times New Roman"/>
          <w:sz w:val="20"/>
        </w:rPr>
      </w:pPr>
      <w:r>
        <w:rPr>
          <w:rFonts w:ascii="Times New Roman" w:hAnsi="Times New Roman"/>
          <w:sz w:val="20"/>
        </w:rPr>
        <w:t xml:space="preserve">This Amendment has been executed on the date specified in the beginning of this document.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120" w:after="0"/>
        <w:jc w:val="center"/>
        <w:rPr>
          <w:rFonts w:ascii="Times New Roman" w:hAnsi="Times New Roman"/>
          <w:b/>
          <w:sz w:val="20"/>
        </w:rPr>
      </w:pPr>
      <w:r>
        <w:rPr>
          <w:rFonts w:ascii="Times New Roman" w:hAnsi="Times New Roman"/>
          <w:b/>
          <w:sz w:val="20"/>
        </w:rPr>
        <w:t xml:space="preserve">REVISED GUARANTEE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INDEPENDENT GUARANTEE</w:t>
      </w:r>
      <w:r>
        <w:rPr>
          <w:rFonts w:ascii="Times New Roman" w:hAnsi="Times New Roman"/>
          <w:sz w:val="20"/>
        </w:rPr>
        <w:t xml:space="preserve"> (the “</w:t>
      </w:r>
      <w:r>
        <w:rPr>
          <w:rFonts w:ascii="Times New Roman" w:hAnsi="Times New Roman"/>
          <w:b/>
          <w:sz w:val="20"/>
        </w:rPr>
        <w:t>Guarantee”</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of issue of this Guarantee: June 1, 2016 </w:t>
      </w:r>
    </w:p>
    <w:p>
      <w:pPr>
        <w:pStyle w:val="TextBody"/>
        <w:spacing w:before="240" w:after="0"/>
        <w:rPr>
          <w:rFonts w:ascii="Times New Roman" w:hAnsi="Times New Roman"/>
          <w:sz w:val="20"/>
        </w:rPr>
      </w:pPr>
      <w:r>
        <w:rPr>
          <w:rFonts w:ascii="Times New Roman" w:hAnsi="Times New Roman"/>
          <w:sz w:val="20"/>
        </w:rPr>
        <w:t xml:space="preserve">(as amended by the Amendment No. 1 dated October </w:t>
      </w:r>
      <w:r>
        <w:rPr>
          <w:rFonts w:ascii="Times New Roman" w:hAnsi="Times New Roman"/>
          <w:sz w:val="20"/>
          <w:u w:val="single"/>
        </w:rPr>
        <w:t>5</w:t>
      </w:r>
      <w:r>
        <w:rPr>
          <w:rFonts w:ascii="Times New Roman" w:hAnsi="Times New Roman"/>
          <w:sz w:val="20"/>
        </w:rPr>
        <w:t xml:space="preserve">, 2017) </w:t>
      </w:r>
    </w:p>
    <w:p>
      <w:pPr>
        <w:pStyle w:val="TextBody"/>
        <w:spacing w:before="240" w:after="0"/>
        <w:rPr>
          <w:rFonts w:ascii="Times New Roman" w:hAnsi="Times New Roman"/>
          <w:b/>
          <w:sz w:val="20"/>
        </w:rPr>
      </w:pPr>
      <w:r>
        <w:rPr>
          <w:rFonts w:ascii="Times New Roman" w:hAnsi="Times New Roman"/>
          <w:b/>
          <w:sz w:val="20"/>
        </w:rPr>
        <w:t xml:space="preserve">THIS GUARANTEE IS ISSUED BY: </w:t>
      </w:r>
    </w:p>
    <w:p>
      <w:pPr>
        <w:pStyle w:val="TextBody"/>
        <w:spacing w:before="120" w:after="0"/>
        <w:rPr>
          <w:rFonts w:ascii="Times New Roman" w:hAnsi="Times New Roman"/>
          <w:sz w:val="20"/>
        </w:rPr>
      </w:pPr>
      <w:r>
        <w:rPr>
          <w:rFonts w:ascii="Times New Roman" w:hAnsi="Times New Roman"/>
          <w:b/>
          <w:sz w:val="20"/>
        </w:rPr>
        <w:t>ZEMENIK TRADING LIMITED</w:t>
      </w:r>
      <w:r>
        <w:rPr>
          <w:rFonts w:ascii="Times New Roman" w:hAnsi="Times New Roman"/>
          <w:sz w:val="20"/>
        </w:rPr>
        <w:t xml:space="preserve"> incorporated under the laws of the Republic of Cyprus, registration number HE 332806, located at: 42 Dositheou, Strovolos 2028, Nicosia, Cyprus, represented by </w:t>
      </w:r>
      <w:r>
        <w:rPr>
          <w:rFonts w:ascii="Times New Roman" w:hAnsi="Times New Roman"/>
          <w:b/>
          <w:sz w:val="20"/>
        </w:rPr>
        <w:t>Aleksandr Arbuzov</w:t>
      </w:r>
      <w:r>
        <w:rPr>
          <w:rFonts w:ascii="Times New Roman" w:hAnsi="Times New Roman"/>
          <w:sz w:val="20"/>
        </w:rPr>
        <w:t xml:space="preserve">, acting under the Articles of Association, </w:t>
      </w:r>
      <w:r>
        <w:rPr>
          <w:rFonts w:ascii="Times New Roman" w:hAnsi="Times New Roman"/>
          <w:b/>
          <w:sz w:val="20"/>
        </w:rPr>
        <w:t xml:space="preserve">as the guarantor </w:t>
      </w:r>
      <w:r>
        <w:rPr>
          <w:rFonts w:ascii="Times New Roman" w:hAnsi="Times New Roman"/>
          <w:sz w:val="20"/>
        </w:rPr>
        <w:t>under this Guarantee and the Independent Guarantee Issue Agreement (the “</w:t>
      </w:r>
      <w:r>
        <w:rPr>
          <w:rFonts w:ascii="Times New Roman" w:hAnsi="Times New Roman"/>
          <w:b/>
          <w:sz w:val="20"/>
        </w:rPr>
        <w:t>Guarantor</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b/>
          <w:sz w:val="20"/>
        </w:rPr>
        <w:t>BANK VTB (PUBLIC JOINT-STOCK COMPANY)</w:t>
      </w:r>
      <w:r>
        <w:rPr>
          <w:rFonts w:ascii="Times New Roman" w:hAnsi="Times New Roman"/>
          <w:sz w:val="20"/>
        </w:rPr>
        <w:t xml:space="preserve"> incorporated under the laws of the Russian Federation, registered in the Unified State Register of Legal Entities (EGRUL) under number (Primary State Registration Number (OGRN)): 1027739609391, located at: 29, Bolshaya Morskaya St., Saint Petersburg, the Russian Federation, 190000, represented by </w:t>
      </w:r>
      <w:r>
        <w:rPr>
          <w:rFonts w:ascii="Times New Roman" w:hAnsi="Times New Roman"/>
          <w:b/>
          <w:sz w:val="20"/>
        </w:rPr>
        <w:t>Vitaly Nikolaevich Buzoverya</w:t>
      </w:r>
      <w:r>
        <w:rPr>
          <w:rFonts w:ascii="Times New Roman" w:hAnsi="Times New Roman"/>
          <w:sz w:val="20"/>
        </w:rPr>
        <w:t xml:space="preserve">, acting under Power of Attorney 350000/25 </w:t>
      </w:r>
      <w:r>
        <w:rPr>
          <w:rFonts w:ascii="Times New Roman" w:hAnsi="Times New Roman"/>
          <w:sz w:val="20"/>
        </w:rPr>
        <w:drawing>
          <wp:inline distT="0" distB="0" distL="0" distR="0">
            <wp:extent cx="718820" cy="359410"/>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link="rId48"/>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 certified on January 14, 2016, under register number 2-25, </w:t>
      </w:r>
      <w:r>
        <w:rPr>
          <w:rFonts w:ascii="Times New Roman" w:hAnsi="Times New Roman"/>
          <w:b/>
          <w:sz w:val="20"/>
        </w:rPr>
        <w:t>as the beneficiary</w:t>
      </w:r>
      <w:r>
        <w:rPr>
          <w:rFonts w:ascii="Times New Roman" w:hAnsi="Times New Roman"/>
          <w:sz w:val="20"/>
        </w:rPr>
        <w:t xml:space="preserve"> under this Guarantee and the Independent Guarantee Issue Agreement (the “</w:t>
      </w:r>
      <w:r>
        <w:rPr>
          <w:rFonts w:ascii="Times New Roman" w:hAnsi="Times New Roman"/>
          <w:b/>
          <w:sz w:val="20"/>
        </w:rPr>
        <w:t>Original Lender</w:t>
      </w:r>
      <w:r>
        <w:rPr>
          <w:rFonts w:ascii="Times New Roman" w:hAnsi="Times New Roman"/>
          <w:sz w:val="20"/>
        </w:rPr>
        <w:t>” or the “</w:t>
      </w:r>
      <w:r>
        <w:rPr>
          <w:rFonts w:ascii="Times New Roman" w:hAnsi="Times New Roman"/>
          <w:b/>
          <w:sz w:val="20"/>
        </w:rPr>
        <w:t>Credit Agent</w:t>
      </w:r>
      <w:r>
        <w:rPr>
          <w:rFonts w:ascii="Times New Roman" w:hAnsi="Times New Roman"/>
          <w:sz w:val="20"/>
        </w:rPr>
        <w:t xml:space="preserve">”) </w:t>
      </w:r>
    </w:p>
    <w:p>
      <w:pPr>
        <w:pStyle w:val="TextBody"/>
        <w:spacing w:before="240" w:after="0"/>
        <w:rPr>
          <w:rFonts w:ascii="Times New Roman" w:hAnsi="Times New Roman"/>
          <w:b/>
          <w:sz w:val="20"/>
        </w:rPr>
      </w:pPr>
      <w:r>
        <w:rPr>
          <w:rFonts w:ascii="Times New Roman" w:hAnsi="Times New Roman"/>
          <w:b/>
          <w:sz w:val="20"/>
        </w:rPr>
        <w:t xml:space="preserve">PREAMBLE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One of the conditions for granting a loan under the Loan Agreement to the Borrower is the conclusion of a guarantee issue agreement (hereinafter referred to as the “</w:t>
            </w:r>
            <w:r>
              <w:rPr>
                <w:b/>
              </w:rPr>
              <w:t>Independent Guarantee Issue Agreement</w:t>
            </w:r>
            <w:r>
              <w:rPr/>
              <w:t xml:space="preserve">”) concluded on May 16, 2016, between the Guarantor as the guarantor, the Borrower as the principal and the Original Lender as the beneficiary and the issue of this Guarantee.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In accordance with the Independent Guarantee Issue Agreement, the Guarantor shall issue this Guarantee on the terms and conditions set forth in the Independent Guarantee Issue Agreement and this Guarantee. </w:t>
            </w:r>
          </w:p>
        </w:tc>
      </w:tr>
    </w:tbl>
    <w:p>
      <w:pPr>
        <w:pStyle w:val="TextBody"/>
        <w:spacing w:before="240" w:after="0"/>
        <w:rPr>
          <w:rFonts w:ascii="Times New Roman" w:hAnsi="Times New Roman"/>
          <w:sz w:val="20"/>
        </w:rPr>
      </w:pPr>
      <w:r>
        <w:rPr>
          <w:rFonts w:ascii="Times New Roman" w:hAnsi="Times New Roman"/>
          <w:b/>
          <w:sz w:val="20"/>
        </w:rPr>
        <w:t>IN VIEW OF THE FOREGOING,</w:t>
      </w:r>
      <w:r>
        <w:rPr>
          <w:rFonts w:ascii="Times New Roman" w:hAnsi="Times New Roman"/>
          <w:sz w:val="20"/>
        </w:rPr>
        <w:t xml:space="preserve"> the Guarantor hereby confirms the following: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b/>
              </w:rPr>
            </w:pPr>
            <w:r>
              <w:rPr>
                <w:b/>
              </w:rPr>
              <w:t>1.</w:t>
            </w:r>
          </w:p>
        </w:tc>
        <w:tc>
          <w:tcPr>
            <w:tcW w:w="9698" w:type="dxa"/>
            <w:tcBorders/>
            <w:shd w:fill="auto" w:val="clear"/>
          </w:tcPr>
          <w:p>
            <w:pPr>
              <w:pStyle w:val="TableContents"/>
              <w:spacing w:before="0" w:after="283"/>
              <w:jc w:val="left"/>
              <w:rPr>
                <w:b/>
              </w:rPr>
            </w:pPr>
            <w:r>
              <w:rPr>
                <w:b/>
              </w:rPr>
              <w:t xml:space="preserve">DEFINITIONS </w:t>
            </w:r>
          </w:p>
        </w:tc>
      </w:tr>
    </w:tbl>
    <w:p>
      <w:pPr>
        <w:pStyle w:val="TextBody"/>
        <w:spacing w:before="120" w:after="0"/>
        <w:rPr>
          <w:rFonts w:ascii="Times New Roman" w:hAnsi="Times New Roman"/>
          <w:sz w:val="20"/>
        </w:rPr>
      </w:pPr>
      <w:r>
        <w:rPr>
          <w:rFonts w:ascii="Times New Roman" w:hAnsi="Times New Roman"/>
          <w:sz w:val="20"/>
        </w:rPr>
        <w:t>All capitalized terms in this Guarantee have the meanings specified in the Loan Agreement in Appendix 1 (</w:t>
      </w:r>
      <w:r>
        <w:rPr>
          <w:rFonts w:ascii="Times New Roman" w:hAnsi="Times New Roman"/>
          <w:i/>
          <w:sz w:val="20"/>
        </w:rPr>
        <w:t>Terms of the Loan Agreement</w:t>
      </w:r>
      <w:r>
        <w:rPr>
          <w:rFonts w:ascii="Times New Roman" w:hAnsi="Times New Roman"/>
          <w:sz w:val="20"/>
        </w:rPr>
        <w:t xml:space="preserve">) of the Independent Guarantee Issue Agreement unless the Guarantee or the context requires otherwise, while: </w:t>
      </w:r>
    </w:p>
    <w:p>
      <w:pPr>
        <w:pStyle w:val="TextBody"/>
        <w:spacing w:before="120" w:after="0"/>
        <w:rPr/>
      </w:pPr>
      <w:r>
        <w:rPr/>
        <w:t>“</w:t>
      </w:r>
      <w:r>
        <w:rPr>
          <w:rFonts w:ascii="Times New Roman" w:hAnsi="Times New Roman"/>
          <w:b/>
          <w:sz w:val="20"/>
        </w:rPr>
        <w:t xml:space="preserve">Issue Date” </w:t>
      </w:r>
      <w:r>
        <w:rPr>
          <w:rFonts w:ascii="Times New Roman" w:hAnsi="Times New Roman"/>
          <w:sz w:val="20"/>
        </w:rPr>
        <w:t xml:space="preserve">means such date of issue of the Guarantee as specified in the beginning of this Guarantee. </w:t>
      </w:r>
    </w:p>
    <w:p>
      <w:pPr>
        <w:pStyle w:val="TextBody"/>
        <w:spacing w:before="120" w:after="0"/>
        <w:rPr/>
      </w:pPr>
      <w:r>
        <w:rPr/>
        <w:t>“</w:t>
      </w:r>
      <w:r>
        <w:rPr>
          <w:rFonts w:ascii="Times New Roman" w:hAnsi="Times New Roman"/>
          <w:b/>
          <w:sz w:val="20"/>
        </w:rPr>
        <w:t xml:space="preserve">Borrower” </w:t>
      </w:r>
      <w:r>
        <w:rPr>
          <w:rFonts w:ascii="Times New Roman" w:hAnsi="Times New Roman"/>
          <w:sz w:val="20"/>
        </w:rPr>
        <w:t xml:space="preserve">means Zemenik Limited Liability Company, a limited liability company incorporated under the laws of the Russian Federation, registered in the Unified State Register of Legal Entities of the Russian Federation under number (OGRN (Primary State Registration Number)): 1167746153860, located at: 4 Akademika Ilyushina St., bld. 1, office 54, Moscow, the Russian Federation, 125319. </w:t>
      </w:r>
    </w:p>
    <w:p>
      <w:pPr>
        <w:pStyle w:val="TextBody"/>
        <w:spacing w:before="120" w:after="0"/>
        <w:rPr/>
      </w:pPr>
      <w:r>
        <w:rPr/>
        <w:t>“</w:t>
      </w:r>
      <w:r>
        <w:rPr>
          <w:rFonts w:ascii="Times New Roman" w:hAnsi="Times New Roman"/>
          <w:b/>
          <w:sz w:val="20"/>
        </w:rPr>
        <w:t xml:space="preserve">Key Rate” </w:t>
      </w:r>
      <w:r>
        <w:rPr>
          <w:rFonts w:ascii="Times New Roman" w:hAnsi="Times New Roman"/>
          <w:sz w:val="20"/>
        </w:rPr>
        <w:t xml:space="preserve">means a key rate established by the Central Bank of the Russian Federation determined based on the data on the website of the Central Bank of the Russian Federation on the Internet at </w:t>
      </w:r>
      <w:r>
        <w:rPr>
          <w:rFonts w:ascii="Times New Roman" w:hAnsi="Times New Roman"/>
          <w:sz w:val="20"/>
          <w:u w:val="single"/>
        </w:rPr>
        <w:t>www.cbr.ru</w:t>
      </w:r>
      <w:r>
        <w:rPr>
          <w:rFonts w:ascii="Times New Roman" w:hAnsi="Times New Roman"/>
          <w:sz w:val="20"/>
        </w:rPr>
        <w:t xml:space="preserve"> or, if changed, on any other official website of the Central Bank of the Russian Federation. If the Central Bank of the Russian Federation abolishes or ceases to use a key rate and if it is needed to determine pricing conditions for provision of financing to credit institutions of the Russian Federation, the Key Rate shall be a similar rate established by the Central Bank of the Russian Federation for pricing of refinancing through repo transactions and (or) against non-market assets.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Lender”</w:t>
      </w:r>
      <w:r>
        <w:rPr>
          <w:rFonts w:ascii="Times New Roman" w:hAnsi="Times New Roman"/>
          <w:sz w:val="20"/>
        </w:rPr>
        <w:t xml:space="preserve">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any Original Lender; and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any banks or other credit or other organizations (except for any person belonging to the Borrower’s Group) which acquire the rights of claim to the Borrower and (or) the obligation to grant the Loan under the provisions of Article 22.2 (</w:t>
            </w:r>
            <w:r>
              <w:rPr>
                <w:i/>
              </w:rPr>
              <w:t>Assignment of Rights and Transfer of Obligations by the Lenders</w:t>
            </w:r>
            <w:r>
              <w:rPr/>
              <w:t xml:space="preserve">) of the Loan Agreement and the current laws. </w:t>
            </w:r>
          </w:p>
        </w:tc>
      </w:tr>
    </w:tbl>
    <w:p>
      <w:pPr>
        <w:pStyle w:val="TextBody"/>
        <w:spacing w:before="120" w:after="0"/>
        <w:rPr/>
      </w:pPr>
      <w:r>
        <w:rPr/>
        <w:t>“</w:t>
      </w:r>
      <w:r>
        <w:rPr>
          <w:rFonts w:ascii="Times New Roman" w:hAnsi="Times New Roman"/>
          <w:b/>
          <w:sz w:val="20"/>
        </w:rPr>
        <w:t>Loan Agreement”</w:t>
      </w:r>
      <w:r>
        <w:rPr>
          <w:rFonts w:ascii="Times New Roman" w:hAnsi="Times New Roman"/>
          <w:sz w:val="20"/>
        </w:rPr>
        <w:t xml:space="preserve"> means a syndicated loan agreement concluded on May 16, 2016, between the Original Lender as the credit agent, organizer and original lender and the Borrower as the Borrower in an aggregate amount not exceeding RUB 7,000,000,000 (seven billion Rubles) as amended by Amendment Agreement No. 1 dated December 14, 2016, Amendment Agreement No. 2 dated June 28, 2017, and Amendment Agreement No. 3. </w:t>
      </w:r>
    </w:p>
    <w:p>
      <w:pPr>
        <w:pStyle w:val="TextBody"/>
        <w:spacing w:before="120" w:after="0"/>
        <w:rPr/>
      </w:pPr>
      <w:r>
        <w:rPr/>
        <w:t>“</w:t>
      </w:r>
      <w:r>
        <w:rPr>
          <w:rFonts w:ascii="Times New Roman" w:hAnsi="Times New Roman"/>
          <w:b/>
          <w:sz w:val="20"/>
        </w:rPr>
        <w:t>Secured Obligations”</w:t>
      </w:r>
      <w:r>
        <w:rPr>
          <w:rFonts w:ascii="Times New Roman" w:hAnsi="Times New Roman"/>
          <w:sz w:val="20"/>
        </w:rPr>
        <w:t xml:space="preserve"> means all current and future pecuniary obligations of the Borrower to the Lenders under the Loan Agreement (taking into account all amendments to the Loan Agreement and all provided preliminary consents and waivers of the Lenders under the Loan Agreement), including the Borrower’s obligations relating 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payment of an aggregate principal of the Loan not exceeding RUB 7,000,000,000 (Seven billion Rubles) to be finally repaid within 1,825 (One thousand eight hundred and twenty-five) calendar days from the date of Amendment Agreement No. 3 in the manner established by Article 7 (</w:t>
            </w:r>
            <w:r>
              <w:rPr>
                <w:i/>
              </w:rPr>
              <w:t>Loan Repayment</w:t>
            </w:r>
            <w:r>
              <w:rPr/>
              <w:t xml:space="preserve">) of the Loan Agreement (inter alia, in case of a mandatory early repayment provided for by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payment of interest due under Article 9 (</w:t>
            </w:r>
            <w:r>
              <w:rPr>
                <w:i/>
              </w:rPr>
              <w:t>Interest</w:t>
            </w:r>
            <w:r>
              <w:rPr/>
              <w:t xml:space="preserve">) of the Loan Agreement at an annual interest rate equal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 margin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6"/>
        <w:gridCol w:w="6635"/>
      </w:tblGrid>
      <w:tr>
        <w:trPr/>
        <w:tc>
          <w:tcPr>
            <w:tcW w:w="265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6635" w:type="dxa"/>
            <w:tcBorders/>
            <w:shd w:fill="auto" w:val="clear"/>
          </w:tcPr>
          <w:p>
            <w:pPr>
              <w:pStyle w:val="TableContents"/>
              <w:spacing w:before="0" w:after="283"/>
              <w:jc w:val="left"/>
              <w:rPr/>
            </w:pPr>
            <w:r>
              <w:rPr/>
              <w:t xml:space="preserve">3.7 (three point seven) percent per annum for any Interest Period starting before the date of Amendment Agreement No. 3;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8"/>
        <w:gridCol w:w="6635"/>
      </w:tblGrid>
      <w:tr>
        <w:trPr/>
        <w:tc>
          <w:tcPr>
            <w:tcW w:w="265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6635" w:type="dxa"/>
            <w:tcBorders/>
            <w:shd w:fill="auto" w:val="clear"/>
          </w:tcPr>
          <w:p>
            <w:pPr>
              <w:pStyle w:val="TableContents"/>
              <w:spacing w:before="0" w:after="283"/>
              <w:jc w:val="left"/>
              <w:rPr/>
            </w:pPr>
            <w:r>
              <w:rPr/>
              <w:t xml:space="preserve">2.0 (two) percent per annum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0"/>
        <w:gridCol w:w="816"/>
        <w:gridCol w:w="5818"/>
      </w:tblGrid>
      <w:tr>
        <w:trPr/>
        <w:tc>
          <w:tcPr>
            <w:tcW w:w="3570"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w:t>
            </w:r>
          </w:p>
        </w:tc>
        <w:tc>
          <w:tcPr>
            <w:tcW w:w="5818" w:type="dxa"/>
            <w:tcBorders/>
            <w:shd w:fill="auto" w:val="clear"/>
          </w:tcPr>
          <w:p>
            <w:pPr>
              <w:pStyle w:val="TableContents"/>
              <w:spacing w:before="0" w:after="283"/>
              <w:jc w:val="left"/>
              <w:rPr/>
            </w:pPr>
            <w:r>
              <w:rPr/>
              <w:t xml:space="preserve">for any Interest Period starting from the date of Amendment Agreement No. 3 or thereafter;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3571"/>
        <w:gridCol w:w="815"/>
        <w:gridCol w:w="5818"/>
      </w:tblGrid>
      <w:tr>
        <w:trPr/>
        <w:tc>
          <w:tcPr>
            <w:tcW w:w="3571"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w:t>
            </w:r>
          </w:p>
        </w:tc>
        <w:tc>
          <w:tcPr>
            <w:tcW w:w="5818" w:type="dxa"/>
            <w:tcBorders/>
            <w:shd w:fill="auto" w:val="clear"/>
          </w:tcPr>
          <w:p>
            <w:pPr>
              <w:pStyle w:val="TableContents"/>
              <w:spacing w:before="0" w:after="283"/>
              <w:jc w:val="left"/>
              <w:rPr/>
            </w:pPr>
            <w:r>
              <w:rPr/>
              <w:t>2.5 (two point five) percent per annum in any cases specified in Article 9.2 (</w:t>
            </w:r>
            <w:r>
              <w:rPr>
                <w:i/>
              </w:rPr>
              <w:t>Margin Adjustment</w:t>
            </w:r>
            <w:r>
              <w:rPr/>
              <w:t xml:space="preserve">) of the Loan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the Key Interest Rate;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payment of a penalty according to Article 9.4 (</w:t>
            </w:r>
            <w:r>
              <w:rPr>
                <w:rFonts w:ascii="Times New Roman" w:hAnsi="Times New Roman"/>
                <w:i/>
                <w:sz w:val="20"/>
              </w:rPr>
              <w:t>Penalty</w:t>
            </w:r>
            <w:r>
              <w:rPr>
                <w:rFonts w:ascii="Times New Roman" w:hAnsi="Times New Roman"/>
                <w:sz w:val="20"/>
              </w:rPr>
              <w:t>) of the Loan Agreement due if the Borrower fails to timely fulfill an obligation of payment of any amount due under the Financial Document; such penalty being 2/365 interest rate established under Article 9.1 (</w:t>
            </w:r>
            <w:r>
              <w:rPr>
                <w:rFonts w:ascii="Times New Roman" w:hAnsi="Times New Roman"/>
                <w:i/>
                <w:sz w:val="20"/>
              </w:rPr>
              <w:t>Interest Calculation</w:t>
            </w:r>
            <w:r>
              <w:rPr>
                <w:rFonts w:ascii="Times New Roman" w:hAnsi="Times New Roman"/>
                <w:sz w:val="20"/>
              </w:rPr>
              <w:t xml:space="preserve">) of the Loan Agreement taking into account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4"/>
        <w:gridCol w:w="8470"/>
      </w:tblGrid>
      <w:tr>
        <w:trPr/>
        <w:tc>
          <w:tcPr>
            <w:tcW w:w="1734" w:type="dxa"/>
            <w:tcBorders/>
            <w:shd w:fill="auto" w:val="clear"/>
            <w:vAlign w:val="center"/>
          </w:tcPr>
          <w:p>
            <w:pPr>
              <w:pStyle w:val="TableContents"/>
              <w:spacing w:before="0" w:after="283"/>
              <w:rPr/>
            </w:pPr>
            <w:r>
              <w:rPr/>
              <w:t> </w:t>
            </w:r>
          </w:p>
        </w:tc>
        <w:tc>
          <w:tcPr>
            <w:tcW w:w="8470" w:type="dxa"/>
            <w:tcBorders/>
            <w:shd w:fill="auto" w:val="clear"/>
          </w:tcPr>
          <w:p>
            <w:pPr>
              <w:pStyle w:val="TableContents"/>
              <w:spacing w:before="0" w:after="283"/>
              <w:jc w:val="left"/>
              <w:rPr/>
            </w:pPr>
            <w:r>
              <w:rPr/>
              <w:t>the provisions of Article 9.2 (</w:t>
            </w:r>
            <w:r>
              <w:rPr>
                <w:i/>
              </w:rPr>
              <w:t>Margin Adjustment</w:t>
            </w:r>
            <w:r>
              <w:rPr/>
              <w:t xml:space="preserve">) of the Loan Agreement, of an overdue debt of the Outstanding Loan for each day of delay. A penalty is calculated on an overdue amount during a period from a date following an established maturity date to a date of actual payment (prior to or after delivery of a judgment);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5"/>
        <w:gridCol w:w="8476"/>
      </w:tblGrid>
      <w:tr>
        <w:trPr/>
        <w:tc>
          <w:tcPr>
            <w:tcW w:w="813"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6" w:type="dxa"/>
            <w:tcBorders/>
            <w:shd w:fill="auto" w:val="clear"/>
          </w:tcPr>
          <w:p>
            <w:pPr>
              <w:pStyle w:val="TableContents"/>
              <w:spacing w:before="0" w:after="283"/>
              <w:jc w:val="left"/>
              <w:rPr/>
            </w:pPr>
            <w:r>
              <w:rPr/>
              <w:t>payment of reimbursement for funds available for granting the Loan under Article 11.1 (</w:t>
            </w:r>
            <w:r>
              <w:rPr>
                <w:i/>
              </w:rPr>
              <w:t xml:space="preserve">Fee for the Obligation under </w:t>
            </w:r>
            <w:r>
              <w:rPr/>
              <w:t xml:space="preserve">the </w:t>
            </w:r>
            <w:r>
              <w:rPr>
                <w:i/>
              </w:rPr>
              <w:t>Agreement</w:t>
            </w:r>
            <w:r>
              <w:rPr/>
              <w:t xml:space="preserve">) of the Loan Agreement, which amount shall be calculated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at the rate of 0.15 (zero point one five) percent per annum of an amount of the Unused Loan Limit within Tranche A (without deduction of an amount to be granted);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at the rate of 0.5 (zero point five) percent per annum of an amount of the Unused Loan Limit within Tranche B (without deduction of an amount to be granted), </w:t>
            </w:r>
          </w:p>
        </w:tc>
      </w:tr>
    </w:tbl>
    <w:p>
      <w:pPr>
        <w:pStyle w:val="TextBody"/>
        <w:spacing w:before="120" w:after="0"/>
        <w:rPr>
          <w:rFonts w:ascii="Times New Roman" w:hAnsi="Times New Roman"/>
          <w:sz w:val="20"/>
        </w:rPr>
      </w:pPr>
      <w:r>
        <w:rPr>
          <w:rFonts w:ascii="Times New Roman" w:hAnsi="Times New Roman"/>
          <w:sz w:val="20"/>
        </w:rPr>
        <w:t xml:space="preserve">such consideration being accrued for the Disbursement Period of Tranche A and the Disbursement Period of Tranche B, respectively, and paid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(iii)</w:t>
            </w:r>
          </w:p>
        </w:tc>
        <w:tc>
          <w:tcPr>
            <w:tcW w:w="7552" w:type="dxa"/>
            <w:tcBorders/>
            <w:shd w:fill="auto" w:val="clear"/>
          </w:tcPr>
          <w:p>
            <w:pPr>
              <w:pStyle w:val="TableContents"/>
              <w:spacing w:before="0" w:after="283"/>
              <w:jc w:val="left"/>
              <w:rPr/>
            </w:pPr>
            <w:r>
              <w:rPr/>
              <w:t xml:space="preserve">in respect of the Unused Loan Limited of Tranche A, on the last day of the Disbursement Period of Tranche A or on the Disbursement Date of Tranche A, whichever occurs first;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in respect of the Unused Loan Limit of Tranche B, on the last Business Day of each calendar month within the Disbursement Period of Tranche B or on the last day of the Disbursement Period of Tranche B, whichever occurs first. </w:t>
            </w:r>
          </w:p>
        </w:tc>
      </w:tr>
    </w:tbl>
    <w:p>
      <w:pPr>
        <w:pStyle w:val="TextBody"/>
        <w:spacing w:before="120" w:after="0"/>
        <w:rPr>
          <w:rFonts w:ascii="Times New Roman" w:hAnsi="Times New Roman"/>
          <w:sz w:val="20"/>
        </w:rPr>
      </w:pPr>
      <w:r>
        <w:rPr>
          <w:rFonts w:ascii="Times New Roman" w:hAnsi="Times New Roman"/>
          <w:sz w:val="20"/>
        </w:rPr>
        <w:t xml:space="preserve">A fee for the obligation of granting of the Loan shall not apply to the Unused Loan Limit in terms of Tranche B and Tranche 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payment of a Lenders’ consideration for granting the Loan under Article 11.2 (</w:t>
            </w:r>
            <w:r>
              <w:rPr>
                <w:i/>
              </w:rPr>
              <w:t>Loan Extension Fee</w:t>
            </w:r>
            <w:r>
              <w:rPr/>
              <w:t xml:space="preserve">) of the Loan Agreement which amounts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1.5 (one point five) percent of Tranche 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1.5 (one point five) percent of Tranche B;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0.25 (zero point two five) percent of Tranche 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0.25 (zero point two five) percent of Tranche D </w:t>
            </w:r>
          </w:p>
        </w:tc>
      </w:tr>
    </w:tbl>
    <w:p>
      <w:pPr>
        <w:pStyle w:val="TextBody"/>
        <w:spacing w:before="120" w:after="0"/>
        <w:rPr>
          <w:rFonts w:ascii="Times New Roman" w:hAnsi="Times New Roman"/>
          <w:sz w:val="20"/>
        </w:rPr>
      </w:pPr>
      <w:r>
        <w:rPr>
          <w:rFonts w:ascii="Times New Roman" w:hAnsi="Times New Roman"/>
          <w:sz w:val="20"/>
        </w:rPr>
        <w:t xml:space="preserve">prior to the Disbursement Date of a respective Tranche;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reimbursement to the Parties to the Financing for any costs or losses to be reimbursed under Articles 14.1 (</w:t>
            </w:r>
            <w:r>
              <w:rPr>
                <w:i/>
              </w:rPr>
              <w:t>Reimbursement for Currency Costs</w:t>
            </w:r>
            <w:r>
              <w:rPr/>
              <w:t>), 14.3 (</w:t>
            </w:r>
            <w:r>
              <w:rPr>
                <w:i/>
              </w:rPr>
              <w:t>Reimbursement for Costs of the Credit Agent</w:t>
            </w:r>
            <w:r>
              <w:rPr/>
              <w:t>) and 14.4 (</w:t>
            </w:r>
            <w:r>
              <w:rPr>
                <w:i/>
              </w:rPr>
              <w:t>Transaction-Related Costs</w:t>
            </w:r>
            <w:r>
              <w:rPr/>
              <w:t>), 14.5 (</w:t>
            </w:r>
            <w:r>
              <w:rPr>
                <w:i/>
              </w:rPr>
              <w:t>Amendment Costs</w:t>
            </w:r>
            <w:r>
              <w:rPr/>
              <w:t xml:space="preserve">)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283"/>
              <w:jc w:val="left"/>
              <w:rPr/>
            </w:pPr>
            <w:r>
              <w:rPr/>
              <w:t xml:space="preserve">reimbursement to the Parties to the Financing for any documented costs (including fees of any legal and other advisers) </w:t>
            </w:r>
            <w:r>
              <w:rPr>
                <w:i/>
              </w:rPr>
              <w:t>incurred</w:t>
            </w:r>
            <w:r>
              <w:rPr/>
              <w:t xml:space="preserve"> by a Party to the Financing because of a mandatory performance of any Financial Document or protection of its rights under the Financial Documents.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(h)</w:t>
            </w:r>
          </w:p>
        </w:tc>
        <w:tc>
          <w:tcPr>
            <w:tcW w:w="8472" w:type="dxa"/>
            <w:tcBorders/>
            <w:shd w:fill="auto" w:val="clear"/>
          </w:tcPr>
          <w:p>
            <w:pPr>
              <w:pStyle w:val="TableContents"/>
              <w:spacing w:before="0" w:after="283"/>
              <w:jc w:val="left"/>
              <w:rPr/>
            </w:pPr>
            <w:r>
              <w:rPr/>
              <w:t>reimbursement to the Parties to the Financing for any expenses under Article 14.2 (</w:t>
            </w:r>
            <w:r>
              <w:rPr>
                <w:i/>
              </w:rPr>
              <w:t>Reimbursement for Other Costs</w:t>
            </w:r>
            <w:r>
              <w:rPr/>
              <w:t xml:space="preserve">) of the Loan Agreement incurred by a Party to the Financing as a result of: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occurrence of the Event of Default;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7" w:type="dxa"/>
            <w:tcBorders/>
            <w:shd w:fill="auto" w:val="clear"/>
          </w:tcPr>
          <w:p>
            <w:pPr>
              <w:pStyle w:val="TableContents"/>
              <w:spacing w:before="0" w:after="283"/>
              <w:jc w:val="left"/>
              <w:rPr/>
            </w:pPr>
            <w:r>
              <w:rPr/>
              <w:t xml:space="preserve">impossibility to grant the Loan to the Borrower against the Disbursement Request pursuant to any provisions of the Loan Agreement;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Borrower’s inability to early repay the Outstanding Loan or a part thereof, in spite of an early repayment notice submitted to the Credit Agent.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6"/>
        <w:gridCol w:w="8476"/>
      </w:tblGrid>
      <w:tr>
        <w:trPr/>
        <w:tc>
          <w:tcPr>
            <w:tcW w:w="81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8476" w:type="dxa"/>
            <w:tcBorders/>
            <w:shd w:fill="auto" w:val="clear"/>
          </w:tcPr>
          <w:p>
            <w:pPr>
              <w:pStyle w:val="TableContents"/>
              <w:spacing w:before="0" w:after="283"/>
              <w:jc w:val="left"/>
              <w:rPr/>
            </w:pPr>
            <w:r>
              <w:rPr/>
              <w:t xml:space="preserve">payment of any other amounts due under the terms and conditions of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(j)</w:t>
            </w:r>
          </w:p>
        </w:tc>
        <w:tc>
          <w:tcPr>
            <w:tcW w:w="8473" w:type="dxa"/>
            <w:tcBorders/>
            <w:shd w:fill="auto" w:val="clear"/>
          </w:tcPr>
          <w:p>
            <w:pPr>
              <w:pStyle w:val="TableContents"/>
              <w:spacing w:before="0" w:after="283"/>
              <w:jc w:val="left"/>
              <w:rPr/>
            </w:pPr>
            <w:r>
              <w:rPr/>
              <w:t xml:space="preserve">full return of any funds obtained by the Borrower if the Loan Agreement is not valid, and payment of such interest for an illegal use of the funds and/or for use of third parties’ funds as accrued under the applicable laws, as well as reimbursement for any losses (except for lost profit) incurred as a result of an illegal use of such funds. </w:t>
            </w:r>
          </w:p>
        </w:tc>
      </w:tr>
    </w:tbl>
    <w:p>
      <w:pPr>
        <w:pStyle w:val="TextBody"/>
        <w:spacing w:before="120" w:after="0"/>
        <w:rPr/>
      </w:pPr>
      <w:r>
        <w:rPr/>
        <w:t>“</w:t>
      </w:r>
      <w:r>
        <w:rPr>
          <w:rFonts w:ascii="Times New Roman" w:hAnsi="Times New Roman"/>
          <w:b/>
          <w:sz w:val="20"/>
        </w:rPr>
        <w:t>Business Day”</w:t>
      </w:r>
      <w:r>
        <w:rPr>
          <w:rFonts w:ascii="Times New Roman" w:hAnsi="Times New Roman"/>
          <w:sz w:val="20"/>
        </w:rPr>
        <w:t xml:space="preserve"> means any day on which banks are open for normal banking operations in Moscow and Nicosia. </w:t>
      </w:r>
    </w:p>
    <w:p>
      <w:pPr>
        <w:pStyle w:val="TextBody"/>
        <w:spacing w:before="120" w:after="0"/>
        <w:rPr/>
      </w:pPr>
      <w:r>
        <w:rPr/>
        <w:t>“</w:t>
      </w:r>
      <w:r>
        <w:rPr>
          <w:rFonts w:ascii="Times New Roman" w:hAnsi="Times New Roman"/>
          <w:b/>
          <w:sz w:val="20"/>
        </w:rPr>
        <w:t>Ruble”</w:t>
      </w:r>
      <w:r>
        <w:rPr>
          <w:rFonts w:ascii="Times New Roman" w:hAnsi="Times New Roman"/>
          <w:sz w:val="20"/>
        </w:rPr>
        <w:t xml:space="preserve"> means a legal tender of the Russian Federation. </w:t>
      </w:r>
    </w:p>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3”</w:t>
      </w:r>
      <w:r>
        <w:rPr>
          <w:rFonts w:ascii="Times New Roman" w:hAnsi="Times New Roman"/>
          <w:sz w:val="20"/>
        </w:rPr>
        <w:t xml:space="preserve"> means Amendment Agreement No. 3 to the Loan Agreement dated October </w:t>
      </w:r>
      <w:r>
        <w:rPr>
          <w:rFonts w:ascii="Times New Roman" w:hAnsi="Times New Roman"/>
          <w:sz w:val="20"/>
          <w:u w:val="single"/>
        </w:rPr>
        <w:t>5</w:t>
      </w:r>
      <w:r>
        <w:rPr>
          <w:rFonts w:ascii="Times New Roman" w:hAnsi="Times New Roman"/>
          <w:sz w:val="20"/>
        </w:rPr>
        <w:t xml:space="preserve">, 2017. </w:t>
      </w:r>
    </w:p>
    <w:p>
      <w:pPr>
        <w:pStyle w:val="TextBody"/>
        <w:spacing w:before="120" w:after="0"/>
        <w:rPr/>
      </w:pPr>
      <w:r>
        <w:rPr/>
        <w:t>“</w:t>
      </w:r>
      <w:r>
        <w:rPr>
          <w:rFonts w:ascii="Times New Roman" w:hAnsi="Times New Roman"/>
          <w:b/>
          <w:sz w:val="20"/>
        </w:rPr>
        <w:t xml:space="preserve">Party” </w:t>
      </w:r>
      <w:r>
        <w:rPr>
          <w:rFonts w:ascii="Times New Roman" w:hAnsi="Times New Roman"/>
          <w:sz w:val="20"/>
        </w:rPr>
        <w:t>means the Guarantor or the Original Lender (or the Credit Agent after accession of rights (claims) under the Independent Guarantee Issue Agreement and this Guarantee under Article 5.2 (</w:t>
      </w:r>
      <w:r>
        <w:rPr>
          <w:rFonts w:ascii="Times New Roman" w:hAnsi="Times New Roman"/>
          <w:i/>
          <w:sz w:val="20"/>
        </w:rPr>
        <w:t>Transfer of Rights by the Lenders</w:t>
      </w:r>
      <w:r>
        <w:rPr>
          <w:rFonts w:ascii="Times New Roman" w:hAnsi="Times New Roman"/>
          <w:sz w:val="20"/>
        </w:rPr>
        <w:t xml:space="preserve">)). </w:t>
      </w:r>
    </w:p>
    <w:p>
      <w:pPr>
        <w:pStyle w:val="TextBody"/>
        <w:spacing w:before="120" w:after="0"/>
        <w:rPr/>
      </w:pPr>
      <w:r>
        <w:rPr/>
        <w:t>“</w:t>
      </w:r>
      <w:r>
        <w:rPr>
          <w:rFonts w:ascii="Times New Roman" w:hAnsi="Times New Roman"/>
          <w:b/>
          <w:sz w:val="20"/>
        </w:rPr>
        <w:t>Guarantee Amount”</w:t>
      </w:r>
      <w:r>
        <w:rPr>
          <w:rFonts w:ascii="Times New Roman" w:hAnsi="Times New Roman"/>
          <w:sz w:val="20"/>
        </w:rPr>
        <w:t xml:space="preserve"> means an amount of RUB 10,300,000,000 (ten billion three hundred million Rubles). </w:t>
      </w:r>
    </w:p>
    <w:p>
      <w:pPr>
        <w:pStyle w:val="TextBody"/>
        <w:spacing w:before="120" w:after="0"/>
        <w:rPr/>
      </w:pPr>
      <w:r>
        <w:rPr/>
        <w:t>“</w:t>
      </w:r>
      <w:r>
        <w:rPr>
          <w:rFonts w:ascii="Times New Roman" w:hAnsi="Times New Roman"/>
          <w:b/>
          <w:sz w:val="20"/>
        </w:rPr>
        <w:t>Payment Claim”</w:t>
      </w:r>
      <w:r>
        <w:rPr>
          <w:rFonts w:ascii="Times New Roman" w:hAnsi="Times New Roman"/>
          <w:sz w:val="20"/>
        </w:rPr>
        <w:t xml:space="preserve"> means a written notice which is sent by the Credit Agent to the Guarantor and contains: (i) an indication of a particular violation of the Secured Obligations entailing payment under this Guarantee; (ii) a claim for the Guarantor to make payments provided for by this Guarantee within such amount and period as specified in such notice, as well as details of the bank account to which the Guarantor shall make payment.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w:t>
            </w:r>
          </w:p>
        </w:tc>
        <w:tc>
          <w:tcPr>
            <w:tcW w:w="9389" w:type="dxa"/>
            <w:tcBorders/>
            <w:shd w:fill="auto" w:val="clear"/>
          </w:tcPr>
          <w:p>
            <w:pPr>
              <w:pStyle w:val="TableContents"/>
              <w:spacing w:before="0" w:after="283"/>
              <w:jc w:val="left"/>
              <w:rPr>
                <w:b/>
              </w:rPr>
            </w:pPr>
            <w:r>
              <w:rPr>
                <w:b/>
              </w:rPr>
              <w:t xml:space="preserve">INDEPENDENT GUARANTEE </w:t>
            </w:r>
          </w:p>
        </w:tc>
      </w:tr>
    </w:tbl>
    <w:p>
      <w:pPr>
        <w:pStyle w:val="TextBody"/>
        <w:spacing w:before="120" w:after="0"/>
        <w:rPr>
          <w:rFonts w:ascii="Times New Roman" w:hAnsi="Times New Roman"/>
          <w:sz w:val="20"/>
        </w:rPr>
      </w:pPr>
      <w:r>
        <w:rPr>
          <w:rFonts w:ascii="Times New Roman" w:hAnsi="Times New Roman"/>
          <w:sz w:val="20"/>
        </w:rPr>
        <w:t>The Guarantor shall, at the request of the Borrower, issue this Guarantee and hereby undertakes to pay such amount within the Guarantee Amount as specified in the Payment Claim to the Original Lender if the Borrower fails to fulfill the Secured Obligations (or to pay such amount to the Credit Agent for distribution among the Lenders after assignment of rights (claims) under the Independent Guarantee Issue Agreement and this Guarantee in accordance with Article 5.2 (</w:t>
      </w:r>
      <w:r>
        <w:rPr>
          <w:rFonts w:ascii="Times New Roman" w:hAnsi="Times New Roman"/>
          <w:i/>
          <w:sz w:val="20"/>
        </w:rPr>
        <w:t>Transfer of Rights by the Lenders</w:t>
      </w:r>
      <w:r>
        <w:rPr>
          <w:rFonts w:ascii="Times New Roman" w:hAnsi="Times New Roman"/>
          <w:sz w:val="20"/>
        </w:rPr>
        <w:t xml:space="preserve">)), regardless of the validity of the Loan Agreement, the Secured Obligations, as well as relations between the Guarantor and the Borrower, and other obligations.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3.</w:t>
            </w:r>
          </w:p>
        </w:tc>
        <w:tc>
          <w:tcPr>
            <w:tcW w:w="9388" w:type="dxa"/>
            <w:tcBorders/>
            <w:shd w:fill="auto" w:val="clear"/>
          </w:tcPr>
          <w:p>
            <w:pPr>
              <w:pStyle w:val="TableContents"/>
              <w:spacing w:before="0" w:after="283"/>
              <w:jc w:val="left"/>
              <w:rPr>
                <w:b/>
              </w:rPr>
            </w:pPr>
            <w:r>
              <w:rPr>
                <w:b/>
              </w:rPr>
              <w:t xml:space="preserve">PAYMENT CLAIM </w:t>
            </w:r>
          </w:p>
        </w:tc>
      </w:tr>
    </w:tbl>
    <w:p>
      <w:pPr>
        <w:pStyle w:val="TextBody"/>
        <w:spacing w:before="120" w:after="0"/>
        <w:rPr>
          <w:rFonts w:ascii="Times New Roman" w:hAnsi="Times New Roman"/>
          <w:sz w:val="20"/>
        </w:rPr>
      </w:pPr>
      <w:r>
        <w:rPr>
          <w:rFonts w:ascii="Times New Roman" w:hAnsi="Times New Roman"/>
          <w:sz w:val="20"/>
        </w:rPr>
        <w:t>If the Secured Obligations are not fulfilled, as specified in Article 2 (</w:t>
      </w:r>
      <w:r>
        <w:rPr>
          <w:rFonts w:ascii="Times New Roman" w:hAnsi="Times New Roman"/>
          <w:i/>
          <w:sz w:val="20"/>
        </w:rPr>
        <w:t>Independent Guarantee</w:t>
      </w:r>
      <w:r>
        <w:rPr>
          <w:rFonts w:ascii="Times New Roman" w:hAnsi="Times New Roman"/>
          <w:sz w:val="20"/>
        </w:rPr>
        <w:t>) of this Guarantee, the Original Lender (or the Credit Agent acting on behalf of the Lenders after assignment under this Guarantee in accordance with Article 5.2 (</w:t>
      </w:r>
      <w:r>
        <w:rPr>
          <w:rFonts w:ascii="Times New Roman" w:hAnsi="Times New Roman"/>
          <w:i/>
          <w:sz w:val="20"/>
        </w:rPr>
        <w:t>Transfer of Rights by the Lenders</w:t>
      </w:r>
      <w:r>
        <w:rPr>
          <w:rFonts w:ascii="Times New Roman" w:hAnsi="Times New Roman"/>
          <w:sz w:val="20"/>
        </w:rPr>
        <w:t>)) shall send the Guarantor a Payment Claim and a copy of the notice of the Original Lender or the Credit Agent, respectively, sent to the Borrower under Clause (b) of Article 21.18 (</w:t>
      </w:r>
      <w:r>
        <w:rPr>
          <w:rFonts w:ascii="Times New Roman" w:hAnsi="Times New Roman"/>
          <w:i/>
          <w:sz w:val="20"/>
        </w:rPr>
        <w:t>Acceleration</w:t>
      </w:r>
      <w:r>
        <w:rPr>
          <w:rFonts w:ascii="Times New Roman" w:hAnsi="Times New Roman"/>
          <w:sz w:val="20"/>
        </w:rPr>
        <w:t xml:space="preserve">) of the Loan Agreement. The Guarantor shall make a payment against the Payment Claim within a period not exceeding five Business Days from the date when the Guarantor receives such Payment Claim under the terms and conditions of this Guarantee and the Independent Guarantee Issue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4.</w:t>
            </w:r>
          </w:p>
        </w:tc>
        <w:tc>
          <w:tcPr>
            <w:tcW w:w="9390" w:type="dxa"/>
            <w:tcBorders/>
            <w:shd w:fill="auto" w:val="clear"/>
          </w:tcPr>
          <w:p>
            <w:pPr>
              <w:pStyle w:val="TableContents"/>
              <w:spacing w:before="0" w:after="283"/>
              <w:jc w:val="left"/>
              <w:rPr>
                <w:b/>
              </w:rPr>
            </w:pPr>
            <w:r>
              <w:rPr>
                <w:b/>
              </w:rPr>
              <w:t xml:space="preserve">VALIDITY TERM </w:t>
            </w:r>
          </w:p>
        </w:tc>
      </w:tr>
    </w:tbl>
    <w:p>
      <w:pPr>
        <w:pStyle w:val="TextBody"/>
        <w:spacing w:before="120" w:after="0"/>
        <w:rPr>
          <w:rFonts w:ascii="Times New Roman" w:hAnsi="Times New Roman"/>
          <w:sz w:val="20"/>
        </w:rPr>
      </w:pPr>
      <w:r>
        <w:rPr>
          <w:rFonts w:ascii="Times New Roman" w:hAnsi="Times New Roman"/>
          <w:sz w:val="20"/>
        </w:rPr>
        <w:t>This Guarantee is issued for a period from the Issue Date through a date that occurs after 96 months from the date of Amendment Agreement No. 3 (the “</w:t>
      </w:r>
      <w:r>
        <w:rPr>
          <w:rFonts w:ascii="Times New Roman" w:hAnsi="Times New Roman"/>
          <w:b/>
          <w:sz w:val="20"/>
        </w:rPr>
        <w:t>Expiration Date</w:t>
      </w:r>
      <w:r>
        <w:rPr>
          <w:rFonts w:ascii="Times New Roman" w:hAnsi="Times New Roman"/>
          <w:sz w:val="20"/>
        </w:rPr>
        <w:t xml:space="preserve">”). For the avoidance of doubt, the Payment Claim under this Guarantee shall be satisfied if it is sent by the Beneficiary prior to the Expiration Date (inclusive).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5.</w:t>
            </w:r>
          </w:p>
        </w:tc>
        <w:tc>
          <w:tcPr>
            <w:tcW w:w="9391" w:type="dxa"/>
            <w:tcBorders/>
            <w:shd w:fill="auto" w:val="clear"/>
          </w:tcPr>
          <w:p>
            <w:pPr>
              <w:pStyle w:val="TableContents"/>
              <w:spacing w:before="0" w:after="283"/>
              <w:jc w:val="left"/>
              <w:rPr>
                <w:b/>
              </w:rPr>
            </w:pPr>
            <w:r>
              <w:rPr>
                <w:b/>
              </w:rPr>
              <w:t xml:space="preserve">CLAIM ASSIGNMENT AND DEBT TRANSFER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5.1.</w:t>
            </w:r>
          </w:p>
        </w:tc>
        <w:tc>
          <w:tcPr>
            <w:tcW w:w="9389" w:type="dxa"/>
            <w:tcBorders/>
            <w:shd w:fill="auto" w:val="clear"/>
          </w:tcPr>
          <w:p>
            <w:pPr>
              <w:pStyle w:val="TableContents"/>
              <w:spacing w:before="0" w:after="283"/>
              <w:jc w:val="left"/>
              <w:rPr/>
            </w:pPr>
            <w:r>
              <w:rPr>
                <w:b/>
              </w:rPr>
              <w:t>Claim Assignment and 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Guarantor may not assign its rights or transfer the debt under this Guarantee or otherwise dispose of any of its rights and (or) obligations under this Guarantee without the written consent of all Lenders.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b/>
              </w:rPr>
              <w:t>Transfer of Rights by the Lenders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Original Lender may, without the consent of the Guarantor and the Borrower, assign all or part of its rights (claims) under this Guarantee to any person to whom it has assigned its rights under the Loan Agreement. The Guarantor hereby expresses its consent to such assignment and shall be liable to any person to whom the Lender has assigned its rights under the Loan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If the Original Lender assigns its rights (claims) under Clause (a) above, the Lenders that have wholly or partially assigned the rights (claims) under this Guarantee become beneficiaries hereunder.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5.3.</w:t>
            </w:r>
          </w:p>
        </w:tc>
        <w:tc>
          <w:tcPr>
            <w:tcW w:w="9389" w:type="dxa"/>
            <w:tcBorders/>
            <w:shd w:fill="auto" w:val="clear"/>
          </w:tcPr>
          <w:p>
            <w:pPr>
              <w:pStyle w:val="TableContents"/>
              <w:spacing w:before="0" w:after="283"/>
              <w:jc w:val="left"/>
              <w:rPr/>
            </w:pPr>
            <w:r>
              <w:rPr>
                <w:b/>
              </w:rPr>
              <w:t>Debt Transfer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the Borrower assigns or transfers its debt (in whole or in part) under the Loan Agreement to another person under the terms and conditions provided for in the Loan Agreement or transfers the Borrower’s obligations under the Loan Agreement to another person through a universal succession, the Guarantor hereby expresses its consent to such assignment or transfer of the debt and agrees to be jointly liable with the new borrower in the amount of the Secured Obligations.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6.</w:t>
            </w:r>
          </w:p>
        </w:tc>
        <w:tc>
          <w:tcPr>
            <w:tcW w:w="9388" w:type="dxa"/>
            <w:tcBorders/>
            <w:shd w:fill="auto" w:val="clear"/>
          </w:tcPr>
          <w:p>
            <w:pPr>
              <w:pStyle w:val="TableContents"/>
              <w:spacing w:before="0" w:after="283"/>
              <w:jc w:val="left"/>
              <w:rPr>
                <w:b/>
              </w:rPr>
            </w:pPr>
            <w:r>
              <w:rPr>
                <w:b/>
              </w:rPr>
              <w:t xml:space="preserve">CHANGE IN THE SECURED OBLIGATIONS </w:t>
            </w:r>
          </w:p>
        </w:tc>
      </w:tr>
    </w:tbl>
    <w:p>
      <w:pPr>
        <w:pStyle w:val="TextBody"/>
        <w:spacing w:before="120" w:after="0"/>
        <w:rPr>
          <w:rFonts w:ascii="Times New Roman" w:hAnsi="Times New Roman"/>
          <w:sz w:val="20"/>
        </w:rPr>
      </w:pPr>
      <w:r>
        <w:rPr>
          <w:rFonts w:ascii="Times New Roman" w:hAnsi="Times New Roman"/>
          <w:sz w:val="20"/>
        </w:rPr>
        <w:t xml:space="preserve">The Guarantor hereby expresses its consent to be jointly liable with the Borrower, irrespective of whether the terms and conditions of the Loan Agreement will be amended in any way, including any amendments leading to an increase in the volume of the Secured Obligations or other adverse consequences for the Guarantor. No additional written consent of the Guarantor is required for such amendment.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7.</w:t>
            </w:r>
          </w:p>
        </w:tc>
        <w:tc>
          <w:tcPr>
            <w:tcW w:w="9389" w:type="dxa"/>
            <w:tcBorders/>
            <w:shd w:fill="auto" w:val="clear"/>
          </w:tcPr>
          <w:p>
            <w:pPr>
              <w:pStyle w:val="TableContents"/>
              <w:spacing w:before="0" w:after="283"/>
              <w:jc w:val="left"/>
              <w:rPr>
                <w:b/>
              </w:rPr>
            </w:pPr>
            <w:r>
              <w:rPr>
                <w:b/>
              </w:rPr>
              <w:t xml:space="preserve">APPLICABLE LAW </w:t>
            </w:r>
          </w:p>
        </w:tc>
      </w:tr>
    </w:tbl>
    <w:p>
      <w:pPr>
        <w:pStyle w:val="TextBody"/>
        <w:spacing w:before="120" w:after="0"/>
        <w:rPr>
          <w:rFonts w:ascii="Times New Roman" w:hAnsi="Times New Roman"/>
          <w:sz w:val="20"/>
        </w:rPr>
      </w:pPr>
      <w:r>
        <w:rPr>
          <w:rFonts w:ascii="Times New Roman" w:hAnsi="Times New Roman"/>
          <w:sz w:val="20"/>
        </w:rPr>
        <w:t xml:space="preserve">This Guarantee shall be regulated and construed under the Russian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8.</w:t>
            </w:r>
          </w:p>
        </w:tc>
        <w:tc>
          <w:tcPr>
            <w:tcW w:w="9391" w:type="dxa"/>
            <w:tcBorders/>
            <w:shd w:fill="auto" w:val="clear"/>
          </w:tcPr>
          <w:p>
            <w:pPr>
              <w:pStyle w:val="TableContents"/>
              <w:spacing w:before="0" w:after="283"/>
              <w:jc w:val="left"/>
              <w:rPr>
                <w:b/>
              </w:rPr>
            </w:pPr>
            <w:r>
              <w:rPr>
                <w:b/>
              </w:rPr>
              <w:t xml:space="preserve">DISPUTE SETTLEMENT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dispute arises in connection with this Guarantee, including, but not limited to, any dispute concerning its provisions, existence, validity or termination, such dispute shall be subject to pre-trial settlement by sending a respective claim by either Party to the other Party. If a Party does not receive an answer to the sent claim and if the dispute is not settled within 10 (ten) Business Days from the date of receipt of the claim by the other Party, such dispute may be referred to court under Clause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According to the provisions of Clause (a) above, if any dispute arises in connection with this Agreement, including, but not limited to, any dispute concerning its provisions, existence, validity or termination, such dispute shall be settled by the Moscow Arbitration Court.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9.</w:t>
            </w:r>
          </w:p>
        </w:tc>
        <w:tc>
          <w:tcPr>
            <w:tcW w:w="9389"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Guarantee shall be signed in four original counterparts of equal legal effect, all of which together shall constitute one and the same instrument.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APPENDIX 1 </w:t>
      </w:r>
    </w:p>
    <w:p>
      <w:pPr>
        <w:pStyle w:val="TextBody"/>
        <w:spacing w:before="0" w:after="0"/>
        <w:jc w:val="center"/>
        <w:rPr>
          <w:rFonts w:ascii="Times New Roman" w:hAnsi="Times New Roman"/>
          <w:b/>
          <w:sz w:val="20"/>
        </w:rPr>
      </w:pPr>
      <w:r>
        <w:rPr>
          <w:rFonts w:ascii="Times New Roman" w:hAnsi="Times New Roman"/>
          <w:b/>
          <w:sz w:val="20"/>
        </w:rPr>
        <w:t xml:space="preserve">ADDRESSES AND DETAILS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846"/>
        <w:gridCol w:w="211"/>
        <w:gridCol w:w="1648"/>
        <w:gridCol w:w="121"/>
        <w:gridCol w:w="5379"/>
      </w:tblGrid>
      <w:tr>
        <w:trPr/>
        <w:tc>
          <w:tcPr>
            <w:tcW w:w="2846" w:type="dxa"/>
            <w:tcBorders/>
            <w:shd w:fill="auto" w:val="clear"/>
            <w:vAlign w:val="cente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sz w:val="4"/>
                <w:szCs w:val="4"/>
              </w:rPr>
            </w:pPr>
            <w:r>
              <w:rPr>
                <w:sz w:val="4"/>
                <w:szCs w:val="4"/>
              </w:rPr>
            </w:r>
          </w:p>
        </w:tc>
        <w:tc>
          <w:tcPr>
            <w:tcW w:w="1648" w:type="dxa"/>
            <w:tcBorders/>
            <w:shd w:fill="auto" w:val="clear"/>
            <w:vAlign w:val="cente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sz w:val="4"/>
                <w:szCs w:val="4"/>
              </w:rPr>
            </w:pPr>
            <w:r>
              <w:rPr>
                <w:sz w:val="4"/>
                <w:szCs w:val="4"/>
              </w:rPr>
            </w:r>
          </w:p>
        </w:tc>
        <w:tc>
          <w:tcPr>
            <w:tcW w:w="5379" w:type="dxa"/>
            <w:tcBorders/>
            <w:shd w:fill="auto" w:val="clear"/>
            <w:vAlign w:val="center"/>
          </w:tcPr>
          <w:p>
            <w:pPr>
              <w:pStyle w:val="TableContents"/>
              <w:spacing w:before="0" w:after="283"/>
              <w:rPr>
                <w:sz w:val="4"/>
                <w:szCs w:val="4"/>
              </w:rPr>
            </w:pPr>
            <w:r>
              <w:rPr>
                <w:sz w:val="4"/>
                <w:szCs w:val="4"/>
              </w:rPr>
            </w:r>
          </w:p>
        </w:tc>
      </w:tr>
      <w:tr>
        <w:trPr/>
        <w:tc>
          <w:tcPr>
            <w:tcW w:w="2846" w:type="dxa"/>
            <w:tcBorders/>
            <w:shd w:fill="auto" w:val="clear"/>
          </w:tcPr>
          <w:p>
            <w:pPr>
              <w:pStyle w:val="TableContents"/>
              <w:spacing w:before="0" w:after="283"/>
              <w:jc w:val="center"/>
              <w:rPr>
                <w:b/>
              </w:rPr>
            </w:pPr>
            <w:r>
              <w:rPr>
                <w:b/>
              </w:rPr>
              <w:t>Company</w:t>
            </w:r>
          </w:p>
        </w:tc>
        <w:tc>
          <w:tcPr>
            <w:tcW w:w="211" w:type="dxa"/>
            <w:tcBorders/>
            <w:shd w:fill="auto" w:val="clear"/>
            <w:vAlign w:val="bottom"/>
          </w:tcPr>
          <w:p>
            <w:pPr>
              <w:pStyle w:val="TableContents"/>
              <w:spacing w:before="0" w:after="283"/>
              <w:rPr/>
            </w:pPr>
            <w:r>
              <w:rPr/>
              <w:t>  </w:t>
            </w:r>
          </w:p>
        </w:tc>
        <w:tc>
          <w:tcPr>
            <w:tcW w:w="7148" w:type="dxa"/>
            <w:gridSpan w:val="3"/>
            <w:tcBorders/>
            <w:shd w:fill="auto" w:val="clear"/>
          </w:tcPr>
          <w:p>
            <w:pPr>
              <w:pStyle w:val="TableContents"/>
              <w:spacing w:before="0" w:after="283"/>
              <w:jc w:val="center"/>
              <w:rPr>
                <w:b/>
              </w:rPr>
            </w:pPr>
            <w:r>
              <w:rPr>
                <w:b/>
              </w:rPr>
              <w:t>Address, Fax and E-mail</w:t>
            </w:r>
          </w:p>
        </w:tc>
      </w:tr>
      <w:tr>
        <w:trPr/>
        <w:tc>
          <w:tcPr>
            <w:tcW w:w="2846" w:type="dxa"/>
            <w:tcBorders/>
            <w:shd w:fill="auto" w:val="clear"/>
          </w:tcPr>
          <w:p>
            <w:pPr>
              <w:pStyle w:val="TableContents"/>
              <w:spacing w:before="0" w:after="283"/>
              <w:jc w:val="center"/>
              <w:rPr>
                <w:b/>
              </w:rPr>
            </w:pPr>
            <w:r>
              <w:rPr>
                <w:b/>
              </w:rPr>
              <w:t>Guarantor</w:t>
            </w:r>
          </w:p>
        </w:tc>
        <w:tc>
          <w:tcPr>
            <w:tcW w:w="211" w:type="dxa"/>
            <w:tcBorders/>
            <w:shd w:fill="auto" w:val="clear"/>
            <w:vAlign w:val="bottom"/>
          </w:tcPr>
          <w:p>
            <w:pPr>
              <w:pStyle w:val="TableContents"/>
              <w:spacing w:before="0" w:after="283"/>
              <w:rPr/>
            </w:pPr>
            <w:r>
              <w:rPr/>
              <w:t>  </w:t>
            </w:r>
          </w:p>
        </w:tc>
        <w:tc>
          <w:tcPr>
            <w:tcW w:w="7148" w:type="dxa"/>
            <w:gridSpan w:val="3"/>
            <w:tcBorders/>
            <w:shd w:fill="auto" w:val="clear"/>
          </w:tcPr>
          <w:p>
            <w:pPr>
              <w:pStyle w:val="TableContents"/>
              <w:spacing w:before="0" w:after="283"/>
              <w:rPr>
                <w:sz w:val="4"/>
                <w:szCs w:val="4"/>
              </w:rPr>
            </w:pPr>
            <w:r>
              <w:rPr>
                <w:sz w:val="4"/>
                <w:szCs w:val="4"/>
              </w:rPr>
            </w:r>
          </w:p>
        </w:tc>
      </w:tr>
      <w:tr>
        <w:trPr/>
        <w:tc>
          <w:tcPr>
            <w:tcW w:w="2846" w:type="dxa"/>
            <w:vMerge w:val="restart"/>
            <w:tcBorders/>
            <w:shd w:fill="auto" w:val="clear"/>
          </w:tcPr>
          <w:p>
            <w:pPr>
              <w:pStyle w:val="TableContents"/>
              <w:spacing w:before="0" w:after="0"/>
              <w:jc w:val="center"/>
              <w:rPr>
                <w:rFonts w:ascii="Times New Roman" w:hAnsi="Times New Roman"/>
                <w:b/>
                <w:sz w:val="20"/>
              </w:rPr>
            </w:pPr>
            <w:r>
              <w:rPr>
                <w:rFonts w:ascii="Times New Roman" w:hAnsi="Times New Roman"/>
                <w:b/>
                <w:sz w:val="20"/>
              </w:rPr>
              <w:t>ZEMENIK TRADING</w:t>
            </w:r>
          </w:p>
          <w:p>
            <w:pPr>
              <w:pStyle w:val="TableContents"/>
              <w:spacing w:before="0" w:after="20"/>
              <w:jc w:val="center"/>
              <w:rPr>
                <w:rFonts w:ascii="Times New Roman" w:hAnsi="Times New Roman"/>
                <w:b/>
                <w:sz w:val="20"/>
              </w:rPr>
            </w:pPr>
            <w:r>
              <w:rPr>
                <w:rFonts w:ascii="Times New Roman" w:hAnsi="Times New Roman"/>
                <w:b/>
                <w:sz w:val="20"/>
              </w:rPr>
              <w:t>LIMITED</w:t>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Address:</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42 Dositheou, Strovolos 2028, Nicosia, Cyprus</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Fax:</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+35722679096</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Email:</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info@fiduserve.com</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Attn:</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The Directors / Stelios Haralambous</w:t>
            </w:r>
          </w:p>
          <w:p>
            <w:pPr>
              <w:pStyle w:val="TableContents"/>
              <w:spacing w:before="0" w:after="20"/>
              <w:rPr/>
            </w:pPr>
            <w:r>
              <w:rPr/>
              <w:t> </w:t>
            </w:r>
          </w:p>
        </w:tc>
      </w:tr>
      <w:tr>
        <w:trPr/>
        <w:tc>
          <w:tcPr>
            <w:tcW w:w="2846" w:type="dxa"/>
            <w:tcBorders/>
            <w:shd w:fill="auto" w:val="clear"/>
          </w:tcPr>
          <w:p>
            <w:pPr>
              <w:pStyle w:val="TableContents"/>
              <w:spacing w:before="0" w:after="0"/>
              <w:jc w:val="center"/>
              <w:rPr>
                <w:rFonts w:ascii="Times New Roman" w:hAnsi="Times New Roman"/>
                <w:b/>
                <w:sz w:val="20"/>
              </w:rPr>
            </w:pPr>
            <w:r>
              <w:rPr>
                <w:rFonts w:ascii="Times New Roman" w:hAnsi="Times New Roman"/>
                <w:b/>
                <w:sz w:val="20"/>
              </w:rPr>
              <w:t>Borrower</w:t>
            </w:r>
          </w:p>
          <w:p>
            <w:pPr>
              <w:pStyle w:val="TableContents"/>
              <w:spacing w:before="0" w:after="20"/>
              <w:jc w:val="left"/>
              <w:rPr/>
            </w:pPr>
            <w:r>
              <w:rPr/>
              <w:t> </w:t>
            </w:r>
          </w:p>
        </w:tc>
        <w:tc>
          <w:tcPr>
            <w:tcW w:w="211" w:type="dxa"/>
            <w:tcBorders/>
            <w:shd w:fill="auto" w:val="clear"/>
            <w:vAlign w:val="bottom"/>
          </w:tcPr>
          <w:p>
            <w:pPr>
              <w:pStyle w:val="TableContents"/>
              <w:spacing w:before="0" w:after="283"/>
              <w:rPr/>
            </w:pPr>
            <w:r>
              <w:rPr/>
              <w:t>  </w:t>
            </w:r>
          </w:p>
        </w:tc>
        <w:tc>
          <w:tcPr>
            <w:tcW w:w="7148" w:type="dxa"/>
            <w:gridSpan w:val="3"/>
            <w:tcBorders/>
            <w:shd w:fill="auto" w:val="clear"/>
          </w:tcPr>
          <w:p>
            <w:pPr>
              <w:pStyle w:val="TableContents"/>
              <w:spacing w:before="0" w:after="283"/>
              <w:rPr>
                <w:sz w:val="4"/>
                <w:szCs w:val="4"/>
              </w:rPr>
            </w:pPr>
            <w:r>
              <w:rPr>
                <w:sz w:val="4"/>
                <w:szCs w:val="4"/>
              </w:rPr>
            </w:r>
          </w:p>
        </w:tc>
      </w:tr>
      <w:tr>
        <w:trPr/>
        <w:tc>
          <w:tcPr>
            <w:tcW w:w="2846" w:type="dxa"/>
            <w:vMerge w:val="restart"/>
            <w:tcBorders/>
            <w:shd w:fill="auto" w:val="clear"/>
          </w:tcPr>
          <w:p>
            <w:pPr>
              <w:pStyle w:val="TableContents"/>
              <w:spacing w:before="0" w:after="0"/>
              <w:jc w:val="center"/>
              <w:rPr>
                <w:rFonts w:ascii="Times New Roman" w:hAnsi="Times New Roman"/>
                <w:b/>
                <w:sz w:val="20"/>
              </w:rPr>
            </w:pPr>
            <w:r>
              <w:rPr>
                <w:rFonts w:ascii="Times New Roman" w:hAnsi="Times New Roman"/>
                <w:b/>
                <w:sz w:val="20"/>
              </w:rPr>
              <w:t>ZEMENIK LIMITED</w:t>
            </w:r>
          </w:p>
          <w:p>
            <w:pPr>
              <w:pStyle w:val="TableContents"/>
              <w:spacing w:before="0" w:after="20"/>
              <w:jc w:val="center"/>
              <w:rPr>
                <w:rFonts w:ascii="Times New Roman" w:hAnsi="Times New Roman"/>
                <w:b/>
                <w:sz w:val="20"/>
              </w:rPr>
            </w:pPr>
            <w:r>
              <w:rPr>
                <w:rFonts w:ascii="Times New Roman" w:hAnsi="Times New Roman"/>
                <w:b/>
                <w:sz w:val="20"/>
              </w:rPr>
              <w:t>LIABILITY COMPANY</w:t>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Address:</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4 Akademika Ilyushina St., bld. 1, office 54,</w:t>
            </w:r>
          </w:p>
          <w:p>
            <w:pPr>
              <w:pStyle w:val="TableContents"/>
              <w:spacing w:before="0" w:after="0"/>
              <w:rPr>
                <w:rFonts w:ascii="Times New Roman" w:hAnsi="Times New Roman"/>
                <w:sz w:val="20"/>
              </w:rPr>
            </w:pPr>
            <w:r>
              <w:rPr>
                <w:rFonts w:ascii="Times New Roman" w:hAnsi="Times New Roman"/>
                <w:sz w:val="20"/>
              </w:rPr>
              <w:t>Moscow, the Russian Federation, 125319</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Fax:</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+7 495 974-64-27</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Email:</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karen.agayan@arpartners.ru</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Attn:</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Karen Eduardovich Agayan</w:t>
            </w:r>
          </w:p>
          <w:p>
            <w:pPr>
              <w:pStyle w:val="TableContents"/>
              <w:spacing w:before="0" w:after="20"/>
              <w:rPr/>
            </w:pPr>
            <w:r>
              <w:rPr/>
              <w:t> </w:t>
            </w:r>
          </w:p>
        </w:tc>
      </w:tr>
      <w:tr>
        <w:trPr/>
        <w:tc>
          <w:tcPr>
            <w:tcW w:w="2846" w:type="dxa"/>
            <w:tcBorders/>
            <w:shd w:fill="auto" w:val="clear"/>
          </w:tcPr>
          <w:p>
            <w:pPr>
              <w:pStyle w:val="TableContents"/>
              <w:spacing w:before="0" w:after="0"/>
              <w:jc w:val="center"/>
              <w:rPr>
                <w:rFonts w:ascii="Times New Roman" w:hAnsi="Times New Roman"/>
                <w:b/>
                <w:sz w:val="20"/>
              </w:rPr>
            </w:pPr>
            <w:r>
              <w:rPr>
                <w:rFonts w:ascii="Times New Roman" w:hAnsi="Times New Roman"/>
                <w:b/>
                <w:sz w:val="20"/>
              </w:rPr>
              <w:t>Original Lender</w:t>
            </w:r>
          </w:p>
          <w:p>
            <w:pPr>
              <w:pStyle w:val="TableContents"/>
              <w:spacing w:before="0" w:after="20"/>
              <w:jc w:val="left"/>
              <w:rPr/>
            </w:pPr>
            <w:r>
              <w:rPr/>
              <w:t> </w:t>
            </w:r>
          </w:p>
        </w:tc>
        <w:tc>
          <w:tcPr>
            <w:tcW w:w="211" w:type="dxa"/>
            <w:tcBorders/>
            <w:shd w:fill="auto" w:val="clear"/>
            <w:vAlign w:val="bottom"/>
          </w:tcPr>
          <w:p>
            <w:pPr>
              <w:pStyle w:val="TableContents"/>
              <w:spacing w:before="0" w:after="283"/>
              <w:rPr/>
            </w:pPr>
            <w:r>
              <w:rPr/>
              <w:t>  </w:t>
            </w:r>
          </w:p>
        </w:tc>
        <w:tc>
          <w:tcPr>
            <w:tcW w:w="7148" w:type="dxa"/>
            <w:gridSpan w:val="3"/>
            <w:tcBorders/>
            <w:shd w:fill="auto" w:val="clear"/>
          </w:tcPr>
          <w:p>
            <w:pPr>
              <w:pStyle w:val="TableContents"/>
              <w:spacing w:before="0" w:after="283"/>
              <w:rPr>
                <w:sz w:val="4"/>
                <w:szCs w:val="4"/>
              </w:rPr>
            </w:pPr>
            <w:r>
              <w:rPr>
                <w:sz w:val="4"/>
                <w:szCs w:val="4"/>
              </w:rPr>
            </w:r>
          </w:p>
        </w:tc>
      </w:tr>
      <w:tr>
        <w:trPr/>
        <w:tc>
          <w:tcPr>
            <w:tcW w:w="2846" w:type="dxa"/>
            <w:vMerge w:val="restart"/>
            <w:tcBorders/>
            <w:shd w:fill="auto" w:val="clear"/>
          </w:tcPr>
          <w:p>
            <w:pPr>
              <w:pStyle w:val="TableContents"/>
              <w:spacing w:before="0" w:after="283"/>
              <w:jc w:val="center"/>
              <w:rPr>
                <w:b/>
              </w:rPr>
            </w:pPr>
            <w:r>
              <w:rPr>
                <w:b/>
              </w:rPr>
              <w:t>BANK VTB (PUBLIC JOINT-STOCK COMPANY)</w:t>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Address:</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43 Vorontsovskaya St., bld. 1, Moscow, 109147</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Fax:</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+7 495 775-54-54</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Email:</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0"/>
              <w:rPr>
                <w:rFonts w:ascii="Times New Roman" w:hAnsi="Times New Roman"/>
                <w:sz w:val="20"/>
              </w:rPr>
            </w:pPr>
            <w:r>
              <w:rPr>
                <w:rFonts w:ascii="Times New Roman" w:hAnsi="Times New Roman"/>
                <w:sz w:val="20"/>
              </w:rPr>
              <w:t>loanadmin@msk.vtb.ru,TM21@msk.vtb.ru</w:t>
            </w:r>
          </w:p>
          <w:p>
            <w:pPr>
              <w:pStyle w:val="TableContents"/>
              <w:spacing w:before="0" w:after="20"/>
              <w:rPr/>
            </w:pPr>
            <w:r>
              <w:rPr/>
              <w:t> </w:t>
            </w:r>
          </w:p>
        </w:tc>
      </w:tr>
      <w:tr>
        <w:trPr/>
        <w:tc>
          <w:tcPr>
            <w:tcW w:w="2846" w:type="dxa"/>
            <w:vMerge w:val="continue"/>
            <w:tcBorders/>
            <w:shd w:fill="auto" w:val="clear"/>
          </w:tcPr>
          <w:p>
            <w:pPr>
              <w:pStyle w:val="TableContents"/>
              <w:spacing w:before="0" w:after="283"/>
              <w:rPr>
                <w:sz w:val="4"/>
                <w:szCs w:val="4"/>
              </w:rPr>
            </w:pPr>
            <w:r>
              <w:rPr>
                <w:sz w:val="4"/>
                <w:szCs w:val="4"/>
              </w:rPr>
            </w:r>
          </w:p>
        </w:tc>
        <w:tc>
          <w:tcPr>
            <w:tcW w:w="211" w:type="dxa"/>
            <w:tcBorders/>
            <w:shd w:fill="auto" w:val="clear"/>
            <w:vAlign w:val="bottom"/>
          </w:tcPr>
          <w:p>
            <w:pPr>
              <w:pStyle w:val="TableContents"/>
              <w:spacing w:before="0" w:after="283"/>
              <w:rPr/>
            </w:pPr>
            <w:r>
              <w:rPr/>
              <w:t>  </w:t>
            </w:r>
          </w:p>
        </w:tc>
        <w:tc>
          <w:tcPr>
            <w:tcW w:w="1648" w:type="dxa"/>
            <w:tcBorders/>
            <w:shd w:fill="auto" w:val="clear"/>
          </w:tcPr>
          <w:p>
            <w:pPr>
              <w:pStyle w:val="TableContents"/>
              <w:spacing w:before="0" w:after="283"/>
              <w:rPr/>
            </w:pPr>
            <w:r>
              <w:rPr/>
              <w:t>Attn:</w:t>
            </w:r>
          </w:p>
        </w:tc>
        <w:tc>
          <w:tcPr>
            <w:tcW w:w="121" w:type="dxa"/>
            <w:tcBorders/>
            <w:shd w:fill="auto" w:val="clear"/>
            <w:vAlign w:val="bottom"/>
          </w:tcPr>
          <w:p>
            <w:pPr>
              <w:pStyle w:val="TableContents"/>
              <w:spacing w:before="0" w:after="283"/>
              <w:rPr/>
            </w:pPr>
            <w:r>
              <w:rPr/>
              <w:t>  </w:t>
            </w:r>
          </w:p>
        </w:tc>
        <w:tc>
          <w:tcPr>
            <w:tcW w:w="5379" w:type="dxa"/>
            <w:tcBorders/>
            <w:shd w:fill="auto" w:val="clear"/>
          </w:tcPr>
          <w:p>
            <w:pPr>
              <w:pStyle w:val="TableContents"/>
              <w:spacing w:before="0" w:after="283"/>
              <w:rPr/>
            </w:pPr>
            <w:r>
              <w:rPr/>
              <w:t>Credit Authority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w:t>
      </w:r>
    </w:p>
    <w:p>
      <w:pPr>
        <w:pStyle w:val="TextBody"/>
        <w:spacing w:before="240" w:after="0"/>
        <w:rPr>
          <w:rFonts w:ascii="Times New Roman" w:hAnsi="Times New Roman"/>
          <w:b/>
          <w:sz w:val="20"/>
        </w:rPr>
      </w:pPr>
      <w:r>
        <w:rPr>
          <w:rFonts w:ascii="Times New Roman" w:hAnsi="Times New Roman"/>
          <w:b/>
          <w:sz w:val="20"/>
        </w:rPr>
        <w:t xml:space="preserve">Guarantor </w:t>
      </w:r>
    </w:p>
    <w:p>
      <w:pPr>
        <w:pStyle w:val="TextBody"/>
        <w:spacing w:before="240" w:after="0"/>
        <w:rPr>
          <w:rFonts w:ascii="Times New Roman" w:hAnsi="Times New Roman"/>
          <w:b/>
          <w:sz w:val="20"/>
        </w:rPr>
      </w:pPr>
      <w:r>
        <w:rPr>
          <w:rFonts w:ascii="Times New Roman" w:hAnsi="Times New Roman"/>
          <w:b/>
          <w:sz w:val="20"/>
        </w:rPr>
        <w:t xml:space="preserve">LIMITED LIABILITY COMPANY </w:t>
      </w:r>
    </w:p>
    <w:p>
      <w:pPr>
        <w:pStyle w:val="TextBody"/>
        <w:spacing w:before="0" w:after="0"/>
        <w:rPr>
          <w:rFonts w:ascii="Times New Roman" w:hAnsi="Times New Roman"/>
          <w:b/>
          <w:sz w:val="20"/>
        </w:rPr>
      </w:pPr>
      <w:r>
        <w:rPr>
          <w:rFonts w:ascii="Times New Roman" w:hAnsi="Times New Roman"/>
          <w:b/>
          <w:sz w:val="20"/>
        </w:rPr>
        <w:t xml:space="preserve">ZEMENIK TRADING LIMITED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540"/>
        <w:gridCol w:w="316"/>
        <w:gridCol w:w="4202"/>
        <w:gridCol w:w="120"/>
        <w:gridCol w:w="4027"/>
      </w:tblGrid>
      <w:tr>
        <w:trPr/>
        <w:tc>
          <w:tcPr>
            <w:tcW w:w="1540" w:type="dxa"/>
            <w:tcBorders/>
            <w:shd w:fill="auto" w:val="clear"/>
            <w:vAlign w:val="center"/>
          </w:tcPr>
          <w:p>
            <w:pPr>
              <w:pStyle w:val="TableContents"/>
              <w:spacing w:before="0" w:after="283"/>
              <w:rPr>
                <w:sz w:val="4"/>
                <w:szCs w:val="4"/>
              </w:rPr>
            </w:pPr>
            <w:r>
              <w:rPr>
                <w:sz w:val="4"/>
                <w:szCs w:val="4"/>
              </w:rPr>
            </w:r>
          </w:p>
        </w:tc>
        <w:tc>
          <w:tcPr>
            <w:tcW w:w="316" w:type="dxa"/>
            <w:tcBorders/>
            <w:shd w:fill="auto" w:val="clear"/>
            <w:vAlign w:val="bottom"/>
          </w:tcPr>
          <w:p>
            <w:pPr>
              <w:pStyle w:val="TableContents"/>
              <w:spacing w:before="0" w:after="283"/>
              <w:rPr>
                <w:sz w:val="4"/>
                <w:szCs w:val="4"/>
              </w:rPr>
            </w:pPr>
            <w:r>
              <w:rPr>
                <w:sz w:val="4"/>
                <w:szCs w:val="4"/>
              </w:rPr>
            </w:r>
          </w:p>
        </w:tc>
        <w:tc>
          <w:tcPr>
            <w:tcW w:w="4202"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4027" w:type="dxa"/>
            <w:tcBorders/>
            <w:shd w:fill="auto" w:val="clear"/>
            <w:vAlign w:val="center"/>
          </w:tcPr>
          <w:p>
            <w:pPr>
              <w:pStyle w:val="TableContents"/>
              <w:spacing w:before="0" w:after="283"/>
              <w:rPr>
                <w:sz w:val="4"/>
                <w:szCs w:val="4"/>
              </w:rPr>
            </w:pPr>
            <w:r>
              <w:rPr>
                <w:sz w:val="4"/>
                <w:szCs w:val="4"/>
              </w:rPr>
            </w:r>
          </w:p>
        </w:tc>
      </w:tr>
      <w:tr>
        <w:trPr/>
        <w:tc>
          <w:tcPr>
            <w:tcW w:w="1540" w:type="dxa"/>
            <w:tcBorders/>
            <w:shd w:fill="auto" w:val="clear"/>
          </w:tcPr>
          <w:p>
            <w:pPr>
              <w:pStyle w:val="TableContents"/>
              <w:spacing w:before="0" w:after="283"/>
              <w:rPr/>
            </w:pPr>
            <w:r>
              <w:rPr/>
              <w:t>Signature:</w:t>
            </w:r>
          </w:p>
        </w:tc>
        <w:tc>
          <w:tcPr>
            <w:tcW w:w="316" w:type="dxa"/>
            <w:tcBorders/>
            <w:shd w:fill="auto" w:val="clear"/>
            <w:vAlign w:val="bottom"/>
          </w:tcPr>
          <w:p>
            <w:pPr>
              <w:pStyle w:val="TableContents"/>
              <w:spacing w:before="0" w:after="283"/>
              <w:rPr/>
            </w:pPr>
            <w:r>
              <w:rPr/>
              <w:t>  </w:t>
            </w:r>
          </w:p>
        </w:tc>
        <w:tc>
          <w:tcPr>
            <w:tcW w:w="4202" w:type="dxa"/>
            <w:tcBorders/>
            <w:shd w:fill="auto" w:val="clear"/>
          </w:tcPr>
          <w:p>
            <w:pPr>
              <w:pStyle w:val="TableContents"/>
              <w:spacing w:before="0" w:after="283"/>
              <w:rPr>
                <w:i/>
              </w:rPr>
            </w:pPr>
            <w:r>
              <w:rPr>
                <w:i/>
              </w:rPr>
              <w:t>/signature/</w:t>
            </w:r>
          </w:p>
        </w:tc>
        <w:tc>
          <w:tcPr>
            <w:tcW w:w="120" w:type="dxa"/>
            <w:tcBorders/>
            <w:shd w:fill="auto" w:val="clear"/>
            <w:vAlign w:val="bottom"/>
          </w:tcPr>
          <w:p>
            <w:pPr>
              <w:pStyle w:val="TableContents"/>
              <w:spacing w:before="0" w:after="283"/>
              <w:rPr/>
            </w:pPr>
            <w:r>
              <w:rPr/>
              <w:t>  </w:t>
            </w:r>
          </w:p>
        </w:tc>
        <w:tc>
          <w:tcPr>
            <w:tcW w:w="4027" w:type="dxa"/>
            <w:tcBorders/>
            <w:shd w:fill="auto" w:val="clear"/>
          </w:tcPr>
          <w:p>
            <w:pPr>
              <w:pStyle w:val="TableContents"/>
              <w:spacing w:before="0" w:after="283"/>
              <w:rPr>
                <w:sz w:val="4"/>
                <w:szCs w:val="4"/>
              </w:rPr>
            </w:pPr>
            <w:r>
              <w:rPr>
                <w:sz w:val="4"/>
                <w:szCs w:val="4"/>
              </w:rPr>
            </w:r>
          </w:p>
        </w:tc>
      </w:tr>
      <w:tr>
        <w:trPr>
          <w:trHeight w:val="240" w:hRule="atLeast"/>
        </w:trPr>
        <w:tc>
          <w:tcPr>
            <w:tcW w:w="1540" w:type="dxa"/>
            <w:tcBorders/>
            <w:shd w:fill="auto" w:val="clear"/>
            <w:vAlign w:val="center"/>
          </w:tcPr>
          <w:p>
            <w:pPr>
              <w:pStyle w:val="TableContents"/>
              <w:spacing w:before="0" w:after="283"/>
              <w:rPr>
                <w:sz w:val="4"/>
                <w:szCs w:val="4"/>
              </w:rPr>
            </w:pPr>
            <w:r>
              <w:rPr>
                <w:sz w:val="4"/>
                <w:szCs w:val="4"/>
              </w:rPr>
            </w:r>
          </w:p>
        </w:tc>
        <w:tc>
          <w:tcPr>
            <w:tcW w:w="4518" w:type="dxa"/>
            <w:gridSpan w:val="2"/>
            <w:tcBorders/>
            <w:shd w:fill="auto" w:val="clear"/>
            <w:vAlign w:val="center"/>
          </w:tcPr>
          <w:p>
            <w:pPr>
              <w:pStyle w:val="TableContents"/>
              <w:spacing w:before="0" w:after="283"/>
              <w:rPr>
                <w:sz w:val="4"/>
                <w:szCs w:val="4"/>
              </w:rPr>
            </w:pPr>
            <w:r>
              <w:rPr>
                <w:sz w:val="4"/>
                <w:szCs w:val="4"/>
              </w:rPr>
            </w:r>
          </w:p>
        </w:tc>
        <w:tc>
          <w:tcPr>
            <w:tcW w:w="4147" w:type="dxa"/>
            <w:gridSpan w:val="2"/>
            <w:tcBorders/>
            <w:shd w:fill="auto" w:val="clear"/>
            <w:vAlign w:val="center"/>
          </w:tcPr>
          <w:p>
            <w:pPr>
              <w:pStyle w:val="TableContents"/>
              <w:spacing w:before="0" w:after="283"/>
              <w:rPr>
                <w:sz w:val="4"/>
                <w:szCs w:val="4"/>
              </w:rPr>
            </w:pPr>
            <w:r>
              <w:rPr>
                <w:sz w:val="4"/>
                <w:szCs w:val="4"/>
              </w:rPr>
            </w:r>
          </w:p>
        </w:tc>
      </w:tr>
      <w:tr>
        <w:trPr/>
        <w:tc>
          <w:tcPr>
            <w:tcW w:w="1540" w:type="dxa"/>
            <w:tcBorders/>
            <w:shd w:fill="auto" w:val="clear"/>
          </w:tcPr>
          <w:p>
            <w:pPr>
              <w:pStyle w:val="TableContents"/>
              <w:spacing w:before="0" w:after="283"/>
              <w:rPr/>
            </w:pPr>
            <w:r>
              <w:rPr/>
              <w:t>Full name:</w:t>
            </w:r>
          </w:p>
        </w:tc>
        <w:tc>
          <w:tcPr>
            <w:tcW w:w="316" w:type="dxa"/>
            <w:tcBorders/>
            <w:shd w:fill="auto" w:val="clear"/>
            <w:vAlign w:val="bottom"/>
          </w:tcPr>
          <w:p>
            <w:pPr>
              <w:pStyle w:val="TableContents"/>
              <w:spacing w:before="0" w:after="283"/>
              <w:rPr/>
            </w:pPr>
            <w:r>
              <w:rPr/>
              <w:t>  </w:t>
            </w:r>
          </w:p>
        </w:tc>
        <w:tc>
          <w:tcPr>
            <w:tcW w:w="4202" w:type="dxa"/>
            <w:tcBorders/>
            <w:shd w:fill="auto" w:val="clear"/>
          </w:tcPr>
          <w:p>
            <w:pPr>
              <w:pStyle w:val="TableContents"/>
              <w:spacing w:before="0" w:after="283"/>
              <w:rPr>
                <w:i/>
              </w:rPr>
            </w:pPr>
            <w:r>
              <w:rPr>
                <w:i/>
              </w:rPr>
              <w:t>Katerina Losif</w:t>
            </w:r>
          </w:p>
        </w:tc>
        <w:tc>
          <w:tcPr>
            <w:tcW w:w="120" w:type="dxa"/>
            <w:tcBorders/>
            <w:shd w:fill="auto" w:val="clear"/>
            <w:vAlign w:val="bottom"/>
          </w:tcPr>
          <w:p>
            <w:pPr>
              <w:pStyle w:val="TableContents"/>
              <w:spacing w:before="0" w:after="283"/>
              <w:rPr/>
            </w:pPr>
            <w:r>
              <w:rPr/>
              <w:t>  </w:t>
            </w:r>
          </w:p>
        </w:tc>
        <w:tc>
          <w:tcPr>
            <w:tcW w:w="4027" w:type="dxa"/>
            <w:tcBorders/>
            <w:shd w:fill="auto" w:val="clear"/>
          </w:tcPr>
          <w:p>
            <w:pPr>
              <w:pStyle w:val="TableContents"/>
              <w:spacing w:before="0" w:after="283"/>
              <w:rPr>
                <w:sz w:val="4"/>
                <w:szCs w:val="4"/>
              </w:rPr>
            </w:pPr>
            <w:r>
              <w:rPr>
                <w:sz w:val="4"/>
                <w:szCs w:val="4"/>
              </w:rPr>
            </w:r>
          </w:p>
        </w:tc>
      </w:tr>
      <w:tr>
        <w:trPr/>
        <w:tc>
          <w:tcPr>
            <w:tcW w:w="1540" w:type="dxa"/>
            <w:tcBorders/>
            <w:shd w:fill="auto" w:val="clear"/>
          </w:tcPr>
          <w:p>
            <w:pPr>
              <w:pStyle w:val="TableContents"/>
              <w:spacing w:before="0" w:after="283"/>
              <w:rPr>
                <w:sz w:val="4"/>
                <w:szCs w:val="4"/>
              </w:rPr>
            </w:pPr>
            <w:r>
              <w:rPr>
                <w:sz w:val="4"/>
                <w:szCs w:val="4"/>
              </w:rPr>
            </w:r>
          </w:p>
        </w:tc>
        <w:tc>
          <w:tcPr>
            <w:tcW w:w="316" w:type="dxa"/>
            <w:tcBorders/>
            <w:shd w:fill="auto" w:val="clear"/>
            <w:vAlign w:val="bottom"/>
          </w:tcPr>
          <w:p>
            <w:pPr>
              <w:pStyle w:val="TableContents"/>
              <w:spacing w:before="0" w:after="283"/>
              <w:rPr/>
            </w:pPr>
            <w:r>
              <w:rPr/>
              <w:t>  </w:t>
            </w:r>
          </w:p>
        </w:tc>
        <w:tc>
          <w:tcPr>
            <w:tcW w:w="4202"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4027" w:type="dxa"/>
            <w:tcBorders/>
            <w:shd w:fill="auto" w:val="clear"/>
          </w:tcPr>
          <w:p>
            <w:pPr>
              <w:pStyle w:val="TableContents"/>
              <w:spacing w:before="0" w:after="283"/>
              <w:rPr/>
            </w:pPr>
            <w:r>
              <w:rPr/>
              <w:t>Seal: [ZEMENIK TRADING LIMITED]</w:t>
            </w:r>
          </w:p>
        </w:tc>
      </w:tr>
      <w:tr>
        <w:trPr/>
        <w:tc>
          <w:tcPr>
            <w:tcW w:w="1540" w:type="dxa"/>
            <w:tcBorders/>
            <w:shd w:fill="auto" w:val="clear"/>
          </w:tcPr>
          <w:p>
            <w:pPr>
              <w:pStyle w:val="TableContents"/>
              <w:spacing w:before="0" w:after="283"/>
              <w:rPr/>
            </w:pPr>
            <w:r>
              <w:rPr/>
              <w:t>Position:</w:t>
            </w:r>
          </w:p>
        </w:tc>
        <w:tc>
          <w:tcPr>
            <w:tcW w:w="316" w:type="dxa"/>
            <w:tcBorders/>
            <w:shd w:fill="auto" w:val="clear"/>
            <w:vAlign w:val="bottom"/>
          </w:tcPr>
          <w:p>
            <w:pPr>
              <w:pStyle w:val="TableContents"/>
              <w:spacing w:before="0" w:after="283"/>
              <w:rPr/>
            </w:pPr>
            <w:r>
              <w:rPr/>
              <w:t>  </w:t>
            </w:r>
          </w:p>
        </w:tc>
        <w:tc>
          <w:tcPr>
            <w:tcW w:w="4202" w:type="dxa"/>
            <w:tcBorders/>
            <w:shd w:fill="auto" w:val="clear"/>
          </w:tcPr>
          <w:p>
            <w:pPr>
              <w:pStyle w:val="TableContents"/>
              <w:spacing w:before="0" w:after="283"/>
              <w:rPr/>
            </w:pPr>
            <w:r>
              <w:rPr/>
              <w:t>Director</w:t>
            </w:r>
          </w:p>
        </w:tc>
        <w:tc>
          <w:tcPr>
            <w:tcW w:w="120" w:type="dxa"/>
            <w:tcBorders/>
            <w:shd w:fill="auto" w:val="clear"/>
            <w:vAlign w:val="bottom"/>
          </w:tcPr>
          <w:p>
            <w:pPr>
              <w:pStyle w:val="TableContents"/>
              <w:spacing w:before="0" w:after="283"/>
              <w:rPr/>
            </w:pPr>
            <w:r>
              <w:rPr/>
              <w:t>  </w:t>
            </w:r>
          </w:p>
        </w:tc>
        <w:tc>
          <w:tcPr>
            <w:tcW w:w="4027" w:type="dxa"/>
            <w:tcBorders/>
            <w:shd w:fill="auto" w:val="clear"/>
          </w:tcPr>
          <w:p>
            <w:pPr>
              <w:pStyle w:val="TableContents"/>
              <w:spacing w:before="0" w:after="283"/>
              <w:rPr>
                <w:sz w:val="4"/>
                <w:szCs w:val="4"/>
              </w:rPr>
            </w:pPr>
            <w:r>
              <w:rPr>
                <w:sz w:val="4"/>
                <w:szCs w:val="4"/>
              </w:rPr>
            </w:r>
          </w:p>
        </w:tc>
      </w:tr>
      <w:tr>
        <w:trPr>
          <w:trHeight w:val="240" w:hRule="atLeast"/>
        </w:trPr>
        <w:tc>
          <w:tcPr>
            <w:tcW w:w="1540" w:type="dxa"/>
            <w:tcBorders/>
            <w:shd w:fill="auto" w:val="clear"/>
            <w:vAlign w:val="center"/>
          </w:tcPr>
          <w:p>
            <w:pPr>
              <w:pStyle w:val="TableContents"/>
              <w:spacing w:before="0" w:after="283"/>
              <w:rPr>
                <w:sz w:val="4"/>
                <w:szCs w:val="4"/>
              </w:rPr>
            </w:pPr>
            <w:r>
              <w:rPr>
                <w:sz w:val="4"/>
                <w:szCs w:val="4"/>
              </w:rPr>
            </w:r>
          </w:p>
        </w:tc>
        <w:tc>
          <w:tcPr>
            <w:tcW w:w="4518" w:type="dxa"/>
            <w:gridSpan w:val="2"/>
            <w:tcBorders/>
            <w:shd w:fill="auto" w:val="clear"/>
            <w:vAlign w:val="center"/>
          </w:tcPr>
          <w:p>
            <w:pPr>
              <w:pStyle w:val="TableContents"/>
              <w:spacing w:before="0" w:after="283"/>
              <w:rPr>
                <w:sz w:val="4"/>
                <w:szCs w:val="4"/>
              </w:rPr>
            </w:pPr>
            <w:r>
              <w:rPr>
                <w:sz w:val="4"/>
                <w:szCs w:val="4"/>
              </w:rPr>
            </w:r>
          </w:p>
        </w:tc>
        <w:tc>
          <w:tcPr>
            <w:tcW w:w="4147" w:type="dxa"/>
            <w:gridSpan w:val="2"/>
            <w:tcBorders/>
            <w:shd w:fill="auto" w:val="clear"/>
            <w:vAlign w:val="center"/>
          </w:tcPr>
          <w:p>
            <w:pPr>
              <w:pStyle w:val="TableContents"/>
              <w:spacing w:before="0" w:after="283"/>
              <w:rPr>
                <w:sz w:val="4"/>
                <w:szCs w:val="4"/>
              </w:rPr>
            </w:pPr>
            <w:r>
              <w:rPr>
                <w:sz w:val="4"/>
                <w:szCs w:val="4"/>
              </w:rPr>
            </w:r>
          </w:p>
        </w:tc>
      </w:tr>
      <w:tr>
        <w:trPr/>
        <w:tc>
          <w:tcPr>
            <w:tcW w:w="1540" w:type="dxa"/>
            <w:tcBorders/>
            <w:shd w:fill="auto" w:val="clear"/>
          </w:tcPr>
          <w:p>
            <w:pPr>
              <w:pStyle w:val="TableContents"/>
              <w:spacing w:before="0" w:after="283"/>
              <w:rPr/>
            </w:pPr>
            <w:r>
              <w:rPr/>
              <w:t>Witness:</w:t>
            </w:r>
          </w:p>
        </w:tc>
        <w:tc>
          <w:tcPr>
            <w:tcW w:w="316" w:type="dxa"/>
            <w:tcBorders/>
            <w:shd w:fill="auto" w:val="clear"/>
            <w:vAlign w:val="bottom"/>
          </w:tcPr>
          <w:p>
            <w:pPr>
              <w:pStyle w:val="TableContents"/>
              <w:spacing w:before="0" w:after="283"/>
              <w:rPr/>
            </w:pPr>
            <w:r>
              <w:rPr/>
              <w:t>  </w:t>
            </w:r>
          </w:p>
        </w:tc>
        <w:tc>
          <w:tcPr>
            <w:tcW w:w="4202" w:type="dxa"/>
            <w:tcBorders/>
            <w:shd w:fill="auto" w:val="clear"/>
          </w:tcPr>
          <w:p>
            <w:pPr>
              <w:pStyle w:val="TableContents"/>
              <w:spacing w:before="0" w:after="283"/>
              <w:rPr>
                <w:i/>
              </w:rPr>
            </w:pPr>
            <w:r>
              <w:rPr>
                <w:i/>
              </w:rPr>
              <w:t>/signature/</w:t>
            </w:r>
          </w:p>
        </w:tc>
        <w:tc>
          <w:tcPr>
            <w:tcW w:w="120" w:type="dxa"/>
            <w:tcBorders/>
            <w:shd w:fill="auto" w:val="clear"/>
            <w:vAlign w:val="bottom"/>
          </w:tcPr>
          <w:p>
            <w:pPr>
              <w:pStyle w:val="TableContents"/>
              <w:spacing w:before="0" w:after="283"/>
              <w:rPr/>
            </w:pPr>
            <w:r>
              <w:rPr/>
              <w:t>  </w:t>
            </w:r>
          </w:p>
        </w:tc>
        <w:tc>
          <w:tcPr>
            <w:tcW w:w="4027" w:type="dxa"/>
            <w:tcBorders/>
            <w:shd w:fill="auto" w:val="clear"/>
          </w:tcPr>
          <w:p>
            <w:pPr>
              <w:pStyle w:val="TableContents"/>
              <w:spacing w:before="0" w:after="283"/>
              <w:rPr>
                <w:sz w:val="4"/>
                <w:szCs w:val="4"/>
              </w:rPr>
            </w:pPr>
            <w:r>
              <w:rPr>
                <w:sz w:val="4"/>
                <w:szCs w:val="4"/>
              </w:rPr>
            </w:r>
          </w:p>
        </w:tc>
      </w:tr>
      <w:tr>
        <w:trPr/>
        <w:tc>
          <w:tcPr>
            <w:tcW w:w="1540" w:type="dxa"/>
            <w:tcBorders/>
            <w:shd w:fill="auto" w:val="clear"/>
          </w:tcPr>
          <w:p>
            <w:pPr>
              <w:pStyle w:val="TableContents"/>
              <w:spacing w:before="0" w:after="283"/>
              <w:rPr>
                <w:sz w:val="4"/>
                <w:szCs w:val="4"/>
              </w:rPr>
            </w:pPr>
            <w:r>
              <w:rPr>
                <w:sz w:val="4"/>
                <w:szCs w:val="4"/>
              </w:rPr>
            </w:r>
          </w:p>
        </w:tc>
        <w:tc>
          <w:tcPr>
            <w:tcW w:w="316" w:type="dxa"/>
            <w:tcBorders/>
            <w:shd w:fill="auto" w:val="clear"/>
            <w:vAlign w:val="bottom"/>
          </w:tcPr>
          <w:p>
            <w:pPr>
              <w:pStyle w:val="TableContents"/>
              <w:spacing w:before="0" w:after="283"/>
              <w:rPr/>
            </w:pPr>
            <w:r>
              <w:rPr/>
              <w:t>  </w:t>
            </w:r>
          </w:p>
        </w:tc>
        <w:tc>
          <w:tcPr>
            <w:tcW w:w="4202" w:type="dxa"/>
            <w:tcBorders/>
            <w:shd w:fill="auto" w:val="clear"/>
          </w:tcPr>
          <w:p>
            <w:pPr>
              <w:pStyle w:val="TableContents"/>
              <w:spacing w:before="0" w:after="283"/>
              <w:rPr>
                <w:i/>
              </w:rPr>
            </w:pPr>
            <w:r>
              <w:rPr>
                <w:i/>
              </w:rPr>
              <w:t>Marina Kastari</w:t>
            </w:r>
          </w:p>
        </w:tc>
        <w:tc>
          <w:tcPr>
            <w:tcW w:w="120" w:type="dxa"/>
            <w:tcBorders/>
            <w:shd w:fill="auto" w:val="clear"/>
            <w:vAlign w:val="bottom"/>
          </w:tcPr>
          <w:p>
            <w:pPr>
              <w:pStyle w:val="TableContents"/>
              <w:spacing w:before="0" w:after="283"/>
              <w:rPr/>
            </w:pPr>
            <w:r>
              <w:rPr/>
              <w:t>  </w:t>
            </w:r>
          </w:p>
        </w:tc>
        <w:tc>
          <w:tcPr>
            <w:tcW w:w="4027"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In accordance with Article 371 of the Civil Code, the consent to the Amendment to the Guarantee is granted by: </w:t>
      </w:r>
    </w:p>
    <w:p>
      <w:pPr>
        <w:pStyle w:val="TextBody"/>
        <w:spacing w:before="240" w:after="0"/>
        <w:rPr>
          <w:rFonts w:ascii="Times New Roman" w:hAnsi="Times New Roman"/>
          <w:b/>
          <w:sz w:val="20"/>
        </w:rPr>
      </w:pPr>
      <w:r>
        <w:rPr>
          <w:rFonts w:ascii="Times New Roman" w:hAnsi="Times New Roman"/>
          <w:b/>
          <w:sz w:val="20"/>
        </w:rPr>
        <w:t xml:space="preserve">BANK VTB (PUBLIC JOINT-STOCK COMPANY)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194"/>
        <w:gridCol w:w="60"/>
        <w:gridCol w:w="2828"/>
      </w:tblGrid>
      <w:tr>
        <w:trPr/>
        <w:tc>
          <w:tcPr>
            <w:tcW w:w="1194"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2828" w:type="dxa"/>
            <w:tcBorders/>
            <w:shd w:fill="auto" w:val="clear"/>
            <w:vAlign w:val="center"/>
          </w:tcPr>
          <w:p>
            <w:pPr>
              <w:pStyle w:val="TableContents"/>
              <w:spacing w:before="0" w:after="283"/>
              <w:rPr>
                <w:sz w:val="4"/>
                <w:szCs w:val="4"/>
              </w:rPr>
            </w:pPr>
            <w:r>
              <w:rPr>
                <w:sz w:val="4"/>
                <w:szCs w:val="4"/>
              </w:rPr>
            </w:r>
          </w:p>
        </w:tc>
      </w:tr>
      <w:tr>
        <w:trPr/>
        <w:tc>
          <w:tcPr>
            <w:tcW w:w="1194" w:type="dxa"/>
            <w:tcBorders/>
            <w:shd w:fill="auto" w:val="clear"/>
            <w:vAlign w:val="bottom"/>
          </w:tcPr>
          <w:p>
            <w:pPr>
              <w:pStyle w:val="TableContents"/>
              <w:spacing w:before="0" w:after="283"/>
              <w:rPr/>
            </w:pPr>
            <w:r>
              <w:rPr/>
              <w:t>Signature:</w:t>
            </w:r>
          </w:p>
        </w:tc>
        <w:tc>
          <w:tcPr>
            <w:tcW w:w="60" w:type="dxa"/>
            <w:tcBorders/>
            <w:shd w:fill="auto" w:val="clear"/>
            <w:vAlign w:val="bottom"/>
          </w:tcPr>
          <w:p>
            <w:pPr>
              <w:pStyle w:val="TableContents"/>
              <w:spacing w:before="0" w:after="283"/>
              <w:rPr/>
            </w:pPr>
            <w:r>
              <w:rPr/>
              <w:t> </w:t>
            </w:r>
          </w:p>
        </w:tc>
        <w:tc>
          <w:tcPr>
            <w:tcW w:w="2828" w:type="dxa"/>
            <w:tcBorders/>
            <w:shd w:fill="auto" w:val="clear"/>
            <w:vAlign w:val="bottom"/>
          </w:tcPr>
          <w:p>
            <w:pPr>
              <w:pStyle w:val="TableContents"/>
              <w:spacing w:before="0" w:after="283"/>
              <w:rPr>
                <w:i/>
              </w:rPr>
            </w:pPr>
            <w:r>
              <w:rPr>
                <w:i/>
              </w:rPr>
              <w:t>/signature/</w:t>
            </w:r>
          </w:p>
        </w:tc>
      </w:tr>
      <w:tr>
        <w:trPr>
          <w:trHeight w:val="240" w:hRule="atLeast"/>
        </w:trPr>
        <w:tc>
          <w:tcPr>
            <w:tcW w:w="1194" w:type="dxa"/>
            <w:tcBorders/>
            <w:shd w:fill="auto" w:val="clear"/>
            <w:vAlign w:val="center"/>
          </w:tcPr>
          <w:p>
            <w:pPr>
              <w:pStyle w:val="TableContents"/>
              <w:spacing w:before="0" w:after="283"/>
              <w:rPr>
                <w:sz w:val="4"/>
                <w:szCs w:val="4"/>
              </w:rPr>
            </w:pPr>
            <w:r>
              <w:rPr>
                <w:sz w:val="4"/>
                <w:szCs w:val="4"/>
              </w:rPr>
            </w:r>
          </w:p>
        </w:tc>
        <w:tc>
          <w:tcPr>
            <w:tcW w:w="2888" w:type="dxa"/>
            <w:gridSpan w:val="2"/>
            <w:tcBorders/>
            <w:shd w:fill="auto" w:val="clear"/>
            <w:vAlign w:val="center"/>
          </w:tcPr>
          <w:p>
            <w:pPr>
              <w:pStyle w:val="TableContents"/>
              <w:spacing w:before="0" w:after="283"/>
              <w:rPr>
                <w:sz w:val="4"/>
                <w:szCs w:val="4"/>
              </w:rPr>
            </w:pPr>
            <w:r>
              <w:rPr>
                <w:sz w:val="4"/>
                <w:szCs w:val="4"/>
              </w:rPr>
            </w:r>
          </w:p>
        </w:tc>
      </w:tr>
      <w:tr>
        <w:trPr/>
        <w:tc>
          <w:tcPr>
            <w:tcW w:w="1194" w:type="dxa"/>
            <w:tcBorders/>
            <w:shd w:fill="auto" w:val="clear"/>
            <w:vAlign w:val="bottom"/>
          </w:tcPr>
          <w:p>
            <w:pPr>
              <w:pStyle w:val="TableContents"/>
              <w:spacing w:before="0" w:after="283"/>
              <w:rPr/>
            </w:pPr>
            <w:r>
              <w:rPr/>
              <w:t>Full name:    </w:t>
            </w:r>
          </w:p>
        </w:tc>
        <w:tc>
          <w:tcPr>
            <w:tcW w:w="60" w:type="dxa"/>
            <w:tcBorders/>
            <w:shd w:fill="auto" w:val="clear"/>
            <w:vAlign w:val="bottom"/>
          </w:tcPr>
          <w:p>
            <w:pPr>
              <w:pStyle w:val="TableContents"/>
              <w:spacing w:before="0" w:after="283"/>
              <w:rPr/>
            </w:pPr>
            <w:r>
              <w:rPr/>
              <w:t> </w:t>
            </w:r>
          </w:p>
        </w:tc>
        <w:tc>
          <w:tcPr>
            <w:tcW w:w="2828" w:type="dxa"/>
            <w:tcBorders/>
            <w:shd w:fill="auto" w:val="clear"/>
            <w:vAlign w:val="bottom"/>
          </w:tcPr>
          <w:p>
            <w:pPr>
              <w:pStyle w:val="TableContents"/>
              <w:spacing w:before="0" w:after="283"/>
              <w:rPr/>
            </w:pPr>
            <w:r>
              <w:rPr/>
              <w:t>Vitaly Nikolaevich Buzoverya</w:t>
            </w:r>
          </w:p>
        </w:tc>
      </w:tr>
      <w:tr>
        <w:trPr>
          <w:trHeight w:val="240" w:hRule="atLeast"/>
        </w:trPr>
        <w:tc>
          <w:tcPr>
            <w:tcW w:w="1194" w:type="dxa"/>
            <w:tcBorders/>
            <w:shd w:fill="auto" w:val="clear"/>
            <w:vAlign w:val="center"/>
          </w:tcPr>
          <w:p>
            <w:pPr>
              <w:pStyle w:val="TableContents"/>
              <w:spacing w:before="0" w:after="283"/>
              <w:rPr>
                <w:sz w:val="4"/>
                <w:szCs w:val="4"/>
              </w:rPr>
            </w:pPr>
            <w:r>
              <w:rPr>
                <w:sz w:val="4"/>
                <w:szCs w:val="4"/>
              </w:rPr>
            </w:r>
          </w:p>
        </w:tc>
        <w:tc>
          <w:tcPr>
            <w:tcW w:w="2888" w:type="dxa"/>
            <w:gridSpan w:val="2"/>
            <w:tcBorders/>
            <w:shd w:fill="auto" w:val="clear"/>
            <w:vAlign w:val="center"/>
          </w:tcPr>
          <w:p>
            <w:pPr>
              <w:pStyle w:val="TableContents"/>
              <w:spacing w:before="0" w:after="283"/>
              <w:rPr>
                <w:sz w:val="4"/>
                <w:szCs w:val="4"/>
              </w:rPr>
            </w:pPr>
            <w:r>
              <w:rPr>
                <w:sz w:val="4"/>
                <w:szCs w:val="4"/>
              </w:rPr>
            </w:r>
          </w:p>
        </w:tc>
      </w:tr>
      <w:tr>
        <w:trPr/>
        <w:tc>
          <w:tcPr>
            <w:tcW w:w="1194" w:type="dxa"/>
            <w:tcBorders/>
            <w:shd w:fill="auto" w:val="clear"/>
            <w:vAlign w:val="bottom"/>
          </w:tcPr>
          <w:p>
            <w:pPr>
              <w:pStyle w:val="TableContents"/>
              <w:spacing w:before="0" w:after="283"/>
              <w:rPr/>
            </w:pPr>
            <w:r>
              <w:rPr/>
              <w:t>Position:</w:t>
            </w:r>
          </w:p>
        </w:tc>
        <w:tc>
          <w:tcPr>
            <w:tcW w:w="60" w:type="dxa"/>
            <w:tcBorders/>
            <w:shd w:fill="auto" w:val="clear"/>
            <w:vAlign w:val="bottom"/>
          </w:tcPr>
          <w:p>
            <w:pPr>
              <w:pStyle w:val="TableContents"/>
              <w:spacing w:before="0" w:after="283"/>
              <w:rPr/>
            </w:pPr>
            <w:r>
              <w:rPr/>
              <w:t> </w:t>
            </w:r>
          </w:p>
        </w:tc>
        <w:tc>
          <w:tcPr>
            <w:tcW w:w="2828" w:type="dxa"/>
            <w:tcBorders/>
            <w:shd w:fill="auto" w:val="clear"/>
            <w:vAlign w:val="bottom"/>
          </w:tcPr>
          <w:p>
            <w:pPr>
              <w:pStyle w:val="TableContents"/>
              <w:spacing w:before="0" w:after="283"/>
              <w:rPr/>
            </w:pPr>
            <w:r>
              <w:rPr/>
              <w:t>Attorney-in-Fact</w:t>
            </w:r>
          </w:p>
        </w:tc>
      </w:tr>
    </w:tbl>
    <w:r>
      <w:br w:type="page"/>
    </w:r>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The following signatory agrees with the terms and conditions of the Amendment: </w:t>
      </w:r>
    </w:p>
    <w:p>
      <w:pPr>
        <w:pStyle w:val="TextBody"/>
        <w:spacing w:before="240" w:after="0"/>
        <w:rPr>
          <w:rFonts w:ascii="Times New Roman" w:hAnsi="Times New Roman"/>
          <w:b/>
          <w:sz w:val="20"/>
        </w:rPr>
      </w:pPr>
      <w:r>
        <w:rPr>
          <w:rFonts w:ascii="Times New Roman" w:hAnsi="Times New Roman"/>
          <w:b/>
          <w:sz w:val="20"/>
        </w:rPr>
        <w:t xml:space="preserve">ZEMENIK LIMITED LIABILITY COMPANY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229"/>
        <w:gridCol w:w="60"/>
        <w:gridCol w:w="2793"/>
      </w:tblGrid>
      <w:tr>
        <w:trPr/>
        <w:tc>
          <w:tcPr>
            <w:tcW w:w="1229"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bottom"/>
          </w:tcPr>
          <w:p>
            <w:pPr>
              <w:pStyle w:val="TableContents"/>
              <w:spacing w:before="0" w:after="283"/>
              <w:rPr>
                <w:sz w:val="4"/>
                <w:szCs w:val="4"/>
              </w:rPr>
            </w:pPr>
            <w:r>
              <w:rPr>
                <w:sz w:val="4"/>
                <w:szCs w:val="4"/>
              </w:rPr>
            </w:r>
          </w:p>
        </w:tc>
        <w:tc>
          <w:tcPr>
            <w:tcW w:w="2793" w:type="dxa"/>
            <w:tcBorders/>
            <w:shd w:fill="auto" w:val="clear"/>
            <w:vAlign w:val="center"/>
          </w:tcPr>
          <w:p>
            <w:pPr>
              <w:pStyle w:val="TableContents"/>
              <w:spacing w:before="0" w:after="283"/>
              <w:rPr>
                <w:sz w:val="4"/>
                <w:szCs w:val="4"/>
              </w:rPr>
            </w:pPr>
            <w:r>
              <w:rPr>
                <w:sz w:val="4"/>
                <w:szCs w:val="4"/>
              </w:rPr>
            </w:r>
          </w:p>
        </w:tc>
      </w:tr>
      <w:tr>
        <w:trPr/>
        <w:tc>
          <w:tcPr>
            <w:tcW w:w="1229" w:type="dxa"/>
            <w:tcBorders/>
            <w:shd w:fill="auto" w:val="clear"/>
            <w:vAlign w:val="bottom"/>
          </w:tcPr>
          <w:p>
            <w:pPr>
              <w:pStyle w:val="TableContents"/>
              <w:spacing w:before="0" w:after="283"/>
              <w:rPr/>
            </w:pPr>
            <w:r>
              <w:rPr/>
              <w:t>Signature:</w:t>
            </w:r>
          </w:p>
        </w:tc>
        <w:tc>
          <w:tcPr>
            <w:tcW w:w="60" w:type="dxa"/>
            <w:tcBorders/>
            <w:shd w:fill="auto" w:val="clear"/>
            <w:vAlign w:val="bottom"/>
          </w:tcPr>
          <w:p>
            <w:pPr>
              <w:pStyle w:val="TableContents"/>
              <w:spacing w:before="0" w:after="283"/>
              <w:rPr/>
            </w:pPr>
            <w:r>
              <w:rPr/>
              <w:t> </w:t>
            </w:r>
          </w:p>
        </w:tc>
        <w:tc>
          <w:tcPr>
            <w:tcW w:w="2793" w:type="dxa"/>
            <w:tcBorders/>
            <w:shd w:fill="auto" w:val="clear"/>
            <w:vAlign w:val="bottom"/>
          </w:tcPr>
          <w:p>
            <w:pPr>
              <w:pStyle w:val="TableContents"/>
              <w:spacing w:before="0" w:after="283"/>
              <w:rPr>
                <w:i/>
              </w:rPr>
            </w:pPr>
            <w:r>
              <w:rPr>
                <w:i/>
              </w:rPr>
              <w:t>/signature/</w:t>
            </w:r>
          </w:p>
        </w:tc>
      </w:tr>
      <w:tr>
        <w:trPr>
          <w:trHeight w:val="240" w:hRule="atLeast"/>
        </w:trPr>
        <w:tc>
          <w:tcPr>
            <w:tcW w:w="1229" w:type="dxa"/>
            <w:tcBorders/>
            <w:shd w:fill="auto" w:val="clear"/>
            <w:vAlign w:val="center"/>
          </w:tcPr>
          <w:p>
            <w:pPr>
              <w:pStyle w:val="TableContents"/>
              <w:spacing w:before="0" w:after="283"/>
              <w:rPr>
                <w:sz w:val="4"/>
                <w:szCs w:val="4"/>
              </w:rPr>
            </w:pPr>
            <w:r>
              <w:rPr>
                <w:sz w:val="4"/>
                <w:szCs w:val="4"/>
              </w:rPr>
            </w:r>
          </w:p>
        </w:tc>
        <w:tc>
          <w:tcPr>
            <w:tcW w:w="2853" w:type="dxa"/>
            <w:gridSpan w:val="2"/>
            <w:tcBorders/>
            <w:shd w:fill="auto" w:val="clear"/>
            <w:vAlign w:val="center"/>
          </w:tcPr>
          <w:p>
            <w:pPr>
              <w:pStyle w:val="TableContents"/>
              <w:spacing w:before="0" w:after="283"/>
              <w:rPr>
                <w:sz w:val="4"/>
                <w:szCs w:val="4"/>
              </w:rPr>
            </w:pPr>
            <w:r>
              <w:rPr>
                <w:sz w:val="4"/>
                <w:szCs w:val="4"/>
              </w:rPr>
            </w:r>
          </w:p>
        </w:tc>
      </w:tr>
      <w:tr>
        <w:trPr/>
        <w:tc>
          <w:tcPr>
            <w:tcW w:w="1229" w:type="dxa"/>
            <w:tcBorders/>
            <w:shd w:fill="auto" w:val="clear"/>
            <w:vAlign w:val="bottom"/>
          </w:tcPr>
          <w:p>
            <w:pPr>
              <w:pStyle w:val="TableContents"/>
              <w:spacing w:before="0" w:after="283"/>
              <w:rPr/>
            </w:pPr>
            <w:r>
              <w:rPr/>
              <w:t>Full name:    </w:t>
            </w:r>
          </w:p>
        </w:tc>
        <w:tc>
          <w:tcPr>
            <w:tcW w:w="60" w:type="dxa"/>
            <w:tcBorders/>
            <w:shd w:fill="auto" w:val="clear"/>
            <w:vAlign w:val="bottom"/>
          </w:tcPr>
          <w:p>
            <w:pPr>
              <w:pStyle w:val="TableContents"/>
              <w:spacing w:before="0" w:after="283"/>
              <w:rPr/>
            </w:pPr>
            <w:r>
              <w:rPr/>
              <w:t> </w:t>
            </w:r>
          </w:p>
        </w:tc>
        <w:tc>
          <w:tcPr>
            <w:tcW w:w="2793" w:type="dxa"/>
            <w:tcBorders/>
            <w:shd w:fill="auto" w:val="clear"/>
            <w:vAlign w:val="bottom"/>
          </w:tcPr>
          <w:p>
            <w:pPr>
              <w:pStyle w:val="TableContents"/>
              <w:spacing w:before="0" w:after="283"/>
              <w:rPr/>
            </w:pPr>
            <w:r>
              <w:rPr/>
              <w:t>Karen Eduardovich Agayan</w:t>
            </w:r>
          </w:p>
        </w:tc>
      </w:tr>
      <w:tr>
        <w:trPr>
          <w:trHeight w:val="240" w:hRule="atLeast"/>
        </w:trPr>
        <w:tc>
          <w:tcPr>
            <w:tcW w:w="1229" w:type="dxa"/>
            <w:tcBorders/>
            <w:shd w:fill="auto" w:val="clear"/>
            <w:vAlign w:val="center"/>
          </w:tcPr>
          <w:p>
            <w:pPr>
              <w:pStyle w:val="TableContents"/>
              <w:spacing w:before="0" w:after="283"/>
              <w:rPr>
                <w:sz w:val="4"/>
                <w:szCs w:val="4"/>
              </w:rPr>
            </w:pPr>
            <w:r>
              <w:rPr>
                <w:sz w:val="4"/>
                <w:szCs w:val="4"/>
              </w:rPr>
            </w:r>
          </w:p>
        </w:tc>
        <w:tc>
          <w:tcPr>
            <w:tcW w:w="2853" w:type="dxa"/>
            <w:gridSpan w:val="2"/>
            <w:tcBorders/>
            <w:shd w:fill="auto" w:val="clear"/>
            <w:vAlign w:val="center"/>
          </w:tcPr>
          <w:p>
            <w:pPr>
              <w:pStyle w:val="TableContents"/>
              <w:spacing w:before="0" w:after="283"/>
              <w:rPr>
                <w:sz w:val="4"/>
                <w:szCs w:val="4"/>
              </w:rPr>
            </w:pPr>
            <w:r>
              <w:rPr>
                <w:sz w:val="4"/>
                <w:szCs w:val="4"/>
              </w:rPr>
            </w:r>
          </w:p>
        </w:tc>
      </w:tr>
      <w:tr>
        <w:trPr/>
        <w:tc>
          <w:tcPr>
            <w:tcW w:w="1229" w:type="dxa"/>
            <w:tcBorders/>
            <w:shd w:fill="auto" w:val="clear"/>
            <w:vAlign w:val="bottom"/>
          </w:tcPr>
          <w:p>
            <w:pPr>
              <w:pStyle w:val="TableContents"/>
              <w:spacing w:before="0" w:after="283"/>
              <w:rPr/>
            </w:pPr>
            <w:r>
              <w:rPr/>
              <w:t>Position:</w:t>
            </w:r>
          </w:p>
        </w:tc>
        <w:tc>
          <w:tcPr>
            <w:tcW w:w="60" w:type="dxa"/>
            <w:tcBorders/>
            <w:shd w:fill="auto" w:val="clear"/>
            <w:vAlign w:val="bottom"/>
          </w:tcPr>
          <w:p>
            <w:pPr>
              <w:pStyle w:val="TableContents"/>
              <w:spacing w:before="0" w:after="283"/>
              <w:rPr/>
            </w:pPr>
            <w:r>
              <w:rPr/>
              <w:t> </w:t>
            </w:r>
          </w:p>
        </w:tc>
        <w:tc>
          <w:tcPr>
            <w:tcW w:w="2793" w:type="dxa"/>
            <w:tcBorders/>
            <w:shd w:fill="auto" w:val="clear"/>
            <w:vAlign w:val="bottom"/>
          </w:tcPr>
          <w:p>
            <w:pPr>
              <w:pStyle w:val="TableContents"/>
              <w:spacing w:before="0" w:after="283"/>
              <w:rPr/>
            </w:pPr>
            <w:r>
              <w:rPr/>
              <w:t>General Director</w:t>
            </w:r>
          </w:p>
        </w:tc>
      </w:tr>
    </w:tbl>
    <w:p>
      <w:pPr>
        <w:pStyle w:val="TextBody"/>
        <w:spacing w:before="240" w:after="0"/>
        <w:jc w:val="center"/>
        <w:rPr>
          <w:rFonts w:ascii="Times New Roman" w:hAnsi="Times New Roman"/>
          <w:sz w:val="20"/>
        </w:rPr>
      </w:pPr>
      <w:r>
        <w:rPr>
          <w:rFonts w:ascii="Times New Roman" w:hAnsi="Times New Roman"/>
          <w:sz w:val="20"/>
        </w:rPr>
        <w:t xml:space="preserve">Seal: </w:t>
      </w:r>
    </w:p>
    <w:p>
      <w:pPr>
        <w:pStyle w:val="TextBody"/>
        <w:spacing w:before="0" w:after="0"/>
        <w:jc w:val="center"/>
        <w:rPr>
          <w:rFonts w:ascii="Times New Roman" w:hAnsi="Times New Roman"/>
          <w:sz w:val="20"/>
        </w:rPr>
      </w:pPr>
      <w:r>
        <w:rPr>
          <w:rFonts w:ascii="Times New Roman" w:hAnsi="Times New Roman"/>
          <w:sz w:val="20"/>
        </w:rPr>
        <w:t xml:space="preserve">[INN (Taxpayer Identification Number) 7714373561 </w:t>
      </w:r>
    </w:p>
    <w:p>
      <w:pPr>
        <w:pStyle w:val="TextBody"/>
        <w:spacing w:before="0" w:after="0"/>
        <w:jc w:val="center"/>
        <w:rPr>
          <w:rFonts w:ascii="Times New Roman" w:hAnsi="Times New Roman"/>
          <w:sz w:val="20"/>
        </w:rPr>
      </w:pPr>
      <w:r>
        <w:rPr>
          <w:rFonts w:ascii="Times New Roman" w:hAnsi="Times New Roman"/>
          <w:sz w:val="20"/>
        </w:rPr>
        <w:t xml:space="preserve">LIMITED LIABILITY COMPANY </w:t>
      </w:r>
    </w:p>
    <w:p>
      <w:pPr>
        <w:pStyle w:val="TextBody"/>
        <w:spacing w:before="0" w:after="0"/>
        <w:jc w:val="center"/>
        <w:rPr>
          <w:rFonts w:ascii="Times New Roman" w:hAnsi="Times New Roman"/>
          <w:sz w:val="20"/>
        </w:rPr>
      </w:pPr>
      <w:r>
        <w:rPr>
          <w:rFonts w:ascii="Times New Roman" w:hAnsi="Times New Roman"/>
          <w:sz w:val="20"/>
        </w:rPr>
        <w:t xml:space="preserve">Zemenik </w:t>
      </w:r>
    </w:p>
    <w:p>
      <w:pPr>
        <w:pStyle w:val="TextBody"/>
        <w:spacing w:before="0" w:after="0"/>
        <w:jc w:val="center"/>
        <w:rPr>
          <w:rFonts w:ascii="Times New Roman" w:hAnsi="Times New Roman"/>
          <w:sz w:val="20"/>
        </w:rPr>
      </w:pPr>
      <w:r>
        <w:rPr>
          <w:rFonts w:ascii="Times New Roman" w:hAnsi="Times New Roman"/>
          <w:sz w:val="20"/>
        </w:rPr>
        <w:t xml:space="preserve">OGRN (Primary State Registration Number 1167746153860 * MOSCOW] </w:t>
      </w:r>
      <w:r>
        <w:br w:type="page"/>
      </w:r>
    </w:p>
    <w:p>
      <w:pPr>
        <w:pStyle w:val="HorizontalLine"/>
        <w:pBdr>
          <w:bottom w:val="double" w:sz="6" w:space="0" w:color="808080"/>
        </w:pBdr>
        <w:rPr/>
      </w:pPr>
      <w:r>
        <w:rPr/>
      </w:r>
    </w:p>
    <w:p>
      <w:pPr>
        <w:pStyle w:val="TextBody"/>
        <w:spacing w:before="0" w:after="0"/>
        <w:jc w:val="right"/>
        <w:rPr>
          <w:rFonts w:ascii="Times New Roman" w:hAnsi="Times New Roman"/>
          <w:sz w:val="20"/>
        </w:rPr>
      </w:pPr>
      <w:r>
        <w:rPr>
          <w:rFonts w:ascii="Times New Roman" w:hAnsi="Times New Roman"/>
          <w:sz w:val="20"/>
        </w:rPr>
        <w:t xml:space="preserve">EXECUTION VERSION </w:t>
      </w:r>
    </w:p>
    <w:p>
      <w:pPr>
        <w:pStyle w:val="TextBody"/>
        <w:spacing w:before="240" w:after="0"/>
        <w:jc w:val="center"/>
        <w:rPr>
          <w:rFonts w:ascii="Times New Roman" w:hAnsi="Times New Roman"/>
          <w:b/>
          <w:sz w:val="20"/>
        </w:rPr>
      </w:pPr>
      <w:r>
        <w:rPr>
          <w:rFonts w:ascii="Times New Roman" w:hAnsi="Times New Roman"/>
          <w:b/>
          <w:sz w:val="20"/>
        </w:rPr>
        <w:t xml:space="preserve">DEED OF PLEDGE </w:t>
      </w:r>
    </w:p>
    <w:p>
      <w:pPr>
        <w:pStyle w:val="TextBody"/>
        <w:spacing w:before="240" w:after="0"/>
        <w:jc w:val="center"/>
        <w:rPr>
          <w:rFonts w:ascii="Times New Roman" w:hAnsi="Times New Roman"/>
          <w:b/>
          <w:sz w:val="20"/>
        </w:rPr>
      </w:pPr>
      <w:r>
        <w:rPr>
          <w:rFonts w:ascii="Times New Roman" w:hAnsi="Times New Roman"/>
          <w:b/>
          <w:sz w:val="20"/>
        </w:rPr>
        <w:t xml:space="preserve">DATED </w:t>
      </w:r>
      <w:r>
        <w:rPr>
          <w:rFonts w:ascii="Times New Roman" w:hAnsi="Times New Roman"/>
          <w:b/>
          <w:sz w:val="20"/>
          <w:u w:val="single"/>
        </w:rPr>
        <w:t>19 May</w:t>
      </w:r>
      <w:r>
        <w:rPr>
          <w:rFonts w:ascii="Times New Roman" w:hAnsi="Times New Roman"/>
          <w:b/>
          <w:sz w:val="20"/>
        </w:rPr>
        <w:t xml:space="preserve"> 2016 </w:t>
      </w:r>
    </w:p>
    <w:p>
      <w:pPr>
        <w:pStyle w:val="TextBody"/>
        <w:spacing w:before="240" w:after="0"/>
        <w:jc w:val="center"/>
        <w:rPr>
          <w:rFonts w:ascii="Times New Roman" w:hAnsi="Times New Roman"/>
          <w:b/>
          <w:sz w:val="20"/>
        </w:rPr>
      </w:pPr>
      <w:r>
        <w:rPr>
          <w:rFonts w:ascii="Times New Roman" w:hAnsi="Times New Roman"/>
          <w:b/>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LLC ZEMENIK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JSC VTB BANK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ALEXANDRO§ ECONOMOU LLC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0" w:after="0"/>
        <w:rPr/>
      </w:pPr>
      <w:r>
        <w:rPr/>
        <w: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09"/>
        <w:gridCol w:w="192"/>
        <w:gridCol w:w="8502"/>
        <w:gridCol w:w="225"/>
        <w:gridCol w:w="96"/>
        <w:gridCol w:w="419"/>
        <w:gridCol w:w="62"/>
      </w:tblGrid>
      <w:tr>
        <w:trPr/>
        <w:tc>
          <w:tcPr>
            <w:tcW w:w="709" w:type="dxa"/>
            <w:tcBorders/>
            <w:shd w:fill="auto" w:val="clear"/>
            <w:vAlign w:val="center"/>
          </w:tcPr>
          <w:p>
            <w:pPr>
              <w:pStyle w:val="TableContents"/>
              <w:spacing w:before="0" w:after="283"/>
              <w:rPr>
                <w:sz w:val="4"/>
                <w:szCs w:val="4"/>
              </w:rPr>
            </w:pPr>
            <w:r>
              <w:rPr>
                <w:sz w:val="4"/>
                <w:szCs w:val="4"/>
              </w:rPr>
            </w:r>
          </w:p>
        </w:tc>
        <w:tc>
          <w:tcPr>
            <w:tcW w:w="192" w:type="dxa"/>
            <w:tcBorders/>
            <w:shd w:fill="auto" w:val="clear"/>
            <w:vAlign w:val="bottom"/>
          </w:tcPr>
          <w:p>
            <w:pPr>
              <w:pStyle w:val="TableContents"/>
              <w:spacing w:before="0" w:after="283"/>
              <w:rPr>
                <w:sz w:val="4"/>
                <w:szCs w:val="4"/>
              </w:rPr>
            </w:pPr>
            <w:r>
              <w:rPr>
                <w:sz w:val="4"/>
                <w:szCs w:val="4"/>
              </w:rPr>
            </w:r>
          </w:p>
        </w:tc>
        <w:tc>
          <w:tcPr>
            <w:tcW w:w="8502"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bottom"/>
          </w:tcPr>
          <w:p>
            <w:pPr>
              <w:pStyle w:val="TableContents"/>
              <w:spacing w:before="0" w:after="283"/>
              <w:rPr>
                <w:sz w:val="4"/>
                <w:szCs w:val="4"/>
              </w:rPr>
            </w:pPr>
            <w:r>
              <w:rPr>
                <w:sz w:val="4"/>
                <w:szCs w:val="4"/>
              </w:rPr>
            </w:r>
          </w:p>
        </w:tc>
        <w:tc>
          <w:tcPr>
            <w:tcW w:w="96" w:type="dxa"/>
            <w:tcBorders/>
            <w:shd w:fill="auto" w:val="clear"/>
            <w:vAlign w:val="center"/>
          </w:tcPr>
          <w:p>
            <w:pPr>
              <w:pStyle w:val="TableContents"/>
              <w:spacing w:before="0" w:after="283"/>
              <w:rPr>
                <w:sz w:val="4"/>
                <w:szCs w:val="4"/>
              </w:rPr>
            </w:pPr>
            <w:r>
              <w:rPr>
                <w:sz w:val="4"/>
                <w:szCs w:val="4"/>
              </w:rPr>
            </w:r>
          </w:p>
        </w:tc>
        <w:tc>
          <w:tcPr>
            <w:tcW w:w="419" w:type="dxa"/>
            <w:tcBorders/>
            <w:shd w:fill="auto" w:val="clear"/>
            <w:vAlign w:val="center"/>
          </w:tcPr>
          <w:p>
            <w:pPr>
              <w:pStyle w:val="TableContents"/>
              <w:spacing w:before="0" w:after="283"/>
              <w:rPr>
                <w:sz w:val="4"/>
                <w:szCs w:val="4"/>
              </w:rPr>
            </w:pPr>
            <w:r>
              <w:rPr>
                <w:sz w:val="4"/>
                <w:szCs w:val="4"/>
              </w:rPr>
            </w:r>
          </w:p>
        </w:tc>
        <w:tc>
          <w:tcPr>
            <w:tcW w:w="62" w:type="dxa"/>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283"/>
              <w:rPr>
                <w:b/>
              </w:rPr>
            </w:pPr>
            <w:r>
              <w:rPr>
                <w:b/>
              </w:rPr>
              <w:t>Clause</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pPr>
            <w:r>
              <w:rPr/>
              <w:t> </w:t>
            </w:r>
          </w:p>
        </w:tc>
        <w:tc>
          <w:tcPr>
            <w:tcW w:w="225" w:type="dxa"/>
            <w:tcBorders/>
            <w:shd w:fill="auto" w:val="clear"/>
            <w:vAlign w:val="bottom"/>
          </w:tcPr>
          <w:p>
            <w:pPr>
              <w:pStyle w:val="TableContents"/>
              <w:spacing w:before="0" w:after="283"/>
              <w:rPr/>
            </w:pPr>
            <w:r>
              <w:rPr/>
              <w:t>  </w:t>
            </w:r>
          </w:p>
        </w:tc>
        <w:tc>
          <w:tcPr>
            <w:tcW w:w="515" w:type="dxa"/>
            <w:gridSpan w:val="2"/>
            <w:tcBorders/>
            <w:shd w:fill="auto" w:val="clear"/>
            <w:vAlign w:val="bottom"/>
          </w:tcPr>
          <w:p>
            <w:pPr>
              <w:pStyle w:val="TableContents"/>
              <w:spacing w:before="0" w:after="283"/>
              <w:jc w:val="center"/>
              <w:rPr>
                <w:b/>
              </w:rPr>
            </w:pPr>
            <w:r>
              <w:rPr>
                <w:b/>
              </w:rPr>
              <w:t>Page</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INTERPRETATION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CREATION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REPRESENTATIONS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RESTRICTIONS ON DEALINGS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SHARES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6.</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PRESERVATION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7.</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WHEN SECURITY BECOMES ENFORCEABLE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8.</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ENFORCEMENT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9.</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RECEIVER</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13</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10.</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POWERS OF RECEIVER</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14</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APPLICATION OF PROCEEDS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EXPENSES AND INDEMNITY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DELEGATION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FURTHER ASSURANCES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POWER OF ATTORNEY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16.</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MISCELLANEOUS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17.</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RELEASE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18.</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CHANGES TO THE PARTIES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19.</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EVIDENCE AND CALCULATIONS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19</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20.</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NOTICES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19</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SEVERABILITY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WAIVERS AND REMEDIES CUMULATIVE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COUNTERPARTS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GOVERNING LAW</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ENFORCEMENT</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21</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1</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22</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INSTRUMENT OF TRANSFER</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sz w:val="4"/>
                <w:szCs w:val="4"/>
              </w:rPr>
            </w:pPr>
            <w:r>
              <w:rPr>
                <w:sz w:val="4"/>
                <w:szCs w:val="4"/>
              </w:rPr>
            </w:r>
          </w:p>
        </w:tc>
        <w:tc>
          <w:tcPr>
            <w:tcW w:w="419" w:type="dxa"/>
            <w:tcBorders/>
            <w:shd w:fill="auto" w:val="clear"/>
            <w:vAlign w:val="bottom"/>
          </w:tcPr>
          <w:p>
            <w:pPr>
              <w:pStyle w:val="TableContents"/>
              <w:spacing w:before="0" w:after="283"/>
              <w:rPr>
                <w:sz w:val="4"/>
                <w:szCs w:val="4"/>
              </w:rPr>
            </w:pPr>
            <w:r>
              <w:rPr>
                <w:sz w:val="4"/>
                <w:szCs w:val="4"/>
              </w:rPr>
            </w:r>
          </w:p>
        </w:tc>
        <w:tc>
          <w:tcPr>
            <w:tcW w:w="62"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2</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23</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IRREVOCABLE PROXY AND POWER OF ATTORNEY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sz w:val="4"/>
                <w:szCs w:val="4"/>
              </w:rPr>
            </w:pPr>
            <w:r>
              <w:rPr>
                <w:sz w:val="4"/>
                <w:szCs w:val="4"/>
              </w:rPr>
            </w:r>
          </w:p>
        </w:tc>
        <w:tc>
          <w:tcPr>
            <w:tcW w:w="419" w:type="dxa"/>
            <w:tcBorders/>
            <w:shd w:fill="auto" w:val="clear"/>
            <w:vAlign w:val="bottom"/>
          </w:tcPr>
          <w:p>
            <w:pPr>
              <w:pStyle w:val="TableContents"/>
              <w:spacing w:before="0" w:after="283"/>
              <w:rPr>
                <w:sz w:val="4"/>
                <w:szCs w:val="4"/>
              </w:rPr>
            </w:pPr>
            <w:r>
              <w:rPr>
                <w:sz w:val="4"/>
                <w:szCs w:val="4"/>
              </w:rPr>
            </w:r>
          </w:p>
        </w:tc>
        <w:tc>
          <w:tcPr>
            <w:tcW w:w="62"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3</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25</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LETTER OF RESIGNATION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sz w:val="4"/>
                <w:szCs w:val="4"/>
              </w:rPr>
            </w:pPr>
            <w:r>
              <w:rPr>
                <w:sz w:val="4"/>
                <w:szCs w:val="4"/>
              </w:rPr>
            </w:r>
          </w:p>
        </w:tc>
        <w:tc>
          <w:tcPr>
            <w:tcW w:w="419" w:type="dxa"/>
            <w:tcBorders/>
            <w:shd w:fill="auto" w:val="clear"/>
            <w:vAlign w:val="bottom"/>
          </w:tcPr>
          <w:p>
            <w:pPr>
              <w:pStyle w:val="TableContents"/>
              <w:spacing w:before="0" w:after="283"/>
              <w:rPr>
                <w:sz w:val="4"/>
                <w:szCs w:val="4"/>
              </w:rPr>
            </w:pPr>
            <w:r>
              <w:rPr>
                <w:sz w:val="4"/>
                <w:szCs w:val="4"/>
              </w:rPr>
            </w:r>
          </w:p>
        </w:tc>
        <w:tc>
          <w:tcPr>
            <w:tcW w:w="62"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4</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26</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LETTER OF AUTHORITY AND UNDERTAKING</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sz w:val="4"/>
                <w:szCs w:val="4"/>
              </w:rPr>
            </w:pPr>
            <w:r>
              <w:rPr>
                <w:sz w:val="4"/>
                <w:szCs w:val="4"/>
              </w:rPr>
            </w:r>
          </w:p>
        </w:tc>
        <w:tc>
          <w:tcPr>
            <w:tcW w:w="419" w:type="dxa"/>
            <w:tcBorders/>
            <w:shd w:fill="auto" w:val="clear"/>
            <w:vAlign w:val="bottom"/>
          </w:tcPr>
          <w:p>
            <w:pPr>
              <w:pStyle w:val="TableContents"/>
              <w:spacing w:before="0" w:after="283"/>
              <w:rPr>
                <w:sz w:val="4"/>
                <w:szCs w:val="4"/>
              </w:rPr>
            </w:pPr>
            <w:r>
              <w:rPr>
                <w:sz w:val="4"/>
                <w:szCs w:val="4"/>
              </w:rPr>
            </w:r>
          </w:p>
        </w:tc>
        <w:tc>
          <w:tcPr>
            <w:tcW w:w="62"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5</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27</w:t>
            </w:r>
          </w:p>
        </w:tc>
        <w:tc>
          <w:tcPr>
            <w:tcW w:w="62"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1149"/>
        <w:gridCol w:w="102"/>
        <w:gridCol w:w="8954"/>
      </w:tblGrid>
      <w:tr>
        <w:trPr/>
        <w:tc>
          <w:tcPr>
            <w:tcW w:w="1149" w:type="dxa"/>
            <w:tcBorders/>
            <w:shd w:fill="auto" w:val="clear"/>
            <w:vAlign w:val="center"/>
          </w:tcPr>
          <w:p>
            <w:pPr>
              <w:pStyle w:val="TableContents"/>
              <w:spacing w:before="0" w:after="283"/>
              <w:rPr>
                <w:sz w:val="4"/>
                <w:szCs w:val="4"/>
              </w:rPr>
            </w:pPr>
            <w:r>
              <w:rPr>
                <w:sz w:val="4"/>
                <w:szCs w:val="4"/>
              </w:rPr>
            </w:r>
          </w:p>
        </w:tc>
        <w:tc>
          <w:tcPr>
            <w:tcW w:w="102" w:type="dxa"/>
            <w:tcBorders/>
            <w:shd w:fill="auto" w:val="clear"/>
            <w:vAlign w:val="bottom"/>
          </w:tcPr>
          <w:p>
            <w:pPr>
              <w:pStyle w:val="TableContents"/>
              <w:spacing w:before="0" w:after="283"/>
              <w:rPr>
                <w:sz w:val="4"/>
                <w:szCs w:val="4"/>
              </w:rPr>
            </w:pPr>
            <w:r>
              <w:rPr>
                <w:sz w:val="4"/>
                <w:szCs w:val="4"/>
              </w:rPr>
            </w:r>
          </w:p>
        </w:tc>
        <w:tc>
          <w:tcPr>
            <w:tcW w:w="8954" w:type="dxa"/>
            <w:tcBorders/>
            <w:shd w:fill="auto" w:val="clear"/>
            <w:vAlign w:val="center"/>
          </w:tcPr>
          <w:p>
            <w:pPr>
              <w:pStyle w:val="TableContents"/>
              <w:spacing w:before="0" w:after="283"/>
              <w:rPr>
                <w:sz w:val="4"/>
                <w:szCs w:val="4"/>
              </w:rPr>
            </w:pPr>
            <w:r>
              <w:rPr>
                <w:sz w:val="4"/>
                <w:szCs w:val="4"/>
              </w:rPr>
            </w:r>
          </w:p>
        </w:tc>
      </w:tr>
      <w:tr>
        <w:trPr/>
        <w:tc>
          <w:tcPr>
            <w:tcW w:w="1020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NOTICE OF PLEDGE</w:t>
            </w:r>
          </w:p>
        </w:tc>
      </w:tr>
      <w:tr>
        <w:trPr>
          <w:trHeight w:val="120" w:hRule="atLeast"/>
        </w:trPr>
        <w:tc>
          <w:tcPr>
            <w:tcW w:w="1149" w:type="dxa"/>
            <w:tcBorders/>
            <w:shd w:fill="auto" w:val="clear"/>
            <w:vAlign w:val="center"/>
          </w:tcPr>
          <w:p>
            <w:pPr>
              <w:pStyle w:val="TableContents"/>
              <w:spacing w:before="0" w:after="283"/>
              <w:rPr>
                <w:sz w:val="4"/>
                <w:szCs w:val="4"/>
              </w:rPr>
            </w:pPr>
            <w:r>
              <w:rPr>
                <w:sz w:val="4"/>
                <w:szCs w:val="4"/>
              </w:rPr>
            </w:r>
          </w:p>
        </w:tc>
        <w:tc>
          <w:tcPr>
            <w:tcW w:w="9056" w:type="dxa"/>
            <w:gridSpan w:val="2"/>
            <w:tcBorders/>
            <w:shd w:fill="auto" w:val="clear"/>
            <w:vAlign w:val="center"/>
          </w:tcPr>
          <w:p>
            <w:pPr>
              <w:pStyle w:val="TableContents"/>
              <w:spacing w:before="0" w:after="283"/>
              <w:rPr>
                <w:sz w:val="4"/>
                <w:szCs w:val="4"/>
              </w:rPr>
            </w:pPr>
            <w:r>
              <w:rPr>
                <w:sz w:val="4"/>
                <w:szCs w:val="4"/>
              </w:rPr>
            </w:r>
          </w:p>
        </w:tc>
      </w:tr>
      <w:tr>
        <w:trPr/>
        <w:tc>
          <w:tcPr>
            <w:tcW w:w="1149" w:type="dxa"/>
            <w:tcBorders/>
            <w:shd w:fill="auto" w:val="clear"/>
          </w:tcPr>
          <w:p>
            <w:pPr>
              <w:pStyle w:val="TableContents"/>
              <w:spacing w:before="0" w:after="0"/>
              <w:rPr>
                <w:rFonts w:ascii="Times New Roman" w:hAnsi="Times New Roman"/>
                <w:b/>
                <w:sz w:val="20"/>
              </w:rPr>
            </w:pPr>
            <w:r>
              <w:rPr>
                <w:rFonts w:ascii="Times New Roman" w:hAnsi="Times New Roman"/>
                <w:b/>
                <w:sz w:val="20"/>
              </w:rPr>
              <w:t>SCHEDULE 6</w:t>
            </w:r>
          </w:p>
        </w:tc>
        <w:tc>
          <w:tcPr>
            <w:tcW w:w="102" w:type="dxa"/>
            <w:tcBorders/>
            <w:shd w:fill="auto" w:val="clear"/>
            <w:vAlign w:val="bottom"/>
          </w:tcPr>
          <w:p>
            <w:pPr>
              <w:pStyle w:val="TableContents"/>
              <w:spacing w:before="0" w:after="283"/>
              <w:rPr/>
            </w:pPr>
            <w:r>
              <w:rPr/>
              <w:t> </w:t>
            </w:r>
          </w:p>
        </w:tc>
        <w:tc>
          <w:tcPr>
            <w:tcW w:w="8954" w:type="dxa"/>
            <w:tcBorders/>
            <w:shd w:fill="auto" w:val="clear"/>
            <w:vAlign w:val="bottom"/>
          </w:tcPr>
          <w:p>
            <w:pPr>
              <w:pStyle w:val="TableContents"/>
              <w:spacing w:before="0" w:after="283"/>
              <w:jc w:val="right"/>
              <w:rPr>
                <w:b/>
              </w:rPr>
            </w:pPr>
            <w:r>
              <w:rPr>
                <w:b/>
              </w:rPr>
              <w:t>28</w:t>
            </w:r>
          </w:p>
        </w:tc>
      </w:tr>
      <w:tr>
        <w:trPr>
          <w:trHeight w:val="120" w:hRule="atLeast"/>
        </w:trPr>
        <w:tc>
          <w:tcPr>
            <w:tcW w:w="10205" w:type="dxa"/>
            <w:gridSpan w:val="3"/>
            <w:tcBorders/>
            <w:shd w:fill="auto" w:val="clear"/>
            <w:vAlign w:val="center"/>
          </w:tcPr>
          <w:p>
            <w:pPr>
              <w:pStyle w:val="TableContents"/>
              <w:spacing w:before="0" w:after="283"/>
              <w:rPr>
                <w:sz w:val="4"/>
                <w:szCs w:val="4"/>
              </w:rPr>
            </w:pPr>
            <w:r>
              <w:rPr>
                <w:sz w:val="4"/>
                <w:szCs w:val="4"/>
              </w:rPr>
            </w:r>
          </w:p>
        </w:tc>
      </w:tr>
      <w:tr>
        <w:trPr/>
        <w:tc>
          <w:tcPr>
            <w:tcW w:w="1020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SECRETARY’S CERTIFICATE</w:t>
            </w:r>
          </w:p>
        </w:tc>
      </w:tr>
      <w:tr>
        <w:trPr>
          <w:trHeight w:val="120" w:hRule="atLeast"/>
        </w:trPr>
        <w:tc>
          <w:tcPr>
            <w:tcW w:w="1149" w:type="dxa"/>
            <w:tcBorders/>
            <w:shd w:fill="auto" w:val="clear"/>
            <w:vAlign w:val="center"/>
          </w:tcPr>
          <w:p>
            <w:pPr>
              <w:pStyle w:val="TableContents"/>
              <w:spacing w:before="0" w:after="283"/>
              <w:rPr>
                <w:sz w:val="4"/>
                <w:szCs w:val="4"/>
              </w:rPr>
            </w:pPr>
            <w:r>
              <w:rPr>
                <w:sz w:val="4"/>
                <w:szCs w:val="4"/>
              </w:rPr>
            </w:r>
          </w:p>
        </w:tc>
        <w:tc>
          <w:tcPr>
            <w:tcW w:w="9056" w:type="dxa"/>
            <w:gridSpan w:val="2"/>
            <w:tcBorders/>
            <w:shd w:fill="auto" w:val="clear"/>
            <w:vAlign w:val="center"/>
          </w:tcPr>
          <w:p>
            <w:pPr>
              <w:pStyle w:val="TableContents"/>
              <w:spacing w:before="0" w:after="283"/>
              <w:rPr>
                <w:sz w:val="4"/>
                <w:szCs w:val="4"/>
              </w:rPr>
            </w:pPr>
            <w:r>
              <w:rPr>
                <w:sz w:val="4"/>
                <w:szCs w:val="4"/>
              </w:rPr>
            </w:r>
          </w:p>
        </w:tc>
      </w:tr>
      <w:tr>
        <w:trPr/>
        <w:tc>
          <w:tcPr>
            <w:tcW w:w="1149" w:type="dxa"/>
            <w:tcBorders/>
            <w:shd w:fill="auto" w:val="clear"/>
          </w:tcPr>
          <w:p>
            <w:pPr>
              <w:pStyle w:val="TableContents"/>
              <w:spacing w:before="0" w:after="0"/>
              <w:rPr>
                <w:rFonts w:ascii="Times New Roman" w:hAnsi="Times New Roman"/>
                <w:b/>
                <w:sz w:val="20"/>
              </w:rPr>
            </w:pPr>
            <w:r>
              <w:rPr>
                <w:rFonts w:ascii="Times New Roman" w:hAnsi="Times New Roman"/>
                <w:b/>
                <w:sz w:val="20"/>
              </w:rPr>
              <w:t>SCHEDULE 7</w:t>
            </w:r>
          </w:p>
        </w:tc>
        <w:tc>
          <w:tcPr>
            <w:tcW w:w="102" w:type="dxa"/>
            <w:tcBorders/>
            <w:shd w:fill="auto" w:val="clear"/>
            <w:vAlign w:val="bottom"/>
          </w:tcPr>
          <w:p>
            <w:pPr>
              <w:pStyle w:val="TableContents"/>
              <w:spacing w:before="0" w:after="283"/>
              <w:rPr/>
            </w:pPr>
            <w:r>
              <w:rPr/>
              <w:t> </w:t>
            </w:r>
          </w:p>
        </w:tc>
        <w:tc>
          <w:tcPr>
            <w:tcW w:w="8954" w:type="dxa"/>
            <w:tcBorders/>
            <w:shd w:fill="auto" w:val="clear"/>
            <w:vAlign w:val="bottom"/>
          </w:tcPr>
          <w:p>
            <w:pPr>
              <w:pStyle w:val="TableContents"/>
              <w:spacing w:before="0" w:after="283"/>
              <w:jc w:val="right"/>
              <w:rPr>
                <w:b/>
              </w:rPr>
            </w:pPr>
            <w:r>
              <w:rPr>
                <w:b/>
              </w:rPr>
              <w:t>30</w:t>
            </w:r>
          </w:p>
        </w:tc>
      </w:tr>
      <w:tr>
        <w:trPr>
          <w:trHeight w:val="120" w:hRule="atLeast"/>
        </w:trPr>
        <w:tc>
          <w:tcPr>
            <w:tcW w:w="10205" w:type="dxa"/>
            <w:gridSpan w:val="3"/>
            <w:tcBorders/>
            <w:shd w:fill="auto" w:val="clear"/>
            <w:vAlign w:val="center"/>
          </w:tcPr>
          <w:p>
            <w:pPr>
              <w:pStyle w:val="TableContents"/>
              <w:spacing w:before="0" w:after="283"/>
              <w:rPr>
                <w:sz w:val="4"/>
                <w:szCs w:val="4"/>
              </w:rPr>
            </w:pPr>
            <w:r>
              <w:rPr>
                <w:sz w:val="4"/>
                <w:szCs w:val="4"/>
              </w:rPr>
            </w:r>
          </w:p>
        </w:tc>
      </w:tr>
      <w:tr>
        <w:trPr/>
        <w:tc>
          <w:tcPr>
            <w:tcW w:w="1020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BOARD RESOLUTION HEADHUNTER FSU LIMITED</w:t>
            </w:r>
          </w:p>
        </w:tc>
      </w:tr>
      <w:tr>
        <w:trPr>
          <w:trHeight w:val="120" w:hRule="atLeast"/>
        </w:trPr>
        <w:tc>
          <w:tcPr>
            <w:tcW w:w="1149" w:type="dxa"/>
            <w:tcBorders/>
            <w:shd w:fill="auto" w:val="clear"/>
            <w:vAlign w:val="center"/>
          </w:tcPr>
          <w:p>
            <w:pPr>
              <w:pStyle w:val="TableContents"/>
              <w:spacing w:before="0" w:after="283"/>
              <w:rPr>
                <w:sz w:val="4"/>
                <w:szCs w:val="4"/>
              </w:rPr>
            </w:pPr>
            <w:r>
              <w:rPr>
                <w:sz w:val="4"/>
                <w:szCs w:val="4"/>
              </w:rPr>
            </w:r>
          </w:p>
        </w:tc>
        <w:tc>
          <w:tcPr>
            <w:tcW w:w="9056" w:type="dxa"/>
            <w:gridSpan w:val="2"/>
            <w:tcBorders/>
            <w:shd w:fill="auto" w:val="clear"/>
            <w:vAlign w:val="center"/>
          </w:tcPr>
          <w:p>
            <w:pPr>
              <w:pStyle w:val="TableContents"/>
              <w:spacing w:before="0" w:after="283"/>
              <w:rPr>
                <w:sz w:val="4"/>
                <w:szCs w:val="4"/>
              </w:rPr>
            </w:pPr>
            <w:r>
              <w:rPr>
                <w:sz w:val="4"/>
                <w:szCs w:val="4"/>
              </w:rPr>
            </w:r>
          </w:p>
        </w:tc>
      </w:tr>
      <w:tr>
        <w:trPr/>
        <w:tc>
          <w:tcPr>
            <w:tcW w:w="1149" w:type="dxa"/>
            <w:tcBorders/>
            <w:shd w:fill="auto" w:val="clear"/>
          </w:tcPr>
          <w:p>
            <w:pPr>
              <w:pStyle w:val="TableContents"/>
              <w:spacing w:before="0" w:after="0"/>
              <w:rPr>
                <w:rFonts w:ascii="Times New Roman" w:hAnsi="Times New Roman"/>
                <w:b/>
                <w:sz w:val="20"/>
              </w:rPr>
            </w:pPr>
            <w:r>
              <w:rPr>
                <w:rFonts w:ascii="Times New Roman" w:hAnsi="Times New Roman"/>
                <w:b/>
                <w:sz w:val="20"/>
              </w:rPr>
              <w:t>SCHEDULE 8</w:t>
            </w:r>
          </w:p>
        </w:tc>
        <w:tc>
          <w:tcPr>
            <w:tcW w:w="102" w:type="dxa"/>
            <w:tcBorders/>
            <w:shd w:fill="auto" w:val="clear"/>
            <w:vAlign w:val="bottom"/>
          </w:tcPr>
          <w:p>
            <w:pPr>
              <w:pStyle w:val="TableContents"/>
              <w:spacing w:before="0" w:after="283"/>
              <w:rPr/>
            </w:pPr>
            <w:r>
              <w:rPr/>
              <w:t> </w:t>
            </w:r>
          </w:p>
        </w:tc>
        <w:tc>
          <w:tcPr>
            <w:tcW w:w="8954" w:type="dxa"/>
            <w:tcBorders/>
            <w:shd w:fill="auto" w:val="clear"/>
            <w:vAlign w:val="bottom"/>
          </w:tcPr>
          <w:p>
            <w:pPr>
              <w:pStyle w:val="TableContents"/>
              <w:spacing w:before="0" w:after="283"/>
              <w:jc w:val="right"/>
              <w:rPr>
                <w:b/>
              </w:rPr>
            </w:pPr>
            <w:r>
              <w:rPr>
                <w:b/>
              </w:rPr>
              <w:t>31</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 xml:space="preserve">THIS DEED </w:t>
      </w:r>
      <w:r>
        <w:rPr>
          <w:rFonts w:ascii="Times New Roman" w:hAnsi="Times New Roman"/>
          <w:sz w:val="20"/>
        </w:rPr>
        <w:t xml:space="preserve">is dated </w:t>
      </w:r>
      <w:r>
        <w:rPr>
          <w:rFonts w:ascii="Times New Roman" w:hAnsi="Times New Roman"/>
          <w:sz w:val="20"/>
          <w:u w:val="single"/>
        </w:rPr>
        <w:t>19 May</w:t>
      </w:r>
      <w:r>
        <w:rPr>
          <w:rFonts w:ascii="Times New Roman" w:hAnsi="Times New Roman"/>
          <w:sz w:val="20"/>
        </w:rPr>
        <w:t xml:space="preserve"> 2016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 xml:space="preserve">LLC ZEMENIK, </w:t>
            </w:r>
            <w:r>
              <w:rPr/>
              <w:t>a company incorporated in the Russian Federation with registration number 1167746153860, whose registered address is at office 54, Akademika Iljushina Street 4, block 1, Moscow, Russian Federation (the “</w:t>
            </w:r>
            <w:r>
              <w:rPr>
                <w:b/>
              </w:rPr>
              <w:t>Pledgor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b/>
              </w:rPr>
              <w:t xml:space="preserve">JSC VTB BANK, </w:t>
            </w:r>
            <w:r>
              <w:rPr/>
              <w:t>a bank organised under the laws of the Russian Federation under primary state registration number 1027739609391, whose registered office is at Ul. Bolshaya Morskaya, 29, St. Petersburg 190000, Russian Federation (the “</w:t>
            </w:r>
            <w:r>
              <w:rPr>
                <w:b/>
              </w:rPr>
              <w:t>Pledgee</w:t>
            </w:r>
            <w:r>
              <w:rPr/>
              <w:t xml:space="preserve">”). </w:t>
            </w:r>
          </w:p>
        </w:tc>
      </w:tr>
    </w:tbl>
    <w:p>
      <w:pPr>
        <w:pStyle w:val="TextBody"/>
        <w:spacing w:before="12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The Pledgor is the owner of 100% of the issued share capital of the Company (as defined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The Pledgor enters into this Deed in connection with the Facility Agreement (as defined below). </w:t>
            </w:r>
          </w:p>
        </w:tc>
      </w:tr>
    </w:tbl>
    <w:p>
      <w:pPr>
        <w:pStyle w:val="TextBody"/>
        <w:spacing w:before="12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w:t>
            </w:r>
          </w:p>
        </w:tc>
        <w:tc>
          <w:tcPr>
            <w:tcW w:w="9388" w:type="dxa"/>
            <w:tcBorders/>
            <w:shd w:fill="auto" w:val="clear"/>
          </w:tcPr>
          <w:p>
            <w:pPr>
              <w:pStyle w:val="TableContents"/>
              <w:spacing w:before="0" w:after="283"/>
              <w:jc w:val="left"/>
              <w:rPr/>
            </w:pPr>
            <w:r>
              <w:rPr>
                <w:b/>
              </w:rPr>
              <w:t>INTERPRETATION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1.1</w:t>
            </w:r>
          </w:p>
        </w:tc>
        <w:tc>
          <w:tcPr>
            <w:tcW w:w="9388" w:type="dxa"/>
            <w:tcBorders/>
            <w:shd w:fill="auto" w:val="clear"/>
          </w:tcPr>
          <w:p>
            <w:pPr>
              <w:pStyle w:val="TableContents"/>
              <w:spacing w:before="0" w:after="283"/>
              <w:jc w:val="left"/>
              <w:rPr/>
            </w:pPr>
            <w:r>
              <w:rPr>
                <w:b/>
              </w:rPr>
              <w:t>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Deed: </w:t>
      </w:r>
    </w:p>
    <w:p>
      <w:pPr>
        <w:pStyle w:val="TextBody"/>
        <w:spacing w:before="120" w:after="0"/>
        <w:rPr/>
      </w:pPr>
      <w:r>
        <w:rPr/>
        <w:t>“</w:t>
      </w:r>
      <w:r>
        <w:rPr>
          <w:rFonts w:ascii="Times New Roman" w:hAnsi="Times New Roman"/>
          <w:b/>
          <w:sz w:val="20"/>
        </w:rPr>
        <w:t>Companies Law</w:t>
      </w:r>
      <w:r>
        <w:rPr>
          <w:rFonts w:ascii="Times New Roman" w:hAnsi="Times New Roman"/>
          <w:sz w:val="20"/>
        </w:rPr>
        <w:t xml:space="preserve">” means Cyprus Companies Law, Cap. 113. </w:t>
      </w:r>
    </w:p>
    <w:p>
      <w:pPr>
        <w:pStyle w:val="TextBody"/>
        <w:spacing w:before="120" w:after="0"/>
        <w:rPr>
          <w:rFonts w:ascii="Times New Roman" w:hAnsi="Times New Roman"/>
          <w:sz w:val="20"/>
        </w:rPr>
      </w:pPr>
      <w:r>
        <w:rPr>
          <w:rFonts w:ascii="Times New Roman" w:hAnsi="Times New Roman"/>
          <w:sz w:val="20"/>
        </w:rPr>
        <w:t xml:space="preserve">Company means HEADHUNTER FSU LIMITED, a company incorporated in Cyprus with registration number HE 178226, whose registered office is at 42 Dositheou, Strovolos 2028, Nicosia, Cyprus. </w:t>
      </w:r>
    </w:p>
    <w:p>
      <w:pPr>
        <w:pStyle w:val="TextBody"/>
        <w:spacing w:before="120" w:after="0"/>
        <w:rPr/>
      </w:pPr>
      <w:r>
        <w:rPr/>
        <w:t>“</w:t>
      </w:r>
      <w:r>
        <w:rPr>
          <w:rFonts w:ascii="Times New Roman" w:hAnsi="Times New Roman"/>
          <w:b/>
          <w:sz w:val="20"/>
        </w:rPr>
        <w:t>Event of Default</w:t>
      </w:r>
      <w:r>
        <w:rPr>
          <w:rFonts w:ascii="Times New Roman" w:hAnsi="Times New Roman"/>
          <w:sz w:val="20"/>
        </w:rPr>
        <w:t xml:space="preserve">” means any of the events or circumstances specified as such in clause 19 of the Facility Agreement. </w:t>
      </w:r>
    </w:p>
    <w:p>
      <w:pPr>
        <w:pStyle w:val="TextBody"/>
        <w:spacing w:before="120" w:after="0"/>
        <w:rPr/>
      </w:pPr>
      <w:r>
        <w:rPr/>
        <w:t>“</w:t>
      </w:r>
      <w:r>
        <w:rPr>
          <w:rFonts w:ascii="Times New Roman" w:hAnsi="Times New Roman"/>
          <w:b/>
          <w:sz w:val="20"/>
        </w:rPr>
        <w:t>Facility Agreement</w:t>
      </w:r>
      <w:r>
        <w:rPr>
          <w:rFonts w:ascii="Times New Roman" w:hAnsi="Times New Roman"/>
          <w:sz w:val="20"/>
        </w:rPr>
        <w:t xml:space="preserve">” means the facility agreement dated on or about the date of this Deed between the Pledgor as Borrower and the Pledgee as Agent and Original Lender (as the same may be amended, supplemented or novated from time to time). </w:t>
      </w:r>
    </w:p>
    <w:p>
      <w:pPr>
        <w:pStyle w:val="TextBody"/>
        <w:spacing w:before="120" w:after="0"/>
        <w:rPr/>
      </w:pPr>
      <w:r>
        <w:rPr/>
        <w:t>“</w:t>
      </w:r>
      <w:r>
        <w:rPr>
          <w:rFonts w:ascii="Times New Roman" w:hAnsi="Times New Roman"/>
          <w:b/>
          <w:sz w:val="20"/>
        </w:rPr>
        <w:t>Finance Documents</w:t>
      </w:r>
      <w:r>
        <w:rPr>
          <w:rFonts w:ascii="Times New Roman" w:hAnsi="Times New Roman"/>
          <w:sz w:val="20"/>
        </w:rPr>
        <w:t xml:space="preserve">” means the Facility Agreement and any other “Finance Document” </w:t>
      </w:r>
      <w:r>
        <w:rPr>
          <w:rFonts w:ascii="Times New Roman" w:hAnsi="Times New Roman"/>
          <w:sz w:val="20"/>
        </w:rPr>
        <w:drawing>
          <wp:inline distT="0" distB="0" distL="0" distR="0">
            <wp:extent cx="718820" cy="359410"/>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link="rId49"/>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defined as such in the Facility Agreement. </w:t>
      </w:r>
    </w:p>
    <w:p>
      <w:pPr>
        <w:pStyle w:val="TextBody"/>
        <w:spacing w:before="120" w:after="0"/>
        <w:rPr/>
      </w:pPr>
      <w:r>
        <w:rPr/>
        <w:t>“</w:t>
      </w:r>
      <w:r>
        <w:rPr>
          <w:rFonts w:ascii="Times New Roman" w:hAnsi="Times New Roman"/>
          <w:b/>
          <w:sz w:val="20"/>
        </w:rPr>
        <w:t>Independent Appraiser</w:t>
      </w:r>
      <w:r>
        <w:rPr>
          <w:rFonts w:ascii="Times New Roman" w:hAnsi="Times New Roman"/>
          <w:sz w:val="20"/>
        </w:rPr>
        <w:t xml:space="preserve">” means any of Delloite CIS Holdings Limited, PricewaterhouseCoopers and Ernst &amp; Young Global Limited, or any of their affiliates, to be appointed by the Pledgee. </w:t>
      </w:r>
    </w:p>
    <w:p>
      <w:pPr>
        <w:pStyle w:val="TextBody"/>
        <w:spacing w:before="120" w:after="0"/>
        <w:rPr/>
      </w:pPr>
      <w:r>
        <w:rPr/>
        <w:t>“</w:t>
      </w:r>
      <w:r>
        <w:rPr>
          <w:rFonts w:ascii="Times New Roman" w:hAnsi="Times New Roman"/>
          <w:b/>
          <w:sz w:val="20"/>
        </w:rPr>
        <w:t>Party</w:t>
      </w:r>
      <w:r>
        <w:rPr>
          <w:rFonts w:ascii="Times New Roman" w:hAnsi="Times New Roman"/>
          <w:sz w:val="20"/>
        </w:rPr>
        <w:t xml:space="preserve">” means a party to this Deed. </w:t>
      </w:r>
    </w:p>
    <w:p>
      <w:pPr>
        <w:pStyle w:val="TextBody"/>
        <w:spacing w:before="120" w:after="0"/>
        <w:rPr/>
      </w:pPr>
      <w:r>
        <w:rPr/>
        <w:t>“</w:t>
      </w:r>
      <w:r>
        <w:rPr>
          <w:rFonts w:ascii="Times New Roman" w:hAnsi="Times New Roman"/>
          <w:b/>
          <w:sz w:val="20"/>
        </w:rPr>
        <w:t>Receiver</w:t>
      </w:r>
      <w:r>
        <w:rPr>
          <w:rFonts w:ascii="Times New Roman" w:hAnsi="Times New Roman"/>
          <w:sz w:val="20"/>
        </w:rPr>
        <w:t xml:space="preserve">” means a receiver or a receiver and manager, in each case, appointed under this Deed. </w:t>
      </w:r>
    </w:p>
    <w:p>
      <w:pPr>
        <w:pStyle w:val="TextBody"/>
        <w:spacing w:before="120" w:after="0"/>
        <w:rPr/>
      </w:pPr>
      <w:r>
        <w:rPr/>
        <w:t>“</w:t>
      </w:r>
      <w:r>
        <w:rPr>
          <w:rFonts w:ascii="Times New Roman" w:hAnsi="Times New Roman"/>
          <w:b/>
          <w:sz w:val="20"/>
        </w:rPr>
        <w:t>Related Rights</w:t>
      </w:r>
      <w:r>
        <w:rPr>
          <w:rFonts w:ascii="Times New Roman" w:hAnsi="Times New Roman"/>
          <w:sz w:val="20"/>
        </w:rPr>
        <w:t xml:space="preserve">” means, in relation to any Shares, all dividends and other distributions paid or payable after the date hereof on all or any of such Shares and all stocks, shares, securities (and the dividends or interest thereon), rights, money or property accruing or offered at any time by way of issue, redemption, bonus, preference, option rights or otherwise to or in respect of any of such Shares or in substitution or exchange for any such Shares.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Secured Liabilities</w:t>
      </w:r>
      <w:r>
        <w:rPr>
          <w:rFonts w:ascii="Times New Roman" w:hAnsi="Times New Roman"/>
          <w:sz w:val="20"/>
        </w:rPr>
        <w:t xml:space="preserve">” means all present and future debts, obligations and liabilities (whether actual or contingent, and whether owed as principal or surety, jointly or severally or in any other capacity whatsoever) of the Pledgor to the Pledgee under this Deed and of the Borrower to the Pledgee under the Facility Agreement, except for any obligation which, if it were so included, would result in this Deed contravening Section 53 of the Companies Law. </w:t>
      </w:r>
    </w:p>
    <w:p>
      <w:pPr>
        <w:pStyle w:val="TextBody"/>
        <w:spacing w:before="120" w:after="0"/>
        <w:rPr/>
      </w:pPr>
      <w:r>
        <w:rPr/>
        <w:t>“</w:t>
      </w:r>
      <w:r>
        <w:rPr>
          <w:rFonts w:ascii="Times New Roman" w:hAnsi="Times New Roman"/>
          <w:b/>
          <w:sz w:val="20"/>
        </w:rPr>
        <w:t>Security Assets</w:t>
      </w:r>
      <w:r>
        <w:rPr>
          <w:rFonts w:ascii="Times New Roman" w:hAnsi="Times New Roman"/>
          <w:sz w:val="20"/>
        </w:rPr>
        <w:t xml:space="preserve">” means the Shares, the Share Certificates and the Related Rights. </w:t>
      </w:r>
    </w:p>
    <w:p>
      <w:pPr>
        <w:pStyle w:val="TextBody"/>
        <w:spacing w:before="120" w:after="0"/>
        <w:rPr/>
      </w:pPr>
      <w:r>
        <w:rPr/>
        <w:t>“</w:t>
      </w:r>
      <w:r>
        <w:rPr>
          <w:rFonts w:ascii="Times New Roman" w:hAnsi="Times New Roman"/>
          <w:b/>
          <w:sz w:val="20"/>
        </w:rPr>
        <w:t>Security Document</w:t>
      </w:r>
      <w:r>
        <w:rPr>
          <w:rFonts w:ascii="Times New Roman" w:hAnsi="Times New Roman"/>
          <w:sz w:val="20"/>
        </w:rPr>
        <w:t xml:space="preserve">” means this Agreement, the Facility Agreement, any other Finance Document or any other document designated as such by the Pledgee and the Borrower in writing. </w:t>
      </w:r>
    </w:p>
    <w:p>
      <w:pPr>
        <w:pStyle w:val="TextBody"/>
        <w:spacing w:before="120" w:after="0"/>
        <w:rPr/>
      </w:pPr>
      <w:r>
        <w:rPr/>
        <w:t>“</w:t>
      </w:r>
      <w:r>
        <w:rPr>
          <w:rFonts w:ascii="Times New Roman" w:hAnsi="Times New Roman"/>
          <w:b/>
          <w:sz w:val="20"/>
        </w:rPr>
        <w:t>Security Interest</w:t>
      </w:r>
      <w:r>
        <w:rPr>
          <w:rFonts w:ascii="Times New Roman" w:hAnsi="Times New Roman"/>
          <w:sz w:val="20"/>
        </w:rPr>
        <w:t xml:space="preserve">” means any mortgage, pledge, lien, charge, assignment, hypothecation or security interest or any other agreement or arrangement having a similar effect. </w:t>
      </w:r>
    </w:p>
    <w:p>
      <w:pPr>
        <w:pStyle w:val="TextBody"/>
        <w:spacing w:before="120" w:after="0"/>
        <w:rPr/>
      </w:pPr>
      <w:r>
        <w:rPr/>
        <w:t>“</w:t>
      </w:r>
      <w:r>
        <w:rPr>
          <w:rFonts w:ascii="Times New Roman" w:hAnsi="Times New Roman"/>
          <w:b/>
          <w:sz w:val="20"/>
        </w:rPr>
        <w:t>Security Period</w:t>
      </w:r>
      <w:r>
        <w:rPr>
          <w:rFonts w:ascii="Times New Roman" w:hAnsi="Times New Roman"/>
          <w:sz w:val="20"/>
        </w:rPr>
        <w:t xml:space="preserve">” means the period beginning on the date of this Deed and ending on the date on which all the Secured Liabilities have been unconditionally and irrevocably discharged in full. </w:t>
      </w:r>
    </w:p>
    <w:p>
      <w:pPr>
        <w:pStyle w:val="TextBody"/>
        <w:spacing w:before="120" w:after="0"/>
        <w:rPr/>
      </w:pPr>
      <w:r>
        <w:rPr/>
        <w:t>“</w:t>
      </w:r>
      <w:r>
        <w:rPr>
          <w:rFonts w:ascii="Times New Roman" w:hAnsi="Times New Roman"/>
          <w:b/>
          <w:sz w:val="20"/>
        </w:rPr>
        <w:t>Share Certificates</w:t>
      </w:r>
      <w:r>
        <w:rPr>
          <w:rFonts w:ascii="Times New Roman" w:hAnsi="Times New Roman"/>
          <w:sz w:val="20"/>
        </w:rPr>
        <w:t xml:space="preserve">” means all the share certificates representing the Shares and any substitute share certificate or share certificates representing the Shares. </w:t>
      </w:r>
    </w:p>
    <w:p>
      <w:pPr>
        <w:pStyle w:val="TextBody"/>
        <w:spacing w:before="120" w:after="0"/>
        <w:rPr/>
      </w:pPr>
      <w:r>
        <w:rPr/>
        <w:t>“</w:t>
      </w:r>
      <w:r>
        <w:rPr>
          <w:rFonts w:ascii="Times New Roman" w:hAnsi="Times New Roman"/>
          <w:b/>
          <w:sz w:val="20"/>
        </w:rPr>
        <w:t>Shares</w:t>
      </w:r>
      <w:r>
        <w:rPr>
          <w:rFonts w:ascii="Times New Roman" w:hAnsi="Times New Roman"/>
          <w:sz w:val="20"/>
        </w:rPr>
        <w:t xml:space="preserve">” means 1,000 ordinary shares of 1.71 (one and seventy one) EUR each, held by the Pledgor in the Company (Security Assets), which in aggregate represent 100% of the issued shares in the Company, and any further shares in the capital of the Company now or at any time hereafter legally and/or beneficially owned by the Pledgor or in which the Pledgor has an interest.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Construction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this Deed and any certificate or other document delivered pursuant hereto, unless otherwise expressly provided herein or therein or unless the context requires another meaning, capitalized terms used herein shall have the meanings specified in the Facility Agreement, by reference or otherwise (and each such term is thereby incorporated by reference herein for such use). To the extent such terms are defined by reference to another agreement or document, such terms shall continue to have their original definitions despite any termination, expiration or amendment of such agreement or document, unless the parties agree otherwise in writing.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In this Deed, unless the contrary intention appears, a reference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1" w:type="dxa"/>
            <w:tcBorders/>
            <w:shd w:fill="auto" w:val="clear"/>
          </w:tcPr>
          <w:p>
            <w:pPr>
              <w:pStyle w:val="TableContents"/>
              <w:spacing w:before="0" w:after="283"/>
              <w:jc w:val="left"/>
              <w:rPr/>
            </w:pPr>
            <w:r>
              <w:rPr/>
              <w:t>an “</w:t>
            </w:r>
            <w:r>
              <w:rPr>
                <w:b/>
              </w:rPr>
              <w:t>amendment</w:t>
            </w:r>
            <w:r>
              <w:rPr/>
              <w:t>” includes a supplement, novation, restatement or re-enactment and “</w:t>
            </w:r>
            <w:r>
              <w:rPr>
                <w:b/>
              </w:rPr>
              <w:t xml:space="preserve">amended </w:t>
            </w:r>
            <w:r>
              <w:rPr/>
              <w:t xml:space="preserve">will be construed accordingly;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w:t>
            </w:r>
            <w:r>
              <w:rPr>
                <w:b/>
              </w:rPr>
              <w:t>assets</w:t>
            </w:r>
            <w:r>
              <w:rPr/>
              <w:t xml:space="preserve">” includes present and future properties, revenues and rights of every description;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an “</w:t>
            </w:r>
            <w:r>
              <w:rPr>
                <w:b/>
              </w:rPr>
              <w:t>authorisation</w:t>
            </w:r>
            <w:r>
              <w:rPr/>
              <w:t xml:space="preserve">” includes an authorisation, consent, approval, resolution, licence, exemption, filing, registration or notarisation;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(iv)</w:t>
            </w:r>
          </w:p>
        </w:tc>
        <w:tc>
          <w:tcPr>
            <w:tcW w:w="7555" w:type="dxa"/>
            <w:tcBorders/>
            <w:shd w:fill="auto" w:val="clear"/>
          </w:tcPr>
          <w:p>
            <w:pPr>
              <w:pStyle w:val="TableContents"/>
              <w:spacing w:before="0" w:after="283"/>
              <w:jc w:val="left"/>
              <w:rPr/>
            </w:pPr>
            <w:r>
              <w:rPr/>
              <w:t>“</w:t>
            </w:r>
            <w:r>
              <w:rPr>
                <w:b/>
              </w:rPr>
              <w:t>disposal</w:t>
            </w:r>
            <w:r>
              <w:rPr/>
              <w:t>” means a sale, transfer, grant, lease or other disposal, whether voluntary or involuntary, and “</w:t>
            </w:r>
            <w:r>
              <w:rPr>
                <w:b/>
              </w:rPr>
              <w:t>dispose</w:t>
            </w:r>
            <w:r>
              <w:rPr/>
              <w:t xml:space="preserve">” will be construed accordingly;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(v)</w:t>
            </w:r>
          </w:p>
        </w:tc>
        <w:tc>
          <w:tcPr>
            <w:tcW w:w="7554" w:type="dxa"/>
            <w:tcBorders/>
            <w:shd w:fill="auto" w:val="clear"/>
          </w:tcPr>
          <w:p>
            <w:pPr>
              <w:pStyle w:val="TableContents"/>
              <w:spacing w:before="0" w:after="283"/>
              <w:jc w:val="left"/>
              <w:rPr/>
            </w:pPr>
            <w:r>
              <w:rPr/>
              <w:t>a “</w:t>
            </w:r>
            <w:r>
              <w:rPr>
                <w:b/>
              </w:rPr>
              <w:t>person</w:t>
            </w:r>
            <w:r>
              <w:rPr/>
              <w:t xml:space="preserve">” includes any individual, company, corporation, unincorporated association or body (including a partnership, trust, joint venture or consortium), government, state, agency, organisation or other entity whether or not having separate legal personality;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w:t>
            </w:r>
          </w:p>
        </w:tc>
        <w:tc>
          <w:tcPr>
            <w:tcW w:w="7554" w:type="dxa"/>
            <w:tcBorders/>
            <w:shd w:fill="auto" w:val="clear"/>
          </w:tcPr>
          <w:p>
            <w:pPr>
              <w:pStyle w:val="TableContents"/>
              <w:spacing w:before="0" w:after="283"/>
              <w:jc w:val="left"/>
              <w:rPr/>
            </w:pPr>
            <w:r>
              <w:rPr/>
              <w:t xml:space="preserve">a provision of law is a reference to that provision as extended, applied, amended or re-enacted and includes any subordinate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(vii)</w:t>
            </w:r>
          </w:p>
        </w:tc>
        <w:tc>
          <w:tcPr>
            <w:tcW w:w="7554" w:type="dxa"/>
            <w:tcBorders/>
            <w:shd w:fill="auto" w:val="clear"/>
          </w:tcPr>
          <w:p>
            <w:pPr>
              <w:pStyle w:val="TableContents"/>
              <w:spacing w:before="0" w:after="283"/>
              <w:jc w:val="left"/>
              <w:rPr/>
            </w:pPr>
            <w:r>
              <w:rPr/>
              <w:t xml:space="preserve">a Clause, a Subclause or a Schedule is a reference to a clause or subclause of, or a schedule to, this Agreement; and (viii) a Party or any other person includes its successors in title, permitted assigns and permitted transferees.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Where the context so admits, the singular includes the plural and vice versa.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3" w:type="dxa"/>
            <w:tcBorders/>
            <w:shd w:fill="auto" w:val="clear"/>
          </w:tcPr>
          <w:p>
            <w:pPr>
              <w:pStyle w:val="TableContents"/>
              <w:spacing w:before="0" w:after="283"/>
              <w:jc w:val="left"/>
              <w:rPr/>
            </w:pPr>
            <w:r>
              <w:rPr/>
              <w:t xml:space="preserve">A reference to a Security Document or other document or security includes (without prejudice to any prohibition on amendments) any amendment however fundamental to that Security Document or other document or security, including any change in the purpose of, any extension or any increase in the amount of a facility or any additional facility.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 xml:space="preserve">Any covenant of the Pledgor under this Deed (other than a payment obligation) remains in force during the Security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4" w:type="dxa"/>
            <w:tcBorders/>
            <w:shd w:fill="auto" w:val="clear"/>
          </w:tcPr>
          <w:p>
            <w:pPr>
              <w:pStyle w:val="TableContents"/>
              <w:spacing w:before="0" w:after="283"/>
              <w:jc w:val="left"/>
              <w:rPr/>
            </w:pPr>
            <w:r>
              <w:rPr/>
              <w:t xml:space="preserve">If the Pledgee reasonably considers that an amount paid to it under this Deed is capable of being avoided or otherwise set aside on the liquidation or administration of the payer or otherwise, then that amount will not be considered to have been irrevocably paid for the purposes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t xml:space="preserve">Unless the context otherwise requires, a reference to a Security Asset includes the proceeds of sale of that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2.</w:t>
            </w:r>
          </w:p>
        </w:tc>
        <w:tc>
          <w:tcPr>
            <w:tcW w:w="9392" w:type="dxa"/>
            <w:tcBorders/>
            <w:shd w:fill="auto" w:val="clear"/>
          </w:tcPr>
          <w:p>
            <w:pPr>
              <w:pStyle w:val="TableContents"/>
              <w:spacing w:before="0" w:after="283"/>
              <w:jc w:val="left"/>
              <w:rPr>
                <w:b/>
              </w:rPr>
            </w:pPr>
            <w:r>
              <w:rPr>
                <w:b/>
              </w:rPr>
              <w:t xml:space="preserve">CREATION OF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the security created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is created in favour of the Pledgee;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is continuing security for the payment, discharge and performance of all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2.2</w:t>
            </w:r>
          </w:p>
        </w:tc>
        <w:tc>
          <w:tcPr>
            <w:tcW w:w="9389" w:type="dxa"/>
            <w:tcBorders/>
            <w:shd w:fill="auto" w:val="clear"/>
          </w:tcPr>
          <w:p>
            <w:pPr>
              <w:pStyle w:val="TableContents"/>
              <w:spacing w:before="0" w:after="283"/>
              <w:jc w:val="left"/>
              <w:rPr/>
            </w:pPr>
            <w:r>
              <w:rPr>
                <w:b/>
              </w:rPr>
              <w:t>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As collateral security for the due and punctual payment to the Pledgee of the Secured Liabilities and the performance and observance of and compliance with the other covenants, terms and conditions of the Security Document,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as a registered holder of the Shares, pledges to the Pledgee the Share Certificates;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mortgages (by way of equitable mortgage), charges, transfers, assigns, deposits and sets over to the Pledgee all the Shares and all Related Rights.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b/>
              </w:rPr>
            </w:pPr>
            <w:r>
              <w:rPr>
                <w:b/>
              </w:rPr>
              <w:t xml:space="preserve">REPRESENTATIONS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b/>
              </w:rPr>
              <w:t>Representations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makes the representations and warranties set out in this Clause to the Pledgee: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w:t>
            </w:r>
          </w:p>
        </w:tc>
        <w:tc>
          <w:tcPr>
            <w:tcW w:w="9389" w:type="dxa"/>
            <w:tcBorders/>
            <w:shd w:fill="auto" w:val="clear"/>
          </w:tcPr>
          <w:p>
            <w:pPr>
              <w:pStyle w:val="TableContents"/>
              <w:spacing w:before="0" w:after="283"/>
              <w:jc w:val="left"/>
              <w:rPr/>
            </w:pPr>
            <w:r>
              <w:rPr>
                <w:b/>
              </w:rPr>
              <w:t>Status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 xml:space="preserve">It is a company, duly incorporated, validly existing and in good standing under the laws of the jurisdiction of its incorporation.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It is not in liquidation and no winding-up, liquidation or similar proceedings are current, pending or threatened against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w:t>
            </w:r>
          </w:p>
        </w:tc>
        <w:tc>
          <w:tcPr>
            <w:tcW w:w="9389" w:type="dxa"/>
            <w:tcBorders/>
            <w:shd w:fill="auto" w:val="clear"/>
          </w:tcPr>
          <w:p>
            <w:pPr>
              <w:pStyle w:val="TableContents"/>
              <w:spacing w:before="0" w:after="283"/>
              <w:jc w:val="left"/>
              <w:rPr/>
            </w:pPr>
            <w:r>
              <w:rPr>
                <w:b/>
              </w:rPr>
              <w:t>Powers and authorities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It has the power to enter into and perform, and has taken all necessary actions to authorise the entry into and performance of, this Deed and the transactions contemplated by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3.4</w:t>
            </w:r>
          </w:p>
        </w:tc>
        <w:tc>
          <w:tcPr>
            <w:tcW w:w="9390" w:type="dxa"/>
            <w:tcBorders/>
            <w:shd w:fill="auto" w:val="clear"/>
          </w:tcPr>
          <w:p>
            <w:pPr>
              <w:pStyle w:val="TableContents"/>
              <w:spacing w:before="0" w:after="283"/>
              <w:jc w:val="left"/>
              <w:rPr/>
            </w:pPr>
            <w:r>
              <w:rPr>
                <w:b/>
              </w:rPr>
              <w:t>Legal validity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constitutes its legally valid, binding and enforceable obligation.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3.5</w:t>
            </w:r>
          </w:p>
        </w:tc>
        <w:tc>
          <w:tcPr>
            <w:tcW w:w="9389" w:type="dxa"/>
            <w:tcBorders/>
            <w:shd w:fill="auto" w:val="clear"/>
          </w:tcPr>
          <w:p>
            <w:pPr>
              <w:pStyle w:val="TableContents"/>
              <w:spacing w:before="0" w:after="283"/>
              <w:jc w:val="left"/>
              <w:rPr/>
            </w:pPr>
            <w:r>
              <w:rPr>
                <w:b/>
              </w:rPr>
              <w:t>Non-conflict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entry into and performance by it of, and the transactions contemplated by, this Deed, or the exercise by the Pledgee of its rights under this Deed, do not and will not conflict with: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law or regulation applicable to 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its constitutional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document which is binding upon it or any of its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3.6</w:t>
            </w:r>
          </w:p>
        </w:tc>
        <w:tc>
          <w:tcPr>
            <w:tcW w:w="9389" w:type="dxa"/>
            <w:tcBorders/>
            <w:shd w:fill="auto" w:val="clear"/>
          </w:tcPr>
          <w:p>
            <w:pPr>
              <w:pStyle w:val="TableContents"/>
              <w:spacing w:before="0" w:after="283"/>
              <w:jc w:val="left"/>
              <w:rPr/>
            </w:pPr>
            <w:r>
              <w:rPr>
                <w:b/>
              </w:rPr>
              <w:t>Authorisations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authorisations required by it in connection with the entry into, performance, validity and enforceability of, and the transactions contemplated by, this Deed have been obtained or effected (as appropriate) and are in full force and effect.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3.7</w:t>
            </w:r>
          </w:p>
        </w:tc>
        <w:tc>
          <w:tcPr>
            <w:tcW w:w="9389" w:type="dxa"/>
            <w:tcBorders/>
            <w:shd w:fill="auto" w:val="clear"/>
          </w:tcPr>
          <w:p>
            <w:pPr>
              <w:pStyle w:val="TableContents"/>
              <w:spacing w:before="0" w:after="283"/>
              <w:jc w:val="left"/>
              <w:rPr/>
            </w:pPr>
            <w:r>
              <w:rPr>
                <w:b/>
              </w:rPr>
              <w:t>Nature of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creates those Security Interests it purports to create and is not liable to be avoided or otherwise set aside on the liquidation of the Pledgor or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3.8</w:t>
            </w:r>
          </w:p>
        </w:tc>
        <w:tc>
          <w:tcPr>
            <w:tcW w:w="9390" w:type="dxa"/>
            <w:tcBorders/>
            <w:shd w:fill="auto" w:val="clear"/>
          </w:tcPr>
          <w:p>
            <w:pPr>
              <w:pStyle w:val="TableContents"/>
              <w:spacing w:before="0" w:after="283"/>
              <w:jc w:val="left"/>
              <w:rPr/>
            </w:pPr>
            <w:r>
              <w:rPr>
                <w:b/>
              </w:rPr>
              <w:t>Shares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Shares have been duly authorised, validly issued and are fully 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Shares and the Related Rights are free and clear of any Security Interests and are not subject to any charging pursuant to the Charging Order Law 1992 (Law 31(I)/92);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the Shares represent 100% of the issued share capital of the Company and there are no other equity or ownership interests in the Company, options or rights to acquire or subscribe for any such interests or securities convertible into or exchangeable or exercisable for any such interests;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5" w:type="dxa"/>
            <w:tcBorders/>
            <w:shd w:fill="auto" w:val="clear"/>
          </w:tcPr>
          <w:p>
            <w:pPr>
              <w:pStyle w:val="TableContents"/>
              <w:spacing w:before="0" w:after="283"/>
              <w:jc w:val="left"/>
              <w:rPr/>
            </w:pPr>
            <w:r>
              <w:rPr/>
              <w:t xml:space="preserve">no litigation, arbitration or administrative proceedings are current or pending or, to its knowledge, threatened, involving or affecting the Security Assets, and none of the Security Assets are subject to any order, writ, injunction, execution or attachment;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3" w:type="dxa"/>
            <w:tcBorders/>
            <w:shd w:fill="auto" w:val="clear"/>
          </w:tcPr>
          <w:p>
            <w:pPr>
              <w:pStyle w:val="TableContents"/>
              <w:spacing w:before="0" w:after="283"/>
              <w:jc w:val="left"/>
              <w:rPr/>
            </w:pPr>
            <w:r>
              <w:rPr/>
              <w:t xml:space="preserve">the Pledgor is the sole registered legal and beneficial owner of, and has the power to transfer and grant a security interest in, the Shares and the Related Rights and the lawful holder of the Share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3.9</w:t>
            </w:r>
          </w:p>
        </w:tc>
        <w:tc>
          <w:tcPr>
            <w:tcW w:w="9389" w:type="dxa"/>
            <w:tcBorders/>
            <w:shd w:fill="auto" w:val="clear"/>
          </w:tcPr>
          <w:p>
            <w:pPr>
              <w:pStyle w:val="TableContents"/>
              <w:spacing w:before="0" w:after="283"/>
              <w:jc w:val="left"/>
              <w:rPr/>
            </w:pPr>
            <w:r>
              <w:rPr>
                <w:b/>
              </w:rPr>
              <w:t>Immunity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execution by it of this Deed constitutes, and the exercise by it of its rights and performance of its obligations under this Deed will constitute, private and commercial acts performed for private and commercial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It will not be entitled to claim immunity from suit, execution, attachment or other legal process in any proceedings taken in its jurisdiction of incorporation in relation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3.10</w:t>
            </w:r>
          </w:p>
        </w:tc>
        <w:tc>
          <w:tcPr>
            <w:tcW w:w="9388" w:type="dxa"/>
            <w:tcBorders/>
            <w:shd w:fill="auto" w:val="clear"/>
          </w:tcPr>
          <w:p>
            <w:pPr>
              <w:pStyle w:val="TableContents"/>
              <w:spacing w:before="0" w:after="283"/>
              <w:jc w:val="left"/>
              <w:rPr/>
            </w:pPr>
            <w:r>
              <w:rPr>
                <w:b/>
              </w:rPr>
              <w:t>No adverse consequences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It is not necessary under the laws of the jurisdiction of incorporation of the Pledgor or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in order to enable the Pledgee to enforce its rights under this Deed;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by reason of the execution of any Security Document or the performance by it of its obligations under this Deed, that the Pledgee should be licensed, qualified or otherwise entitled to carry on business in the jurisdiction of incorporation of the Pledgor or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Pledgee is not and will not be deemed to be resident, domiciled or carrying on business in the jurisdiction of incorporation of the Pledgor or the Company by reason only of the execution, performance and/or enforcement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3.11</w:t>
            </w:r>
          </w:p>
        </w:tc>
        <w:tc>
          <w:tcPr>
            <w:tcW w:w="9389" w:type="dxa"/>
            <w:tcBorders/>
            <w:shd w:fill="auto" w:val="clear"/>
          </w:tcPr>
          <w:p>
            <w:pPr>
              <w:pStyle w:val="TableContents"/>
              <w:spacing w:before="0" w:after="283"/>
              <w:jc w:val="left"/>
              <w:rPr/>
            </w:pPr>
            <w:r>
              <w:rPr>
                <w:b/>
              </w:rPr>
              <w:t>Jurisdiction/governing law</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irrevocable submission under this Deed to the jurisdiction of the courts of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agreement that this Deed is governed by Cyprus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agreement not to claim any immunity to which it or its assets may be entitled, are legal, valid and binding under the laws of its jurisdiction of incorporation;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judgment obtained in Cyprus in connection with this Deed will be recognised and be enforceable by the courts of its jurisdiction of incorporation.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3.12</w:t>
            </w:r>
          </w:p>
        </w:tc>
        <w:tc>
          <w:tcPr>
            <w:tcW w:w="9389" w:type="dxa"/>
            <w:tcBorders/>
            <w:shd w:fill="auto" w:val="clear"/>
          </w:tcPr>
          <w:p>
            <w:pPr>
              <w:pStyle w:val="TableContents"/>
              <w:spacing w:before="0" w:after="283"/>
              <w:jc w:val="left"/>
              <w:rPr/>
            </w:pPr>
            <w:r>
              <w:rPr>
                <w:b/>
              </w:rPr>
              <w:t>Times for making 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The representations set out in this Deed (including in this Clause) are made on the date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Unless a representation is expressed to be given at a specific date, each representation under this Deed is deemed to be repeated by the Pledgor during the Security Period on the date of each drawdown, each drawdown request and the first day of each interest period as provided by the Facility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When a representation is repeated, it is applied to the circumstances existing at the time of repetition.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4.</w:t>
            </w:r>
          </w:p>
        </w:tc>
        <w:tc>
          <w:tcPr>
            <w:tcW w:w="9389" w:type="dxa"/>
            <w:tcBorders/>
            <w:shd w:fill="auto" w:val="clear"/>
          </w:tcPr>
          <w:p>
            <w:pPr>
              <w:pStyle w:val="TableContents"/>
              <w:spacing w:before="0" w:after="283"/>
              <w:jc w:val="left"/>
              <w:rPr>
                <w:b/>
              </w:rPr>
            </w:pPr>
            <w:r>
              <w:rPr>
                <w:b/>
              </w:rPr>
              <w:t xml:space="preserve">RESTRICTIONS ON DEALINGS </w:t>
            </w:r>
          </w:p>
        </w:tc>
      </w:tr>
    </w:tbl>
    <w:p>
      <w:pPr>
        <w:pStyle w:val="TextBody"/>
        <w:spacing w:before="120" w:after="0"/>
        <w:rPr>
          <w:rFonts w:ascii="Times New Roman" w:hAnsi="Times New Roman"/>
          <w:sz w:val="20"/>
        </w:rPr>
      </w:pPr>
      <w:r>
        <w:rPr>
          <w:rFonts w:ascii="Times New Roman" w:hAnsi="Times New Roman"/>
          <w:sz w:val="20"/>
        </w:rPr>
        <w:t xml:space="preserve">During the Security Period, the Pledgor must not: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create or allow to subsist any Security Interest (other than pursuant to this Deed or the Facility Agreement) on any Security Asset and must at all times warrant and defend the Pledgee’s security interest in the Security Assets against all other Security Interests and claimants;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sell, transfer, licence, lease, assign or otherwise encumber or dispose of any Security Asset;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do, or permit to be done, any act or thing which would or might depreciate, jeopardise or otherwise prejudice the Security Asset or materially diminish the value of any Security Asset or the effectiveness of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5.</w:t>
            </w:r>
          </w:p>
        </w:tc>
        <w:tc>
          <w:tcPr>
            <w:tcW w:w="9390" w:type="dxa"/>
            <w:tcBorders/>
            <w:shd w:fill="auto" w:val="clear"/>
          </w:tcPr>
          <w:p>
            <w:pPr>
              <w:pStyle w:val="TableContents"/>
              <w:spacing w:before="0" w:after="283"/>
              <w:jc w:val="left"/>
              <w:rPr>
                <w:b/>
              </w:rPr>
            </w:pPr>
            <w:r>
              <w:rPr>
                <w:b/>
              </w:rPr>
              <w:t xml:space="preserve">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5.1</w:t>
            </w:r>
          </w:p>
        </w:tc>
        <w:tc>
          <w:tcPr>
            <w:tcW w:w="9388" w:type="dxa"/>
            <w:tcBorders/>
            <w:shd w:fill="auto" w:val="clear"/>
          </w:tcPr>
          <w:p>
            <w:pPr>
              <w:pStyle w:val="TableContents"/>
              <w:spacing w:before="0" w:after="283"/>
              <w:jc w:val="left"/>
              <w:rPr/>
            </w:pPr>
            <w:r>
              <w:rPr>
                <w:b/>
              </w:rPr>
              <w:t>Deposit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as security for its obligations under this Deed has concurrently with the execution of this Deed delivered or arranged or procured to be delivered to, and deposited with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Share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i/>
              </w:rPr>
              <w:t>undated</w:t>
            </w:r>
            <w:r>
              <w:rPr/>
              <w:t xml:space="preserve"> instrument of transfer of the Shares in the form set out in Schedule 1 (</w:t>
            </w:r>
            <w:r>
              <w:rPr>
                <w:i/>
              </w:rPr>
              <w:t>Instrument of Transfer</w:t>
            </w:r>
            <w:r>
              <w:rPr/>
              <w:t xml:space="preserve">), duly executed by the Pledgor as transferor in the presence of one witness, with the details of the transferee to be left blank;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irrevocable proxy and power of attorney in the form set out in Schedule 2 (</w:t>
            </w:r>
            <w:r>
              <w:rPr>
                <w:i/>
              </w:rPr>
              <w:t>Irrevocable Proxy and Power of Attorney</w:t>
            </w:r>
            <w:r>
              <w:rPr/>
              <w:t xml:space="preserve">), duly executed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3" w:type="dxa"/>
            <w:tcBorders/>
            <w:shd w:fill="auto" w:val="clear"/>
          </w:tcPr>
          <w:p>
            <w:pPr>
              <w:pStyle w:val="TableContents"/>
              <w:spacing w:before="0" w:after="283"/>
              <w:jc w:val="left"/>
              <w:rPr/>
            </w:pPr>
            <w:r>
              <w:rPr>
                <w:i/>
              </w:rPr>
              <w:t>undated</w:t>
            </w:r>
            <w:r>
              <w:rPr/>
              <w:t xml:space="preserve"> letters of resignation, in the form set out in Schedule 3 (</w:t>
            </w:r>
            <w:r>
              <w:rPr>
                <w:i/>
              </w:rPr>
              <w:t>Letter of Resignation</w:t>
            </w:r>
            <w:r>
              <w:rPr/>
              <w:t xml:space="preserve">), duly signed by the Directors and the Secretary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5" w:type="dxa"/>
            <w:tcBorders/>
            <w:shd w:fill="auto" w:val="clear"/>
          </w:tcPr>
          <w:p>
            <w:pPr>
              <w:pStyle w:val="TableContents"/>
              <w:spacing w:before="0" w:after="283"/>
              <w:jc w:val="left"/>
              <w:rPr/>
            </w:pPr>
            <w:r>
              <w:rPr/>
              <w:t>a letter of authority and undertaking, in the form set out in Schedule 4 (</w:t>
            </w:r>
            <w:r>
              <w:rPr>
                <w:i/>
              </w:rPr>
              <w:t>Letter of Authority and Undertaking</w:t>
            </w:r>
            <w:r>
              <w:rPr/>
              <w:t xml:space="preserve">), duly signed by the Directors and the Secretary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5" w:type="dxa"/>
            <w:tcBorders/>
            <w:shd w:fill="auto" w:val="clear"/>
          </w:tcPr>
          <w:p>
            <w:pPr>
              <w:pStyle w:val="TableContents"/>
              <w:spacing w:before="0" w:after="283"/>
              <w:jc w:val="left"/>
              <w:rPr/>
            </w:pPr>
            <w:r>
              <w:rPr/>
              <w:t>a written board resolution of the Company, in the form set out in Schedule 7 (</w:t>
            </w:r>
            <w:r>
              <w:rPr>
                <w:i/>
              </w:rPr>
              <w:t>Board Resolution</w:t>
            </w:r>
            <w:r>
              <w:rPr/>
              <w:t xml:space="preserve">), duly passed by the Directors of the Company;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283"/>
              <w:jc w:val="left"/>
              <w:rPr/>
            </w:pPr>
            <w:r>
              <w:rPr/>
              <w:t xml:space="preserve">an </w:t>
            </w:r>
            <w:r>
              <w:rPr>
                <w:i/>
              </w:rPr>
              <w:t>undated</w:t>
            </w:r>
            <w:r>
              <w:rPr/>
              <w:t xml:space="preserve"> confirmation of the Secretary of the Company in the form set out in Schedule 8 (</w:t>
            </w:r>
            <w:r>
              <w:rPr>
                <w:i/>
              </w:rPr>
              <w:t>Secretary’s Confirmation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b/>
              </w:rPr>
              <w:t>Memorandum of Pledge</w:t>
            </w:r>
            <w:r>
              <w:rPr/>
              <w:t xml:space="preserve"> </w:t>
            </w:r>
          </w:p>
        </w:tc>
      </w:tr>
    </w:tbl>
    <w:p>
      <w:pPr>
        <w:pStyle w:val="TextBody"/>
        <w:spacing w:before="120" w:after="0"/>
        <w:rPr>
          <w:rFonts w:ascii="Times New Roman" w:hAnsi="Times New Roman"/>
          <w:sz w:val="20"/>
        </w:rPr>
      </w:pPr>
      <w:r>
        <w:rPr>
          <w:rFonts w:ascii="Times New Roman" w:hAnsi="Times New Roman"/>
          <w:sz w:val="20"/>
        </w:rPr>
        <w:t>The Pledgee must execute and deliver to the Company a notice of the pledge evidenced by this Deed in the form set out in Schedule 5 (</w:t>
      </w:r>
      <w:r>
        <w:rPr>
          <w:rFonts w:ascii="Times New Roman" w:hAnsi="Times New Roman"/>
          <w:i/>
          <w:sz w:val="20"/>
        </w:rPr>
        <w:t>Notice of Pledge</w:t>
      </w:r>
      <w:r>
        <w:rPr>
          <w:rFonts w:ascii="Times New Roman" w:hAnsi="Times New Roman"/>
          <w:sz w:val="20"/>
        </w:rPr>
        <w:t xml:space="preserve">), attaching a certified copy of this Deed and the Pledgor must procure: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that a memorandum of pledge is made in the Register of Members of the Company against the Shares;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that the Secretary of the Company delivers to the Pledgee a certificate in the form set out in Schedule 6 (</w:t>
            </w:r>
            <w:r>
              <w:rPr>
                <w:i/>
              </w:rPr>
              <w:t>Secretary’s Certificate</w:t>
            </w:r>
            <w:r>
              <w:rPr/>
              <w:t xml:space="preserve">) together with an updated copy of the Register of Members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5.3</w:t>
            </w:r>
          </w:p>
        </w:tc>
        <w:tc>
          <w:tcPr>
            <w:tcW w:w="9390" w:type="dxa"/>
            <w:tcBorders/>
            <w:shd w:fill="auto" w:val="clear"/>
          </w:tcPr>
          <w:p>
            <w:pPr>
              <w:pStyle w:val="TableContents"/>
              <w:spacing w:before="0" w:after="283"/>
              <w:jc w:val="left"/>
              <w:rPr/>
            </w:pPr>
            <w:r>
              <w:rPr>
                <w:b/>
              </w:rPr>
              <w:t>Changes to rights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During the Security Period, the Pledgor must not take or allow the taking of any action on its behalf (except as permitted under the Facility Agreement) which may result: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in the name of the Company being changed;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in the rights attaching to any Security Asset being altered;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further shares in the Company being issued, without the prior written consent of the Pledgee. In the event that such consent is given, the Pledgor must: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w:t>
            </w:r>
          </w:p>
        </w:tc>
        <w:tc>
          <w:tcPr>
            <w:tcW w:w="8062" w:type="dxa"/>
            <w:tcBorders/>
            <w:shd w:fill="auto" w:val="clear"/>
          </w:tcPr>
          <w:p>
            <w:pPr>
              <w:pStyle w:val="TableContents"/>
              <w:spacing w:before="0" w:after="283"/>
              <w:jc w:val="left"/>
              <w:rPr/>
            </w:pPr>
            <w:r>
              <w:rPr/>
              <w:t xml:space="preserve">execute and deliver to the Pledgee such further or additional security documents in relation to such further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w:t>
            </w:r>
          </w:p>
        </w:tc>
        <w:tc>
          <w:tcPr>
            <w:tcW w:w="8064" w:type="dxa"/>
            <w:tcBorders/>
            <w:shd w:fill="auto" w:val="clear"/>
          </w:tcPr>
          <w:p>
            <w:pPr>
              <w:pStyle w:val="TableContents"/>
              <w:spacing w:before="0" w:after="283"/>
              <w:jc w:val="left"/>
              <w:rPr/>
            </w:pPr>
            <w:r>
              <w:rPr/>
              <w:t xml:space="preserve">deliver or procure the delivery to the Pledgee of such other documents (including, those documents referred to in Subclauses 5.1 and 5.2) in relation to those further shares, </w:t>
            </w:r>
          </w:p>
        </w:tc>
      </w:tr>
    </w:tbl>
    <w:p>
      <w:pPr>
        <w:pStyle w:val="TextBody"/>
        <w:spacing w:before="120" w:after="0"/>
        <w:rPr>
          <w:rFonts w:ascii="Times New Roman" w:hAnsi="Times New Roman"/>
          <w:sz w:val="20"/>
        </w:rPr>
      </w:pPr>
      <w:r>
        <w:rPr>
          <w:rFonts w:ascii="Times New Roman" w:hAnsi="Times New Roman"/>
          <w:sz w:val="20"/>
        </w:rPr>
        <w:t xml:space="preserve">in each case, as the Pledgee may reasonably require and in form and substance satisfactory to it; and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in new Directors, Secretary or other officers of the Company being appointed, without the prior written consent of the Pledgee. In the event that such consent is given, the Pledgor must promptly upon any new Director, Secretary or other officer of the Company being appointed deliver or procure the delivery to the Pledgee of the documents referred to under Subclauses 5.1(d) and (e) for each new Director, Secretary or other officer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5.4</w:t>
            </w:r>
          </w:p>
        </w:tc>
        <w:tc>
          <w:tcPr>
            <w:tcW w:w="9390" w:type="dxa"/>
            <w:tcBorders/>
            <w:shd w:fill="auto" w:val="clear"/>
          </w:tcPr>
          <w:p>
            <w:pPr>
              <w:pStyle w:val="TableContents"/>
              <w:spacing w:before="0" w:after="283"/>
              <w:jc w:val="left"/>
              <w:rPr/>
            </w:pPr>
            <w:r>
              <w:rPr>
                <w:b/>
              </w:rPr>
              <w:t>Calls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Pledgor must pay when due all calls, taxes, charges or other payments due and payable in respect of any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If the Pledgor fails to do so, the Pledgee may pay the calls, taxes, charges or other payments on behalf of the Pledgor. The Pledgor must promptly on request reimburse the Pledgee for any payment made by the Pledgee under this Subclause.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5.5</w:t>
            </w:r>
          </w:p>
        </w:tc>
        <w:tc>
          <w:tcPr>
            <w:tcW w:w="9389" w:type="dxa"/>
            <w:tcBorders/>
            <w:shd w:fill="auto" w:val="clear"/>
          </w:tcPr>
          <w:p>
            <w:pPr>
              <w:pStyle w:val="TableContents"/>
              <w:spacing w:before="0" w:after="283"/>
              <w:jc w:val="left"/>
              <w:rPr/>
            </w:pPr>
            <w:r>
              <w:rPr>
                <w:b/>
              </w:rPr>
              <w:t>Other obligations in respect of Security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 The Pledgor must comply with all requests for information relating to any Security Asset which is within its knowledge and which it is required to comply with by any law or its constitutional documents. If the Pledgor fails to do so, the Pledgee may elect to provide any information which it may have on behalf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8"/>
        <w:gridCol w:w="8065"/>
      </w:tblGrid>
      <w:tr>
        <w:trPr/>
        <w:tc>
          <w:tcPr>
            <w:tcW w:w="1631"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8065" w:type="dxa"/>
            <w:tcBorders/>
            <w:shd w:fill="auto" w:val="clear"/>
          </w:tcPr>
          <w:p>
            <w:pPr>
              <w:pStyle w:val="TableContents"/>
              <w:spacing w:before="0" w:after="283"/>
              <w:jc w:val="left"/>
              <w:rPr/>
            </w:pPr>
            <w:r>
              <w:rPr/>
              <w:t xml:space="preserve">The Pledgor must promptly supply a copy to the Pledgee of any information referred to in sub-paragraph (i)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The Pledgor must comply with all other conditions and obligations assumed by it in respect of any Security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The Pledgee is not obliged to: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630"/>
        <w:gridCol w:w="509"/>
        <w:gridCol w:w="8065"/>
      </w:tblGrid>
      <w:tr>
        <w:trPr/>
        <w:tc>
          <w:tcPr>
            <w:tcW w:w="1630"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w:t>
            </w:r>
          </w:p>
        </w:tc>
        <w:tc>
          <w:tcPr>
            <w:tcW w:w="8065" w:type="dxa"/>
            <w:tcBorders/>
            <w:shd w:fill="auto" w:val="clear"/>
          </w:tcPr>
          <w:p>
            <w:pPr>
              <w:pStyle w:val="TableContents"/>
              <w:spacing w:before="0" w:after="283"/>
              <w:jc w:val="left"/>
              <w:rPr/>
            </w:pPr>
            <w:r>
              <w:rPr/>
              <w:t xml:space="preserve">perform any obligation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8"/>
        <w:gridCol w:w="8064"/>
      </w:tblGrid>
      <w:tr>
        <w:trPr/>
        <w:tc>
          <w:tcPr>
            <w:tcW w:w="1632"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8064" w:type="dxa"/>
            <w:tcBorders/>
            <w:shd w:fill="auto" w:val="clear"/>
          </w:tcPr>
          <w:p>
            <w:pPr>
              <w:pStyle w:val="TableContents"/>
              <w:spacing w:before="0" w:after="283"/>
              <w:jc w:val="left"/>
              <w:rPr/>
            </w:pPr>
            <w:r>
              <w:rPr/>
              <w:t xml:space="preserve">make any payment;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(iii)</w:t>
            </w:r>
          </w:p>
        </w:tc>
        <w:tc>
          <w:tcPr>
            <w:tcW w:w="8064" w:type="dxa"/>
            <w:tcBorders/>
            <w:shd w:fill="auto" w:val="clear"/>
          </w:tcPr>
          <w:p>
            <w:pPr>
              <w:pStyle w:val="TableContents"/>
              <w:spacing w:before="0" w:after="283"/>
              <w:jc w:val="left"/>
              <w:rPr/>
            </w:pPr>
            <w:r>
              <w:rPr/>
              <w:t xml:space="preserve">make any enquiry as to the nature or sufficiency of any payment received by it or the Pledgor;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(iv)</w:t>
            </w:r>
          </w:p>
        </w:tc>
        <w:tc>
          <w:tcPr>
            <w:tcW w:w="8064" w:type="dxa"/>
            <w:tcBorders/>
            <w:shd w:fill="auto" w:val="clear"/>
          </w:tcPr>
          <w:p>
            <w:pPr>
              <w:pStyle w:val="TableContents"/>
              <w:spacing w:before="0" w:after="283"/>
              <w:jc w:val="left"/>
              <w:rPr/>
            </w:pPr>
            <w:r>
              <w:rPr/>
              <w:t xml:space="preserve">present or file any claim or take any other action to collect or enforce the payment of any amount to which it may be entitled under this Deed, </w:t>
            </w:r>
          </w:p>
        </w:tc>
      </w:tr>
    </w:tbl>
    <w:p>
      <w:pPr>
        <w:pStyle w:val="TextBody"/>
        <w:spacing w:before="120" w:after="0"/>
        <w:rPr>
          <w:rFonts w:ascii="Times New Roman" w:hAnsi="Times New Roman"/>
          <w:sz w:val="20"/>
        </w:rPr>
      </w:pPr>
      <w:r>
        <w:rPr>
          <w:rFonts w:ascii="Times New Roman" w:hAnsi="Times New Roman"/>
          <w:sz w:val="20"/>
        </w:rPr>
        <w:t xml:space="preserve">in respect of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w:t>
            </w:r>
          </w:p>
        </w:tc>
        <w:tc>
          <w:tcPr>
            <w:tcW w:w="9389" w:type="dxa"/>
            <w:tcBorders/>
            <w:shd w:fill="auto" w:val="clear"/>
          </w:tcPr>
          <w:p>
            <w:pPr>
              <w:pStyle w:val="TableContents"/>
              <w:spacing w:before="0" w:after="283"/>
              <w:jc w:val="left"/>
              <w:rPr/>
            </w:pPr>
            <w:r>
              <w:rPr>
                <w:b/>
              </w:rPr>
              <w:t>Voting rights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Before this Security becomes enforceable, the Pledgor may continue to exercise and benefit from the voting rights, right to receive dividends and any other distributions in respect of the Security Assets in accordance with the terms provided by the Facility Agreement, powers and other rights in respect of and attaching to the Security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After this Security has become enforceable: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w:t>
            </w:r>
          </w:p>
        </w:tc>
        <w:tc>
          <w:tcPr>
            <w:tcW w:w="8064" w:type="dxa"/>
            <w:tcBorders/>
            <w:shd w:fill="auto" w:val="clear"/>
          </w:tcPr>
          <w:p>
            <w:pPr>
              <w:pStyle w:val="TableContents"/>
              <w:spacing w:before="0" w:after="283"/>
              <w:jc w:val="left"/>
              <w:rPr/>
            </w:pPr>
            <w:r>
              <w:rPr/>
              <w:t xml:space="preserve">all rights of the Pledgor to exercise voting and other consensual rights with respect to the Security Assets and to receive dividends and other payments in respect of the Security Assets will cease, and all these rights will immediately become vested solely in the Pledgee or its nominees, and the Pledgor grants the Pledgee or its nominees the Pledgor’s irrevocable and unconditional proxy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3"/>
        <w:gridCol w:w="508"/>
        <w:gridCol w:w="8063"/>
      </w:tblGrid>
      <w:tr>
        <w:trPr/>
        <w:tc>
          <w:tcPr>
            <w:tcW w:w="1633"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(ii)</w:t>
            </w:r>
          </w:p>
        </w:tc>
        <w:tc>
          <w:tcPr>
            <w:tcW w:w="8063" w:type="dxa"/>
            <w:tcBorders/>
            <w:shd w:fill="auto" w:val="clear"/>
          </w:tcPr>
          <w:p>
            <w:pPr>
              <w:pStyle w:val="TableContents"/>
              <w:spacing w:before="0" w:after="283"/>
              <w:jc w:val="left"/>
              <w:rPr/>
            </w:pPr>
            <w:r>
              <w:rPr/>
              <w:t xml:space="preserve">any dividends and other payments in respect of the Security Assets received by the Pledgor will be held in trust for the Pledgee, and the Pledgor will keep all such amounts separate and apart from all other funds and property so as to be capable of identification as the property of the Pledgee and will deliver these amounts at such time as the Pledgee may request to the Pledgee in the identical form received;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3"/>
        <w:gridCol w:w="509"/>
        <w:gridCol w:w="8062"/>
      </w:tblGrid>
      <w:tr>
        <w:trPr/>
        <w:tc>
          <w:tcPr>
            <w:tcW w:w="1633"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(iii)</w:t>
            </w:r>
          </w:p>
        </w:tc>
        <w:tc>
          <w:tcPr>
            <w:tcW w:w="8062" w:type="dxa"/>
            <w:tcBorders/>
            <w:shd w:fill="auto" w:val="clear"/>
          </w:tcPr>
          <w:p>
            <w:pPr>
              <w:pStyle w:val="TableContents"/>
              <w:spacing w:before="0" w:after="283"/>
              <w:jc w:val="left"/>
              <w:rPr/>
            </w:pPr>
            <w:r>
              <w:rPr/>
              <w:t xml:space="preserve">the Pledgee may exercise (in the name of the Pledgor and without any further consent or authority on the part of the Pledgor) any voting rights and any powers or rights which may be exercised by the legal or beneficial owner of the Shares, any person who is the holder of any Shares or otherwise;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(iv)</w:t>
            </w:r>
          </w:p>
        </w:tc>
        <w:tc>
          <w:tcPr>
            <w:tcW w:w="8064" w:type="dxa"/>
            <w:tcBorders/>
            <w:shd w:fill="auto" w:val="clear"/>
          </w:tcPr>
          <w:p>
            <w:pPr>
              <w:pStyle w:val="TableContents"/>
              <w:spacing w:before="0" w:after="283"/>
              <w:jc w:val="left"/>
              <w:rPr/>
            </w:pPr>
            <w:r>
              <w:rPr/>
              <w:t xml:space="preserve">the Pledgee may receive, collect, recover, sue for and if necessary use the name of the Pledgor for the recovery of all dividends or other distributions on all or any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b/>
              </w:rPr>
            </w:pPr>
            <w:r>
              <w:rPr>
                <w:b/>
              </w:rPr>
              <w:t>6.</w:t>
            </w:r>
          </w:p>
        </w:tc>
        <w:tc>
          <w:tcPr>
            <w:tcW w:w="9393" w:type="dxa"/>
            <w:tcBorders/>
            <w:shd w:fill="auto" w:val="clear"/>
          </w:tcPr>
          <w:p>
            <w:pPr>
              <w:pStyle w:val="TableContents"/>
              <w:spacing w:before="0" w:after="283"/>
              <w:jc w:val="left"/>
              <w:rPr>
                <w:b/>
              </w:rPr>
            </w:pPr>
            <w:r>
              <w:rPr>
                <w:b/>
              </w:rPr>
              <w:t xml:space="preserve">PRESERVATION OF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w:t>
            </w:r>
          </w:p>
        </w:tc>
        <w:tc>
          <w:tcPr>
            <w:tcW w:w="9389" w:type="dxa"/>
            <w:tcBorders/>
            <w:shd w:fill="auto" w:val="clear"/>
          </w:tcPr>
          <w:p>
            <w:pPr>
              <w:pStyle w:val="TableContents"/>
              <w:spacing w:before="0" w:after="283"/>
              <w:jc w:val="left"/>
              <w:rPr/>
            </w:pPr>
            <w:r>
              <w:rPr>
                <w:b/>
              </w:rPr>
              <w:t>Continuing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Security is a continuing security and will extend to the ultimate balance of the Secured Liabilities, regardless of any intermediate payment or discharge in whole or in part.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b/>
              </w:rPr>
              <w:t>Reinstatement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discharge (whether in respect of the obligations of the Pledgor or any security for those obligations or otherwise) or arrangement is made in whole or in part on the faith of any payment, security or other disposition which is avoided or must be restored on insolvency, winding-up, liquidation, administration or otherwise without limitation, the liability of the Pledgor under this Deed will continue or be reinstated as if the discharge or arrangement had not occurred.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Pledgee may concede or compromise any claim that any payment, security or other disposition is liable to avoidance or restoration.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b/>
              </w:rPr>
              <w:t>Waiver of defences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Pledgor under this Deed will not be affected by, and the Pledgor irrevocably waives any defence it might have by virtue of, any act, omission or event which, but for this provision, would reduce, release or prejudice any of its obligations under this Deed (whether or not known to it or to the Pledgee). This includes: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time, forbearance, extension or waiver granted to, or composition or compromise with,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release of any person under the terms of any composition or arrangement;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9"/>
        <w:gridCol w:w="8471"/>
      </w:tblGrid>
      <w:tr>
        <w:trPr/>
        <w:tc>
          <w:tcPr>
            <w:tcW w:w="81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1" w:type="dxa"/>
            <w:tcBorders/>
            <w:shd w:fill="auto" w:val="clear"/>
          </w:tcPr>
          <w:p>
            <w:pPr>
              <w:pStyle w:val="TableContents"/>
              <w:spacing w:before="0" w:after="283"/>
              <w:jc w:val="left"/>
              <w:rPr/>
            </w:pPr>
            <w:r>
              <w:rPr/>
              <w:t xml:space="preserve">the taking, variation, compromise, exchange, renewal or release of, or refusal or neglect to perfect, take up or enforce, any rights against, or security over assets of,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any non-presentation or non-observance of any formality or other requirement in respect of any instrument or any failure to realise the full value of any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any incapacity or lack of power, authority or legal personality of or dissolution or change in the members or status of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(f)</w:t>
            </w:r>
          </w:p>
        </w:tc>
        <w:tc>
          <w:tcPr>
            <w:tcW w:w="8472" w:type="dxa"/>
            <w:tcBorders/>
            <w:shd w:fill="auto" w:val="clear"/>
          </w:tcPr>
          <w:p>
            <w:pPr>
              <w:pStyle w:val="TableContents"/>
              <w:spacing w:before="0" w:after="283"/>
              <w:jc w:val="left"/>
              <w:rPr/>
            </w:pPr>
            <w:r>
              <w:rPr/>
              <w:t xml:space="preserve">any amendment (however fundamental), restatement or novation of a Security Document or any other document, guarantee or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5" w:type="dxa"/>
            <w:tcBorders/>
            <w:shd w:fill="auto" w:val="clear"/>
          </w:tcPr>
          <w:p>
            <w:pPr>
              <w:pStyle w:val="TableContents"/>
              <w:spacing w:before="0" w:after="283"/>
              <w:jc w:val="left"/>
              <w:rPr/>
            </w:pPr>
            <w:r>
              <w:rPr/>
              <w:t xml:space="preserve">any unenforceability, illegality, invalidity or non-provability of any obligation of any person under any Security Document or any other document, guarantee or security or the failure by any member of the Group to enter into or be bound by any Security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(h)</w:t>
            </w:r>
          </w:p>
        </w:tc>
        <w:tc>
          <w:tcPr>
            <w:tcW w:w="8474" w:type="dxa"/>
            <w:tcBorders/>
            <w:shd w:fill="auto" w:val="clear"/>
          </w:tcPr>
          <w:p>
            <w:pPr>
              <w:pStyle w:val="TableContents"/>
              <w:spacing w:before="0" w:after="283"/>
              <w:jc w:val="left"/>
              <w:rPr/>
            </w:pPr>
            <w:r>
              <w:rPr/>
              <w:t xml:space="preserve">the acceptance or taking of other guaranties or security for the Secured Liabilities, or the settlement, release or substitution of any guaranty or security or of any endorser or guarantor in respect of the Secured Liabilities;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7"/>
        <w:gridCol w:w="915"/>
        <w:gridCol w:w="8472"/>
      </w:tblGrid>
      <w:tr>
        <w:trPr/>
        <w:tc>
          <w:tcPr>
            <w:tcW w:w="817"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8472" w:type="dxa"/>
            <w:tcBorders/>
            <w:shd w:fill="auto" w:val="clear"/>
          </w:tcPr>
          <w:p>
            <w:pPr>
              <w:pStyle w:val="TableContents"/>
              <w:spacing w:before="0" w:after="283"/>
              <w:jc w:val="left"/>
              <w:rPr/>
            </w:pPr>
            <w:r>
              <w:rPr/>
              <w:t xml:space="preserve">any insolvency or similar proceedings.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6.4</w:t>
            </w:r>
          </w:p>
        </w:tc>
        <w:tc>
          <w:tcPr>
            <w:tcW w:w="9389" w:type="dxa"/>
            <w:tcBorders/>
            <w:shd w:fill="auto" w:val="clear"/>
          </w:tcPr>
          <w:p>
            <w:pPr>
              <w:pStyle w:val="TableContents"/>
              <w:spacing w:before="0" w:after="283"/>
              <w:jc w:val="left"/>
              <w:rPr/>
            </w:pPr>
            <w:r>
              <w:rPr>
                <w:b/>
              </w:rPr>
              <w:t>Immediate recourse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Pledgor waives any right it may have of first requiring the Pledgee (or any trustee or agent on its behalf) to proceed against or enforce any other right or security or claim payment from any person or file any proof or claim in any insolvency, administration, winding-up or liquidation proceedings relative to any Obligor or any other person before claiming from the Pledgor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This waiver applies irrespective of any law or any provision of a Security Document to the contrary.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6.5</w:t>
            </w:r>
          </w:p>
        </w:tc>
        <w:tc>
          <w:tcPr>
            <w:tcW w:w="9390" w:type="dxa"/>
            <w:tcBorders/>
            <w:shd w:fill="auto" w:val="clear"/>
          </w:tcPr>
          <w:p>
            <w:pPr>
              <w:pStyle w:val="TableContents"/>
              <w:spacing w:before="0" w:after="283"/>
              <w:jc w:val="left"/>
              <w:rPr/>
            </w:pPr>
            <w:r>
              <w:rPr>
                <w:b/>
              </w:rPr>
              <w:t>Appropriations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At any time during the Security Period, the Pledgee (or any trustee or agent on its behalf) may without affecting the liability of the Pledgor under this Deed: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 refrain from applying or enforcing any other moneys, security, guarantees or rights held or received by the Pledgee (or any trustee or agent on its behalf) against those amounts;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w:t>
            </w:r>
          </w:p>
        </w:tc>
        <w:tc>
          <w:tcPr>
            <w:tcW w:w="8062" w:type="dxa"/>
            <w:tcBorders/>
            <w:shd w:fill="auto" w:val="clear"/>
          </w:tcPr>
          <w:p>
            <w:pPr>
              <w:pStyle w:val="TableContents"/>
              <w:spacing w:before="0" w:after="283"/>
              <w:jc w:val="left"/>
              <w:rPr/>
            </w:pPr>
            <w:r>
              <w:rPr/>
              <w:t xml:space="preserve">apply and enforce them in such manner and order as it sees fit (whether against those amounts or otherwise);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hold in an interest-bearing suspense account any moneys received from the Pledgor or on account of the Pledgor’s liability under this Deed or any other Security Document, without liability to pay interest on those monies.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6.6</w:t>
            </w:r>
          </w:p>
        </w:tc>
        <w:tc>
          <w:tcPr>
            <w:tcW w:w="9390" w:type="dxa"/>
            <w:tcBorders/>
            <w:shd w:fill="auto" w:val="clear"/>
          </w:tcPr>
          <w:p>
            <w:pPr>
              <w:pStyle w:val="TableContents"/>
              <w:spacing w:before="0" w:after="283"/>
              <w:jc w:val="left"/>
              <w:rPr/>
            </w:pPr>
            <w:r>
              <w:rPr>
                <w:b/>
              </w:rPr>
              <w:t>Non-competition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9"/>
        <w:gridCol w:w="8471"/>
      </w:tblGrid>
      <w:tr>
        <w:trPr/>
        <w:tc>
          <w:tcPr>
            <w:tcW w:w="81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Security Period has expired;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Pledgee otherwise directs, </w:t>
            </w:r>
          </w:p>
        </w:tc>
      </w:tr>
    </w:tbl>
    <w:p>
      <w:pPr>
        <w:pStyle w:val="TextBody"/>
        <w:spacing w:before="120" w:after="0"/>
        <w:rPr>
          <w:rFonts w:ascii="Times New Roman" w:hAnsi="Times New Roman"/>
          <w:sz w:val="20"/>
        </w:rPr>
      </w:pPr>
      <w:r>
        <w:rPr>
          <w:rFonts w:ascii="Times New Roman" w:hAnsi="Times New Roman"/>
          <w:sz w:val="20"/>
        </w:rPr>
        <w:t xml:space="preserve">the Pledgor will not, after a claim has been made or by virtue of any payment or performance by it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0"/>
        <w:gridCol w:w="509"/>
        <w:gridCol w:w="8065"/>
      </w:tblGrid>
      <w:tr>
        <w:trPr/>
        <w:tc>
          <w:tcPr>
            <w:tcW w:w="1630"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w:t>
            </w:r>
          </w:p>
        </w:tc>
        <w:tc>
          <w:tcPr>
            <w:tcW w:w="8065" w:type="dxa"/>
            <w:tcBorders/>
            <w:shd w:fill="auto" w:val="clear"/>
          </w:tcPr>
          <w:p>
            <w:pPr>
              <w:pStyle w:val="TableContents"/>
              <w:spacing w:before="0" w:after="283"/>
              <w:jc w:val="left"/>
              <w:rPr/>
            </w:pPr>
            <w:r>
              <w:rPr/>
              <w:t xml:space="preserve">be subrogated to any rights, security or moneys held, received or receivable by the Pledgee (or any trustee or agent on its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(ii)</w:t>
            </w:r>
          </w:p>
        </w:tc>
        <w:tc>
          <w:tcPr>
            <w:tcW w:w="8062" w:type="dxa"/>
            <w:tcBorders/>
            <w:shd w:fill="auto" w:val="clear"/>
          </w:tcPr>
          <w:p>
            <w:pPr>
              <w:pStyle w:val="TableContents"/>
              <w:spacing w:before="0" w:after="283"/>
              <w:jc w:val="left"/>
              <w:rPr/>
            </w:pPr>
            <w:r>
              <w:rPr/>
              <w:t xml:space="preserve">be entitled to any right of contribution or indemnity in respect of any payment made or moneys received on account of the Pledgor’s liability under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09"/>
        <w:gridCol w:w="8063"/>
      </w:tblGrid>
      <w:tr>
        <w:trPr/>
        <w:tc>
          <w:tcPr>
            <w:tcW w:w="1632"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(iii)</w:t>
            </w:r>
          </w:p>
        </w:tc>
        <w:tc>
          <w:tcPr>
            <w:tcW w:w="8063" w:type="dxa"/>
            <w:tcBorders/>
            <w:shd w:fill="auto" w:val="clear"/>
          </w:tcPr>
          <w:p>
            <w:pPr>
              <w:pStyle w:val="TableContents"/>
              <w:spacing w:before="0" w:after="283"/>
              <w:jc w:val="left"/>
              <w:rPr/>
            </w:pPr>
            <w:r>
              <w:rPr/>
              <w:t xml:space="preserve">claim, rank, prove or vote as a creditor of any Obligor or its estate in competition with the Pledgee (or any trustee or agent on its behalf);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(iv)</w:t>
            </w:r>
          </w:p>
        </w:tc>
        <w:tc>
          <w:tcPr>
            <w:tcW w:w="8062" w:type="dxa"/>
            <w:tcBorders/>
            <w:shd w:fill="auto" w:val="clear"/>
          </w:tcPr>
          <w:p>
            <w:pPr>
              <w:pStyle w:val="TableContents"/>
              <w:spacing w:before="0" w:after="283"/>
              <w:jc w:val="left"/>
              <w:rPr/>
            </w:pPr>
            <w:r>
              <w:rPr/>
              <w:t xml:space="preserve">receive, claim or have the benefit of any payment, distribution or security from or on account of any Obligor, or exercise any right of set-off as against any Obligor. </w:t>
            </w:r>
          </w:p>
        </w:tc>
      </w:tr>
    </w:tbl>
    <w:p>
      <w:pPr>
        <w:pStyle w:val="TextBody"/>
        <w:spacing w:before="120" w:after="0"/>
        <w:rPr>
          <w:rFonts w:ascii="Times New Roman" w:hAnsi="Times New Roman"/>
          <w:sz w:val="20"/>
        </w:rPr>
      </w:pPr>
      <w:r>
        <w:rPr>
          <w:rFonts w:ascii="Times New Roman" w:hAnsi="Times New Roman"/>
          <w:sz w:val="20"/>
        </w:rPr>
        <w:t xml:space="preserve">The Pledgor must hold in trust for and must promptly pay or transfer to the Pledgee (or as directed by the Pledgee) any payment or distribution or benefit of security received by it contrary to this Clause or in accordance with any directions given by the Pledgee under this Deed or any other Security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6.7</w:t>
            </w:r>
          </w:p>
        </w:tc>
        <w:tc>
          <w:tcPr>
            <w:tcW w:w="9388" w:type="dxa"/>
            <w:tcBorders/>
            <w:shd w:fill="auto" w:val="clear"/>
          </w:tcPr>
          <w:p>
            <w:pPr>
              <w:pStyle w:val="TableContents"/>
              <w:spacing w:before="0" w:after="283"/>
              <w:jc w:val="left"/>
              <w:rPr/>
            </w:pPr>
            <w:r>
              <w:rPr>
                <w:b/>
              </w:rPr>
              <w:t>Additional security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This Deed is in addition to and is not in any way prejudiced by any other security now or subsequently held by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No prior security held by the Pledgee over any Security Asset will merge into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6.8</w:t>
            </w:r>
          </w:p>
        </w:tc>
        <w:tc>
          <w:tcPr>
            <w:tcW w:w="9389" w:type="dxa"/>
            <w:tcBorders/>
            <w:shd w:fill="auto" w:val="clear"/>
          </w:tcPr>
          <w:p>
            <w:pPr>
              <w:pStyle w:val="TableContents"/>
              <w:spacing w:before="0" w:after="283"/>
              <w:jc w:val="left"/>
              <w:rPr/>
            </w:pPr>
            <w:r>
              <w:rPr>
                <w:b/>
              </w:rPr>
              <w:t>Security held by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may not, without the prior consent of the Pledgee, hold any security from any other Obligor in respect of the Pledgor’s liability under this Deed. The Pledgor will hold any security held by it in breach of this provision on trust for the Pledgee.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b/>
              </w:rPr>
            </w:pPr>
            <w:r>
              <w:rPr>
                <w:b/>
              </w:rPr>
              <w:t>7.</w:t>
            </w:r>
          </w:p>
        </w:tc>
        <w:tc>
          <w:tcPr>
            <w:tcW w:w="9393" w:type="dxa"/>
            <w:tcBorders/>
            <w:shd w:fill="auto" w:val="clear"/>
          </w:tcPr>
          <w:p>
            <w:pPr>
              <w:pStyle w:val="TableContents"/>
              <w:spacing w:before="0" w:after="283"/>
              <w:jc w:val="left"/>
              <w:rPr>
                <w:b/>
              </w:rPr>
            </w:pPr>
            <w:r>
              <w:rPr>
                <w:b/>
              </w:rPr>
              <w:t xml:space="preserve">WHEN SECURITY BECOMES ENFORCEABLE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7.1</w:t>
            </w:r>
          </w:p>
        </w:tc>
        <w:tc>
          <w:tcPr>
            <w:tcW w:w="9390" w:type="dxa"/>
            <w:tcBorders/>
            <w:shd w:fill="auto" w:val="clear"/>
          </w:tcPr>
          <w:p>
            <w:pPr>
              <w:pStyle w:val="TableContents"/>
              <w:spacing w:before="0" w:after="283"/>
              <w:jc w:val="left"/>
              <w:rPr/>
            </w:pPr>
            <w:r>
              <w:rPr>
                <w:b/>
              </w:rPr>
              <w:t>Event of Default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Security will become immediately enforceable if an Event of Default occurs.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7.2</w:t>
            </w:r>
          </w:p>
        </w:tc>
        <w:tc>
          <w:tcPr>
            <w:tcW w:w="9388" w:type="dxa"/>
            <w:tcBorders/>
            <w:shd w:fill="auto" w:val="clear"/>
          </w:tcPr>
          <w:p>
            <w:pPr>
              <w:pStyle w:val="TableContents"/>
              <w:spacing w:before="0" w:after="283"/>
              <w:jc w:val="left"/>
              <w:rPr>
                <w:b/>
              </w:rPr>
            </w:pPr>
            <w:r>
              <w:rPr>
                <w:b/>
              </w:rPr>
              <w:t xml:space="preserve">Enforcement </w:t>
            </w:r>
          </w:p>
        </w:tc>
      </w:tr>
    </w:tbl>
    <w:p>
      <w:pPr>
        <w:pStyle w:val="TextBody"/>
        <w:spacing w:before="120" w:after="0"/>
        <w:rPr>
          <w:rFonts w:ascii="Times New Roman" w:hAnsi="Times New Roman"/>
          <w:sz w:val="20"/>
        </w:rPr>
      </w:pPr>
      <w:r>
        <w:rPr>
          <w:rFonts w:ascii="Times New Roman" w:hAnsi="Times New Roman"/>
          <w:sz w:val="20"/>
        </w:rPr>
        <w:t xml:space="preserve">After this Security has become enforceable, the Pledgee may in its absolute discretion enforce all or any part of this Security at the times, in the manner and on the terms it sees fit, and take possession of and hold or dispose of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8.</w:t>
            </w:r>
          </w:p>
        </w:tc>
        <w:tc>
          <w:tcPr>
            <w:tcW w:w="9392" w:type="dxa"/>
            <w:tcBorders/>
            <w:shd w:fill="auto" w:val="clear"/>
          </w:tcPr>
          <w:p>
            <w:pPr>
              <w:pStyle w:val="TableContents"/>
              <w:spacing w:before="0" w:after="283"/>
              <w:jc w:val="left"/>
              <w:rPr>
                <w:b/>
              </w:rPr>
            </w:pPr>
            <w:r>
              <w:rPr>
                <w:b/>
              </w:rPr>
              <w:t xml:space="preserve">ENFORCEMENT OF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The power of sale and any other power conferred by law will be immediately exercisable at any time after this Security has become enforceable and the Pledgee has given prior written notice to the Pledgor of its intention to exercise its power of sale or any other power conferred by law (the “</w:t>
            </w:r>
            <w:r>
              <w:rPr>
                <w:b/>
              </w:rPr>
              <w:t>Enforcement Notice</w:t>
            </w:r>
            <w:r>
              <w:rPr/>
              <w:t xml:space="preserve">”). The Pledgee may start enforcement not earlier than following eight Business Days upon receipt of the Enforcement Notice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Pledgee may sell all or any part of the Shares (whether by public offer or private contract) to any person, including (but not limited to) to itself or any person affiliated, associated or otherwise connected to the Pledgee, subject to Clauses 8.1(i)—(k) below (whether comprising cash, debentures or other obligations, shares or other valuable consideration of any kind and whether payable or deliverable in a lump sum or by instalments) as the Pledgee may in its sole and absolute discretion determine.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If any of the Shares are sold by the Pledgee upon credit, for future delivery or for deferred consideration, the Pledgee may retain such Shares until the selling price is paid in full by the purchaser. The Pledgee shall not be liable for any failure by the purchaser to pay for any Shares and, in the event of such failure, the Pledgee may resell such Shares to another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Nothing in this Deed shall restrict the Pledgee from proceeding by suit at law or in equity to foreclose this Deed and sell all or any part of the Shares under a judgment or decree of a court of competent jurisdiction, provided the Pledgor has been given due notice of any such action.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Upon the Pledgee exercising all or any of its rights and powers under this Deed, the Pledgor must promptly procure that the Company registers as owners of the Shares the Pledgee and/or any nominees of the Pledgee or the purchasers of the Shares or otherwise any and all persons entitled to own the Shares as owners of the Shares pursuant to the exercise by the Pledgee of its said rights and powers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 xml:space="preserve">Without limitation to the foregoing provisions of this Clause, the Pledgee shall be entitled but not obliged, in its sole discretion, to use and put into effect all or any of the documents deposited with the Pledgee under Clauses 5.1 and 5.3(c) and (d) in the exercise of any of its rights and powers under this Clause and to register as owners of the Shares the Pledgee and/or any nominees of the Pledgee or the purchasers of the Shares or otherwise any and all persons entitled to own the Shares as owners of the Shares pursuant to the exercise by the Pledgee of its said rights and powers under this Deed.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(g)</w:t>
            </w:r>
          </w:p>
        </w:tc>
        <w:tc>
          <w:tcPr>
            <w:tcW w:w="8473" w:type="dxa"/>
            <w:tcBorders/>
            <w:shd w:fill="auto" w:val="clear"/>
          </w:tcPr>
          <w:p>
            <w:pPr>
              <w:pStyle w:val="TableContents"/>
              <w:spacing w:before="0" w:after="283"/>
              <w:jc w:val="left"/>
              <w:rPr/>
            </w:pPr>
            <w:r>
              <w:rPr/>
              <w:t xml:space="preserve">The Pledgor hereby waives all rights of redemption, stay or appraisal which the Pledgor has or may have under any rule of law or equity now existing or hereafter adopted.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(h)</w:t>
            </w:r>
          </w:p>
        </w:tc>
        <w:tc>
          <w:tcPr>
            <w:tcW w:w="8473" w:type="dxa"/>
            <w:tcBorders/>
            <w:shd w:fill="auto" w:val="clear"/>
          </w:tcPr>
          <w:p>
            <w:pPr>
              <w:pStyle w:val="TableContents"/>
              <w:spacing w:before="0" w:after="283"/>
              <w:jc w:val="left"/>
              <w:rPr/>
            </w:pPr>
            <w:r>
              <w:rPr/>
              <w:t xml:space="preserve">Any restriction on the power of sale conferred by law does not apply to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5"/>
        <w:gridCol w:w="8473"/>
      </w:tblGrid>
      <w:tr>
        <w:trPr/>
        <w:tc>
          <w:tcPr>
            <w:tcW w:w="816"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8473" w:type="dxa"/>
            <w:tcBorders/>
            <w:shd w:fill="auto" w:val="clear"/>
          </w:tcPr>
          <w:p>
            <w:pPr>
              <w:pStyle w:val="TableContents"/>
              <w:spacing w:before="0" w:after="283"/>
              <w:jc w:val="left"/>
              <w:rPr/>
            </w:pPr>
            <w:r>
              <w:rPr/>
              <w:t>The Parties further agree that concurrently with the issuance of the Enforcement Notice, the Pledgee shall engage the Independent Appraiser in order to determine the market value of the Shares (the “</w:t>
            </w:r>
            <w:r>
              <w:rPr>
                <w:b/>
              </w:rPr>
              <w:t>Market Value</w:t>
            </w:r>
            <w:r>
              <w:rPr/>
              <w:t xml:space="preserve">”). The Pledgee shall provide the Pledgor with a copy of the appraisal report stating the Market Value of the Shares prepared by the Independent Appraiser.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(j)</w:t>
            </w:r>
          </w:p>
        </w:tc>
        <w:tc>
          <w:tcPr>
            <w:tcW w:w="8472" w:type="dxa"/>
            <w:tcBorders/>
            <w:shd w:fill="auto" w:val="clear"/>
          </w:tcPr>
          <w:p>
            <w:pPr>
              <w:pStyle w:val="TableContents"/>
              <w:spacing w:before="0" w:after="283"/>
              <w:jc w:val="left"/>
              <w:rPr/>
            </w:pPr>
            <w:r>
              <w:rPr/>
              <w:t xml:space="preserve">Where the Pledgor has elected to sell the Shares at a public sale, the initial sale price of the Shares at a first public sale shall not be less 80% of the Market Value. If the first public sale is declared not to have been successfully completed due to one of the following reasons: (i) fewer than two potential buyers have participated in the public sale or (ii) none of the potential buyers offered a bid exceeding the initial sale price of the Shares, the Pledgee shall call a second public sale. The second public sale shall be conducted by successively lowering of the initial sale price. At the second public sale the Pledgee will be entitled to reduce the initial sale price of the Shares each time by 5%. If the reduction of the initial sale price equals or exceeds 30%, the sale price may be further reduced each time by 3%. The sale price (the price of realisation of the Shares) at the second public sale shall not be lower than 50% of the initial sale price.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(k)</w:t>
            </w:r>
          </w:p>
        </w:tc>
        <w:tc>
          <w:tcPr>
            <w:tcW w:w="8472" w:type="dxa"/>
            <w:tcBorders/>
            <w:shd w:fill="auto" w:val="clear"/>
          </w:tcPr>
          <w:p>
            <w:pPr>
              <w:pStyle w:val="TableContents"/>
              <w:spacing w:before="0" w:after="283"/>
              <w:jc w:val="left"/>
              <w:rPr/>
            </w:pPr>
            <w:r>
              <w:rPr/>
              <w:t xml:space="preserve">Where the Pledgor has elected to sell the Shares to a third party by way of private sale, the Shares shall be sold to such third party at a price not less than the Market Value.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(l)</w:t>
            </w:r>
          </w:p>
        </w:tc>
        <w:tc>
          <w:tcPr>
            <w:tcW w:w="8474" w:type="dxa"/>
            <w:tcBorders/>
            <w:shd w:fill="auto" w:val="clear"/>
          </w:tcPr>
          <w:p>
            <w:pPr>
              <w:pStyle w:val="TableContents"/>
              <w:spacing w:before="0" w:after="283"/>
              <w:jc w:val="left"/>
              <w:rPr/>
            </w:pPr>
            <w:r>
              <w:rPr/>
              <w:t xml:space="preserve">During the time period before the Shares are sold (that cannot be shorter than the time period provided by Clause 8.1(a) above) the Pledgor may discharge the Secured Liabilities that are overdue and stop enforcement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(m)</w:t>
            </w:r>
          </w:p>
        </w:tc>
        <w:tc>
          <w:tcPr>
            <w:tcW w:w="8470" w:type="dxa"/>
            <w:tcBorders/>
            <w:shd w:fill="auto" w:val="clear"/>
          </w:tcPr>
          <w:p>
            <w:pPr>
              <w:pStyle w:val="TableContents"/>
              <w:spacing w:before="0" w:after="283"/>
              <w:jc w:val="left"/>
              <w:rPr/>
            </w:pPr>
            <w:r>
              <w:rPr/>
              <w:t xml:space="preserve">The Pledgee shall stop enforcement of the Shares if the Company or any Guarantor discharges the Secured Liabilities that are overdue during the time period before the Shares are sold (that cannot be shorter than the time period provided by Clause 8.1(a)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8.2</w:t>
            </w:r>
          </w:p>
        </w:tc>
        <w:tc>
          <w:tcPr>
            <w:tcW w:w="9390" w:type="dxa"/>
            <w:tcBorders/>
            <w:shd w:fill="auto" w:val="clear"/>
          </w:tcPr>
          <w:p>
            <w:pPr>
              <w:pStyle w:val="TableContents"/>
              <w:spacing w:before="0" w:after="283"/>
              <w:jc w:val="left"/>
              <w:rPr/>
            </w:pPr>
            <w:r>
              <w:rPr>
                <w:b/>
              </w:rPr>
              <w:t>No liability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Neither the Pledgee nor any Receiver will be liable for any loss arising by reason of taking any action permitted by this Deed or for any neglect, default or omission in connection with the Security Asset (save for wilful misconduct and gross negligence) or for taking possession of or realising all or any part of the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8.3</w:t>
            </w:r>
          </w:p>
        </w:tc>
        <w:tc>
          <w:tcPr>
            <w:tcW w:w="9389" w:type="dxa"/>
            <w:tcBorders/>
            <w:shd w:fill="auto" w:val="clear"/>
          </w:tcPr>
          <w:p>
            <w:pPr>
              <w:pStyle w:val="TableContents"/>
              <w:spacing w:before="0" w:after="283"/>
              <w:jc w:val="left"/>
              <w:rPr/>
            </w:pPr>
            <w:r>
              <w:rPr>
                <w:b/>
              </w:rPr>
              <w:t>Privileges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Each Receiver and the Pledgee is entitled to all the rights, powers, privileges and immunities conferred by law (including the Companies Law) on pledgees, mortgagees, charges, encumbrancers and duly appointed receivers under any law (including the Companies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8.4</w:t>
            </w:r>
          </w:p>
        </w:tc>
        <w:tc>
          <w:tcPr>
            <w:tcW w:w="9388" w:type="dxa"/>
            <w:tcBorders/>
            <w:shd w:fill="auto" w:val="clear"/>
          </w:tcPr>
          <w:p>
            <w:pPr>
              <w:pStyle w:val="TableContents"/>
              <w:spacing w:before="0" w:after="283"/>
              <w:jc w:val="left"/>
              <w:rPr/>
            </w:pPr>
            <w:r>
              <w:rPr>
                <w:b/>
              </w:rPr>
              <w:t>Protection of third parties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person (including a purchaser) dealing with the Pledgee or a Receiver or its or his agents will be concerned to enquire: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whether the Secured Liabilities have become payable;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whether any power which the Pledgee is purporting to exercise has become exercisable or is being properly exercised;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whether any money remains due under the Security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how any money paid to the Pledgee or to that Receiver is to be applied.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8.5</w:t>
            </w:r>
          </w:p>
        </w:tc>
        <w:tc>
          <w:tcPr>
            <w:tcW w:w="9389" w:type="dxa"/>
            <w:tcBorders/>
            <w:shd w:fill="auto" w:val="clear"/>
          </w:tcPr>
          <w:p>
            <w:pPr>
              <w:pStyle w:val="TableContents"/>
              <w:spacing w:before="0" w:after="283"/>
              <w:jc w:val="left"/>
              <w:rPr/>
            </w:pPr>
            <w:r>
              <w:rPr>
                <w:b/>
              </w:rPr>
              <w:t>Redemption of prior Security Interests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At any time after this Security has become enforceable, the Pledgee may: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3"/>
        <w:gridCol w:w="7556"/>
      </w:tblGrid>
      <w:tr>
        <w:trPr/>
        <w:tc>
          <w:tcPr>
            <w:tcW w:w="173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redeem any prior Security Interest against any Security Asset; and/or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procure the transfer of that Security Interest to itself; and/or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settle and pass the accounts of the prior pledgee, mortgagee, chargee or encumbrancer; any accounts so settled and passed will be, in the absence of manifest error, conclusive and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The Pledgor must pay to the Pledgee, promptly on demand, the costs and expenses incurred by the Pledgee in connection with any such redemption and/or transfer, including the payment of any principal or interest.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8.6</w:t>
            </w:r>
          </w:p>
        </w:tc>
        <w:tc>
          <w:tcPr>
            <w:tcW w:w="9389" w:type="dxa"/>
            <w:tcBorders/>
            <w:shd w:fill="auto" w:val="clear"/>
          </w:tcPr>
          <w:p>
            <w:pPr>
              <w:pStyle w:val="TableContents"/>
              <w:spacing w:before="0" w:after="283"/>
              <w:jc w:val="left"/>
              <w:rPr/>
            </w:pPr>
            <w:r>
              <w:rPr>
                <w:b/>
              </w:rPr>
              <w:t>Contingencies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this Security is enforced at a time when no amount is due under the Security Documents but at a time when amounts may or will become due, the Pledgee (or the Receiver) may pay the proceeds of any recoveries effected by it into a suspense account.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9.</w:t>
            </w:r>
          </w:p>
        </w:tc>
        <w:tc>
          <w:tcPr>
            <w:tcW w:w="9392" w:type="dxa"/>
            <w:tcBorders/>
            <w:shd w:fill="auto" w:val="clear"/>
          </w:tcPr>
          <w:p>
            <w:pPr>
              <w:pStyle w:val="TableContents"/>
              <w:spacing w:before="0" w:after="283"/>
              <w:jc w:val="left"/>
              <w:rPr>
                <w:b/>
              </w:rPr>
            </w:pPr>
            <w:r>
              <w:rPr>
                <w:b/>
              </w:rPr>
              <w:t xml:space="preserve">RECEIVER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9.1</w:t>
            </w:r>
          </w:p>
        </w:tc>
        <w:tc>
          <w:tcPr>
            <w:tcW w:w="9388" w:type="dxa"/>
            <w:tcBorders/>
            <w:shd w:fill="auto" w:val="clear"/>
          </w:tcPr>
          <w:p>
            <w:pPr>
              <w:pStyle w:val="TableContents"/>
              <w:spacing w:before="0" w:after="283"/>
              <w:jc w:val="left"/>
              <w:rPr/>
            </w:pPr>
            <w:r>
              <w:rPr>
                <w:b/>
              </w:rPr>
              <w:t>Appointment of Receiver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Except as provided below, the Pledgee may appoint any one or more persons to be a Receiver of all or any part of the Security Assets if: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6"/>
        <w:gridCol w:w="914"/>
        <w:gridCol w:w="7554"/>
      </w:tblGrid>
      <w:tr>
        <w:trPr/>
        <w:tc>
          <w:tcPr>
            <w:tcW w:w="173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this Security has become enforceable;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7"/>
        <w:gridCol w:w="7552"/>
      </w:tblGrid>
      <w:tr>
        <w:trPr/>
        <w:tc>
          <w:tcPr>
            <w:tcW w:w="173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2" w:type="dxa"/>
            <w:tcBorders/>
            <w:shd w:fill="auto" w:val="clear"/>
          </w:tcPr>
          <w:p>
            <w:pPr>
              <w:pStyle w:val="TableContents"/>
              <w:spacing w:before="0" w:after="283"/>
              <w:jc w:val="left"/>
              <w:rPr/>
            </w:pPr>
            <w:r>
              <w:rPr/>
              <w:t xml:space="preserve">the Pledgor so requests the Pledgee in writing at any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appointment under paragraph (a) above may be by deed, under seal or in writing under its hand.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Except as provided below, any restriction imposed by law on the right to appoint a Receiver does not apply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9.2</w:t>
            </w:r>
          </w:p>
        </w:tc>
        <w:tc>
          <w:tcPr>
            <w:tcW w:w="9388" w:type="dxa"/>
            <w:tcBorders/>
            <w:shd w:fill="auto" w:val="clear"/>
          </w:tcPr>
          <w:p>
            <w:pPr>
              <w:pStyle w:val="TableContents"/>
              <w:spacing w:before="0" w:after="283"/>
              <w:jc w:val="left"/>
              <w:rPr/>
            </w:pPr>
            <w:r>
              <w:rPr>
                <w:b/>
              </w:rPr>
              <w:t>Removal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by writing under its hand (subject to any requirement for an order of the court in the case of an administrative receiver) remove any Receiver appointed by it and may, whenever it thinks fit, appoint a new Receiver in the place of any Receiver whose appointment may for any reason have terminated.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9.3</w:t>
            </w:r>
          </w:p>
        </w:tc>
        <w:tc>
          <w:tcPr>
            <w:tcW w:w="9390" w:type="dxa"/>
            <w:tcBorders/>
            <w:shd w:fill="auto" w:val="clear"/>
          </w:tcPr>
          <w:p>
            <w:pPr>
              <w:pStyle w:val="TableContents"/>
              <w:spacing w:before="0" w:after="283"/>
              <w:jc w:val="left"/>
              <w:rPr/>
            </w:pPr>
            <w:r>
              <w:rPr>
                <w:b/>
              </w:rPr>
              <w:t>Remuneration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fix the remuneration of any Receiver appointed by it and any maximum rate imposed by any law will not apply.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9.4</w:t>
            </w:r>
          </w:p>
        </w:tc>
        <w:tc>
          <w:tcPr>
            <w:tcW w:w="9389" w:type="dxa"/>
            <w:tcBorders/>
            <w:shd w:fill="auto" w:val="clear"/>
          </w:tcPr>
          <w:p>
            <w:pPr>
              <w:pStyle w:val="TableContents"/>
              <w:spacing w:before="0" w:after="283"/>
              <w:jc w:val="left"/>
              <w:rPr/>
            </w:pPr>
            <w:r>
              <w:rPr>
                <w:b/>
              </w:rPr>
              <w:t>Agent of the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will be deemed to be the agent of the Pledgor for all purposes and accordingly will be deemed to be in the same position as a Receiver. The Pledgor is solely responsible for the contracts, engagements, acts, omissions, defaults and losses of a Receiver and for liabilities incurred by a Receiver.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9.5</w:t>
            </w:r>
          </w:p>
        </w:tc>
        <w:tc>
          <w:tcPr>
            <w:tcW w:w="9388" w:type="dxa"/>
            <w:tcBorders/>
            <w:shd w:fill="auto" w:val="clear"/>
          </w:tcPr>
          <w:p>
            <w:pPr>
              <w:pStyle w:val="TableContents"/>
              <w:spacing w:before="0" w:after="283"/>
              <w:jc w:val="left"/>
              <w:rPr/>
            </w:pPr>
            <w:r>
              <w:rPr>
                <w:b/>
              </w:rPr>
              <w:t>Relationship with Pledgee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To the fullest extent allowed by law, any right, power or discretion conferred by this Deed (either expressly or impliedly) or by law on a Receiver may after this Security becomes enforceable be exercised by the Pledgee in relation to any Security Asset without first appointing a Receiver or notwithstanding the appointment of a Receiver.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10.</w:t>
            </w:r>
          </w:p>
        </w:tc>
        <w:tc>
          <w:tcPr>
            <w:tcW w:w="9390" w:type="dxa"/>
            <w:tcBorders/>
            <w:shd w:fill="auto" w:val="clear"/>
          </w:tcPr>
          <w:p>
            <w:pPr>
              <w:pStyle w:val="TableContents"/>
              <w:spacing w:before="0" w:after="283"/>
              <w:jc w:val="left"/>
              <w:rPr>
                <w:b/>
              </w:rPr>
            </w:pPr>
            <w:r>
              <w:rPr>
                <w:b/>
              </w:rPr>
              <w:t xml:space="preserve">POWERS OF RECEIVER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 Receiver has all the rights, powers and discretions set out below in this Clause in addition to those conferred on it by any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If there is more than one Receiver holding office at the same time, each Receiver may (unless the document appointing him states otherwise) exercise all the powers conferred on a Receiver under this Deed individually and to the exclusion of any other Receiver.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10.2</w:t>
            </w:r>
          </w:p>
        </w:tc>
        <w:tc>
          <w:tcPr>
            <w:tcW w:w="9389" w:type="dxa"/>
            <w:tcBorders/>
            <w:shd w:fill="auto" w:val="clear"/>
          </w:tcPr>
          <w:p>
            <w:pPr>
              <w:pStyle w:val="TableContents"/>
              <w:spacing w:before="0" w:after="283"/>
              <w:jc w:val="left"/>
              <w:rPr/>
            </w:pPr>
            <w:r>
              <w:rPr>
                <w:b/>
              </w:rPr>
              <w:t>Possession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take immediate possession of, get in and collect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10.3</w:t>
            </w:r>
          </w:p>
        </w:tc>
        <w:tc>
          <w:tcPr>
            <w:tcW w:w="9389" w:type="dxa"/>
            <w:tcBorders/>
            <w:shd w:fill="auto" w:val="clear"/>
          </w:tcPr>
          <w:p>
            <w:pPr>
              <w:pStyle w:val="TableContents"/>
              <w:spacing w:before="0" w:after="283"/>
              <w:jc w:val="left"/>
              <w:rPr/>
            </w:pPr>
            <w:r>
              <w:rPr>
                <w:b/>
              </w:rPr>
              <w:t>Carry on business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carry on any business of the Pledgor in relation to the Secured Assets in any manner it thinks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10.4</w:t>
            </w:r>
          </w:p>
        </w:tc>
        <w:tc>
          <w:tcPr>
            <w:tcW w:w="9389" w:type="dxa"/>
            <w:tcBorders/>
            <w:shd w:fill="auto" w:val="clear"/>
          </w:tcPr>
          <w:p>
            <w:pPr>
              <w:pStyle w:val="TableContents"/>
              <w:spacing w:before="0" w:after="283"/>
              <w:jc w:val="left"/>
              <w:rPr/>
            </w:pPr>
            <w:r>
              <w:rPr>
                <w:b/>
              </w:rPr>
              <w:t>Employees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 Receiver may appoint and discharge managers, officers, agents, accountants, servants, workmen and others for the purposes of this Deed upon such terms as to remuneration or otherwise as he thinks fit.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A Receiver may discharge any person appointed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10.5</w:t>
            </w:r>
          </w:p>
        </w:tc>
        <w:tc>
          <w:tcPr>
            <w:tcW w:w="9389" w:type="dxa"/>
            <w:tcBorders/>
            <w:shd w:fill="auto" w:val="clear"/>
          </w:tcPr>
          <w:p>
            <w:pPr>
              <w:pStyle w:val="TableContents"/>
              <w:spacing w:before="0" w:after="283"/>
              <w:jc w:val="left"/>
              <w:rPr/>
            </w:pPr>
            <w:r>
              <w:rPr>
                <w:b/>
              </w:rPr>
              <w:t>Borrow money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raise and borrow money either unsecured or on the security of any Security Asset either in priority to this Security or otherwise and generally on any terms and for whatever purpose which he thinks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10.6</w:t>
            </w:r>
          </w:p>
        </w:tc>
        <w:tc>
          <w:tcPr>
            <w:tcW w:w="9390" w:type="dxa"/>
            <w:tcBorders/>
            <w:shd w:fill="auto" w:val="clear"/>
          </w:tcPr>
          <w:p>
            <w:pPr>
              <w:pStyle w:val="TableContents"/>
              <w:spacing w:before="0" w:after="283"/>
              <w:jc w:val="left"/>
              <w:rPr/>
            </w:pPr>
            <w:r>
              <w:rPr>
                <w:b/>
              </w:rPr>
              <w:t>Sale of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 Receiver may sell, exchange, convert into money and realise any Security Asset by public auction or private contract and generally in any manner and on any terms which he thinks fit.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consideration for any such transaction may consist of cash, debentures or other obligations, shares, stock or other valuable consideration and any such consideration may be payable in a lump sum or by instalments spread over any period which it thinks fit.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Fixtures may be severed and sold separately from the property containing them without the consent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10.7</w:t>
            </w:r>
          </w:p>
        </w:tc>
        <w:tc>
          <w:tcPr>
            <w:tcW w:w="9389" w:type="dxa"/>
            <w:tcBorders/>
            <w:shd w:fill="auto" w:val="clear"/>
          </w:tcPr>
          <w:p>
            <w:pPr>
              <w:pStyle w:val="TableContents"/>
              <w:spacing w:before="0" w:after="283"/>
              <w:jc w:val="left"/>
              <w:rPr/>
            </w:pPr>
            <w:r>
              <w:rPr>
                <w:b/>
              </w:rPr>
              <w:t>Leases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let any Security Asset for any term and at any rent (with or without a premium) which it thinks fit and may accept a surrender of any lease or tenancy of any Security Asset on any terms which he thinks fit (including the payment of money to a lessee or tenant on a surrender).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10.8</w:t>
            </w:r>
          </w:p>
        </w:tc>
        <w:tc>
          <w:tcPr>
            <w:tcW w:w="9388" w:type="dxa"/>
            <w:tcBorders/>
            <w:shd w:fill="auto" w:val="clear"/>
          </w:tcPr>
          <w:p>
            <w:pPr>
              <w:pStyle w:val="TableContents"/>
              <w:spacing w:before="0" w:after="283"/>
              <w:jc w:val="left"/>
              <w:rPr/>
            </w:pPr>
            <w:r>
              <w:rPr>
                <w:b/>
              </w:rPr>
              <w:t>Compromise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settle, adjust, refer to arbitration, compromise and arrange any claim, account, dispute, question or demand with or by any person who is or claims to be a creditor of the Pledgor or relating in any way to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10.9</w:t>
            </w:r>
          </w:p>
        </w:tc>
        <w:tc>
          <w:tcPr>
            <w:tcW w:w="9389" w:type="dxa"/>
            <w:tcBorders/>
            <w:shd w:fill="auto" w:val="clear"/>
          </w:tcPr>
          <w:p>
            <w:pPr>
              <w:pStyle w:val="TableContents"/>
              <w:spacing w:before="0" w:after="283"/>
              <w:jc w:val="left"/>
              <w:rPr/>
            </w:pPr>
            <w:r>
              <w:rPr>
                <w:b/>
              </w:rPr>
              <w:t>Legal actions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bring, prosecute, enforce, defend and abandon any action, suit or proceedings in relation to any Security Asset which it thinks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10.10</w:t>
            </w:r>
          </w:p>
        </w:tc>
        <w:tc>
          <w:tcPr>
            <w:tcW w:w="9388" w:type="dxa"/>
            <w:tcBorders/>
            <w:shd w:fill="auto" w:val="clear"/>
          </w:tcPr>
          <w:p>
            <w:pPr>
              <w:pStyle w:val="TableContents"/>
              <w:spacing w:before="0" w:after="283"/>
              <w:jc w:val="left"/>
              <w:rPr/>
            </w:pPr>
            <w:r>
              <w:rPr>
                <w:b/>
              </w:rPr>
              <w:t>Receipts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give a valid receipt for any moneys and execute any assurance or thing which may be proper or desirable for realising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10.11</w:t>
            </w:r>
          </w:p>
        </w:tc>
        <w:tc>
          <w:tcPr>
            <w:tcW w:w="9389" w:type="dxa"/>
            <w:tcBorders/>
            <w:shd w:fill="auto" w:val="clear"/>
          </w:tcPr>
          <w:p>
            <w:pPr>
              <w:pStyle w:val="TableContents"/>
              <w:spacing w:before="0" w:after="283"/>
              <w:jc w:val="left"/>
              <w:rPr/>
            </w:pPr>
            <w:r>
              <w:rPr>
                <w:b/>
              </w:rPr>
              <w:t>Delegation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delegate his powers in accordance with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10.12</w:t>
            </w:r>
          </w:p>
        </w:tc>
        <w:tc>
          <w:tcPr>
            <w:tcW w:w="9388" w:type="dxa"/>
            <w:tcBorders/>
            <w:shd w:fill="auto" w:val="clear"/>
          </w:tcPr>
          <w:p>
            <w:pPr>
              <w:pStyle w:val="TableContents"/>
              <w:spacing w:before="0" w:after="283"/>
              <w:jc w:val="left"/>
              <w:rPr/>
            </w:pPr>
            <w:r>
              <w:rPr>
                <w:b/>
              </w:rPr>
              <w:t>Lending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lend money or advance credit to any customer of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10.13</w:t>
            </w:r>
          </w:p>
        </w:tc>
        <w:tc>
          <w:tcPr>
            <w:tcW w:w="9389" w:type="dxa"/>
            <w:tcBorders/>
            <w:shd w:fill="auto" w:val="clear"/>
          </w:tcPr>
          <w:p>
            <w:pPr>
              <w:pStyle w:val="TableContents"/>
              <w:spacing w:before="0" w:after="283"/>
              <w:jc w:val="left"/>
              <w:rPr/>
            </w:pPr>
            <w:r>
              <w:rPr>
                <w:b/>
              </w:rPr>
              <w:t>Protection of assets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effect any repair or insurance and do any other act which the Pledgor might do in the ordinary conduct of its business to protect or improve any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commence and/or complete any building operation;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apply for and maintain any planning permission, building regulation approval or any other authorisation, </w:t>
            </w:r>
          </w:p>
        </w:tc>
      </w:tr>
    </w:tbl>
    <w:p>
      <w:pPr>
        <w:pStyle w:val="TextBody"/>
        <w:spacing w:before="120" w:after="0"/>
        <w:rPr>
          <w:rFonts w:ascii="Times New Roman" w:hAnsi="Times New Roman"/>
          <w:sz w:val="20"/>
        </w:rPr>
      </w:pPr>
      <w:r>
        <w:rPr>
          <w:rFonts w:ascii="Times New Roman" w:hAnsi="Times New Roman"/>
          <w:sz w:val="20"/>
        </w:rPr>
        <w:t xml:space="preserve">in each case as he thinks fit.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10.14</w:t>
            </w:r>
          </w:p>
        </w:tc>
        <w:tc>
          <w:tcPr>
            <w:tcW w:w="9388" w:type="dxa"/>
            <w:tcBorders/>
            <w:shd w:fill="auto" w:val="clear"/>
          </w:tcPr>
          <w:p>
            <w:pPr>
              <w:pStyle w:val="TableContents"/>
              <w:spacing w:before="0" w:after="283"/>
              <w:jc w:val="left"/>
              <w:rPr/>
            </w:pPr>
            <w:r>
              <w:rPr>
                <w:b/>
              </w:rPr>
              <w:t>Other powers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do all other acts and things which he may consider desirable or necessary for realising any Security Asset or incidental or conducive to any of the rights, powers or discretions conferred on a Receiver under or by virtue of this Deed 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exercise in relation to any Security Asset all the powers, authorities and things which he would be capable of exercising if he were the absolute beneficial owner of that Security Asset;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use the name of the Pledgor for any of the above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11.</w:t>
            </w:r>
          </w:p>
        </w:tc>
        <w:tc>
          <w:tcPr>
            <w:tcW w:w="9389" w:type="dxa"/>
            <w:tcBorders/>
            <w:shd w:fill="auto" w:val="clear"/>
          </w:tcPr>
          <w:p>
            <w:pPr>
              <w:pStyle w:val="TableContents"/>
              <w:spacing w:before="0" w:after="283"/>
              <w:jc w:val="left"/>
              <w:rPr>
                <w:b/>
              </w:rPr>
            </w:pPr>
            <w:r>
              <w:rPr>
                <w:b/>
              </w:rPr>
              <w:t xml:space="preserve">APPLICATION OF PROCEEDS </w:t>
            </w:r>
          </w:p>
        </w:tc>
      </w:tr>
    </w:tbl>
    <w:p>
      <w:pPr>
        <w:pStyle w:val="TextBody"/>
        <w:spacing w:before="120" w:after="0"/>
        <w:rPr>
          <w:rFonts w:ascii="Times New Roman" w:hAnsi="Times New Roman"/>
          <w:sz w:val="20"/>
        </w:rPr>
      </w:pPr>
      <w:r>
        <w:rPr>
          <w:rFonts w:ascii="Times New Roman" w:hAnsi="Times New Roman"/>
          <w:sz w:val="20"/>
        </w:rPr>
        <w:t xml:space="preserve">Unless otherwise determined by the Pledgee or a Receiver, any moneys received by the Pledgee or that Receiver after this Security has become enforceable must be applied in accordance with the Facility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or towards payment of or provision for all costs and expenses incurred by the Pledgee or any Receiver under or in connection with this Deed and of all remuneration due to any Receiver under or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in or towards payment of or provision for the Secured Liabilities;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in payment of the surplus (if any) to the Pledgor or other person entitled to it. </w:t>
            </w:r>
          </w:p>
        </w:tc>
      </w:tr>
    </w:tbl>
    <w:p>
      <w:pPr>
        <w:pStyle w:val="TextBody"/>
        <w:spacing w:before="120" w:after="0"/>
        <w:rPr>
          <w:rFonts w:ascii="Times New Roman" w:hAnsi="Times New Roman"/>
          <w:sz w:val="20"/>
        </w:rPr>
      </w:pPr>
      <w:r>
        <w:rPr>
          <w:rFonts w:ascii="Times New Roman" w:hAnsi="Times New Roman"/>
          <w:sz w:val="20"/>
        </w:rPr>
        <w:t xml:space="preserve">This Clause is subject to the payment of any claims having priority over this Security. Subject to Clause 16.3, this Clause does not prejudice the right of the Pledgee to recover any shortfall from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12.</w:t>
            </w:r>
          </w:p>
        </w:tc>
        <w:tc>
          <w:tcPr>
            <w:tcW w:w="9388" w:type="dxa"/>
            <w:tcBorders/>
            <w:shd w:fill="auto" w:val="clear"/>
          </w:tcPr>
          <w:p>
            <w:pPr>
              <w:pStyle w:val="TableContents"/>
              <w:spacing w:before="0" w:after="283"/>
              <w:jc w:val="left"/>
              <w:rPr>
                <w:b/>
              </w:rPr>
            </w:pPr>
            <w:r>
              <w:rPr>
                <w:b/>
              </w:rPr>
              <w:t xml:space="preserve">EXPENSES AND INDEMNITY </w:t>
            </w:r>
          </w:p>
        </w:tc>
      </w:tr>
    </w:tbl>
    <w:p>
      <w:pPr>
        <w:pStyle w:val="TextBody"/>
        <w:spacing w:before="120" w:after="0"/>
        <w:rPr>
          <w:rFonts w:ascii="Times New Roman" w:hAnsi="Times New Roman"/>
          <w:sz w:val="20"/>
        </w:rPr>
      </w:pPr>
      <w:r>
        <w:rPr>
          <w:rFonts w:ascii="Times New Roman" w:hAnsi="Times New Roman"/>
          <w:sz w:val="20"/>
        </w:rPr>
        <w:t xml:space="preserve">The Pledgor must procure that the Borrower or any other member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promptly on demand pays all costs and expenses (including stamp duty and legal fees) incurred in connection with this Deed (provided that the costs for its preparation and negotiations are subject to the prior agreed cap) or any amendment of or waiver or consent under this Deed by the Pledgee, attorney-in-fact, Receiver, manager, agent or other person appointed by the Pledgee under this Deed;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keep each of them indemnified against any failure or delay in paying those costs or expenses and any loss or liability incurred by it in connection with any litigation, arbitration or administrative proceedings concerning this Security; this includes any loss or liability arising from any actual or alleged breach by any person of any law or regulation.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13.</w:t>
            </w:r>
          </w:p>
        </w:tc>
        <w:tc>
          <w:tcPr>
            <w:tcW w:w="9390" w:type="dxa"/>
            <w:tcBorders/>
            <w:shd w:fill="auto" w:val="clear"/>
          </w:tcPr>
          <w:p>
            <w:pPr>
              <w:pStyle w:val="TableContents"/>
              <w:spacing w:before="0" w:after="283"/>
              <w:jc w:val="left"/>
              <w:rPr>
                <w:b/>
              </w:rPr>
            </w:pPr>
            <w:r>
              <w:rPr>
                <w:b/>
              </w:rPr>
              <w:t xml:space="preserve">DELEGATION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13.1</w:t>
            </w:r>
          </w:p>
        </w:tc>
        <w:tc>
          <w:tcPr>
            <w:tcW w:w="9389" w:type="dxa"/>
            <w:tcBorders/>
            <w:shd w:fill="auto" w:val="clear"/>
          </w:tcPr>
          <w:p>
            <w:pPr>
              <w:pStyle w:val="TableContents"/>
              <w:spacing w:before="0" w:after="283"/>
              <w:jc w:val="left"/>
              <w:rPr/>
            </w:pPr>
            <w:r>
              <w:rPr>
                <w:b/>
              </w:rPr>
              <w:t>Power of Attorney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or any Receiver may delegate by power of attorney or in any other manner to any person any right, power or discretion exercisable by it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13.2</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such delegation may be made upon any terms (including power to sub-delegate) which the Pledgee or any Receiver may think fit.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13.3</w:t>
            </w:r>
          </w:p>
        </w:tc>
        <w:tc>
          <w:tcPr>
            <w:tcW w:w="9390" w:type="dxa"/>
            <w:tcBorders/>
            <w:shd w:fill="auto" w:val="clear"/>
          </w:tcPr>
          <w:p>
            <w:pPr>
              <w:pStyle w:val="TableContents"/>
              <w:spacing w:before="0" w:after="283"/>
              <w:jc w:val="left"/>
              <w:rPr/>
            </w:pPr>
            <w:r>
              <w:rPr>
                <w:b/>
              </w:rPr>
              <w:t>Liability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Neither the Pledgee nor any Receiver will be in any way liable or responsible to the Pledgor for any loss or liability arising from any act, default, omission or misconduct on the part of any delegate or sub-delegate.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14.</w:t>
            </w:r>
          </w:p>
        </w:tc>
        <w:tc>
          <w:tcPr>
            <w:tcW w:w="9389" w:type="dxa"/>
            <w:tcBorders/>
            <w:shd w:fill="auto" w:val="clear"/>
          </w:tcPr>
          <w:p>
            <w:pPr>
              <w:pStyle w:val="TableContents"/>
              <w:spacing w:before="0" w:after="283"/>
              <w:jc w:val="left"/>
              <w:rPr>
                <w:b/>
              </w:rPr>
            </w:pPr>
            <w:r>
              <w:rPr>
                <w:b/>
              </w:rPr>
              <w:t xml:space="preserve">FURTHER ASSURANCES </w:t>
            </w:r>
          </w:p>
        </w:tc>
      </w:tr>
    </w:tbl>
    <w:p>
      <w:pPr>
        <w:pStyle w:val="TextBody"/>
        <w:spacing w:before="120" w:after="0"/>
        <w:rPr>
          <w:rFonts w:ascii="Times New Roman" w:hAnsi="Times New Roman"/>
          <w:sz w:val="20"/>
        </w:rPr>
      </w:pPr>
      <w:r>
        <w:rPr>
          <w:rFonts w:ascii="Times New Roman" w:hAnsi="Times New Roman"/>
          <w:sz w:val="20"/>
        </w:rPr>
        <w:t xml:space="preserve">The Pledgor must, at its own expense, take whatever action the Pledgee or a Receiver may require for: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creating, attaching, perfecting or protecting and maintaining the priority of any security intended to be created by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facilitating the realisation of any Security Asset, or the exercise of any right, power or discretion exercisable, by the Pledgee or any Receiver or any of their respective delegates or sub-delegates in respect of any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obtaining possession and control of any Security Asset;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facilitating the assignment or transfer of any rights and/or obligations of the Pledgee under this Deed. </w:t>
            </w:r>
          </w:p>
        </w:tc>
      </w:tr>
    </w:tbl>
    <w:p>
      <w:pPr>
        <w:pStyle w:val="TextBody"/>
        <w:spacing w:before="120" w:after="0"/>
        <w:rPr>
          <w:rFonts w:ascii="Times New Roman" w:hAnsi="Times New Roman"/>
          <w:sz w:val="20"/>
        </w:rPr>
      </w:pPr>
      <w:r>
        <w:rPr>
          <w:rFonts w:ascii="Times New Roman" w:hAnsi="Times New Roman"/>
          <w:sz w:val="20"/>
        </w:rPr>
        <w:t xml:space="preserve">This includes: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the execution of any mortgage, charge, transfer, conveyance, assignment or assurance of any property, whether to the Pledgee or to its nominee;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 giving of any notice, order or direction and the making of any registration, </w:t>
            </w:r>
          </w:p>
        </w:tc>
      </w:tr>
    </w:tbl>
    <w:p>
      <w:pPr>
        <w:pStyle w:val="TextBody"/>
        <w:spacing w:before="120" w:after="0"/>
        <w:rPr>
          <w:rFonts w:ascii="Times New Roman" w:hAnsi="Times New Roman"/>
          <w:sz w:val="20"/>
        </w:rPr>
      </w:pPr>
      <w:r>
        <w:rPr>
          <w:rFonts w:ascii="Times New Roman" w:hAnsi="Times New Roman"/>
          <w:sz w:val="20"/>
        </w:rPr>
        <w:t xml:space="preserve">which, in any such case, the Pledgee may think necessary, desirable, or expedient.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15.</w:t>
            </w:r>
          </w:p>
        </w:tc>
        <w:tc>
          <w:tcPr>
            <w:tcW w:w="9388" w:type="dxa"/>
            <w:tcBorders/>
            <w:shd w:fill="auto" w:val="clear"/>
          </w:tcPr>
          <w:p>
            <w:pPr>
              <w:pStyle w:val="TableContents"/>
              <w:spacing w:before="0" w:after="283"/>
              <w:jc w:val="left"/>
              <w:rPr>
                <w:b/>
              </w:rPr>
            </w:pPr>
            <w:r>
              <w:rPr>
                <w:b/>
              </w:rPr>
              <w:t xml:space="preserve">POWER OF ATTORNEY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15.1</w:t>
            </w:r>
          </w:p>
        </w:tc>
        <w:tc>
          <w:tcPr>
            <w:tcW w:w="9389" w:type="dxa"/>
            <w:tcBorders/>
            <w:shd w:fill="auto" w:val="clear"/>
          </w:tcPr>
          <w:p>
            <w:pPr>
              <w:pStyle w:val="TableContents"/>
              <w:spacing w:before="0" w:after="283"/>
              <w:jc w:val="left"/>
              <w:rPr/>
            </w:pPr>
            <w:r>
              <w:rPr/>
              <w:t xml:space="preserve">The Pledgor, by way of security and for good and valuable consideration (the receipt and sufficiency of which is hereby acknowledged), irrevocably and severally coupled with an interest in this Deed appoints the Pledgee, each Receiver and each of their respective delegates and sub-delegates to be its attorney-in-fact to take any action which the Pledgor is obliged to take under this Deed. The Pledgor ratifies and confirms whatever any attorney-in-fact does or purports to do under its appointment under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15.2</w:t>
            </w:r>
          </w:p>
        </w:tc>
        <w:tc>
          <w:tcPr>
            <w:tcW w:w="9388" w:type="dxa"/>
            <w:tcBorders/>
            <w:shd w:fill="auto" w:val="clear"/>
          </w:tcPr>
          <w:p>
            <w:pPr>
              <w:pStyle w:val="TableContents"/>
              <w:spacing w:before="0" w:after="283"/>
              <w:jc w:val="left"/>
              <w:rPr/>
            </w:pPr>
            <w:r>
              <w:rPr/>
              <w:t xml:space="preserve">The power of attorney granted or otherwise made pursuant to this Deed is given by the Pledgor by way of further security for the Secured Liabilities and in order to more fully secure the performance of its obligations under this Deed and in consideration of the mutual covenants in this Deed and for other good and valuable consideration received by the Pledgor from the Pledgee (the receipt, sufficiency and adequacy of which consideration is hereby acknowledged and confirmed).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16.</w:t>
            </w:r>
          </w:p>
        </w:tc>
        <w:tc>
          <w:tcPr>
            <w:tcW w:w="9388" w:type="dxa"/>
            <w:tcBorders/>
            <w:shd w:fill="auto" w:val="clear"/>
          </w:tcPr>
          <w:p>
            <w:pPr>
              <w:pStyle w:val="TableContents"/>
              <w:spacing w:before="0" w:after="283"/>
              <w:jc w:val="left"/>
              <w:rPr>
                <w:b/>
              </w:rPr>
            </w:pPr>
            <w:r>
              <w:rPr>
                <w:b/>
              </w:rPr>
              <w:t xml:space="preserve">MISCELLANEOUS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16.1</w:t>
            </w:r>
          </w:p>
        </w:tc>
        <w:tc>
          <w:tcPr>
            <w:tcW w:w="9389" w:type="dxa"/>
            <w:tcBorders/>
            <w:shd w:fill="auto" w:val="clear"/>
          </w:tcPr>
          <w:p>
            <w:pPr>
              <w:pStyle w:val="TableContents"/>
              <w:spacing w:before="0" w:after="283"/>
              <w:jc w:val="left"/>
              <w:rPr/>
            </w:pPr>
            <w:r>
              <w:rPr>
                <w:b/>
              </w:rPr>
              <w:t>Covenant to pay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Subject to Clause 16.3 below, the Pledgor covenants with the Pledgee that whenever the Borrower does not pay the Secured Liabilities or any amount thereof when the same falls due for payment, performance or discharge in accordance with the terms of the Facility Agreement, it shall on demand by the Pledgee pay, perform and discharge the Secured Liabilities.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16.2</w:t>
            </w:r>
          </w:p>
        </w:tc>
        <w:tc>
          <w:tcPr>
            <w:tcW w:w="9389" w:type="dxa"/>
            <w:tcBorders/>
            <w:shd w:fill="auto" w:val="clear"/>
          </w:tcPr>
          <w:p>
            <w:pPr>
              <w:pStyle w:val="TableContents"/>
              <w:spacing w:before="0" w:after="283"/>
              <w:jc w:val="left"/>
              <w:rPr/>
            </w:pPr>
            <w:r>
              <w:rPr>
                <w:b/>
              </w:rPr>
              <w:t>Financial collateral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To the extent that the assets mortgaged or charged under this Deed constitute “financial collateral” and this Deed and the obligations of the Pledgor under this Deed constitute a “security financial collateral arrangement” (in each case for the purpose of and as defined in the Financial Collateral Law 2004 (Law 43(I)/ 2004) the Pledgee shall have the right after this Security has become enforceable to appropriate all or any part of that financial collateral in or towards the satisfaction of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For the purpose of paragraph (a) above, the value of the financial collateral appropriated shall be the Market Value.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16.3</w:t>
            </w:r>
          </w:p>
        </w:tc>
        <w:tc>
          <w:tcPr>
            <w:tcW w:w="9389" w:type="dxa"/>
            <w:tcBorders/>
            <w:shd w:fill="auto" w:val="clear"/>
          </w:tcPr>
          <w:p>
            <w:pPr>
              <w:pStyle w:val="TableContents"/>
              <w:spacing w:before="0" w:after="283"/>
              <w:jc w:val="left"/>
              <w:rPr/>
            </w:pPr>
            <w:r>
              <w:rPr>
                <w:b/>
              </w:rPr>
              <w:t>Limited recourse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Notwithstanding any other provision of this Deed and any other Security Document, it is expressly agreed and understood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sole recourse of the Pledgee to the Pledgor under this Deed is to the Pledgor’s interest in the Security Assets;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liability of the Pledgor to the Pledgee pursuant to or otherwise in connection with this Deed shall be: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6"/>
        <w:gridCol w:w="914"/>
        <w:gridCol w:w="7554"/>
      </w:tblGrid>
      <w:tr>
        <w:trPr/>
        <w:tc>
          <w:tcPr>
            <w:tcW w:w="173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limited in aggregate to an amount equal to that recovered as a result of enforcement of this Deed with respect to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satisfied only from the proceeds of sale or other disposal or realisation of the Shares pursuant to this Deed. </w:t>
            </w:r>
          </w:p>
        </w:tc>
      </w:tr>
    </w:tbl>
    <w:p>
      <w:pPr>
        <w:pStyle w:val="TextBody"/>
        <w:spacing w:before="120" w:after="0"/>
        <w:rPr>
          <w:rFonts w:ascii="Times New Roman" w:hAnsi="Times New Roman"/>
          <w:sz w:val="20"/>
        </w:rPr>
      </w:pPr>
      <w:r>
        <w:rPr>
          <w:rFonts w:ascii="Times New Roman" w:hAnsi="Times New Roman"/>
          <w:sz w:val="20"/>
        </w:rPr>
        <w:t xml:space="preserve">If on enforcement over the Security Assets, the net proceeds are insufficient to discharge the liabilities and obligations that the Pledgor has towards the Pledgee under this Deed, then the Pledgor shall be under no further obligations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17.</w:t>
            </w:r>
          </w:p>
        </w:tc>
        <w:tc>
          <w:tcPr>
            <w:tcW w:w="9389" w:type="dxa"/>
            <w:tcBorders/>
            <w:shd w:fill="auto" w:val="clear"/>
          </w:tcPr>
          <w:p>
            <w:pPr>
              <w:pStyle w:val="TableContents"/>
              <w:spacing w:before="0" w:after="283"/>
              <w:jc w:val="left"/>
              <w:rPr>
                <w:b/>
              </w:rPr>
            </w:pPr>
            <w:r>
              <w:rPr>
                <w:b/>
              </w:rPr>
              <w:t xml:space="preserve">RELEASE </w:t>
            </w:r>
          </w:p>
        </w:tc>
      </w:tr>
    </w:tbl>
    <w:p>
      <w:pPr>
        <w:pStyle w:val="TextBody"/>
        <w:spacing w:before="120" w:after="0"/>
        <w:rPr>
          <w:rFonts w:ascii="Times New Roman" w:hAnsi="Times New Roman"/>
          <w:sz w:val="20"/>
        </w:rPr>
      </w:pPr>
      <w:r>
        <w:rPr>
          <w:rFonts w:ascii="Times New Roman" w:hAnsi="Times New Roman"/>
          <w:sz w:val="20"/>
        </w:rPr>
        <w:t xml:space="preserve">At the end of the Security Period , the Pledgee shall promptly, at the request and cost of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deliver or caused to be delivered to the Pledgor or such other person, as the Pledgor may direct, the documents referred in Clause 5.1 hereof and any other documents delivered to the Pledgee pursuant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give notice of discharge of the pledge to the Company for the purpose of cancelling the memorandum of pledge made in its register of members pursuant to section 138(2) of the Contract Law, Cap. 149 (as amended);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execute whatever documents and take whatever action is reasonably required to release the Security Assets from this Security and terminate any powers of attorney or other like appointments.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18.</w:t>
            </w:r>
          </w:p>
        </w:tc>
        <w:tc>
          <w:tcPr>
            <w:tcW w:w="9391" w:type="dxa"/>
            <w:tcBorders/>
            <w:shd w:fill="auto" w:val="clear"/>
          </w:tcPr>
          <w:p>
            <w:pPr>
              <w:pStyle w:val="TableContents"/>
              <w:spacing w:before="0" w:after="283"/>
              <w:jc w:val="left"/>
              <w:rPr>
                <w:b/>
              </w:rPr>
            </w:pPr>
            <w:r>
              <w:rPr>
                <w:b/>
              </w:rPr>
              <w:t xml:space="preserve">CHANGES TO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18.1</w:t>
            </w:r>
          </w:p>
        </w:tc>
        <w:tc>
          <w:tcPr>
            <w:tcW w:w="9389" w:type="dxa"/>
            <w:tcBorders/>
            <w:shd w:fill="auto" w:val="clear"/>
          </w:tcPr>
          <w:p>
            <w:pPr>
              <w:pStyle w:val="TableContents"/>
              <w:spacing w:before="0" w:after="283"/>
              <w:jc w:val="left"/>
              <w:rPr/>
            </w:pPr>
            <w:r>
              <w:rPr>
                <w:b/>
              </w:rPr>
              <w:t>The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may not assign or transfer any of its rights or obligations under this Deed.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18.2</w:t>
            </w:r>
          </w:p>
        </w:tc>
        <w:tc>
          <w:tcPr>
            <w:tcW w:w="9389" w:type="dxa"/>
            <w:tcBorders/>
            <w:shd w:fill="auto" w:val="clear"/>
          </w:tcPr>
          <w:p>
            <w:pPr>
              <w:pStyle w:val="TableContents"/>
              <w:spacing w:before="0" w:after="283"/>
              <w:jc w:val="left"/>
              <w:rPr/>
            </w:pPr>
            <w:r>
              <w:rPr>
                <w:b/>
              </w:rPr>
              <w:t>The Pledgee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assign or otherwise dispose of all or any of its rights under this Deed to any person to whom it assigns or transfers its rights and obligations under the Facility Agreement, in accordance with the terms of the Security Documents to which it is a party and may disclose any information in its possession relating to the Pledgor to any actual or prospective assignee, transferee or participant.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18.3</w:t>
            </w:r>
          </w:p>
        </w:tc>
        <w:tc>
          <w:tcPr>
            <w:tcW w:w="9389" w:type="dxa"/>
            <w:tcBorders/>
            <w:shd w:fill="auto" w:val="clear"/>
          </w:tcPr>
          <w:p>
            <w:pPr>
              <w:pStyle w:val="TableContents"/>
              <w:spacing w:before="0" w:after="283"/>
              <w:jc w:val="left"/>
              <w:rPr/>
            </w:pPr>
            <w:r>
              <w:rPr>
                <w:b/>
              </w:rPr>
              <w:t>Successors and Assigns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shall be binding upon and shall inure to the benefit of and be enforceable by and against the Parties and their respective heirs, executors, legal representatives, successors, assigns and permitted transferees.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19.</w:t>
            </w:r>
          </w:p>
        </w:tc>
        <w:tc>
          <w:tcPr>
            <w:tcW w:w="9390" w:type="dxa"/>
            <w:tcBorders/>
            <w:shd w:fill="auto" w:val="clear"/>
          </w:tcPr>
          <w:p>
            <w:pPr>
              <w:pStyle w:val="TableContents"/>
              <w:spacing w:before="0" w:after="283"/>
              <w:jc w:val="left"/>
              <w:rPr>
                <w:b/>
              </w:rPr>
            </w:pPr>
            <w:r>
              <w:rPr>
                <w:b/>
              </w:rPr>
              <w:t xml:space="preserve">EVIDENCE AND CALCULATIONS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19.1</w:t>
            </w:r>
          </w:p>
        </w:tc>
        <w:tc>
          <w:tcPr>
            <w:tcW w:w="9388" w:type="dxa"/>
            <w:tcBorders/>
            <w:shd w:fill="auto" w:val="clear"/>
          </w:tcPr>
          <w:p>
            <w:pPr>
              <w:pStyle w:val="TableContents"/>
              <w:spacing w:before="0" w:after="283"/>
              <w:jc w:val="left"/>
              <w:rPr/>
            </w:pPr>
            <w:r>
              <w:rPr>
                <w:b/>
              </w:rPr>
              <w:t>Accounts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Accounts maintained by the Pledgee in connection with this Deed are, in the absence of a manifest error, prima facie evidence of the matters to which they relate for the purpose of any litigation or arbitration proceedings.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19.2</w:t>
            </w:r>
          </w:p>
        </w:tc>
        <w:tc>
          <w:tcPr>
            <w:tcW w:w="9389" w:type="dxa"/>
            <w:tcBorders/>
            <w:shd w:fill="auto" w:val="clear"/>
          </w:tcPr>
          <w:p>
            <w:pPr>
              <w:pStyle w:val="TableContents"/>
              <w:spacing w:before="0" w:after="283"/>
              <w:jc w:val="left"/>
              <w:rPr/>
            </w:pPr>
            <w:r>
              <w:rPr>
                <w:b/>
              </w:rPr>
              <w:t>Certificates and determinations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certification or determination by the Pledgee of a rate or amount under the Security Documents will be, in the absence of manifest error, conclusive evidence of the matters to which it relates.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20.</w:t>
            </w:r>
          </w:p>
        </w:tc>
        <w:tc>
          <w:tcPr>
            <w:tcW w:w="9388" w:type="dxa"/>
            <w:tcBorders/>
            <w:shd w:fill="auto" w:val="clear"/>
          </w:tcPr>
          <w:p>
            <w:pPr>
              <w:pStyle w:val="TableContents"/>
              <w:spacing w:before="0" w:after="283"/>
              <w:jc w:val="left"/>
              <w:rPr>
                <w:b/>
              </w:rPr>
            </w:pPr>
            <w:r>
              <w:rPr>
                <w:b/>
              </w:rPr>
              <w:t xml:space="preserve">NOTICES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20.1</w:t>
            </w:r>
          </w:p>
        </w:tc>
        <w:tc>
          <w:tcPr>
            <w:tcW w:w="9388" w:type="dxa"/>
            <w:tcBorders/>
            <w:shd w:fill="auto" w:val="clear"/>
          </w:tcPr>
          <w:p>
            <w:pPr>
              <w:pStyle w:val="TableContents"/>
              <w:spacing w:before="0" w:after="283"/>
              <w:jc w:val="left"/>
              <w:rPr/>
            </w:pPr>
            <w:r>
              <w:rPr>
                <w:b/>
              </w:rPr>
              <w:t>In writing</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(a)</w:t>
            </w:r>
          </w:p>
        </w:tc>
        <w:tc>
          <w:tcPr>
            <w:tcW w:w="8476" w:type="dxa"/>
            <w:tcBorders/>
            <w:shd w:fill="auto" w:val="clear"/>
          </w:tcPr>
          <w:p>
            <w:pPr>
              <w:pStyle w:val="TableContents"/>
              <w:spacing w:before="0" w:after="283"/>
              <w:jc w:val="left"/>
              <w:rPr/>
            </w:pPr>
            <w:r>
              <w:rPr/>
              <w:t xml:space="preserve">Any communication in connection with this Deed must be in writing and, unless otherwise stated, may be given in person, by international courier service, by fax or email.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Unless it is agreed to the contrary, any consent or agreement required under this Deed must be given in writing.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20.2</w:t>
            </w:r>
          </w:p>
        </w:tc>
        <w:tc>
          <w:tcPr>
            <w:tcW w:w="9390" w:type="dxa"/>
            <w:tcBorders/>
            <w:shd w:fill="auto" w:val="clear"/>
          </w:tcPr>
          <w:p>
            <w:pPr>
              <w:pStyle w:val="TableContents"/>
              <w:spacing w:before="0" w:after="283"/>
              <w:jc w:val="left"/>
              <w:rPr/>
            </w:pPr>
            <w:r>
              <w:rPr>
                <w:b/>
              </w:rPr>
              <w:t>Contact details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contact details of the Pledgor for all notices in connection with this Deed are: </w:t>
            </w:r>
          </w:p>
        </w:tc>
      </w:tr>
    </w:tbl>
    <w:p>
      <w:pPr>
        <w:pStyle w:val="TextBody"/>
        <w:spacing w:before="120" w:after="0"/>
        <w:rPr>
          <w:rFonts w:ascii="Times New Roman" w:hAnsi="Times New Roman"/>
          <w:sz w:val="20"/>
        </w:rPr>
      </w:pPr>
      <w:r>
        <w:rPr>
          <w:rFonts w:ascii="Times New Roman" w:hAnsi="Times New Roman"/>
          <w:sz w:val="20"/>
        </w:rPr>
        <w:t xml:space="preserve">Address: 54, Akademika Iljushina Street 4, block 1, Moscow, Russian Federation </w:t>
      </w:r>
    </w:p>
    <w:p>
      <w:pPr>
        <w:pStyle w:val="TextBody"/>
        <w:spacing w:before="120" w:after="0"/>
        <w:rPr>
          <w:rFonts w:ascii="Times New Roman" w:hAnsi="Times New Roman"/>
          <w:sz w:val="20"/>
        </w:rPr>
      </w:pPr>
      <w:r>
        <w:rPr>
          <w:rFonts w:ascii="Times New Roman" w:hAnsi="Times New Roman"/>
          <w:sz w:val="20"/>
        </w:rPr>
        <w:t xml:space="preserve">Email: Karen.agayan@arpartners.ru </w:t>
      </w:r>
    </w:p>
    <w:p>
      <w:pPr>
        <w:pStyle w:val="TextBody"/>
        <w:spacing w:before="120" w:after="0"/>
        <w:rPr>
          <w:rFonts w:ascii="Times New Roman" w:hAnsi="Times New Roman"/>
          <w:sz w:val="20"/>
        </w:rPr>
      </w:pPr>
      <w:r>
        <w:rPr>
          <w:rFonts w:ascii="Times New Roman" w:hAnsi="Times New Roman"/>
          <w:sz w:val="20"/>
        </w:rPr>
        <w:t xml:space="preserve">Fax: +7 (495) 974-64-27 </w:t>
      </w:r>
    </w:p>
    <w:p>
      <w:pPr>
        <w:pStyle w:val="TextBody"/>
        <w:spacing w:before="120" w:after="0"/>
        <w:rPr>
          <w:rFonts w:ascii="Times New Roman" w:hAnsi="Times New Roman"/>
          <w:sz w:val="20"/>
        </w:rPr>
      </w:pPr>
      <w:r>
        <w:rPr>
          <w:rFonts w:ascii="Times New Roman" w:hAnsi="Times New Roman"/>
          <w:sz w:val="20"/>
        </w:rPr>
        <w:t xml:space="preserve">Attention: Karen Agayan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contact details of the Pledgee for all notices in connection with this Deed are: </w:t>
            </w:r>
          </w:p>
        </w:tc>
      </w:tr>
    </w:tbl>
    <w:p>
      <w:pPr>
        <w:pStyle w:val="TextBody"/>
        <w:spacing w:before="120" w:after="0"/>
        <w:rPr>
          <w:rFonts w:ascii="Times New Roman" w:hAnsi="Times New Roman"/>
          <w:sz w:val="20"/>
        </w:rPr>
      </w:pPr>
      <w:r>
        <w:rPr>
          <w:rFonts w:ascii="Times New Roman" w:hAnsi="Times New Roman"/>
          <w:sz w:val="20"/>
        </w:rPr>
        <w:t xml:space="preserve">Address: Ul. Bolshaya Morskaya, 29, St. Petersburg 190000, Russia </w:t>
      </w:r>
    </w:p>
    <w:p>
      <w:pPr>
        <w:pStyle w:val="TextBody"/>
        <w:spacing w:before="120" w:after="0"/>
        <w:rPr>
          <w:rFonts w:ascii="Times New Roman" w:hAnsi="Times New Roman"/>
          <w:sz w:val="20"/>
        </w:rPr>
      </w:pPr>
      <w:r>
        <w:rPr>
          <w:rFonts w:ascii="Times New Roman" w:hAnsi="Times New Roman"/>
          <w:sz w:val="20"/>
        </w:rPr>
        <w:t xml:space="preserve">Email: loanadmin@msk.vtb.ru, TM21@msk.vtb.ru </w:t>
      </w:r>
    </w:p>
    <w:p>
      <w:pPr>
        <w:pStyle w:val="TextBody"/>
        <w:spacing w:before="120" w:after="0"/>
        <w:rPr>
          <w:rFonts w:ascii="Times New Roman" w:hAnsi="Times New Roman"/>
          <w:sz w:val="20"/>
        </w:rPr>
      </w:pPr>
      <w:r>
        <w:rPr>
          <w:rFonts w:ascii="Times New Roman" w:hAnsi="Times New Roman"/>
          <w:sz w:val="20"/>
        </w:rPr>
        <w:t xml:space="preserve">Fax: +7 (495) 775-54-54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Attention: Loan administration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Any Party may change its contact details by giving five Business Days’ notice to the other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20.3</w:t>
            </w:r>
          </w:p>
        </w:tc>
        <w:tc>
          <w:tcPr>
            <w:tcW w:w="9389" w:type="dxa"/>
            <w:tcBorders/>
            <w:shd w:fill="auto" w:val="clear"/>
          </w:tcPr>
          <w:p>
            <w:pPr>
              <w:pStyle w:val="TableContents"/>
              <w:spacing w:before="0" w:after="283"/>
              <w:jc w:val="left"/>
              <w:rPr/>
            </w:pPr>
            <w:r>
              <w:rPr>
                <w:b/>
              </w:rPr>
              <w:t>Effectiveness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(a)</w:t>
            </w:r>
          </w:p>
        </w:tc>
        <w:tc>
          <w:tcPr>
            <w:tcW w:w="8476" w:type="dxa"/>
            <w:tcBorders/>
            <w:shd w:fill="auto" w:val="clear"/>
          </w:tcPr>
          <w:p>
            <w:pPr>
              <w:pStyle w:val="TableContents"/>
              <w:spacing w:before="0" w:after="283"/>
              <w:jc w:val="left"/>
              <w:rPr/>
            </w:pPr>
            <w:r>
              <w:rPr/>
              <w:t xml:space="preserve">Any communication in connection with this Deed will be deemed to be given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if sent by fax or by other means allowing to determine that the message is sent by the Party to this Deed—upon receipt in eligible form;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if delivered in person or sent by an international courier service, at the time of delivery.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 communication given under paragraph (a) above but received on a non-working day or after business hours in the place of receipt will only be deemed to be given on the next working day in that place.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20.4</w:t>
            </w:r>
          </w:p>
        </w:tc>
        <w:tc>
          <w:tcPr>
            <w:tcW w:w="9389" w:type="dxa"/>
            <w:tcBorders/>
            <w:shd w:fill="auto" w:val="clear"/>
          </w:tcPr>
          <w:p>
            <w:pPr>
              <w:pStyle w:val="TableContents"/>
              <w:spacing w:before="0" w:after="283"/>
              <w:jc w:val="left"/>
              <w:rPr/>
            </w:pPr>
            <w:r>
              <w:rPr>
                <w:b/>
              </w:rPr>
              <w:t>LANGUAGE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notice given in connection with this Deed must be in English.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21.</w:t>
            </w:r>
          </w:p>
        </w:tc>
        <w:tc>
          <w:tcPr>
            <w:tcW w:w="9390" w:type="dxa"/>
            <w:tcBorders/>
            <w:shd w:fill="auto" w:val="clear"/>
          </w:tcPr>
          <w:p>
            <w:pPr>
              <w:pStyle w:val="TableContents"/>
              <w:spacing w:before="0" w:after="283"/>
              <w:jc w:val="left"/>
              <w:rPr>
                <w:b/>
              </w:rPr>
            </w:pPr>
            <w:r>
              <w:rPr>
                <w:b/>
              </w:rPr>
              <w:t xml:space="preserve">SEVERABILITY </w:t>
            </w:r>
          </w:p>
        </w:tc>
      </w:tr>
    </w:tbl>
    <w:p>
      <w:pPr>
        <w:pStyle w:val="TextBody"/>
        <w:spacing w:before="120" w:after="0"/>
        <w:rPr>
          <w:rFonts w:ascii="Times New Roman" w:hAnsi="Times New Roman"/>
          <w:sz w:val="20"/>
        </w:rPr>
      </w:pPr>
      <w:r>
        <w:rPr>
          <w:rFonts w:ascii="Times New Roman" w:hAnsi="Times New Roman"/>
          <w:sz w:val="20"/>
        </w:rPr>
        <w:t xml:space="preserve">If a term of this Deed is or becomes illegal, invalid or unenforceable in any respect under any jurisdiction, that will not affect: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legality, validity or enforceability in that jurisdiction of any other term of this Deed;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legality, validity or enforceability in any other jurisdiction of that or any other term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22.</w:t>
            </w:r>
          </w:p>
        </w:tc>
        <w:tc>
          <w:tcPr>
            <w:tcW w:w="9389" w:type="dxa"/>
            <w:tcBorders/>
            <w:shd w:fill="auto" w:val="clear"/>
          </w:tcPr>
          <w:p>
            <w:pPr>
              <w:pStyle w:val="TableContents"/>
              <w:spacing w:before="0" w:after="283"/>
              <w:jc w:val="left"/>
              <w:rPr>
                <w:b/>
              </w:rPr>
            </w:pPr>
            <w:r>
              <w:rPr>
                <w:b/>
              </w:rPr>
              <w:t xml:space="preserve">WAIVERS AND REMEDIES CUMULATIVE </w:t>
            </w:r>
          </w:p>
        </w:tc>
      </w:tr>
    </w:tbl>
    <w:p>
      <w:pPr>
        <w:pStyle w:val="TextBody"/>
        <w:spacing w:before="120" w:after="0"/>
        <w:rPr>
          <w:rFonts w:ascii="Times New Roman" w:hAnsi="Times New Roman"/>
          <w:sz w:val="20"/>
        </w:rPr>
      </w:pPr>
      <w:r>
        <w:rPr>
          <w:rFonts w:ascii="Times New Roman" w:hAnsi="Times New Roman"/>
          <w:sz w:val="20"/>
        </w:rPr>
        <w:t xml:space="preserve">The rights of the Pledgee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may be exercised as often as necessary;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are cumulative and not exclusive of its rights under the general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may be waived only in writing and specifically. </w:t>
            </w:r>
          </w:p>
        </w:tc>
      </w:tr>
    </w:tbl>
    <w:p>
      <w:pPr>
        <w:pStyle w:val="TextBody"/>
        <w:spacing w:before="120" w:after="0"/>
        <w:rPr>
          <w:rFonts w:ascii="Times New Roman" w:hAnsi="Times New Roman"/>
          <w:sz w:val="20"/>
        </w:rPr>
      </w:pPr>
      <w:r>
        <w:rPr>
          <w:rFonts w:ascii="Times New Roman" w:hAnsi="Times New Roman"/>
          <w:sz w:val="20"/>
        </w:rPr>
        <w:t xml:space="preserve">Delay in exercising or non-exercise of any right is not a waiver of that right.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23.</w:t>
            </w:r>
          </w:p>
        </w:tc>
        <w:tc>
          <w:tcPr>
            <w:tcW w:w="9388"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Deed may be executed in any number of counterparts. This has the same effect as if the signatures on the counterparts were on a single copy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24.</w:t>
            </w:r>
          </w:p>
        </w:tc>
        <w:tc>
          <w:tcPr>
            <w:tcW w:w="9390" w:type="dxa"/>
            <w:tcBorders/>
            <w:shd w:fill="auto" w:val="clear"/>
          </w:tcPr>
          <w:p>
            <w:pPr>
              <w:pStyle w:val="TableContents"/>
              <w:spacing w:before="0" w:after="283"/>
              <w:jc w:val="left"/>
              <w:rPr>
                <w:b/>
              </w:rPr>
            </w:pPr>
            <w:r>
              <w:rPr>
                <w:b/>
              </w:rPr>
              <w:t xml:space="preserve">GOVERNING LAW </w:t>
            </w:r>
          </w:p>
        </w:tc>
      </w:tr>
    </w:tbl>
    <w:p>
      <w:pPr>
        <w:pStyle w:val="TextBody"/>
        <w:spacing w:before="120" w:after="0"/>
        <w:rPr>
          <w:rFonts w:ascii="Times New Roman" w:hAnsi="Times New Roman"/>
          <w:sz w:val="20"/>
        </w:rPr>
      </w:pPr>
      <w:r>
        <w:rPr>
          <w:rFonts w:ascii="Times New Roman" w:hAnsi="Times New Roman"/>
          <w:sz w:val="20"/>
        </w:rPr>
        <w:t xml:space="preserve">This Deed is governed by Cyprus law.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25.</w:t>
            </w:r>
          </w:p>
        </w:tc>
        <w:tc>
          <w:tcPr>
            <w:tcW w:w="9389" w:type="dxa"/>
            <w:tcBorders/>
            <w:shd w:fill="auto" w:val="clear"/>
          </w:tcPr>
          <w:p>
            <w:pPr>
              <w:pStyle w:val="TableContents"/>
              <w:spacing w:before="0" w:after="283"/>
              <w:jc w:val="left"/>
              <w:rPr>
                <w:b/>
              </w:rPr>
            </w:pPr>
            <w:r>
              <w:rPr>
                <w:b/>
              </w:rPr>
              <w:t xml:space="preserve">ENFORCEMENT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25.1</w:t>
            </w:r>
          </w:p>
        </w:tc>
        <w:tc>
          <w:tcPr>
            <w:tcW w:w="9389" w:type="dxa"/>
            <w:tcBorders/>
            <w:shd w:fill="auto" w:val="clear"/>
          </w:tcPr>
          <w:p>
            <w:pPr>
              <w:pStyle w:val="TableContents"/>
              <w:spacing w:before="0" w:after="283"/>
              <w:jc w:val="left"/>
              <w:rPr/>
            </w:pPr>
            <w:r>
              <w:rPr>
                <w:b/>
              </w:rPr>
              <w:t>Jurisdiction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courts of the Republic of Cyprus have exclusive jurisdiction to settle any dispute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courts of the Republic of Cyprus are the most appropriate and convenient courts to settle any such dispute in connection with this Deed. The Pledgor agrees not to argue to the contrary and waives objection to those courts on the grounds of inconvenient forum or otherwise in relation to proceedings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References in this Clause to a dispute in connection with this Deed includes any dispute as to the existence, validity or termination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25.2</w:t>
            </w:r>
          </w:p>
        </w:tc>
        <w:tc>
          <w:tcPr>
            <w:tcW w:w="9388" w:type="dxa"/>
            <w:tcBorders/>
            <w:shd w:fill="auto" w:val="clear"/>
          </w:tcPr>
          <w:p>
            <w:pPr>
              <w:pStyle w:val="TableContents"/>
              <w:spacing w:before="0" w:after="283"/>
              <w:jc w:val="left"/>
              <w:rPr/>
            </w:pPr>
            <w:r>
              <w:rPr>
                <w:b/>
              </w:rPr>
              <w:t>Waiver of immunity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agrees not to claim any immunity from proceedings brought by the Pledgee against it in relation to this Deed and to ensure that no such claim is made on its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consents generally to the giving of any relief or the issue of any process in connection with those proceedings;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waives all rights of immunity in respect of it or its assets. </w:t>
            </w:r>
          </w:p>
        </w:tc>
      </w:tr>
    </w:tbl>
    <w:p>
      <w:pPr>
        <w:pStyle w:val="TextBody"/>
        <w:spacing w:before="240" w:after="0"/>
        <w:rPr>
          <w:rFonts w:ascii="Times New Roman" w:hAnsi="Times New Roman"/>
          <w:sz w:val="20"/>
        </w:rPr>
      </w:pPr>
      <w:r>
        <w:rPr>
          <w:rFonts w:ascii="Times New Roman" w:hAnsi="Times New Roman"/>
          <w:b/>
          <w:sz w:val="20"/>
        </w:rPr>
        <w:t xml:space="preserve">IN WITNESS WHEREOF </w:t>
      </w:r>
      <w:r>
        <w:rPr>
          <w:rFonts w:ascii="Times New Roman" w:hAnsi="Times New Roman"/>
          <w:sz w:val="20"/>
        </w:rPr>
        <w:t xml:space="preserve">this Deed has been executed and delivered on the date stated at the beginning of this Deed.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1 </w:t>
      </w:r>
    </w:p>
    <w:p>
      <w:pPr>
        <w:pStyle w:val="TextBody"/>
        <w:spacing w:before="240" w:after="0"/>
        <w:jc w:val="center"/>
        <w:rPr>
          <w:rFonts w:ascii="Times New Roman" w:hAnsi="Times New Roman"/>
          <w:b/>
          <w:sz w:val="20"/>
        </w:rPr>
      </w:pPr>
      <w:r>
        <w:rPr>
          <w:rFonts w:ascii="Times New Roman" w:hAnsi="Times New Roman"/>
          <w:b/>
          <w:sz w:val="20"/>
        </w:rPr>
        <w:t xml:space="preserve">INSTRUMENT OF TRANSFER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54"/>
        <w:gridCol w:w="204"/>
        <w:gridCol w:w="7246"/>
      </w:tblGrid>
      <w:tr>
        <w:trPr/>
        <w:tc>
          <w:tcPr>
            <w:tcW w:w="275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7246" w:type="dxa"/>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of the Company</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b/>
                <w:sz w:val="20"/>
              </w:rPr>
              <w:t xml:space="preserve">ZEMENIK TRADING LIMITED </w:t>
            </w:r>
            <w:r>
              <w:rPr>
                <w:rFonts w:ascii="Times New Roman" w:hAnsi="Times New Roman"/>
                <w:sz w:val="20"/>
              </w:rPr>
              <w:t>(registered number: HE 332806) (the “</w:t>
            </w:r>
            <w:r>
              <w:rPr>
                <w:rFonts w:ascii="Times New Roman" w:hAnsi="Times New Roman"/>
                <w:b/>
                <w:sz w:val="20"/>
              </w:rPr>
              <w:t>Company</w:t>
            </w:r>
            <w:r>
              <w:rPr>
                <w:rFonts w:ascii="Times New Roman" w:hAnsi="Times New Roman"/>
                <w:sz w:val="20"/>
              </w:rPr>
              <w:t>)</w:t>
            </w:r>
          </w:p>
        </w:tc>
      </w:tr>
      <w:tr>
        <w:trPr>
          <w:trHeight w:val="120" w:hRule="atLeast"/>
        </w:trPr>
        <w:tc>
          <w:tcPr>
            <w:tcW w:w="2754" w:type="dxa"/>
            <w:tcBorders/>
            <w:shd w:fill="auto" w:val="clear"/>
            <w:vAlign w:val="center"/>
          </w:tcPr>
          <w:p>
            <w:pPr>
              <w:pStyle w:val="TableContents"/>
              <w:spacing w:before="0" w:after="283"/>
              <w:rPr>
                <w:sz w:val="4"/>
                <w:szCs w:val="4"/>
              </w:rPr>
            </w:pPr>
            <w:r>
              <w:rPr>
                <w:sz w:val="4"/>
                <w:szCs w:val="4"/>
              </w:rPr>
            </w:r>
          </w:p>
        </w:tc>
        <w:tc>
          <w:tcPr>
            <w:tcW w:w="7450" w:type="dxa"/>
            <w:gridSpan w:val="2"/>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and address of Transferor</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OF PLEDGOR] of [ADDRESS] (the “</w:t>
            </w:r>
            <w:r>
              <w:rPr>
                <w:rFonts w:ascii="Times New Roman" w:hAnsi="Times New Roman"/>
                <w:b/>
                <w:sz w:val="20"/>
              </w:rPr>
              <w:t>Transferor</w:t>
            </w:r>
            <w:r>
              <w:rPr>
                <w:rFonts w:ascii="Times New Roman" w:hAnsi="Times New Roman"/>
                <w:sz w:val="20"/>
              </w:rPr>
              <w:t>”)</w:t>
            </w:r>
          </w:p>
        </w:tc>
      </w:tr>
      <w:tr>
        <w:trPr>
          <w:trHeight w:val="120" w:hRule="atLeast"/>
        </w:trPr>
        <w:tc>
          <w:tcPr>
            <w:tcW w:w="2754" w:type="dxa"/>
            <w:tcBorders/>
            <w:shd w:fill="auto" w:val="clear"/>
            <w:vAlign w:val="center"/>
          </w:tcPr>
          <w:p>
            <w:pPr>
              <w:pStyle w:val="TableContents"/>
              <w:spacing w:before="0" w:after="283"/>
              <w:rPr>
                <w:sz w:val="4"/>
                <w:szCs w:val="4"/>
              </w:rPr>
            </w:pPr>
            <w:r>
              <w:rPr>
                <w:sz w:val="4"/>
                <w:szCs w:val="4"/>
              </w:rPr>
            </w:r>
          </w:p>
        </w:tc>
        <w:tc>
          <w:tcPr>
            <w:tcW w:w="7450" w:type="dxa"/>
            <w:gridSpan w:val="2"/>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and address of Transferee</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(the “</w:t>
            </w:r>
            <w:r>
              <w:rPr>
                <w:rFonts w:ascii="Times New Roman" w:hAnsi="Times New Roman"/>
                <w:b/>
                <w:sz w:val="20"/>
              </w:rPr>
              <w:t>Transferee</w:t>
            </w:r>
            <w:r>
              <w:rPr>
                <w:rFonts w:ascii="Times New Roman" w:hAnsi="Times New Roman"/>
                <w:sz w:val="20"/>
              </w:rPr>
              <w:t>”)</w:t>
            </w:r>
          </w:p>
        </w:tc>
      </w:tr>
      <w:tr>
        <w:trPr>
          <w:trHeight w:val="120" w:hRule="atLeast"/>
        </w:trPr>
        <w:tc>
          <w:tcPr>
            <w:tcW w:w="2754" w:type="dxa"/>
            <w:tcBorders/>
            <w:shd w:fill="auto" w:val="clear"/>
            <w:vAlign w:val="center"/>
          </w:tcPr>
          <w:p>
            <w:pPr>
              <w:pStyle w:val="TableContents"/>
              <w:spacing w:before="0" w:after="283"/>
              <w:rPr>
                <w:sz w:val="4"/>
                <w:szCs w:val="4"/>
              </w:rPr>
            </w:pPr>
            <w:r>
              <w:rPr>
                <w:sz w:val="4"/>
                <w:szCs w:val="4"/>
              </w:rPr>
            </w:r>
          </w:p>
        </w:tc>
        <w:tc>
          <w:tcPr>
            <w:tcW w:w="7450" w:type="dxa"/>
            <w:gridSpan w:val="2"/>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Number, Class and Denomination of Shares</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 ? ] [ordinary] shares of [ ? ] each (the “</w:t>
            </w:r>
            <w:r>
              <w:rPr>
                <w:rFonts w:ascii="Times New Roman" w:hAnsi="Times New Roman"/>
                <w:b/>
                <w:sz w:val="20"/>
              </w:rPr>
              <w:t>Shares</w:t>
            </w:r>
            <w:r>
              <w:rPr>
                <w:rFonts w:ascii="Times New Roman" w:hAnsi="Times New Roman"/>
                <w:sz w:val="20"/>
              </w:rPr>
              <w:t>”)</w:t>
            </w:r>
          </w:p>
        </w:tc>
      </w:tr>
      <w:tr>
        <w:trPr>
          <w:trHeight w:val="120" w:hRule="atLeast"/>
        </w:trPr>
        <w:tc>
          <w:tcPr>
            <w:tcW w:w="2754" w:type="dxa"/>
            <w:tcBorders/>
            <w:shd w:fill="auto" w:val="clear"/>
            <w:vAlign w:val="center"/>
          </w:tcPr>
          <w:p>
            <w:pPr>
              <w:pStyle w:val="TableContents"/>
              <w:spacing w:before="0" w:after="283"/>
              <w:rPr>
                <w:sz w:val="4"/>
                <w:szCs w:val="4"/>
              </w:rPr>
            </w:pPr>
            <w:r>
              <w:rPr>
                <w:sz w:val="4"/>
                <w:szCs w:val="4"/>
              </w:rPr>
            </w:r>
          </w:p>
        </w:tc>
        <w:tc>
          <w:tcPr>
            <w:tcW w:w="7450" w:type="dxa"/>
            <w:gridSpan w:val="2"/>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Distinctive Numbers of Shares</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 ? ] to [ ? ] inclusive</w:t>
            </w:r>
          </w:p>
        </w:tc>
      </w:tr>
    </w:tbl>
    <w:p>
      <w:pPr>
        <w:pStyle w:val="TextBody"/>
        <w:spacing w:before="240" w:after="0"/>
        <w:rPr>
          <w:rFonts w:ascii="Times New Roman" w:hAnsi="Times New Roman"/>
          <w:sz w:val="20"/>
        </w:rPr>
      </w:pPr>
      <w:r>
        <w:rPr>
          <w:rFonts w:ascii="Times New Roman" w:hAnsi="Times New Roman"/>
          <w:sz w:val="20"/>
        </w:rPr>
        <w:t xml:space="preserve">We, the Transferor, in consideration of the sum of €1.71 (one Euro) and other good and valuable consideration paid to us by the Transferee (the sufficiency of which we hereby acknowledge), do hereby transfer to the Transferee the Shares in the Company, so that the Transferee, its executors, administrators, successor and assigns, can hold the same subject to the terms and conditions on which we held the Shares at the time of execution of this Instrument. </w:t>
      </w:r>
    </w:p>
    <w:p>
      <w:pPr>
        <w:pStyle w:val="TextBody"/>
        <w:spacing w:before="240" w:after="0"/>
        <w:rPr>
          <w:rFonts w:ascii="Times New Roman" w:hAnsi="Times New Roman"/>
          <w:sz w:val="20"/>
        </w:rPr>
      </w:pPr>
      <w:r>
        <w:rPr>
          <w:rFonts w:ascii="Times New Roman" w:hAnsi="Times New Roman"/>
          <w:sz w:val="20"/>
        </w:rPr>
        <w:t xml:space="preserve">In witness whereof we have caused this Instrument to be executed on [DATE] </w:t>
      </w:r>
    </w:p>
    <w:tbl>
      <w:tblPr>
        <w:tblW w:w="5000" w:type="pct"/>
        <w:jc w:val="center"/>
        <w:tblInd w:w="0" w:type="dxa"/>
        <w:tblBorders/>
        <w:tblCellMar>
          <w:top w:w="0" w:type="dxa"/>
          <w:left w:w="0" w:type="dxa"/>
          <w:bottom w:w="0" w:type="dxa"/>
          <w:right w:w="0" w:type="dxa"/>
        </w:tblCellMar>
      </w:tblPr>
      <w:tblGrid>
        <w:gridCol w:w="5205"/>
        <w:gridCol w:w="203"/>
        <w:gridCol w:w="4796"/>
      </w:tblGrid>
      <w:tr>
        <w:trPr/>
        <w:tc>
          <w:tcPr>
            <w:tcW w:w="5205"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6"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SIGNED as a DEED</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 xml:space="preserve">by </w:t>
            </w:r>
            <w:r>
              <w:rPr>
                <w:b/>
              </w:rPr>
              <w:t>[NAME OF THE PLEDGOR]</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[acting by its authorised attorney/director/signatory]</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[NAME]]</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in the presence of:</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rHeight w:val="24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Witness’s Signature: </w:t>
            </w:r>
            <w:r>
              <w:rPr>
                <w:u w:val="single"/>
              </w:rPr>
              <w:t>                                           </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Name: </w:t>
            </w:r>
            <w:r>
              <w:rPr>
                <w:u w:val="single"/>
              </w:rPr>
              <w:t>                                                                 </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sz w:val="4"/>
                <w:szCs w:val="4"/>
              </w:rPr>
            </w:pPr>
            <w:r>
              <w:rPr>
                <w:sz w:val="4"/>
                <w:szCs w:val="4"/>
              </w:rPr>
            </w:r>
          </w:p>
        </w:tc>
      </w:tr>
    </w:tbl>
    <w:p>
      <w:pPr>
        <w:pStyle w:val="TextBody"/>
        <w:spacing w:before="240" w:after="0"/>
        <w:rPr>
          <w:rFonts w:ascii="Times New Roman" w:hAnsi="Times New Roman"/>
          <w:sz w:val="20"/>
        </w:rPr>
      </w:pPr>
      <w:r>
        <w:rPr>
          <w:rFonts w:ascii="Times New Roman" w:hAnsi="Times New Roman"/>
          <w:sz w:val="20"/>
        </w:rPr>
        <w:t xml:space="preserve">AND we, the Transferee, do hereby agree to accept and take the Shares subject to the terms and conditions aforesaid and have caused this Instrument to be executed on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19"/>
        <w:gridCol w:w="122"/>
        <w:gridCol w:w="3219"/>
        <w:gridCol w:w="122"/>
        <w:gridCol w:w="2923"/>
      </w:tblGrid>
      <w:tr>
        <w:trPr/>
        <w:tc>
          <w:tcPr>
            <w:tcW w:w="3819" w:type="dxa"/>
            <w:tcBorders/>
            <w:shd w:fill="auto" w:val="clear"/>
            <w:vAlign w:val="cente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sz w:val="4"/>
                <w:szCs w:val="4"/>
              </w:rPr>
            </w:pPr>
            <w:r>
              <w:rPr>
                <w:sz w:val="4"/>
                <w:szCs w:val="4"/>
              </w:rPr>
            </w:r>
          </w:p>
        </w:tc>
        <w:tc>
          <w:tcPr>
            <w:tcW w:w="3219" w:type="dxa"/>
            <w:tcBorders/>
            <w:shd w:fill="auto" w:val="clear"/>
            <w:vAlign w:val="cente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sz w:val="4"/>
                <w:szCs w:val="4"/>
              </w:rPr>
            </w:pPr>
            <w:r>
              <w:rPr>
                <w:sz w:val="4"/>
                <w:szCs w:val="4"/>
              </w:rPr>
            </w:r>
          </w:p>
        </w:tc>
        <w:tc>
          <w:tcPr>
            <w:tcW w:w="2923" w:type="dxa"/>
            <w:tcBorders/>
            <w:shd w:fill="auto" w:val="clear"/>
            <w:vAlign w:val="center"/>
          </w:tcPr>
          <w:p>
            <w:pPr>
              <w:pStyle w:val="TableContents"/>
              <w:spacing w:before="0" w:after="283"/>
              <w:rPr>
                <w:sz w:val="4"/>
                <w:szCs w:val="4"/>
              </w:rPr>
            </w:pPr>
            <w:r>
              <w:rPr>
                <w:sz w:val="4"/>
                <w:szCs w:val="4"/>
              </w:rPr>
            </w:r>
          </w:p>
        </w:tc>
      </w:tr>
      <w:tr>
        <w:trPr/>
        <w:tc>
          <w:tcPr>
            <w:tcW w:w="3819" w:type="dxa"/>
            <w:tcBorders/>
            <w:shd w:fill="auto" w:val="clear"/>
          </w:tcPr>
          <w:p>
            <w:pPr>
              <w:pStyle w:val="TableContents"/>
              <w:spacing w:before="0" w:after="283"/>
              <w:rPr/>
            </w:pPr>
            <w:r>
              <w:rPr/>
              <w:t>SIGNED as a DEED</w:t>
            </w:r>
          </w:p>
        </w:tc>
        <w:tc>
          <w:tcPr>
            <w:tcW w:w="122" w:type="dxa"/>
            <w:tcBorders/>
            <w:shd w:fill="auto" w:val="clear"/>
            <w:vAlign w:val="bottom"/>
          </w:tcPr>
          <w:p>
            <w:pPr>
              <w:pStyle w:val="TableContents"/>
              <w:spacing w:before="0" w:after="283"/>
              <w:rPr/>
            </w:pPr>
            <w:r>
              <w:rPr/>
              <w:t>  </w:t>
            </w:r>
          </w:p>
        </w:tc>
        <w:tc>
          <w:tcPr>
            <w:tcW w:w="3219" w:type="dxa"/>
            <w:tcBorders/>
            <w:shd w:fill="auto" w:val="clear"/>
          </w:tcPr>
          <w:p>
            <w:pPr>
              <w:pStyle w:val="TableContents"/>
              <w:spacing w:before="0" w:after="283"/>
              <w:rPr/>
            </w:pPr>
            <w:r>
              <w:rPr/>
              <w:t>)</w:t>
            </w:r>
          </w:p>
        </w:tc>
        <w:tc>
          <w:tcPr>
            <w:tcW w:w="122" w:type="dxa"/>
            <w:tcBorders/>
            <w:shd w:fill="auto" w:val="clear"/>
            <w:vAlign w:val="bottom"/>
          </w:tcPr>
          <w:p>
            <w:pPr>
              <w:pStyle w:val="TableContents"/>
              <w:spacing w:before="0" w:after="283"/>
              <w:rPr/>
            </w:pPr>
            <w:r>
              <w:rPr/>
              <w:t>  </w:t>
            </w:r>
          </w:p>
        </w:tc>
        <w:tc>
          <w:tcPr>
            <w:tcW w:w="2923" w:type="dxa"/>
            <w:tcBorders/>
            <w:shd w:fill="auto" w:val="clear"/>
          </w:tcPr>
          <w:p>
            <w:pPr>
              <w:pStyle w:val="TableContents"/>
              <w:spacing w:before="0" w:after="283"/>
              <w:rPr>
                <w:sz w:val="4"/>
                <w:szCs w:val="4"/>
              </w:rPr>
            </w:pPr>
            <w:r>
              <w:rPr>
                <w:sz w:val="4"/>
                <w:szCs w:val="4"/>
              </w:rPr>
            </w:r>
          </w:p>
        </w:tc>
      </w:tr>
      <w:tr>
        <w:trPr/>
        <w:tc>
          <w:tcPr>
            <w:tcW w:w="3819" w:type="dxa"/>
            <w:tcBorders/>
            <w:shd w:fill="auto" w:val="clear"/>
          </w:tcPr>
          <w:p>
            <w:pPr>
              <w:pStyle w:val="TableContents"/>
              <w:spacing w:before="0" w:after="283"/>
              <w:rPr/>
            </w:pPr>
            <w:r>
              <w:rPr/>
              <w:t>by</w:t>
            </w:r>
          </w:p>
        </w:tc>
        <w:tc>
          <w:tcPr>
            <w:tcW w:w="122" w:type="dxa"/>
            <w:tcBorders/>
            <w:shd w:fill="auto" w:val="clear"/>
            <w:vAlign w:val="bottom"/>
          </w:tcPr>
          <w:p>
            <w:pPr>
              <w:pStyle w:val="TableContents"/>
              <w:spacing w:before="0" w:after="283"/>
              <w:rPr/>
            </w:pPr>
            <w:r>
              <w:rPr/>
              <w:t>  </w:t>
            </w:r>
          </w:p>
        </w:tc>
        <w:tc>
          <w:tcPr>
            <w:tcW w:w="3219" w:type="dxa"/>
            <w:tcBorders/>
            <w:shd w:fill="auto" w:val="clear"/>
          </w:tcPr>
          <w:p>
            <w:pPr>
              <w:pStyle w:val="TableContents"/>
              <w:spacing w:before="0" w:after="283"/>
              <w:rPr/>
            </w:pPr>
            <w:r>
              <w:rPr/>
              <w:t>) acting by its authorised</w:t>
            </w:r>
          </w:p>
        </w:tc>
        <w:tc>
          <w:tcPr>
            <w:tcW w:w="122" w:type="dxa"/>
            <w:tcBorders/>
            <w:shd w:fill="auto" w:val="clear"/>
            <w:vAlign w:val="bottom"/>
          </w:tcPr>
          <w:p>
            <w:pPr>
              <w:pStyle w:val="TableContents"/>
              <w:spacing w:before="0" w:after="283"/>
              <w:rPr/>
            </w:pPr>
            <w:r>
              <w:rPr/>
              <w:t>  </w:t>
            </w:r>
          </w:p>
        </w:tc>
        <w:tc>
          <w:tcPr>
            <w:tcW w:w="2923" w:type="dxa"/>
            <w:tcBorders/>
            <w:shd w:fill="auto" w:val="clear"/>
          </w:tcPr>
          <w:p>
            <w:pPr>
              <w:pStyle w:val="TableContents"/>
              <w:spacing w:before="0" w:after="283"/>
              <w:rPr/>
            </w:pPr>
            <w:r>
              <w:rPr/>
              <w:t>)</w:t>
            </w:r>
          </w:p>
        </w:tc>
      </w:tr>
      <w:tr>
        <w:trPr/>
        <w:tc>
          <w:tcPr>
            <w:tcW w:w="3819" w:type="dxa"/>
            <w:tcBorders/>
            <w:shd w:fill="auto" w:val="clea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pPr>
            <w:r>
              <w:rPr/>
              <w:t>  </w:t>
            </w:r>
          </w:p>
        </w:tc>
        <w:tc>
          <w:tcPr>
            <w:tcW w:w="3219" w:type="dxa"/>
            <w:tcBorders/>
            <w:shd w:fill="auto" w:val="clear"/>
          </w:tcPr>
          <w:p>
            <w:pPr>
              <w:pStyle w:val="TableContents"/>
              <w:spacing w:before="0" w:after="283"/>
              <w:rPr/>
            </w:pPr>
            <w:r>
              <w:rPr/>
              <w:t>)</w:t>
            </w:r>
          </w:p>
        </w:tc>
        <w:tc>
          <w:tcPr>
            <w:tcW w:w="122" w:type="dxa"/>
            <w:tcBorders/>
            <w:shd w:fill="auto" w:val="clear"/>
            <w:vAlign w:val="bottom"/>
          </w:tcPr>
          <w:p>
            <w:pPr>
              <w:pStyle w:val="TableContents"/>
              <w:spacing w:before="0" w:after="283"/>
              <w:rPr/>
            </w:pPr>
            <w:r>
              <w:rPr/>
              <w:t>  </w:t>
            </w:r>
          </w:p>
        </w:tc>
        <w:tc>
          <w:tcPr>
            <w:tcW w:w="2923" w:type="dxa"/>
            <w:tcBorders/>
            <w:shd w:fill="auto" w:val="clear"/>
          </w:tcPr>
          <w:p>
            <w:pPr>
              <w:pStyle w:val="TableContents"/>
              <w:spacing w:before="0" w:after="283"/>
              <w:rPr>
                <w:sz w:val="4"/>
                <w:szCs w:val="4"/>
              </w:rPr>
            </w:pPr>
            <w:r>
              <w:rPr>
                <w:sz w:val="4"/>
                <w:szCs w:val="4"/>
              </w:rPr>
            </w:r>
          </w:p>
        </w:tc>
      </w:tr>
      <w:tr>
        <w:trPr/>
        <w:tc>
          <w:tcPr>
            <w:tcW w:w="3819" w:type="dxa"/>
            <w:tcBorders/>
            <w:shd w:fill="auto" w:val="clear"/>
          </w:tcPr>
          <w:p>
            <w:pPr>
              <w:pStyle w:val="TableContents"/>
              <w:spacing w:before="0" w:after="283"/>
              <w:rPr/>
            </w:pPr>
            <w:r>
              <w:rPr/>
              <w:t>in the presence of:</w:t>
            </w:r>
          </w:p>
        </w:tc>
        <w:tc>
          <w:tcPr>
            <w:tcW w:w="122" w:type="dxa"/>
            <w:tcBorders/>
            <w:shd w:fill="auto" w:val="clear"/>
            <w:vAlign w:val="bottom"/>
          </w:tcPr>
          <w:p>
            <w:pPr>
              <w:pStyle w:val="TableContents"/>
              <w:spacing w:before="0" w:after="283"/>
              <w:rPr/>
            </w:pPr>
            <w:r>
              <w:rPr/>
              <w:t>  </w:t>
            </w:r>
          </w:p>
        </w:tc>
        <w:tc>
          <w:tcPr>
            <w:tcW w:w="3219" w:type="dxa"/>
            <w:tcBorders/>
            <w:shd w:fill="auto" w:val="clear"/>
          </w:tcPr>
          <w:p>
            <w:pPr>
              <w:pStyle w:val="TableContents"/>
              <w:spacing w:before="0" w:after="283"/>
              <w:rPr/>
            </w:pPr>
            <w:r>
              <w:rPr/>
              <w:t>)</w:t>
            </w:r>
          </w:p>
        </w:tc>
        <w:tc>
          <w:tcPr>
            <w:tcW w:w="122" w:type="dxa"/>
            <w:tcBorders/>
            <w:shd w:fill="auto" w:val="clear"/>
            <w:vAlign w:val="bottom"/>
          </w:tcPr>
          <w:p>
            <w:pPr>
              <w:pStyle w:val="TableContents"/>
              <w:spacing w:before="0" w:after="283"/>
              <w:rPr/>
            </w:pPr>
            <w:r>
              <w:rPr/>
              <w:t>  </w:t>
            </w:r>
          </w:p>
        </w:tc>
        <w:tc>
          <w:tcPr>
            <w:tcW w:w="2923" w:type="dxa"/>
            <w:tcBorders/>
            <w:shd w:fill="auto" w:val="clear"/>
          </w:tcPr>
          <w:p>
            <w:pPr>
              <w:pStyle w:val="TableContents"/>
              <w:spacing w:before="0" w:after="283"/>
              <w:rPr>
                <w:sz w:val="4"/>
                <w:szCs w:val="4"/>
              </w:rPr>
            </w:pPr>
            <w:r>
              <w:rPr>
                <w:sz w:val="4"/>
                <w:szCs w:val="4"/>
              </w:rPr>
            </w:r>
          </w:p>
        </w:tc>
      </w:tr>
      <w:tr>
        <w:trPr>
          <w:trHeight w:val="240" w:hRule="atLeast"/>
        </w:trPr>
        <w:tc>
          <w:tcPr>
            <w:tcW w:w="3819" w:type="dxa"/>
            <w:tcBorders/>
            <w:shd w:fill="auto" w:val="clear"/>
            <w:vAlign w:val="center"/>
          </w:tcPr>
          <w:p>
            <w:pPr>
              <w:pStyle w:val="TableContents"/>
              <w:spacing w:before="0" w:after="283"/>
              <w:rPr>
                <w:sz w:val="4"/>
                <w:szCs w:val="4"/>
              </w:rPr>
            </w:pPr>
            <w:r>
              <w:rPr>
                <w:sz w:val="4"/>
                <w:szCs w:val="4"/>
              </w:rPr>
            </w:r>
          </w:p>
        </w:tc>
        <w:tc>
          <w:tcPr>
            <w:tcW w:w="3341" w:type="dxa"/>
            <w:gridSpan w:val="2"/>
            <w:tcBorders/>
            <w:shd w:fill="auto" w:val="clear"/>
            <w:vAlign w:val="center"/>
          </w:tcPr>
          <w:p>
            <w:pPr>
              <w:pStyle w:val="TableContents"/>
              <w:spacing w:before="0" w:after="283"/>
              <w:rPr>
                <w:sz w:val="4"/>
                <w:szCs w:val="4"/>
              </w:rPr>
            </w:pPr>
            <w:r>
              <w:rPr>
                <w:sz w:val="4"/>
                <w:szCs w:val="4"/>
              </w:rPr>
            </w:r>
          </w:p>
        </w:tc>
        <w:tc>
          <w:tcPr>
            <w:tcW w:w="3045" w:type="dxa"/>
            <w:gridSpan w:val="2"/>
            <w:tcBorders/>
            <w:shd w:fill="auto" w:val="clear"/>
            <w:vAlign w:val="center"/>
          </w:tcPr>
          <w:p>
            <w:pPr>
              <w:pStyle w:val="TableContents"/>
              <w:spacing w:before="0" w:after="283"/>
              <w:rPr>
                <w:sz w:val="4"/>
                <w:szCs w:val="4"/>
              </w:rPr>
            </w:pPr>
            <w:r>
              <w:rPr>
                <w:sz w:val="4"/>
                <w:szCs w:val="4"/>
              </w:rPr>
            </w:r>
          </w:p>
        </w:tc>
      </w:tr>
      <w:tr>
        <w:trPr/>
        <w:tc>
          <w:tcPr>
            <w:tcW w:w="3819" w:type="dxa"/>
            <w:tcBorders/>
            <w:shd w:fill="auto" w:val="clear"/>
          </w:tcPr>
          <w:p>
            <w:pPr>
              <w:pStyle w:val="TableContents"/>
              <w:spacing w:before="0" w:after="283"/>
              <w:rPr/>
            </w:pPr>
            <w:r>
              <w:rPr/>
              <w:t>Witness’s Signature: </w:t>
            </w:r>
            <w:r>
              <w:rPr>
                <w:u w:val="single"/>
              </w:rPr>
              <w:t>                          </w:t>
            </w:r>
          </w:p>
        </w:tc>
        <w:tc>
          <w:tcPr>
            <w:tcW w:w="122" w:type="dxa"/>
            <w:tcBorders/>
            <w:shd w:fill="auto" w:val="clear"/>
            <w:vAlign w:val="bottom"/>
          </w:tcPr>
          <w:p>
            <w:pPr>
              <w:pStyle w:val="TableContents"/>
              <w:spacing w:before="0" w:after="283"/>
              <w:rPr/>
            </w:pPr>
            <w:r>
              <w:rPr/>
              <w:t>  </w:t>
            </w:r>
          </w:p>
        </w:tc>
        <w:tc>
          <w:tcPr>
            <w:tcW w:w="3219" w:type="dxa"/>
            <w:tcBorders/>
            <w:shd w:fill="auto" w:val="clea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pPr>
            <w:r>
              <w:rPr/>
              <w:t>  </w:t>
            </w:r>
          </w:p>
        </w:tc>
        <w:tc>
          <w:tcPr>
            <w:tcW w:w="2923" w:type="dxa"/>
            <w:tcBorders/>
            <w:shd w:fill="auto" w:val="clear"/>
          </w:tcPr>
          <w:p>
            <w:pPr>
              <w:pStyle w:val="TableContents"/>
              <w:spacing w:before="0" w:after="283"/>
              <w:rPr>
                <w:sz w:val="4"/>
                <w:szCs w:val="4"/>
              </w:rPr>
            </w:pPr>
            <w:r>
              <w:rPr>
                <w:sz w:val="4"/>
                <w:szCs w:val="4"/>
              </w:rPr>
            </w:r>
          </w:p>
        </w:tc>
      </w:tr>
      <w:tr>
        <w:trPr/>
        <w:tc>
          <w:tcPr>
            <w:tcW w:w="3819" w:type="dxa"/>
            <w:tcBorders/>
            <w:shd w:fill="auto" w:val="clear"/>
          </w:tcPr>
          <w:p>
            <w:pPr>
              <w:pStyle w:val="TableContents"/>
              <w:spacing w:before="0" w:after="283"/>
              <w:rPr/>
            </w:pPr>
            <w:r>
              <w:rPr/>
              <w:t>Name: </w:t>
            </w:r>
            <w:r>
              <w:rPr>
                <w:u w:val="single"/>
              </w:rPr>
              <w:t>                                                 </w:t>
            </w:r>
          </w:p>
        </w:tc>
        <w:tc>
          <w:tcPr>
            <w:tcW w:w="122" w:type="dxa"/>
            <w:tcBorders/>
            <w:shd w:fill="auto" w:val="clear"/>
            <w:vAlign w:val="bottom"/>
          </w:tcPr>
          <w:p>
            <w:pPr>
              <w:pStyle w:val="TableContents"/>
              <w:spacing w:before="0" w:after="283"/>
              <w:rPr/>
            </w:pPr>
            <w:r>
              <w:rPr/>
              <w:t>  </w:t>
            </w:r>
          </w:p>
        </w:tc>
        <w:tc>
          <w:tcPr>
            <w:tcW w:w="3219" w:type="dxa"/>
            <w:tcBorders/>
            <w:shd w:fill="auto" w:val="clea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pPr>
            <w:r>
              <w:rPr/>
              <w:t>  </w:t>
            </w:r>
          </w:p>
        </w:tc>
        <w:tc>
          <w:tcPr>
            <w:tcW w:w="2923"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2 </w:t>
      </w:r>
    </w:p>
    <w:p>
      <w:pPr>
        <w:pStyle w:val="TextBody"/>
        <w:spacing w:before="240" w:after="0"/>
        <w:jc w:val="center"/>
        <w:rPr>
          <w:rFonts w:ascii="Times New Roman" w:hAnsi="Times New Roman"/>
          <w:b/>
          <w:sz w:val="20"/>
        </w:rPr>
      </w:pPr>
      <w:r>
        <w:rPr>
          <w:rFonts w:ascii="Times New Roman" w:hAnsi="Times New Roman"/>
          <w:b/>
          <w:sz w:val="20"/>
        </w:rPr>
        <w:t xml:space="preserve">IRREVOCABLE PROXY AND POWER OF ATTORNEY </w:t>
      </w:r>
    </w:p>
    <w:p>
      <w:pPr>
        <w:pStyle w:val="TextBody"/>
        <w:spacing w:before="240" w:after="0"/>
        <w:rPr>
          <w:rFonts w:ascii="Times New Roman" w:hAnsi="Times New Roman"/>
          <w:sz w:val="20"/>
        </w:rPr>
      </w:pPr>
      <w:r>
        <w:rPr>
          <w:rFonts w:ascii="Times New Roman" w:hAnsi="Times New Roman"/>
          <w:sz w:val="20"/>
        </w:rPr>
        <w:t>This Power of Attorney is made by way of Deed on [DATE] by [PLEDGOR], [DETAILS] (the “</w:t>
      </w:r>
      <w:r>
        <w:rPr>
          <w:rFonts w:ascii="Times New Roman" w:hAnsi="Times New Roman"/>
          <w:b/>
          <w:sz w:val="20"/>
        </w:rPr>
        <w:t>Pledgor</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w:t>
            </w:r>
          </w:p>
        </w:tc>
        <w:tc>
          <w:tcPr>
            <w:tcW w:w="9391" w:type="dxa"/>
            <w:tcBorders/>
            <w:shd w:fill="auto" w:val="clear"/>
          </w:tcPr>
          <w:p>
            <w:pPr>
              <w:pStyle w:val="TableContents"/>
              <w:spacing w:before="0" w:after="283"/>
              <w:jc w:val="left"/>
              <w:rPr>
                <w:b/>
              </w:rPr>
            </w:pPr>
            <w:r>
              <w:rPr>
                <w:b/>
              </w:rPr>
              <w:t xml:space="preserve">APPOINTMENT AND POWERS </w:t>
            </w:r>
          </w:p>
        </w:tc>
      </w:tr>
    </w:tbl>
    <w:p>
      <w:pPr>
        <w:pStyle w:val="TextBody"/>
        <w:spacing w:before="120" w:after="0"/>
        <w:rPr>
          <w:rFonts w:ascii="Times New Roman" w:hAnsi="Times New Roman"/>
          <w:sz w:val="20"/>
        </w:rPr>
      </w:pPr>
      <w:r>
        <w:rPr>
          <w:rFonts w:ascii="Times New Roman" w:hAnsi="Times New Roman"/>
          <w:sz w:val="20"/>
        </w:rPr>
        <w:t>We the Pledgor hereby make, constitute and appoint JSC VTB BANK (the “</w:t>
      </w:r>
      <w:r>
        <w:rPr>
          <w:rFonts w:ascii="Times New Roman" w:hAnsi="Times New Roman"/>
          <w:b/>
          <w:sz w:val="20"/>
        </w:rPr>
        <w:t>Pledgee</w:t>
      </w:r>
      <w:r>
        <w:rPr>
          <w:rFonts w:ascii="Times New Roman" w:hAnsi="Times New Roman"/>
          <w:sz w:val="20"/>
        </w:rPr>
        <w:t>”), acting by any of its directors or officers from time to time, to be our true and lawful proxy and attorney (the “</w:t>
      </w:r>
      <w:r>
        <w:rPr>
          <w:rFonts w:ascii="Times New Roman" w:hAnsi="Times New Roman"/>
          <w:b/>
          <w:sz w:val="20"/>
        </w:rPr>
        <w:t>Attorney</w:t>
      </w:r>
      <w:r>
        <w:rPr>
          <w:rFonts w:ascii="Times New Roman" w:hAnsi="Times New Roman"/>
          <w:sz w:val="20"/>
        </w:rPr>
        <w:t xml:space="preserve">”) with full power and authority, and in our name and place or in the name of the Attorney, and on our behalf: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to exercise all rights in relation to [NUMBER] Ordinary shares of €1.71 each (the “</w:t>
            </w:r>
            <w:r>
              <w:rPr>
                <w:b/>
              </w:rPr>
              <w:t>Shares</w:t>
            </w:r>
            <w:r>
              <w:rPr/>
              <w:t>”) in HEADHUNTER FSU LIMITED (the “</w:t>
            </w:r>
            <w:r>
              <w:rPr>
                <w:b/>
              </w:rPr>
              <w:t>Company</w:t>
            </w:r>
            <w:r>
              <w:rPr/>
              <w:t>”) registered in the name of the Pledgor, which shares have been pledged to the Pledgee pursuant to a deed of pledge dated [DATE] between the Pledgor and the Pledgee (the “</w:t>
            </w:r>
            <w:r>
              <w:rPr>
                <w:b/>
              </w:rPr>
              <w:t>Deed of Pledge</w:t>
            </w:r>
            <w:r>
              <w:rPr/>
              <w:t xml:space="preserve">”), as the Attorney in its absolute discretion sees fit, including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receiving notice of, attending and voting at any annual or extraordinary general meeting of the shareholders of the Company, including meetings of the members of any particular class of shareholder, and all or any adjournment of such meetings, or signing any resolution as registered holder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2" w:type="dxa"/>
            <w:tcBorders/>
            <w:shd w:fill="auto" w:val="clear"/>
          </w:tcPr>
          <w:p>
            <w:pPr>
              <w:pStyle w:val="TableContents"/>
              <w:spacing w:before="0" w:after="283"/>
              <w:jc w:val="left"/>
              <w:rPr/>
            </w:pPr>
            <w:r>
              <w:rPr/>
              <w:t xml:space="preserve">completing and returning proxy cards, consents to short notice and any other documents required to be signed by the registered holder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dealing with and giving directions as to any moneys, securities, benefits, documents, notices or other communications (in whatever form) arising by right of the Shares or received in connection with the Shares from the Company or any other person;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(iv)</w:t>
            </w:r>
          </w:p>
        </w:tc>
        <w:tc>
          <w:tcPr>
            <w:tcW w:w="7553" w:type="dxa"/>
            <w:tcBorders/>
            <w:shd w:fill="auto" w:val="clear"/>
          </w:tcPr>
          <w:p>
            <w:pPr>
              <w:pStyle w:val="TableContents"/>
              <w:spacing w:before="0" w:after="283"/>
              <w:jc w:val="left"/>
              <w:rPr/>
            </w:pPr>
            <w:r>
              <w:rPr/>
              <w:t xml:space="preserve">otherwise executing, delivering and doing all deeds, instruments and acts in the Pledgor’s name insofar as may be done in the Pledgor’s capacity as registered holder of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to execute, deliver and perfect all documents and do all things which an Attorney may consider to be required or desirable for: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carrying out any obligation imposed on the Pledgor by the Deed of Pledge (including the execution and delivery of any pledges, mortgages, charges, assignments or other security and any transfer of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enabling the Pledgee to exercise, or delegate the exercise of, any of the rights, powers and authorities conferred on them by or pursuant to the Deed of Pledge or by law (including, the exercise of any right of a legal or beneficial owner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2.</w:t>
            </w:r>
          </w:p>
        </w:tc>
        <w:tc>
          <w:tcPr>
            <w:tcW w:w="9391" w:type="dxa"/>
            <w:tcBorders/>
            <w:shd w:fill="auto" w:val="clear"/>
          </w:tcPr>
          <w:p>
            <w:pPr>
              <w:pStyle w:val="TableContents"/>
              <w:spacing w:before="0" w:after="283"/>
              <w:jc w:val="left"/>
              <w:rPr>
                <w:b/>
              </w:rPr>
            </w:pPr>
            <w:r>
              <w:rPr>
                <w:b/>
              </w:rPr>
              <w:t xml:space="preserve">DELEGATION </w:t>
            </w:r>
          </w:p>
        </w:tc>
      </w:tr>
    </w:tbl>
    <w:p>
      <w:pPr>
        <w:pStyle w:val="TextBody"/>
        <w:spacing w:before="120" w:after="0"/>
        <w:rPr>
          <w:rFonts w:ascii="Times New Roman" w:hAnsi="Times New Roman"/>
          <w:sz w:val="20"/>
        </w:rPr>
      </w:pPr>
      <w:r>
        <w:rPr>
          <w:rFonts w:ascii="Times New Roman" w:hAnsi="Times New Roman"/>
          <w:sz w:val="20"/>
        </w:rPr>
        <w:t xml:space="preserve">The Attorney may delegate one or more of the powers conferred on the Attorney by this power of attorney to a nominee or nominees appointed for that purpose by the board of directors of the relevant Attorney, by resolution or otherwise.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b/>
              </w:rPr>
            </w:pPr>
            <w:r>
              <w:rPr>
                <w:b/>
              </w:rPr>
              <w:t xml:space="preserve">SUBSTITUTE ATTORNEY </w:t>
            </w:r>
          </w:p>
        </w:tc>
      </w:tr>
    </w:tbl>
    <w:p>
      <w:pPr>
        <w:pStyle w:val="TextBody"/>
        <w:spacing w:before="120" w:after="0"/>
        <w:rPr>
          <w:rFonts w:ascii="Times New Roman" w:hAnsi="Times New Roman"/>
          <w:sz w:val="20"/>
        </w:rPr>
      </w:pPr>
      <w:r>
        <w:rPr>
          <w:rFonts w:ascii="Times New Roman" w:hAnsi="Times New Roman"/>
          <w:sz w:val="20"/>
        </w:rPr>
        <w:t xml:space="preserve">The Attorney may appoint one or more persons to act as substitute attorney(s) for the Pledgor and to exercise one or more of the powers conferred on the Attorney by this power of attorney other than the power to appoint a substitute attorney and revoke any such appointment.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4.</w:t>
            </w:r>
          </w:p>
        </w:tc>
        <w:tc>
          <w:tcPr>
            <w:tcW w:w="9391" w:type="dxa"/>
            <w:tcBorders/>
            <w:shd w:fill="auto" w:val="clear"/>
          </w:tcPr>
          <w:p>
            <w:pPr>
              <w:pStyle w:val="TableContents"/>
              <w:spacing w:before="0" w:after="283"/>
              <w:jc w:val="left"/>
              <w:rPr>
                <w:b/>
              </w:rPr>
            </w:pPr>
            <w:r>
              <w:rPr>
                <w:b/>
              </w:rPr>
              <w:t xml:space="preserve">POWER BY WAY OF SECURITY </w:t>
            </w:r>
          </w:p>
        </w:tc>
      </w:tr>
    </w:tbl>
    <w:p>
      <w:pPr>
        <w:pStyle w:val="TextBody"/>
        <w:spacing w:before="120" w:after="0"/>
        <w:rPr>
          <w:rFonts w:ascii="Times New Roman" w:hAnsi="Times New Roman"/>
          <w:sz w:val="20"/>
        </w:rPr>
      </w:pPr>
      <w:r>
        <w:rPr>
          <w:rFonts w:ascii="Times New Roman" w:hAnsi="Times New Roman"/>
          <w:sz w:val="20"/>
        </w:rPr>
        <w:t xml:space="preserve">This power of attorney is given by way of security pursuant to the Deed of Pledge and shall be irrevocable until all the debts, obligations and liabilities secured by the Deed of Pledge have been unconditionally and irrevocably paid and discharged in full.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5.</w:t>
            </w:r>
          </w:p>
        </w:tc>
        <w:tc>
          <w:tcPr>
            <w:tcW w:w="9389" w:type="dxa"/>
            <w:tcBorders/>
            <w:shd w:fill="auto" w:val="clear"/>
          </w:tcPr>
          <w:p>
            <w:pPr>
              <w:pStyle w:val="TableContents"/>
              <w:spacing w:before="0" w:after="283"/>
              <w:jc w:val="left"/>
              <w:rPr>
                <w:b/>
              </w:rPr>
            </w:pPr>
            <w:r>
              <w:rPr>
                <w:b/>
              </w:rPr>
              <w:t xml:space="preserve">UNDERTAKINGS </w:t>
            </w:r>
          </w:p>
        </w:tc>
      </w:tr>
    </w:tbl>
    <w:p>
      <w:pPr>
        <w:pStyle w:val="TextBody"/>
        <w:spacing w:before="120" w:after="0"/>
        <w:rPr>
          <w:rFonts w:ascii="Times New Roman" w:hAnsi="Times New Roman"/>
          <w:sz w:val="20"/>
        </w:rPr>
      </w:pPr>
      <w:r>
        <w:rPr>
          <w:rFonts w:ascii="Times New Roman" w:hAnsi="Times New Roman"/>
          <w:sz w:val="20"/>
        </w:rPr>
        <w:t xml:space="preserve">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indemnifies the Attorney and its officers against any loss or liability suffered by the Attorney or its officers in acting as the Pledgor’s attorney or under this power of attorney;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agrees to ratify and confirm all things lawfully done and all documents executed by the Attorney or its officers in the proper exercise or purported exercise of all or any of its powers under this power of attorney.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6.</w:t>
            </w:r>
          </w:p>
        </w:tc>
        <w:tc>
          <w:tcPr>
            <w:tcW w:w="9389" w:type="dxa"/>
            <w:tcBorders/>
            <w:shd w:fill="auto" w:val="clear"/>
          </w:tcPr>
          <w:p>
            <w:pPr>
              <w:pStyle w:val="TableContents"/>
              <w:spacing w:before="0" w:after="283"/>
              <w:jc w:val="left"/>
              <w:rPr>
                <w:b/>
              </w:rPr>
            </w:pPr>
            <w:r>
              <w:rPr>
                <w:b/>
              </w:rPr>
              <w:t xml:space="preserve">JURISDICTION </w:t>
            </w:r>
          </w:p>
        </w:tc>
      </w:tr>
    </w:tbl>
    <w:p>
      <w:pPr>
        <w:pStyle w:val="TextBody"/>
        <w:spacing w:before="120" w:after="0"/>
        <w:rPr>
          <w:rFonts w:ascii="Times New Roman" w:hAnsi="Times New Roman"/>
          <w:sz w:val="20"/>
        </w:rPr>
      </w:pPr>
      <w:r>
        <w:rPr>
          <w:rFonts w:ascii="Times New Roman" w:hAnsi="Times New Roman"/>
          <w:sz w:val="20"/>
        </w:rPr>
        <w:t xml:space="preserve">This power of attorney (and any dispute, controversy, proceedings or claim of whatever nature arising out of or in any way relating to this power of attorney, its formation or any act performed or claimed to be performed under it) shall be governed by and construed in accordance with Cyprus law. </w:t>
      </w:r>
    </w:p>
    <w:p>
      <w:pPr>
        <w:pStyle w:val="TextBody"/>
        <w:spacing w:before="240" w:after="0"/>
        <w:rPr>
          <w:rFonts w:ascii="Times New Roman" w:hAnsi="Times New Roman"/>
          <w:sz w:val="20"/>
        </w:rPr>
      </w:pPr>
      <w:r>
        <w:rPr>
          <w:rFonts w:ascii="Times New Roman" w:hAnsi="Times New Roman"/>
          <w:sz w:val="20"/>
        </w:rPr>
        <w:t xml:space="preserve">This document has been executed as a deed and is delivered and takes effect on the date stated at the beginning of it.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5"/>
        <w:gridCol w:w="202"/>
        <w:gridCol w:w="4797"/>
      </w:tblGrid>
      <w:tr>
        <w:trPr/>
        <w:tc>
          <w:tcPr>
            <w:tcW w:w="5205"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SIGNED as a DEED</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 xml:space="preserve">by </w:t>
            </w:r>
            <w:r>
              <w:rPr>
                <w:b/>
              </w:rPr>
              <w:t>[NAME OF THE PLEDGOR]</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[acting by its authorised attorney/signatory/director]</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[NAME]</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in the presence of:</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rHeight w:val="24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Witness’s Signature: </w:t>
            </w:r>
            <w:r>
              <w:rPr>
                <w:u w:val="single"/>
              </w:rPr>
              <w:t>                          </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Name: </w:t>
            </w:r>
            <w:r>
              <w:rPr>
                <w:u w:val="single"/>
              </w:rPr>
              <w:t>                                                 </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3 </w:t>
      </w:r>
    </w:p>
    <w:p>
      <w:pPr>
        <w:pStyle w:val="TextBody"/>
        <w:spacing w:before="240" w:after="0"/>
        <w:jc w:val="center"/>
        <w:rPr>
          <w:rFonts w:ascii="Times New Roman" w:hAnsi="Times New Roman"/>
          <w:b/>
          <w:sz w:val="20"/>
        </w:rPr>
      </w:pPr>
      <w:r>
        <w:rPr>
          <w:rFonts w:ascii="Times New Roman" w:hAnsi="Times New Roman"/>
          <w:b/>
          <w:sz w:val="20"/>
        </w:rPr>
        <w:t xml:space="preserve">LETTER OF RESIGNATION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To:</w:t>
            </w:r>
          </w:p>
        </w:tc>
        <w:tc>
          <w:tcPr>
            <w:tcW w:w="9695" w:type="dxa"/>
            <w:tcBorders/>
            <w:shd w:fill="auto" w:val="clear"/>
          </w:tcPr>
          <w:p>
            <w:pPr>
              <w:pStyle w:val="TableContents"/>
              <w:spacing w:before="0" w:after="283"/>
              <w:jc w:val="left"/>
              <w:rPr/>
            </w:pPr>
            <w:r>
              <w:rPr/>
              <w:t>HEADHUNTER FSU LIMITED (the “</w:t>
            </w:r>
            <w:r>
              <w:rPr>
                <w:b/>
              </w:rPr>
              <w:t>Company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Date: </w:t>
      </w:r>
    </w:p>
    <w:p>
      <w:pPr>
        <w:pStyle w:val="TextBody"/>
        <w:spacing w:before="120" w:after="0"/>
        <w:rPr>
          <w:rFonts w:ascii="Times New Roman" w:hAnsi="Times New Roman"/>
          <w:sz w:val="20"/>
        </w:rPr>
      </w:pPr>
      <w:r>
        <w:rPr>
          <w:rFonts w:ascii="Times New Roman" w:hAnsi="Times New Roman"/>
          <w:sz w:val="20"/>
        </w:rPr>
        <w:t xml:space="preserve">Dear Sirs, </w:t>
      </w:r>
    </w:p>
    <w:p>
      <w:pPr>
        <w:pStyle w:val="TextBody"/>
        <w:spacing w:before="240" w:after="0"/>
        <w:rPr>
          <w:rFonts w:ascii="Times New Roman" w:hAnsi="Times New Roman"/>
          <w:sz w:val="20"/>
        </w:rPr>
      </w:pPr>
      <w:r>
        <w:rPr>
          <w:rFonts w:ascii="Times New Roman" w:hAnsi="Times New Roman"/>
          <w:sz w:val="20"/>
        </w:rPr>
        <w:t xml:space="preserve">[We]/[I], [NAME] hereby resign from [our]/[my] position as a [Director] [Secretary] of the Company with effect from the date of this letter. </w:t>
      </w:r>
    </w:p>
    <w:p>
      <w:pPr>
        <w:pStyle w:val="TextBody"/>
        <w:spacing w:before="240" w:after="0"/>
        <w:rPr>
          <w:rFonts w:ascii="Times New Roman" w:hAnsi="Times New Roman"/>
          <w:sz w:val="20"/>
        </w:rPr>
      </w:pPr>
      <w:r>
        <w:rPr>
          <w:rFonts w:ascii="Times New Roman" w:hAnsi="Times New Roman"/>
          <w:sz w:val="20"/>
        </w:rPr>
        <w:t xml:space="preserve">[We]/[I] hereby confirm that [we]/[I] have no claim whatsoever against the Company, other than any fees owed to [us/][me] or remaining outstanding in respect of serving the Company in [our]/[my] capacity as Director/Secretary up to and including the date of [our]/[my] resignation.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4082"/>
      </w:tblGrid>
      <w:tr>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vAlign w:val="bottom"/>
          </w:tcPr>
          <w:p>
            <w:pPr>
              <w:pStyle w:val="TableContents"/>
              <w:spacing w:before="0" w:after="283"/>
              <w:rPr/>
            </w:pPr>
            <w:r>
              <w:rPr/>
              <w:t>Yours faithfully,</w:t>
            </w:r>
          </w:p>
        </w:tc>
      </w:tr>
      <w:tr>
        <w:trPr/>
        <w:tc>
          <w:tcPr>
            <w:tcW w:w="4082" w:type="dxa"/>
            <w:tcBorders/>
            <w:shd w:fill="auto" w:val="clear"/>
            <w:vAlign w:val="bottom"/>
          </w:tcPr>
          <w:p>
            <w:pPr>
              <w:pStyle w:val="TableContents"/>
              <w:pBdr>
                <w:bottom w:val="single" w:sz="2" w:space="1" w:color="000000"/>
              </w:pBdr>
              <w:spacing w:before="0" w:after="20"/>
              <w:rPr/>
            </w:pPr>
            <w:r>
              <w:rPr/>
              <w:t> </w:t>
            </w:r>
          </w:p>
        </w:tc>
      </w:tr>
      <w:tr>
        <w:trPr/>
        <w:tc>
          <w:tcPr>
            <w:tcW w:w="4082" w:type="dxa"/>
            <w:tcBorders/>
            <w:shd w:fill="auto" w:val="clear"/>
          </w:tcPr>
          <w:p>
            <w:pPr>
              <w:pStyle w:val="TableContents"/>
              <w:spacing w:before="0" w:after="283"/>
              <w:rPr/>
            </w:pPr>
            <w:r>
              <w:rPr/>
              <w:t>[</w:t>
            </w:r>
            <w:r>
              <w:rPr>
                <w:b/>
              </w:rPr>
              <w:t>NAME OF DIRECTOR/SECRETARY</w:t>
            </w:r>
            <w:r>
              <w:rPr/>
              <w:t>]</w:t>
            </w:r>
          </w:p>
        </w:tc>
      </w:tr>
      <w:tr>
        <w:trPr/>
        <w:tc>
          <w:tcPr>
            <w:tcW w:w="4082" w:type="dxa"/>
            <w:tcBorders/>
            <w:shd w:fill="auto" w:val="clear"/>
          </w:tcPr>
          <w:p>
            <w:pPr>
              <w:pStyle w:val="TableContents"/>
              <w:spacing w:before="0" w:after="283"/>
              <w:rPr/>
            </w:pPr>
            <w:r>
              <w:rPr/>
              <w:t>[Director/Secretary]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4 </w:t>
      </w:r>
    </w:p>
    <w:p>
      <w:pPr>
        <w:pStyle w:val="TextBody"/>
        <w:spacing w:before="240" w:after="0"/>
        <w:jc w:val="center"/>
        <w:rPr>
          <w:rFonts w:ascii="Times New Roman" w:hAnsi="Times New Roman"/>
          <w:b/>
          <w:sz w:val="20"/>
        </w:rPr>
      </w:pPr>
      <w:r>
        <w:rPr>
          <w:rFonts w:ascii="Times New Roman" w:hAnsi="Times New Roman"/>
          <w:b/>
          <w:sz w:val="20"/>
        </w:rPr>
        <w:t xml:space="preserve">LETTER OF AUTHORITY AND UNDERTAKING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To:</w:t>
            </w:r>
          </w:p>
        </w:tc>
        <w:tc>
          <w:tcPr>
            <w:tcW w:w="9695" w:type="dxa"/>
            <w:tcBorders/>
            <w:shd w:fill="auto" w:val="clear"/>
          </w:tcPr>
          <w:p>
            <w:pPr>
              <w:pStyle w:val="TableContents"/>
              <w:spacing w:before="0" w:after="283"/>
              <w:jc w:val="left"/>
              <w:rPr/>
            </w:pPr>
            <w:r>
              <w:rPr/>
              <w:t>JSC VTB BANK (the “</w:t>
            </w:r>
            <w:r>
              <w:rPr>
                <w:b/>
              </w:rPr>
              <w:t>Pledgee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Date: [DATE] </w:t>
      </w:r>
    </w:p>
    <w:p>
      <w:pPr>
        <w:pStyle w:val="TextBody"/>
        <w:spacing w:before="120" w:after="0"/>
        <w:rPr>
          <w:rFonts w:ascii="Times New Roman" w:hAnsi="Times New Roman"/>
          <w:sz w:val="20"/>
        </w:rPr>
      </w:pPr>
      <w:r>
        <w:rPr>
          <w:rFonts w:ascii="Times New Roman" w:hAnsi="Times New Roman"/>
          <w:sz w:val="20"/>
        </w:rPr>
        <w:t xml:space="preserve">Dear Sirs, </w:t>
      </w:r>
    </w:p>
    <w:p>
      <w:pPr>
        <w:pStyle w:val="TextBody"/>
        <w:spacing w:before="240" w:after="0"/>
        <w:rPr>
          <w:rFonts w:ascii="Times New Roman" w:hAnsi="Times New Roman"/>
          <w:sz w:val="20"/>
        </w:rPr>
      </w:pPr>
      <w:r>
        <w:rPr>
          <w:rFonts w:ascii="Times New Roman" w:hAnsi="Times New Roman"/>
          <w:b/>
          <w:sz w:val="20"/>
        </w:rPr>
        <w:t xml:space="preserve">HEADHUNTER FSU LIMITED </w:t>
      </w: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We, the undersigned, holding the offices in the Company set out under our names refer to the facility agreement dated [DATE] (as amended, supplemented or novated from time to time, the “</w:t>
      </w:r>
      <w:r>
        <w:rPr>
          <w:rFonts w:ascii="Times New Roman" w:hAnsi="Times New Roman"/>
          <w:b/>
          <w:sz w:val="20"/>
        </w:rPr>
        <w:t>Facility Agreement</w:t>
      </w:r>
      <w:r>
        <w:rPr>
          <w:rFonts w:ascii="Times New Roman" w:hAnsi="Times New Roman"/>
          <w:sz w:val="20"/>
        </w:rPr>
        <w:t>”) and a deed of pledge dated [DATE] in respect of [ ? ] shares in the Company (the “</w:t>
      </w:r>
      <w:r>
        <w:rPr>
          <w:rFonts w:ascii="Times New Roman" w:hAnsi="Times New Roman"/>
          <w:b/>
          <w:sz w:val="20"/>
        </w:rPr>
        <w:t>Deed of Pledge</w:t>
      </w:r>
      <w:r>
        <w:rPr>
          <w:rFonts w:ascii="Times New Roman" w:hAnsi="Times New Roman"/>
          <w:sz w:val="20"/>
        </w:rPr>
        <w:t>”) executed by [ ? ] (the “</w:t>
      </w:r>
      <w:r>
        <w:rPr>
          <w:rFonts w:ascii="Times New Roman" w:hAnsi="Times New Roman"/>
          <w:b/>
          <w:sz w:val="20"/>
        </w:rPr>
        <w:t>Pledgor</w:t>
      </w:r>
      <w:r>
        <w:rPr>
          <w:rFonts w:ascii="Times New Roman" w:hAnsi="Times New Roman"/>
          <w:sz w:val="20"/>
        </w:rPr>
        <w:t xml:space="preserve">”) in favour of the Pledgee as security for the Secured Liabilities (as defined in the Deed of Pledge). </w:t>
      </w:r>
    </w:p>
    <w:p>
      <w:pPr>
        <w:pStyle w:val="TextBody"/>
        <w:spacing w:before="240" w:after="0"/>
        <w:rPr>
          <w:rFonts w:ascii="Times New Roman" w:hAnsi="Times New Roman"/>
          <w:sz w:val="20"/>
        </w:rPr>
      </w:pPr>
      <w:r>
        <w:rPr>
          <w:rFonts w:ascii="Times New Roman" w:hAnsi="Times New Roman"/>
          <w:sz w:val="20"/>
        </w:rPr>
        <w:t xml:space="preserve">For good and valuable consideration provided by the Pledgee (the receipt and sufficiency of which is hereby acknowledged):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  </w:t>
            </w:r>
            <w:r>
              <w:rPr/>
              <w:t>1.</w:t>
            </w:r>
          </w:p>
        </w:tc>
        <w:tc>
          <w:tcPr>
            <w:tcW w:w="9390" w:type="dxa"/>
            <w:tcBorders/>
            <w:shd w:fill="auto" w:val="clear"/>
          </w:tcPr>
          <w:p>
            <w:pPr>
              <w:pStyle w:val="TableContents"/>
              <w:spacing w:before="0" w:after="283"/>
              <w:jc w:val="left"/>
              <w:rPr/>
            </w:pPr>
            <w:r>
              <w:rPr/>
              <w:t xml:space="preserve">We hereby irrevocably authorise and undertake with the Pledgee that until the date on which all the Secured Liabilities have been unconditionally and irrevocably paid and discharged in full, we will not act alone or with any other person, enter into or accept or authorise any act or omission in contravention of the terms of the Facility Agreement or the Deed of Pledge;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w:t>
            </w:r>
          </w:p>
        </w:tc>
        <w:tc>
          <w:tcPr>
            <w:tcW w:w="9390" w:type="dxa"/>
            <w:tcBorders/>
            <w:shd w:fill="auto" w:val="clear"/>
          </w:tcPr>
          <w:p>
            <w:pPr>
              <w:pStyle w:val="TableContents"/>
              <w:spacing w:before="0" w:after="283"/>
              <w:jc w:val="left"/>
              <w:rPr/>
            </w:pPr>
            <w:r>
              <w:rPr/>
              <w:t xml:space="preserve">We hereby irrevocably authorise the Pledgee at any time on or after an Event of Default occurs under and as defined in the Facility Agreement, to date, use and otherwise put into full effect the undated letter of resignation delivered by me to the Pledgee pursuant to the Deed of Pledge. </w:t>
            </w:r>
          </w:p>
        </w:tc>
      </w:tr>
    </w:tbl>
    <w:p>
      <w:pPr>
        <w:pStyle w:val="TextBody"/>
        <w:spacing w:before="240" w:after="0"/>
        <w:rPr>
          <w:rFonts w:ascii="Times New Roman" w:hAnsi="Times New Roman"/>
          <w:sz w:val="20"/>
        </w:rPr>
      </w:pPr>
      <w:r>
        <w:rPr>
          <w:rFonts w:ascii="Times New Roman" w:hAnsi="Times New Roman"/>
          <w:sz w:val="20"/>
        </w:rPr>
        <w:t xml:space="preserve">Terms defined in the Deed of Pledge have the same meaning in this letter.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240" w:after="0"/>
        <w:rPr>
          <w:rFonts w:ascii="Times New Roman" w:hAnsi="Times New Roman"/>
          <w:sz w:val="20"/>
        </w:rPr>
      </w:pPr>
      <w:r>
        <w:rPr>
          <w:rFonts w:ascii="Times New Roman" w:hAnsi="Times New Roman"/>
          <w:sz w:val="20"/>
        </w:rPr>
        <w:t xml:space="preserve">Yours faithfully,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5"/>
        <w:gridCol w:w="203"/>
        <w:gridCol w:w="4796"/>
      </w:tblGrid>
      <w:tr>
        <w:trPr/>
        <w:tc>
          <w:tcPr>
            <w:tcW w:w="5205"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6"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sz w:val="20"/>
              </w:rPr>
            </w:pPr>
            <w:r>
              <w:rPr>
                <w:rFonts w:ascii="Times New Roman" w:hAnsi="Times New Roman"/>
                <w:b/>
                <w:sz w:val="20"/>
              </w:rPr>
              <w:t>KATERINA IOSIF</w:t>
              <w:br/>
            </w:r>
            <w:r>
              <w:rPr>
                <w:rFonts w:ascii="Times New Roman" w:hAnsi="Times New Roman"/>
                <w:sz w:val="20"/>
              </w:rPr>
              <w:t>Director</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sz w:val="20"/>
              </w:rPr>
            </w:pPr>
            <w:r>
              <w:rPr>
                <w:rFonts w:ascii="Times New Roman" w:hAnsi="Times New Roman"/>
                <w:b/>
                <w:sz w:val="20"/>
              </w:rPr>
              <w:t>PANAYIOTA STYLIANOU</w:t>
              <w:br/>
            </w:r>
            <w:r>
              <w:rPr>
                <w:rFonts w:ascii="Times New Roman" w:hAnsi="Times New Roman"/>
                <w:sz w:val="20"/>
              </w:rPr>
              <w:t>Director</w:t>
            </w:r>
          </w:p>
        </w:tc>
      </w:tr>
      <w:tr>
        <w:trPr>
          <w:trHeight w:val="24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sz w:val="20"/>
              </w:rPr>
            </w:pPr>
            <w:r>
              <w:rPr>
                <w:rFonts w:ascii="Times New Roman" w:hAnsi="Times New Roman"/>
                <w:b/>
                <w:sz w:val="20"/>
              </w:rPr>
              <w:t>ALEXANDER ARBUZOV</w:t>
              <w:br/>
            </w:r>
            <w:r>
              <w:rPr>
                <w:rFonts w:ascii="Times New Roman" w:hAnsi="Times New Roman"/>
                <w:sz w:val="20"/>
              </w:rPr>
              <w:t>Director</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sz w:val="20"/>
              </w:rPr>
            </w:pPr>
            <w:r>
              <w:rPr>
                <w:rFonts w:ascii="Times New Roman" w:hAnsi="Times New Roman"/>
                <w:b/>
                <w:sz w:val="20"/>
              </w:rPr>
              <w:t>TOP SECRETARIAL LIMITED</w:t>
              <w:br/>
            </w:r>
            <w:r>
              <w:rPr>
                <w:rFonts w:ascii="Times New Roman" w:hAnsi="Times New Roman"/>
                <w:sz w:val="20"/>
              </w:rPr>
              <w:t>Secretary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5 </w:t>
      </w:r>
    </w:p>
    <w:p>
      <w:pPr>
        <w:pStyle w:val="TextBody"/>
        <w:spacing w:before="240" w:after="0"/>
        <w:jc w:val="center"/>
        <w:rPr>
          <w:rFonts w:ascii="Times New Roman" w:hAnsi="Times New Roman"/>
          <w:b/>
          <w:sz w:val="20"/>
        </w:rPr>
      </w:pPr>
      <w:r>
        <w:rPr>
          <w:rFonts w:ascii="Times New Roman" w:hAnsi="Times New Roman"/>
          <w:b/>
          <w:sz w:val="20"/>
        </w:rPr>
        <w:t xml:space="preserve">NOTICE OF PLEDGE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To:</w:t>
            </w:r>
          </w:p>
        </w:tc>
        <w:tc>
          <w:tcPr>
            <w:tcW w:w="9695" w:type="dxa"/>
            <w:tcBorders/>
            <w:shd w:fill="auto" w:val="clear"/>
          </w:tcPr>
          <w:p>
            <w:pPr>
              <w:pStyle w:val="TableContents"/>
              <w:spacing w:before="0" w:after="283"/>
              <w:jc w:val="left"/>
              <w:rPr/>
            </w:pPr>
            <w:r>
              <w:rPr/>
              <w:t>HEADHUNTER FSU LIMITED (the “</w:t>
            </w:r>
            <w:r>
              <w:rPr>
                <w:b/>
              </w:rPr>
              <w:t>Company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Date: [DATE] </w:t>
      </w:r>
    </w:p>
    <w:p>
      <w:pPr>
        <w:pStyle w:val="TextBody"/>
        <w:spacing w:before="120" w:after="0"/>
        <w:rPr>
          <w:rFonts w:ascii="Times New Roman" w:hAnsi="Times New Roman"/>
          <w:sz w:val="20"/>
        </w:rPr>
      </w:pPr>
      <w:r>
        <w:rPr>
          <w:rFonts w:ascii="Times New Roman" w:hAnsi="Times New Roman"/>
          <w:sz w:val="20"/>
        </w:rPr>
        <w:t xml:space="preserve">Dear Sirs, </w:t>
      </w:r>
    </w:p>
    <w:p>
      <w:pPr>
        <w:pStyle w:val="TextBody"/>
        <w:spacing w:before="240" w:after="0"/>
        <w:jc w:val="center"/>
        <w:rPr>
          <w:rFonts w:ascii="Times New Roman" w:hAnsi="Times New Roman"/>
          <w:b/>
          <w:sz w:val="20"/>
        </w:rPr>
      </w:pPr>
      <w:r>
        <w:rPr>
          <w:rFonts w:ascii="Times New Roman" w:hAnsi="Times New Roman"/>
          <w:b/>
          <w:sz w:val="20"/>
        </w:rPr>
        <w:t xml:space="preserve">Deed of Pledge dated [DATE] between </w:t>
      </w:r>
    </w:p>
    <w:p>
      <w:pPr>
        <w:pStyle w:val="TextBody"/>
        <w:spacing w:before="0" w:after="0"/>
        <w:jc w:val="center"/>
        <w:rPr>
          <w:rFonts w:ascii="Times New Roman" w:hAnsi="Times New Roman"/>
          <w:sz w:val="20"/>
        </w:rPr>
      </w:pPr>
      <w:r>
        <w:rPr>
          <w:rFonts w:ascii="Times New Roman" w:hAnsi="Times New Roman"/>
          <w:b/>
          <w:sz w:val="20"/>
        </w:rPr>
        <w:t>[ </w:t>
      </w:r>
      <w:r>
        <w:rPr>
          <w:rFonts w:ascii="Times New Roman" w:hAnsi="Times New Roman"/>
          <w:sz w:val="20"/>
        </w:rPr>
        <w:t>? </w:t>
      </w:r>
      <w:r>
        <w:rPr>
          <w:rFonts w:ascii="Times New Roman" w:hAnsi="Times New Roman"/>
          <w:b/>
          <w:sz w:val="20"/>
        </w:rPr>
        <w:t xml:space="preserve">] and JSC VTB BANK (the “Deed of Pledge”) </w:t>
      </w:r>
    </w:p>
    <w:p>
      <w:pPr>
        <w:pStyle w:val="TextBody"/>
        <w:spacing w:before="240" w:after="0"/>
        <w:rPr>
          <w:rFonts w:ascii="Times New Roman" w:hAnsi="Times New Roman"/>
          <w:sz w:val="20"/>
        </w:rPr>
      </w:pPr>
      <w:r>
        <w:rPr>
          <w:rFonts w:ascii="Times New Roman" w:hAnsi="Times New Roman"/>
          <w:sz w:val="20"/>
        </w:rPr>
        <w:t>This letter constitutes notice to you that under the Deed of Pledge, [ ? ] (the “</w:t>
      </w:r>
      <w:r>
        <w:rPr>
          <w:rFonts w:ascii="Times New Roman" w:hAnsi="Times New Roman"/>
          <w:b/>
          <w:sz w:val="20"/>
        </w:rPr>
        <w:t>Pledgor</w:t>
      </w:r>
      <w:r>
        <w:rPr>
          <w:rFonts w:ascii="Times New Roman" w:hAnsi="Times New Roman"/>
          <w:sz w:val="20"/>
        </w:rPr>
        <w:t xml:space="preserve">”) have, </w:t>
      </w:r>
      <w:r>
        <w:rPr>
          <w:rFonts w:ascii="Times New Roman" w:hAnsi="Times New Roman"/>
          <w:i/>
          <w:sz w:val="20"/>
        </w:rPr>
        <w:t>inter alia</w:t>
      </w:r>
      <w:r>
        <w:rPr>
          <w:rFonts w:ascii="Times New Roman" w:hAnsi="Times New Roman"/>
          <w:sz w:val="20"/>
        </w:rPr>
        <w:t>, pledged in our favour the share certificates representing [ ? ] ordinary shares of €1.71 each in the share capital of the Company (the “</w:t>
      </w:r>
      <w:r>
        <w:rPr>
          <w:rFonts w:ascii="Times New Roman" w:hAnsi="Times New Roman"/>
          <w:b/>
          <w:sz w:val="20"/>
        </w:rPr>
        <w:t>Shares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We attach to this notice a certified copy of the Deed of Pledge duly signed by the Pledgor and us, in the presence of two competent witnesses who subscribed with their names as witnesses. </w:t>
      </w:r>
    </w:p>
    <w:p>
      <w:pPr>
        <w:pStyle w:val="TextBody"/>
        <w:spacing w:before="240" w:after="0"/>
        <w:rPr>
          <w:rFonts w:ascii="Times New Roman" w:hAnsi="Times New Roman"/>
          <w:sz w:val="20"/>
        </w:rPr>
      </w:pPr>
      <w:r>
        <w:rPr>
          <w:rFonts w:ascii="Times New Roman" w:hAnsi="Times New Roman"/>
          <w:sz w:val="20"/>
        </w:rPr>
        <w:t xml:space="preserve">In accordance with Section 138(2)(b) of the Contract Law, Cap. 149, you are instructed 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enter a Memorandum of this pledge in the Register of Members and against the Shares in respect of which this notice is given;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issue to us a certificate acknowledging receipt of this notice and confirming that the aforesaid Memorandum has been made in the Register of Members. </w:t>
            </w:r>
          </w:p>
        </w:tc>
      </w:tr>
    </w:tbl>
    <w:p>
      <w:pPr>
        <w:pStyle w:val="TextBody"/>
        <w:spacing w:before="240" w:after="0"/>
        <w:rPr>
          <w:rFonts w:ascii="Times New Roman" w:hAnsi="Times New Roman"/>
          <w:sz w:val="20"/>
        </w:rPr>
      </w:pPr>
      <w:r>
        <w:rPr>
          <w:rFonts w:ascii="Times New Roman" w:hAnsi="Times New Roman"/>
          <w:sz w:val="20"/>
        </w:rPr>
        <w:t xml:space="preserve">You are instructed to disclose to us any information relation to the Shares requested by us from time to time and to comply with the terms of any written notice or instruction relating to the Shares which you may receive from us.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4082"/>
      </w:tblGrid>
      <w:tr>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vAlign w:val="bottom"/>
          </w:tcPr>
          <w:p>
            <w:pPr>
              <w:pStyle w:val="TableContents"/>
              <w:spacing w:before="0" w:after="283"/>
              <w:rPr/>
            </w:pPr>
            <w:r>
              <w:rPr/>
              <w:t>Yours faithfully,</w:t>
            </w:r>
          </w:p>
        </w:tc>
      </w:tr>
      <w:tr>
        <w:trPr>
          <w:trHeight w:val="240" w:hRule="atLeast"/>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vAlign w:val="bottom"/>
          </w:tcPr>
          <w:p>
            <w:pPr>
              <w:pStyle w:val="TableContents"/>
              <w:pBdr>
                <w:bottom w:val="single" w:sz="2" w:space="1" w:color="000000"/>
              </w:pBdr>
              <w:spacing w:before="0" w:after="20"/>
              <w:rPr/>
            </w:pPr>
            <w:r>
              <w:rPr/>
              <w:t> </w:t>
            </w:r>
          </w:p>
        </w:tc>
      </w:tr>
      <w:tr>
        <w:trPr/>
        <w:tc>
          <w:tcPr>
            <w:tcW w:w="4082" w:type="dxa"/>
            <w:tcBorders/>
            <w:shd w:fill="auto" w:val="clear"/>
          </w:tcPr>
          <w:p>
            <w:pPr>
              <w:pStyle w:val="TableContents"/>
              <w:spacing w:before="0" w:after="283"/>
              <w:rPr>
                <w:b/>
              </w:rPr>
            </w:pPr>
            <w:r>
              <w:rPr>
                <w:b/>
              </w:rPr>
              <w:t>JSC VTB BANK</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6 </w:t>
      </w:r>
    </w:p>
    <w:p>
      <w:pPr>
        <w:pStyle w:val="TextBody"/>
        <w:spacing w:before="240" w:after="0"/>
        <w:jc w:val="center"/>
        <w:rPr>
          <w:rFonts w:ascii="Times New Roman" w:hAnsi="Times New Roman"/>
          <w:b/>
          <w:sz w:val="20"/>
        </w:rPr>
      </w:pPr>
      <w:r>
        <w:rPr>
          <w:rFonts w:ascii="Times New Roman" w:hAnsi="Times New Roman"/>
          <w:b/>
          <w:sz w:val="20"/>
        </w:rPr>
        <w:t xml:space="preserve">SECRETARY’S CERTIFICATE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To:</w:t>
            </w:r>
          </w:p>
        </w:tc>
        <w:tc>
          <w:tcPr>
            <w:tcW w:w="9695" w:type="dxa"/>
            <w:tcBorders/>
            <w:shd w:fill="auto" w:val="clear"/>
          </w:tcPr>
          <w:p>
            <w:pPr>
              <w:pStyle w:val="TableContents"/>
              <w:spacing w:before="0" w:after="283"/>
              <w:jc w:val="left"/>
              <w:rPr/>
            </w:pPr>
            <w:r>
              <w:rPr/>
              <w:t xml:space="preserve">JSC VTB BANK </w:t>
            </w:r>
          </w:p>
        </w:tc>
      </w:tr>
    </w:tbl>
    <w:p>
      <w:pPr>
        <w:pStyle w:val="TextBody"/>
        <w:spacing w:before="120" w:after="0"/>
        <w:rPr>
          <w:rFonts w:ascii="Times New Roman" w:hAnsi="Times New Roman"/>
          <w:sz w:val="20"/>
        </w:rPr>
      </w:pPr>
      <w:r>
        <w:rPr>
          <w:rFonts w:ascii="Times New Roman" w:hAnsi="Times New Roman"/>
          <w:sz w:val="20"/>
        </w:rPr>
        <w:t xml:space="preserve">Date: [DATE] </w:t>
      </w:r>
    </w:p>
    <w:p>
      <w:pPr>
        <w:pStyle w:val="TextBody"/>
        <w:spacing w:before="120" w:after="0"/>
        <w:rPr>
          <w:rFonts w:ascii="Times New Roman" w:hAnsi="Times New Roman"/>
          <w:sz w:val="20"/>
        </w:rPr>
      </w:pPr>
      <w:r>
        <w:rPr>
          <w:rFonts w:ascii="Times New Roman" w:hAnsi="Times New Roman"/>
          <w:sz w:val="20"/>
        </w:rPr>
        <w:t xml:space="preserve">Dear Sirs, </w:t>
      </w:r>
    </w:p>
    <w:p>
      <w:pPr>
        <w:pStyle w:val="TextBody"/>
        <w:spacing w:before="240" w:after="0"/>
        <w:jc w:val="center"/>
        <w:rPr>
          <w:rFonts w:ascii="Times New Roman" w:hAnsi="Times New Roman"/>
          <w:b/>
          <w:sz w:val="20"/>
        </w:rPr>
      </w:pPr>
      <w:r>
        <w:rPr>
          <w:rFonts w:ascii="Times New Roman" w:hAnsi="Times New Roman"/>
          <w:b/>
          <w:sz w:val="20"/>
        </w:rPr>
        <w:t xml:space="preserve">Deed of Pledge dated [DATE] between </w:t>
      </w:r>
    </w:p>
    <w:p>
      <w:pPr>
        <w:pStyle w:val="TextBody"/>
        <w:spacing w:before="0" w:after="0"/>
        <w:jc w:val="center"/>
        <w:rPr>
          <w:rFonts w:ascii="Times New Roman" w:hAnsi="Times New Roman"/>
          <w:sz w:val="20"/>
        </w:rPr>
      </w:pPr>
      <w:r>
        <w:rPr>
          <w:rFonts w:ascii="Times New Roman" w:hAnsi="Times New Roman"/>
          <w:b/>
          <w:sz w:val="20"/>
        </w:rPr>
        <w:t>[ </w:t>
      </w:r>
      <w:r>
        <w:rPr>
          <w:rFonts w:ascii="Times New Roman" w:hAnsi="Times New Roman"/>
          <w:sz w:val="20"/>
        </w:rPr>
        <w:t>? </w:t>
      </w:r>
      <w:r>
        <w:rPr>
          <w:rFonts w:ascii="Times New Roman" w:hAnsi="Times New Roman"/>
          <w:b/>
          <w:sz w:val="20"/>
        </w:rPr>
        <w:t xml:space="preserve">]and JSC VTB BANK (the “Deed of Pledge) </w:t>
      </w:r>
    </w:p>
    <w:p>
      <w:pPr>
        <w:pStyle w:val="TextBody"/>
        <w:spacing w:before="240" w:after="0"/>
        <w:rPr>
          <w:rFonts w:ascii="Times New Roman" w:hAnsi="Times New Roman"/>
          <w:sz w:val="20"/>
        </w:rPr>
      </w:pPr>
      <w:r>
        <w:rPr>
          <w:rFonts w:ascii="Times New Roman" w:hAnsi="Times New Roman"/>
          <w:sz w:val="20"/>
        </w:rPr>
        <w:t>We acknowledge receipt of the notice dated [DATE] notifying us that the [PLEDGOR] have, inter alia, under the Deed of Pledge pledged the share certificates representing [ ? ] ordinary shares of €1.71 each (the “</w:t>
      </w:r>
      <w:r>
        <w:rPr>
          <w:rFonts w:ascii="Times New Roman" w:hAnsi="Times New Roman"/>
          <w:b/>
          <w:sz w:val="20"/>
        </w:rPr>
        <w:t>Shares</w:t>
      </w:r>
      <w:r>
        <w:rPr>
          <w:rFonts w:ascii="Times New Roman" w:hAnsi="Times New Roman"/>
          <w:sz w:val="20"/>
        </w:rPr>
        <w:t xml:space="preserve">”) in </w:t>
      </w:r>
      <w:r>
        <w:rPr>
          <w:rFonts w:ascii="Times New Roman" w:hAnsi="Times New Roman"/>
          <w:b/>
          <w:sz w:val="20"/>
        </w:rPr>
        <w:t xml:space="preserve">HEADHUNTER FSU LIMITED </w:t>
      </w: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together with the certified copy of the Deed of Pledge. </w:t>
      </w:r>
    </w:p>
    <w:p>
      <w:pPr>
        <w:pStyle w:val="TextBody"/>
        <w:spacing w:before="240" w:after="0"/>
        <w:rPr>
          <w:rFonts w:ascii="Times New Roman" w:hAnsi="Times New Roman"/>
          <w:sz w:val="20"/>
        </w:rPr>
      </w:pPr>
      <w:r>
        <w:rPr>
          <w:rFonts w:ascii="Times New Roman" w:hAnsi="Times New Roman"/>
          <w:sz w:val="20"/>
        </w:rPr>
        <w:t xml:space="preserve">We hereby agree to comply with the notice and confirm, certify and acknowledge that we: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t xml:space="preserve">have not received notice of the interest of any third party in the Shares and are not aware of any transfer of the Shares to a third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w:t>
            </w:r>
          </w:p>
        </w:tc>
        <w:tc>
          <w:tcPr>
            <w:tcW w:w="9390" w:type="dxa"/>
            <w:tcBorders/>
            <w:shd w:fill="auto" w:val="clear"/>
          </w:tcPr>
          <w:p>
            <w:pPr>
              <w:pStyle w:val="TableContents"/>
              <w:spacing w:before="0" w:after="283"/>
              <w:jc w:val="left"/>
              <w:rPr/>
            </w:pPr>
            <w:r>
              <w:rPr/>
              <w:t xml:space="preserve">have not received notice of and are not aware of the Shares, the share certificates representing the Shares, or any rights attaching to the Shares being subject to any pledge or other security interest;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w:t>
            </w:r>
          </w:p>
        </w:tc>
        <w:tc>
          <w:tcPr>
            <w:tcW w:w="9388" w:type="dxa"/>
            <w:tcBorders/>
            <w:shd w:fill="auto" w:val="clear"/>
          </w:tcPr>
          <w:p>
            <w:pPr>
              <w:pStyle w:val="TableContents"/>
              <w:spacing w:before="0" w:after="283"/>
              <w:jc w:val="left"/>
              <w:rPr/>
            </w:pPr>
            <w:r>
              <w:rPr/>
              <w:t xml:space="preserve">Memoranda, substantially in the form set out in the Schedule below, have been made and registered in the Register of Members of the Company in accordance with the terms and conditions of the Deed of Pledge. </w:t>
            </w:r>
          </w:p>
        </w:tc>
      </w:tr>
    </w:tbl>
    <w:p>
      <w:pPr>
        <w:pStyle w:val="TextBody"/>
        <w:spacing w:before="240" w:after="0"/>
        <w:rPr>
          <w:rFonts w:ascii="Times New Roman" w:hAnsi="Times New Roman"/>
          <w:sz w:val="20"/>
        </w:rPr>
      </w:pPr>
      <w:r>
        <w:rPr>
          <w:rFonts w:ascii="Times New Roman" w:hAnsi="Times New Roman"/>
          <w:sz w:val="20"/>
        </w:rPr>
        <w:t xml:space="preserve">This certificate is governed by Cyprus law. </w:t>
      </w:r>
    </w:p>
    <w:p>
      <w:pPr>
        <w:pStyle w:val="TextBody"/>
        <w:spacing w:before="240" w:after="0"/>
        <w:jc w:val="center"/>
        <w:rPr>
          <w:rFonts w:ascii="Times New Roman" w:hAnsi="Times New Roman"/>
          <w:b/>
          <w:sz w:val="20"/>
        </w:rPr>
      </w:pPr>
      <w:r>
        <w:rPr>
          <w:rFonts w:ascii="Times New Roman" w:hAnsi="Times New Roman"/>
          <w:b/>
          <w:sz w:val="20"/>
        </w:rPr>
        <w:t xml:space="preserve">SCHEDULE </w:t>
      </w:r>
    </w:p>
    <w:p>
      <w:pPr>
        <w:pStyle w:val="TextBody"/>
        <w:spacing w:before="240" w:after="0"/>
        <w:jc w:val="center"/>
        <w:rPr>
          <w:rFonts w:ascii="Times New Roman" w:hAnsi="Times New Roman"/>
          <w:sz w:val="20"/>
        </w:rPr>
      </w:pPr>
      <w:r>
        <w:rPr>
          <w:rFonts w:ascii="Times New Roman" w:hAnsi="Times New Roman"/>
          <w:sz w:val="20"/>
        </w:rPr>
        <w:t xml:space="preserve">[NUMBER][CLASS] shares of [CURRENCY][NOMINAL VALUE] (with distinctive numbers [ ? ] to [ ? ]) inclusive) registered in the name of [PLEDGOR] have been pledged in favour of [PLEDGEE] under a Deed of Pledge dated [DATE] between [PLEDGOR] and [PLEDGEE]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4082"/>
      </w:tblGrid>
      <w:tr>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pPr>
            <w:r>
              <w:rPr/>
              <w:t>Yours faithfully,</w:t>
            </w:r>
          </w:p>
        </w:tc>
      </w:tr>
      <w:tr>
        <w:trPr>
          <w:trHeight w:val="240" w:hRule="atLeast"/>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pBdr>
                <w:bottom w:val="single" w:sz="2" w:space="1" w:color="000000"/>
              </w:pBdr>
              <w:spacing w:before="0" w:after="20"/>
              <w:rPr/>
            </w:pPr>
            <w:r>
              <w:rPr/>
              <w:t> </w:t>
            </w:r>
          </w:p>
        </w:tc>
      </w:tr>
      <w:tr>
        <w:trPr/>
        <w:tc>
          <w:tcPr>
            <w:tcW w:w="4082" w:type="dxa"/>
            <w:tcBorders/>
            <w:shd w:fill="auto" w:val="clear"/>
          </w:tcPr>
          <w:p>
            <w:pPr>
              <w:pStyle w:val="TableContents"/>
              <w:spacing w:before="0" w:after="283"/>
              <w:rPr>
                <w:b/>
              </w:rPr>
            </w:pPr>
            <w:r>
              <w:rPr>
                <w:b/>
              </w:rPr>
              <w:t>TOP SECRETARIAL LIMITED</w:t>
            </w:r>
          </w:p>
        </w:tc>
      </w:tr>
      <w:tr>
        <w:trPr/>
        <w:tc>
          <w:tcPr>
            <w:tcW w:w="4082" w:type="dxa"/>
            <w:tcBorders/>
            <w:shd w:fill="auto" w:val="clear"/>
          </w:tcPr>
          <w:p>
            <w:pPr>
              <w:pStyle w:val="TableContents"/>
              <w:spacing w:before="0" w:after="283"/>
              <w:rPr/>
            </w:pPr>
            <w:r>
              <w:rPr/>
              <w:t>Secretary of</w:t>
            </w:r>
          </w:p>
        </w:tc>
      </w:tr>
      <w:tr>
        <w:trPr/>
        <w:tc>
          <w:tcPr>
            <w:tcW w:w="4082" w:type="dxa"/>
            <w:tcBorders/>
            <w:shd w:fill="auto" w:val="clear"/>
          </w:tcPr>
          <w:p>
            <w:pPr>
              <w:pStyle w:val="TableContents"/>
              <w:spacing w:before="0" w:after="283"/>
              <w:rPr/>
            </w:pPr>
            <w:r>
              <w:rPr/>
              <w:t>HEADHUNTER FSU LIMITED</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7 </w:t>
      </w:r>
    </w:p>
    <w:p>
      <w:pPr>
        <w:pStyle w:val="TextBody"/>
        <w:spacing w:before="240" w:after="0"/>
        <w:jc w:val="center"/>
        <w:rPr>
          <w:rFonts w:ascii="Times New Roman" w:hAnsi="Times New Roman"/>
          <w:b/>
          <w:sz w:val="20"/>
        </w:rPr>
      </w:pPr>
      <w:r>
        <w:rPr>
          <w:rFonts w:ascii="Times New Roman" w:hAnsi="Times New Roman"/>
          <w:b/>
          <w:sz w:val="20"/>
        </w:rPr>
        <w:t xml:space="preserve">BOARD RESOLUTION </w:t>
      </w:r>
    </w:p>
    <w:p>
      <w:pPr>
        <w:pStyle w:val="TextBody"/>
        <w:spacing w:before="240" w:after="0"/>
        <w:jc w:val="center"/>
        <w:rPr>
          <w:rFonts w:ascii="Times New Roman" w:hAnsi="Times New Roman"/>
          <w:b/>
          <w:sz w:val="20"/>
        </w:rPr>
      </w:pPr>
      <w:r>
        <w:rPr>
          <w:rFonts w:ascii="Times New Roman" w:hAnsi="Times New Roman"/>
          <w:b/>
          <w:sz w:val="20"/>
        </w:rPr>
        <w:t xml:space="preserve">HEADHUNTER FSU LIMITED </w:t>
      </w:r>
    </w:p>
    <w:p>
      <w:pPr>
        <w:pStyle w:val="TextBody"/>
        <w:spacing w:before="240" w:after="0"/>
        <w:jc w:val="center"/>
        <w:rPr>
          <w:rFonts w:ascii="Times New Roman" w:hAnsi="Times New Roman"/>
          <w:sz w:val="20"/>
        </w:rPr>
      </w:pP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240" w:after="0"/>
        <w:jc w:val="center"/>
        <w:rPr>
          <w:rFonts w:ascii="Times New Roman" w:hAnsi="Times New Roman"/>
          <w:sz w:val="20"/>
        </w:rPr>
      </w:pPr>
      <w:r>
        <w:rPr>
          <w:rFonts w:ascii="Times New Roman" w:hAnsi="Times New Roman"/>
          <w:sz w:val="20"/>
        </w:rPr>
        <w:t xml:space="preserve">Written Resolution of the Board of Directors of the Company </w:t>
      </w:r>
    </w:p>
    <w:p>
      <w:pPr>
        <w:pStyle w:val="TextBody"/>
        <w:spacing w:before="0" w:after="0"/>
        <w:jc w:val="center"/>
        <w:rPr>
          <w:rFonts w:ascii="Times New Roman" w:hAnsi="Times New Roman"/>
          <w:sz w:val="20"/>
        </w:rPr>
      </w:pPr>
      <w:r>
        <w:rPr>
          <w:rFonts w:ascii="Times New Roman" w:hAnsi="Times New Roman"/>
          <w:sz w:val="20"/>
        </w:rPr>
        <w:t xml:space="preserve">passed in accordance he Company’s Articles of Association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w:t>
            </w:r>
          </w:p>
        </w:tc>
        <w:tc>
          <w:tcPr>
            <w:tcW w:w="9391" w:type="dxa"/>
            <w:tcBorders/>
            <w:shd w:fill="auto" w:val="clear"/>
          </w:tcPr>
          <w:p>
            <w:pPr>
              <w:pStyle w:val="TableContents"/>
              <w:spacing w:before="0" w:after="283"/>
              <w:jc w:val="left"/>
              <w:rPr>
                <w:b/>
              </w:rPr>
            </w:pPr>
            <w:r>
              <w:rPr>
                <w:b/>
              </w:rPr>
              <w:t xml:space="preserve">BACKGROUND </w:t>
            </w:r>
          </w:p>
        </w:tc>
      </w:tr>
    </w:tbl>
    <w:p>
      <w:pPr>
        <w:pStyle w:val="TextBody"/>
        <w:spacing w:before="120" w:after="0"/>
        <w:rPr>
          <w:rFonts w:ascii="Times New Roman" w:hAnsi="Times New Roman"/>
          <w:sz w:val="20"/>
        </w:rPr>
      </w:pPr>
      <w:r>
        <w:rPr>
          <w:rFonts w:ascii="Times New Roman" w:hAnsi="Times New Roman"/>
          <w:sz w:val="20"/>
        </w:rPr>
        <w:t xml:space="preserve">[ ? ] (the </w:t>
      </w:r>
      <w:r>
        <w:rPr>
          <w:rFonts w:ascii="Times New Roman" w:hAnsi="Times New Roman"/>
          <w:b/>
          <w:sz w:val="20"/>
        </w:rPr>
        <w:t>Pledgor</w:t>
      </w:r>
      <w:r>
        <w:rPr>
          <w:rFonts w:ascii="Times New Roman" w:hAnsi="Times New Roman"/>
          <w:sz w:val="20"/>
        </w:rPr>
        <w:t>) has entered or propose to enter into a deed of pledge (the “</w:t>
      </w:r>
      <w:r>
        <w:rPr>
          <w:rFonts w:ascii="Times New Roman" w:hAnsi="Times New Roman"/>
          <w:b/>
          <w:sz w:val="20"/>
        </w:rPr>
        <w:t>Deed of Pledge</w:t>
      </w:r>
      <w:r>
        <w:rPr>
          <w:rFonts w:ascii="Times New Roman" w:hAnsi="Times New Roman"/>
          <w:sz w:val="20"/>
        </w:rPr>
        <w:t>”) dated on or about the date of this resolution between the Pledgor and JSC VTB BANK (the “</w:t>
      </w:r>
      <w:r>
        <w:rPr>
          <w:rFonts w:ascii="Times New Roman" w:hAnsi="Times New Roman"/>
          <w:b/>
          <w:sz w:val="20"/>
        </w:rPr>
        <w:t>Pledgee</w:t>
      </w:r>
      <w:r>
        <w:rPr>
          <w:rFonts w:ascii="Times New Roman" w:hAnsi="Times New Roman"/>
          <w:sz w:val="20"/>
        </w:rPr>
        <w:t xml:space="preserve">”), pursuant to which the Pledgor shall, inter alia, pledge in favour of the Pledgee the share certificates issued in its name and representing [ ? ] ordinary shares in the Company (the </w:t>
      </w:r>
      <w:r>
        <w:rPr>
          <w:rFonts w:ascii="Times New Roman" w:hAnsi="Times New Roman"/>
          <w:b/>
          <w:sz w:val="20"/>
        </w:rPr>
        <w:t>Shares</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2.</w:t>
            </w:r>
          </w:p>
        </w:tc>
        <w:tc>
          <w:tcPr>
            <w:tcW w:w="9392" w:type="dxa"/>
            <w:tcBorders/>
            <w:shd w:fill="auto" w:val="clear"/>
          </w:tcPr>
          <w:p>
            <w:pPr>
              <w:pStyle w:val="TableContents"/>
              <w:spacing w:before="0" w:after="283"/>
              <w:jc w:val="left"/>
              <w:rPr>
                <w:b/>
              </w:rPr>
            </w:pPr>
            <w:r>
              <w:rPr>
                <w:b/>
              </w:rPr>
              <w:t xml:space="preserve">RESOLUTIONS </w:t>
            </w:r>
          </w:p>
        </w:tc>
      </w:tr>
    </w:tbl>
    <w:p>
      <w:pPr>
        <w:pStyle w:val="TextBody"/>
        <w:spacing w:before="120" w:after="0"/>
        <w:rPr>
          <w:rFonts w:ascii="Times New Roman" w:hAnsi="Times New Roman"/>
          <w:sz w:val="20"/>
        </w:rPr>
      </w:pPr>
      <w:r>
        <w:rPr>
          <w:rFonts w:ascii="Times New Roman" w:hAnsi="Times New Roman"/>
          <w:sz w:val="20"/>
        </w:rPr>
        <w:t xml:space="preserve">IT IS HEREBY RESOLVED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7554" w:type="dxa"/>
            <w:tcBorders/>
            <w:shd w:fill="auto" w:val="clear"/>
          </w:tcPr>
          <w:p>
            <w:pPr>
              <w:pStyle w:val="TableContents"/>
              <w:spacing w:before="0" w:after="283"/>
              <w:jc w:val="left"/>
              <w:rPr/>
            </w:pPr>
            <w:r>
              <w:rPr/>
              <w:t xml:space="preserve">THAT that the terms of, and the transactions contemplated, by the Deed of Pledge and any related documents be and are hereby approved;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7553" w:type="dxa"/>
            <w:tcBorders/>
            <w:shd w:fill="auto" w:val="clear"/>
          </w:tcPr>
          <w:p>
            <w:pPr>
              <w:pStyle w:val="TableContents"/>
              <w:spacing w:before="0" w:after="283"/>
              <w:jc w:val="left"/>
              <w:rPr/>
            </w:pPr>
            <w:r>
              <w:rPr/>
              <w:t xml:space="preserve">THAT any transfer of Shares made by the Pledgee on enforcement of the Deed of Pledge be and is hereby approved.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6"/>
        <w:gridCol w:w="7557"/>
      </w:tblGrid>
      <w:tr>
        <w:trPr/>
        <w:tc>
          <w:tcPr>
            <w:tcW w:w="1731"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7557" w:type="dxa"/>
            <w:tcBorders/>
            <w:shd w:fill="auto" w:val="clear"/>
          </w:tcPr>
          <w:p>
            <w:pPr>
              <w:pStyle w:val="TableContents"/>
              <w:spacing w:before="0" w:after="283"/>
              <w:jc w:val="left"/>
              <w:rPr/>
            </w:pPr>
            <w:r>
              <w:rPr/>
              <w:t xml:space="preserve">THAT the Secretary be and is hereby authorised and instructed: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1"/>
        <w:gridCol w:w="919"/>
        <w:gridCol w:w="6634"/>
      </w:tblGrid>
      <w:tr>
        <w:trPr/>
        <w:tc>
          <w:tcPr>
            <w:tcW w:w="2651"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6634" w:type="dxa"/>
            <w:tcBorders/>
            <w:shd w:fill="auto" w:val="clear"/>
          </w:tcPr>
          <w:p>
            <w:pPr>
              <w:pStyle w:val="TableContents"/>
              <w:spacing w:before="0" w:after="283"/>
              <w:jc w:val="left"/>
              <w:rPr/>
            </w:pPr>
            <w:r>
              <w:rPr/>
              <w:t xml:space="preserve">upon receipt of a notice in respect of the Deed of Pledge, to enter a memorandum of pledge in the Company’s register of members against the Shares and to issue a certificate to the Pledgee confirming the same in accordance with the terms of the Deed of Pledge;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2653"/>
        <w:gridCol w:w="917"/>
        <w:gridCol w:w="6634"/>
      </w:tblGrid>
      <w:tr>
        <w:trPr/>
        <w:tc>
          <w:tcPr>
            <w:tcW w:w="265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6634" w:type="dxa"/>
            <w:tcBorders/>
            <w:shd w:fill="auto" w:val="clear"/>
          </w:tcPr>
          <w:p>
            <w:pPr>
              <w:pStyle w:val="TableContents"/>
              <w:spacing w:before="0" w:after="283"/>
              <w:jc w:val="left"/>
              <w:rPr/>
            </w:pPr>
            <w:r>
              <w:rPr/>
              <w:t xml:space="preserve">upon receipt of an instrument of transfer of any Shares, to enter the name of the relevant transferee in the register of members of the Company and file the relevant company forms with the Registrar of Companies. </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4"/>
        <w:gridCol w:w="4796"/>
      </w:tblGrid>
      <w:tr>
        <w:trPr/>
        <w:tc>
          <w:tcPr>
            <w:tcW w:w="520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4796"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Dated this [DATE]</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b/>
                <w:sz w:val="20"/>
              </w:rPr>
            </w:pPr>
            <w:r>
              <w:rPr>
                <w:rFonts w:ascii="Times New Roman" w:hAnsi="Times New Roman"/>
                <w:b/>
                <w:sz w:val="20"/>
              </w:rPr>
              <w:t>KATERINA IOSIF</w:t>
              <w:br/>
              <w:t>Director</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b/>
                <w:sz w:val="20"/>
              </w:rPr>
            </w:pPr>
            <w:r>
              <w:rPr>
                <w:rFonts w:ascii="Times New Roman" w:hAnsi="Times New Roman"/>
                <w:b/>
                <w:sz w:val="20"/>
              </w:rPr>
              <w:t>PANAYIOTA STYLIANOU</w:t>
              <w:br/>
              <w:t>Director</w:t>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b/>
                <w:sz w:val="20"/>
              </w:rPr>
            </w:pPr>
            <w:r>
              <w:rPr>
                <w:rFonts w:ascii="Times New Roman" w:hAnsi="Times New Roman"/>
                <w:b/>
                <w:sz w:val="20"/>
              </w:rPr>
              <w:t>ALEXANDER ARBUZOV</w:t>
              <w:br/>
              <w:t>Director</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8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3"/>
        <w:gridCol w:w="4797"/>
      </w:tblGrid>
      <w:tr>
        <w:trPr/>
        <w:tc>
          <w:tcPr>
            <w:tcW w:w="520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vAlign w:val="bottom"/>
          </w:tcPr>
          <w:p>
            <w:pPr>
              <w:pStyle w:val="TableContents"/>
              <w:spacing w:before="0" w:after="283"/>
              <w:jc w:val="center"/>
              <w:rPr>
                <w:b/>
              </w:rPr>
            </w:pPr>
            <w:r>
              <w:rPr>
                <w:b/>
              </w:rPr>
              <w:t>SECRETARY’S CONFIRMATION</w:t>
            </w:r>
          </w:p>
        </w:tc>
        <w:tc>
          <w:tcPr>
            <w:tcW w:w="203" w:type="dxa"/>
            <w:tcBorders/>
            <w:shd w:fill="auto" w:val="clear"/>
            <w:vAlign w:val="bottom"/>
          </w:tcPr>
          <w:p>
            <w:pPr>
              <w:pStyle w:val="TableContents"/>
              <w:spacing w:before="0" w:after="283"/>
              <w:rPr/>
            </w:pPr>
            <w:r>
              <w:rPr/>
              <w:t>  </w:t>
            </w:r>
          </w:p>
        </w:tc>
        <w:tc>
          <w:tcPr>
            <w:tcW w:w="4797" w:type="dxa"/>
            <w:tcBorders/>
            <w:shd w:fill="auto" w:val="clear"/>
            <w:vAlign w:val="bottom"/>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0"/>
              <w:rPr/>
            </w:pPr>
            <w:r>
              <w:rPr/>
              <w:t> </w:t>
            </w:r>
          </w:p>
          <w:p>
            <w:pPr>
              <w:pStyle w:val="TableContents"/>
              <w:spacing w:before="0" w:after="0"/>
              <w:rPr>
                <w:rFonts w:ascii="Times New Roman" w:hAnsi="Times New Roman"/>
                <w:sz w:val="20"/>
              </w:rPr>
            </w:pPr>
            <w:r>
              <w:rPr>
                <w:rFonts w:ascii="Times New Roman" w:hAnsi="Times New Roman"/>
                <w:sz w:val="20"/>
              </w:rPr>
              <w:t>HEADHUNTER FSU LIMITED</w:t>
            </w:r>
          </w:p>
          <w:p>
            <w:pPr>
              <w:pStyle w:val="TableContents"/>
              <w:spacing w:before="0" w:after="0"/>
              <w:rPr/>
            </w:pPr>
            <w:r>
              <w:rPr/>
              <w:t> </w:t>
            </w:r>
          </w:p>
          <w:p>
            <w:pPr>
              <w:pStyle w:val="TableContents"/>
              <w:spacing w:before="0" w:after="0"/>
              <w:rPr>
                <w:rFonts w:ascii="Times New Roman" w:hAnsi="Times New Roman"/>
                <w:sz w:val="20"/>
              </w:rPr>
            </w:pPr>
            <w:r>
              <w:rPr>
                <w:rFonts w:ascii="Times New Roman" w:hAnsi="Times New Roman"/>
                <w:sz w:val="20"/>
              </w:rPr>
              <w:t>HE 178226</w:t>
            </w:r>
          </w:p>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(the “</w:t>
            </w:r>
            <w:r>
              <w:rPr>
                <w:rFonts w:ascii="Times New Roman" w:hAnsi="Times New Roman"/>
                <w:b/>
                <w:sz w:val="20"/>
              </w:rPr>
              <w:t>Company</w:t>
            </w:r>
            <w:r>
              <w:rPr>
                <w:rFonts w:ascii="Times New Roman" w:hAnsi="Times New Roman"/>
                <w:sz w:val="20"/>
              </w:rPr>
              <w:t>”)</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Registrar of Companies &amp; Official Receiver Department of Registrar of Companies and Official Receiver</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Date:</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b/>
                <w:u w:val="single"/>
              </w:rPr>
            </w:pPr>
            <w:r>
              <w:rPr>
                <w:b/>
                <w:u w:val="single"/>
              </w:rPr>
              <w:t>Secretary’s Confirmation</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We the undersigned, being the Secretary of the Company hereby certify that the changes set out in the attached filing forms are true, accurate and in accordance with the corporate registers of the Company.</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pBdr>
                <w:bottom w:val="single" w:sz="2" w:space="1" w:color="000000"/>
              </w:pBdr>
              <w:spacing w:lineRule="atLeast" w:line="141" w:before="0" w:after="40"/>
              <w:rPr/>
            </w:pPr>
            <w:r>
              <w:rPr/>
              <w:t> </w:t>
            </w:r>
          </w:p>
          <w:p>
            <w:pPr>
              <w:pStyle w:val="TableContents"/>
              <w:spacing w:before="0" w:after="20"/>
              <w:rPr>
                <w:rFonts w:ascii="Times New Roman" w:hAnsi="Times New Roman"/>
                <w:sz w:val="20"/>
              </w:rPr>
            </w:pPr>
            <w:r>
              <w:rPr>
                <w:rFonts w:ascii="Times New Roman" w:hAnsi="Times New Roman"/>
                <w:sz w:val="20"/>
              </w:rPr>
              <w:t>[Secretary]</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12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[INTENTIONALLY LEFT BLANK FOR THE NEW SECRETARY TO SIGN]</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[INTENTIONALLY LEFT BLANK FOR THE NEW SECRETARY TO SIGN|</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24"/>
        <w:gridCol w:w="208"/>
        <w:gridCol w:w="9372"/>
      </w:tblGrid>
      <w:tr>
        <w:trPr/>
        <w:tc>
          <w:tcPr>
            <w:tcW w:w="624" w:type="dxa"/>
            <w:tcBorders/>
            <w:shd w:fill="auto" w:val="clear"/>
            <w:vAlign w:val="center"/>
          </w:tcPr>
          <w:p>
            <w:pPr>
              <w:pStyle w:val="TableContents"/>
              <w:spacing w:before="0" w:after="283"/>
              <w:rPr>
                <w:sz w:val="4"/>
                <w:szCs w:val="4"/>
              </w:rPr>
            </w:pPr>
            <w:r>
              <w:rPr>
                <w:sz w:val="4"/>
                <w:szCs w:val="4"/>
              </w:rPr>
            </w:r>
          </w:p>
        </w:tc>
        <w:tc>
          <w:tcPr>
            <w:tcW w:w="208" w:type="dxa"/>
            <w:tcBorders/>
            <w:shd w:fill="auto" w:val="clear"/>
            <w:vAlign w:val="bottom"/>
          </w:tcPr>
          <w:p>
            <w:pPr>
              <w:pStyle w:val="TableContents"/>
              <w:spacing w:before="0" w:after="283"/>
              <w:rPr>
                <w:sz w:val="4"/>
                <w:szCs w:val="4"/>
              </w:rPr>
            </w:pPr>
            <w:r>
              <w:rPr>
                <w:sz w:val="4"/>
                <w:szCs w:val="4"/>
              </w:rPr>
            </w:r>
          </w:p>
        </w:tc>
        <w:tc>
          <w:tcPr>
            <w:tcW w:w="9372" w:type="dxa"/>
            <w:tcBorders/>
            <w:shd w:fill="auto" w:val="clear"/>
            <w:vAlign w:val="center"/>
          </w:tcPr>
          <w:p>
            <w:pPr>
              <w:pStyle w:val="TableContents"/>
              <w:spacing w:before="0" w:after="283"/>
              <w:rPr>
                <w:sz w:val="4"/>
                <w:szCs w:val="4"/>
              </w:rPr>
            </w:pPr>
            <w:r>
              <w:rPr>
                <w:sz w:val="4"/>
                <w:szCs w:val="4"/>
              </w:rPr>
            </w:r>
          </w:p>
        </w:tc>
      </w:tr>
      <w:tr>
        <w:trPr/>
        <w:tc>
          <w:tcPr>
            <w:tcW w:w="10204" w:type="dxa"/>
            <w:gridSpan w:val="3"/>
            <w:tcBorders/>
            <w:shd w:fill="auto" w:val="clear"/>
          </w:tcPr>
          <w:p>
            <w:pPr>
              <w:pStyle w:val="TableContents"/>
              <w:spacing w:before="0" w:after="283"/>
              <w:rPr/>
            </w:pPr>
            <w:r>
              <w:rPr/>
              <w:t>Pledgor</w:t>
            </w:r>
          </w:p>
        </w:tc>
      </w:tr>
      <w:tr>
        <w:trPr>
          <w:trHeight w:val="120" w:hRule="atLeast"/>
        </w:trPr>
        <w:tc>
          <w:tcPr>
            <w:tcW w:w="10204" w:type="dxa"/>
            <w:gridSpan w:val="3"/>
            <w:tcBorders/>
            <w:shd w:fill="auto" w:val="clear"/>
            <w:vAlign w:val="center"/>
          </w:tcPr>
          <w:p>
            <w:pPr>
              <w:pStyle w:val="TableContents"/>
              <w:spacing w:before="0" w:after="283"/>
              <w:rPr>
                <w:sz w:val="4"/>
                <w:szCs w:val="4"/>
              </w:rPr>
            </w:pPr>
            <w:r>
              <w:rPr>
                <w:sz w:val="4"/>
                <w:szCs w:val="4"/>
              </w:rPr>
            </w:r>
          </w:p>
        </w:tc>
      </w:tr>
      <w:tr>
        <w:trPr/>
        <w:tc>
          <w:tcPr>
            <w:tcW w:w="10204" w:type="dxa"/>
            <w:gridSpan w:val="3"/>
            <w:tcBorders/>
            <w:shd w:fill="auto" w:val="clear"/>
          </w:tcPr>
          <w:p>
            <w:pPr>
              <w:pStyle w:val="TableContents"/>
              <w:spacing w:before="0" w:after="283"/>
              <w:rPr/>
            </w:pPr>
            <w:r>
              <w:rPr/>
              <w:t xml:space="preserve">SIGNED as a DEED by </w:t>
            </w:r>
            <w:r>
              <w:rPr>
                <w:b/>
              </w:rPr>
              <w:t xml:space="preserve">LLC ZEMENIK </w:t>
            </w:r>
            <w:r>
              <w:rPr/>
              <w:t>acting by its authorised director</w:t>
            </w:r>
          </w:p>
        </w:tc>
      </w:tr>
      <w:tr>
        <w:trPr/>
        <w:tc>
          <w:tcPr>
            <w:tcW w:w="10204" w:type="dxa"/>
            <w:gridSpan w:val="3"/>
            <w:tcBorders/>
            <w:shd w:fill="auto" w:val="clear"/>
          </w:tcPr>
          <w:p>
            <w:pPr>
              <w:pStyle w:val="TableContents"/>
              <w:spacing w:before="0" w:after="283"/>
              <w:rPr/>
            </w:pPr>
            <w:r>
              <w:rPr/>
              <w:t>Karen Agajan in the presence of:</w:t>
            </w:r>
          </w:p>
        </w:tc>
      </w:tr>
      <w:tr>
        <w:trPr>
          <w:trHeight w:val="120" w:hRule="atLeast"/>
        </w:trPr>
        <w:tc>
          <w:tcPr>
            <w:tcW w:w="624" w:type="dxa"/>
            <w:tcBorders/>
            <w:shd w:fill="auto" w:val="clear"/>
            <w:vAlign w:val="center"/>
          </w:tcPr>
          <w:p>
            <w:pPr>
              <w:pStyle w:val="TableContents"/>
              <w:spacing w:before="0" w:after="283"/>
              <w:rPr>
                <w:sz w:val="4"/>
                <w:szCs w:val="4"/>
              </w:rPr>
            </w:pPr>
            <w:r>
              <w:rPr>
                <w:sz w:val="4"/>
                <w:szCs w:val="4"/>
              </w:rPr>
            </w:r>
          </w:p>
        </w:tc>
        <w:tc>
          <w:tcPr>
            <w:tcW w:w="9580" w:type="dxa"/>
            <w:gridSpan w:val="2"/>
            <w:tcBorders/>
            <w:shd w:fill="auto" w:val="clear"/>
            <w:vAlign w:val="center"/>
          </w:tcPr>
          <w:p>
            <w:pPr>
              <w:pStyle w:val="TableContents"/>
              <w:spacing w:before="0" w:after="283"/>
              <w:rPr>
                <w:sz w:val="4"/>
                <w:szCs w:val="4"/>
              </w:rPr>
            </w:pPr>
            <w:r>
              <w:rPr>
                <w:sz w:val="4"/>
                <w:szCs w:val="4"/>
              </w:rPr>
            </w:r>
          </w:p>
        </w:tc>
      </w:tr>
      <w:tr>
        <w:trPr/>
        <w:tc>
          <w:tcPr>
            <w:tcW w:w="624" w:type="dxa"/>
            <w:tcBorders/>
            <w:shd w:fill="auto" w:val="clear"/>
          </w:tcPr>
          <w:p>
            <w:pPr>
              <w:pStyle w:val="TableContents"/>
              <w:spacing w:before="0" w:after="283"/>
              <w:rPr/>
            </w:pPr>
            <w:r>
              <w:rPr/>
              <w:t>1.</w:t>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283"/>
              <w:rPr/>
            </w:pPr>
            <w:r>
              <w:rPr/>
              <w:t>Witness’s Signature: </w:t>
            </w:r>
            <w:r>
              <w:rPr>
                <w:u w:val="single"/>
              </w:rPr>
              <w:t>                                                 </w:t>
            </w:r>
          </w:p>
        </w:tc>
      </w:tr>
      <w:tr>
        <w:trPr>
          <w:trHeight w:val="120" w:hRule="atLeast"/>
        </w:trPr>
        <w:tc>
          <w:tcPr>
            <w:tcW w:w="624" w:type="dxa"/>
            <w:tcBorders/>
            <w:shd w:fill="auto" w:val="clear"/>
            <w:vAlign w:val="center"/>
          </w:tcPr>
          <w:p>
            <w:pPr>
              <w:pStyle w:val="TableContents"/>
              <w:spacing w:before="0" w:after="283"/>
              <w:rPr>
                <w:sz w:val="4"/>
                <w:szCs w:val="4"/>
              </w:rPr>
            </w:pPr>
            <w:r>
              <w:rPr>
                <w:sz w:val="4"/>
                <w:szCs w:val="4"/>
              </w:rPr>
            </w:r>
          </w:p>
        </w:tc>
        <w:tc>
          <w:tcPr>
            <w:tcW w:w="9580" w:type="dxa"/>
            <w:gridSpan w:val="2"/>
            <w:tcBorders/>
            <w:shd w:fill="auto" w:val="clear"/>
            <w:vAlign w:val="center"/>
          </w:tcPr>
          <w:p>
            <w:pPr>
              <w:pStyle w:val="TableContents"/>
              <w:spacing w:before="0" w:after="283"/>
              <w:rPr>
                <w:sz w:val="4"/>
                <w:szCs w:val="4"/>
              </w:rPr>
            </w:pPr>
            <w:r>
              <w:rPr>
                <w:sz w:val="4"/>
                <w:szCs w:val="4"/>
              </w:rPr>
            </w:r>
          </w:p>
        </w:tc>
      </w:tr>
      <w:tr>
        <w:trPr/>
        <w:tc>
          <w:tcPr>
            <w:tcW w:w="624" w:type="dxa"/>
            <w:tcBorders/>
            <w:shd w:fill="auto" w:val="clear"/>
          </w:tcPr>
          <w:p>
            <w:pPr>
              <w:pStyle w:val="TableContents"/>
              <w:spacing w:before="0" w:after="283"/>
              <w:rPr>
                <w:sz w:val="4"/>
                <w:szCs w:val="4"/>
              </w:rPr>
            </w:pPr>
            <w:r>
              <w:rPr>
                <w:sz w:val="4"/>
                <w:szCs w:val="4"/>
              </w:rPr>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283"/>
              <w:rPr/>
            </w:pPr>
            <w:r>
              <w:rPr/>
              <w:t>Name:</w:t>
            </w:r>
            <w:r>
              <w:rPr>
                <w:u w:val="single"/>
              </w:rPr>
              <w:t>                                                                          </w:t>
            </w:r>
          </w:p>
        </w:tc>
      </w:tr>
      <w:tr>
        <w:trPr>
          <w:trHeight w:val="120" w:hRule="atLeast"/>
        </w:trPr>
        <w:tc>
          <w:tcPr>
            <w:tcW w:w="624" w:type="dxa"/>
            <w:tcBorders/>
            <w:shd w:fill="auto" w:val="clear"/>
            <w:vAlign w:val="center"/>
          </w:tcPr>
          <w:p>
            <w:pPr>
              <w:pStyle w:val="TableContents"/>
              <w:spacing w:before="0" w:after="283"/>
              <w:rPr>
                <w:sz w:val="4"/>
                <w:szCs w:val="4"/>
              </w:rPr>
            </w:pPr>
            <w:r>
              <w:rPr>
                <w:sz w:val="4"/>
                <w:szCs w:val="4"/>
              </w:rPr>
            </w:r>
          </w:p>
        </w:tc>
        <w:tc>
          <w:tcPr>
            <w:tcW w:w="9580" w:type="dxa"/>
            <w:gridSpan w:val="2"/>
            <w:tcBorders/>
            <w:shd w:fill="auto" w:val="clear"/>
            <w:vAlign w:val="center"/>
          </w:tcPr>
          <w:p>
            <w:pPr>
              <w:pStyle w:val="TableContents"/>
              <w:spacing w:before="0" w:after="283"/>
              <w:rPr>
                <w:sz w:val="4"/>
                <w:szCs w:val="4"/>
              </w:rPr>
            </w:pPr>
            <w:r>
              <w:rPr>
                <w:sz w:val="4"/>
                <w:szCs w:val="4"/>
              </w:rPr>
            </w:r>
          </w:p>
        </w:tc>
      </w:tr>
      <w:tr>
        <w:trPr/>
        <w:tc>
          <w:tcPr>
            <w:tcW w:w="624" w:type="dxa"/>
            <w:tcBorders/>
            <w:shd w:fill="auto" w:val="clear"/>
          </w:tcPr>
          <w:p>
            <w:pPr>
              <w:pStyle w:val="TableContents"/>
              <w:spacing w:before="0" w:after="283"/>
              <w:rPr/>
            </w:pPr>
            <w:r>
              <w:rPr/>
              <w:t>2.</w:t>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283"/>
              <w:rPr/>
            </w:pPr>
            <w:r>
              <w:rPr/>
              <w:t>Witness’s Signature: </w:t>
            </w:r>
            <w:r>
              <w:rPr>
                <w:u w:val="single"/>
              </w:rPr>
              <w:t>                                                 </w:t>
            </w:r>
          </w:p>
        </w:tc>
      </w:tr>
      <w:tr>
        <w:trPr>
          <w:trHeight w:val="120" w:hRule="atLeast"/>
        </w:trPr>
        <w:tc>
          <w:tcPr>
            <w:tcW w:w="624" w:type="dxa"/>
            <w:tcBorders/>
            <w:shd w:fill="auto" w:val="clear"/>
            <w:vAlign w:val="center"/>
          </w:tcPr>
          <w:p>
            <w:pPr>
              <w:pStyle w:val="TableContents"/>
              <w:spacing w:before="0" w:after="283"/>
              <w:rPr>
                <w:sz w:val="4"/>
                <w:szCs w:val="4"/>
              </w:rPr>
            </w:pPr>
            <w:r>
              <w:rPr>
                <w:sz w:val="4"/>
                <w:szCs w:val="4"/>
              </w:rPr>
            </w:r>
          </w:p>
        </w:tc>
        <w:tc>
          <w:tcPr>
            <w:tcW w:w="9580" w:type="dxa"/>
            <w:gridSpan w:val="2"/>
            <w:tcBorders/>
            <w:shd w:fill="auto" w:val="clear"/>
            <w:vAlign w:val="center"/>
          </w:tcPr>
          <w:p>
            <w:pPr>
              <w:pStyle w:val="TableContents"/>
              <w:spacing w:before="0" w:after="283"/>
              <w:rPr>
                <w:sz w:val="4"/>
                <w:szCs w:val="4"/>
              </w:rPr>
            </w:pPr>
            <w:r>
              <w:rPr>
                <w:sz w:val="4"/>
                <w:szCs w:val="4"/>
              </w:rPr>
            </w:r>
          </w:p>
        </w:tc>
      </w:tr>
      <w:tr>
        <w:trPr/>
        <w:tc>
          <w:tcPr>
            <w:tcW w:w="624" w:type="dxa"/>
            <w:tcBorders/>
            <w:shd w:fill="auto" w:val="clear"/>
          </w:tcPr>
          <w:p>
            <w:pPr>
              <w:pStyle w:val="TableContents"/>
              <w:spacing w:before="0" w:after="283"/>
              <w:rPr>
                <w:sz w:val="4"/>
                <w:szCs w:val="4"/>
              </w:rPr>
            </w:pPr>
            <w:r>
              <w:rPr>
                <w:sz w:val="4"/>
                <w:szCs w:val="4"/>
              </w:rPr>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283"/>
              <w:rPr/>
            </w:pPr>
            <w:r>
              <w:rPr/>
              <w:t>Name: </w:t>
            </w:r>
            <w:r>
              <w:rPr>
                <w:u w:val="single"/>
              </w:rPr>
              <w:t>                                                                         </w:t>
            </w:r>
          </w:p>
        </w:tc>
      </w:tr>
      <w:tr>
        <w:trPr>
          <w:trHeight w:val="120" w:hRule="atLeast"/>
        </w:trPr>
        <w:tc>
          <w:tcPr>
            <w:tcW w:w="10204" w:type="dxa"/>
            <w:gridSpan w:val="3"/>
            <w:tcBorders/>
            <w:shd w:fill="auto" w:val="clear"/>
            <w:vAlign w:val="center"/>
          </w:tcPr>
          <w:p>
            <w:pPr>
              <w:pStyle w:val="TableContents"/>
              <w:spacing w:before="0" w:after="283"/>
              <w:rPr>
                <w:sz w:val="4"/>
                <w:szCs w:val="4"/>
              </w:rPr>
            </w:pPr>
            <w:r>
              <w:rPr>
                <w:sz w:val="4"/>
                <w:szCs w:val="4"/>
              </w:rPr>
            </w:r>
          </w:p>
        </w:tc>
      </w:tr>
      <w:tr>
        <w:trPr/>
        <w:tc>
          <w:tcPr>
            <w:tcW w:w="10204" w:type="dxa"/>
            <w:gridSpan w:val="3"/>
            <w:tcBorders/>
            <w:shd w:fill="auto" w:val="clear"/>
          </w:tcPr>
          <w:p>
            <w:pPr>
              <w:pStyle w:val="TableContents"/>
              <w:spacing w:before="0" w:after="283"/>
              <w:rPr/>
            </w:pPr>
            <w:r>
              <w:rPr/>
              <w:t>Pledgee</w:t>
            </w:r>
          </w:p>
        </w:tc>
      </w:tr>
      <w:tr>
        <w:trPr>
          <w:trHeight w:val="120" w:hRule="atLeast"/>
        </w:trPr>
        <w:tc>
          <w:tcPr>
            <w:tcW w:w="10204" w:type="dxa"/>
            <w:gridSpan w:val="3"/>
            <w:tcBorders/>
            <w:shd w:fill="auto" w:val="clear"/>
            <w:vAlign w:val="center"/>
          </w:tcPr>
          <w:p>
            <w:pPr>
              <w:pStyle w:val="TableContents"/>
              <w:spacing w:before="0" w:after="283"/>
              <w:rPr>
                <w:sz w:val="4"/>
                <w:szCs w:val="4"/>
              </w:rPr>
            </w:pPr>
            <w:r>
              <w:rPr>
                <w:sz w:val="4"/>
                <w:szCs w:val="4"/>
              </w:rPr>
            </w:r>
          </w:p>
        </w:tc>
      </w:tr>
      <w:tr>
        <w:trPr/>
        <w:tc>
          <w:tcPr>
            <w:tcW w:w="10204" w:type="dxa"/>
            <w:gridSpan w:val="3"/>
            <w:tcBorders/>
            <w:shd w:fill="auto" w:val="clear"/>
          </w:tcPr>
          <w:p>
            <w:pPr>
              <w:pStyle w:val="TableContents"/>
              <w:spacing w:before="0" w:after="283"/>
              <w:rPr/>
            </w:pPr>
            <w:r>
              <w:rPr/>
              <w:t xml:space="preserve">SIGNED as a DEED by </w:t>
            </w:r>
            <w:r>
              <w:rPr>
                <w:b/>
              </w:rPr>
              <w:t xml:space="preserve">JSC VTB BANK </w:t>
            </w:r>
            <w:r>
              <w:rPr/>
              <w:t>acting by its authorised attorney</w:t>
            </w:r>
          </w:p>
        </w:tc>
      </w:tr>
      <w:tr>
        <w:trPr/>
        <w:tc>
          <w:tcPr>
            <w:tcW w:w="10204" w:type="dxa"/>
            <w:gridSpan w:val="3"/>
            <w:tcBorders/>
            <w:shd w:fill="auto" w:val="clear"/>
          </w:tcPr>
          <w:p>
            <w:pPr>
              <w:pStyle w:val="TableContents"/>
              <w:spacing w:before="0" w:after="283"/>
              <w:rPr/>
            </w:pPr>
            <w:r>
              <w:rPr/>
              <w:t>Vitaly Buzoverja in the presence of:</w:t>
            </w:r>
          </w:p>
        </w:tc>
      </w:tr>
      <w:tr>
        <w:trPr>
          <w:trHeight w:val="120" w:hRule="atLeast"/>
        </w:trPr>
        <w:tc>
          <w:tcPr>
            <w:tcW w:w="624" w:type="dxa"/>
            <w:tcBorders/>
            <w:shd w:fill="auto" w:val="clear"/>
            <w:vAlign w:val="center"/>
          </w:tcPr>
          <w:p>
            <w:pPr>
              <w:pStyle w:val="TableContents"/>
              <w:spacing w:before="0" w:after="283"/>
              <w:rPr>
                <w:sz w:val="4"/>
                <w:szCs w:val="4"/>
              </w:rPr>
            </w:pPr>
            <w:r>
              <w:rPr>
                <w:sz w:val="4"/>
                <w:szCs w:val="4"/>
              </w:rPr>
            </w:r>
          </w:p>
        </w:tc>
        <w:tc>
          <w:tcPr>
            <w:tcW w:w="9580" w:type="dxa"/>
            <w:gridSpan w:val="2"/>
            <w:tcBorders/>
            <w:shd w:fill="auto" w:val="clear"/>
            <w:vAlign w:val="center"/>
          </w:tcPr>
          <w:p>
            <w:pPr>
              <w:pStyle w:val="TableContents"/>
              <w:spacing w:before="0" w:after="283"/>
              <w:rPr>
                <w:sz w:val="4"/>
                <w:szCs w:val="4"/>
              </w:rPr>
            </w:pPr>
            <w:r>
              <w:rPr>
                <w:sz w:val="4"/>
                <w:szCs w:val="4"/>
              </w:rPr>
            </w:r>
          </w:p>
        </w:tc>
      </w:tr>
      <w:tr>
        <w:trPr/>
        <w:tc>
          <w:tcPr>
            <w:tcW w:w="624" w:type="dxa"/>
            <w:tcBorders/>
            <w:shd w:fill="auto" w:val="clear"/>
          </w:tcPr>
          <w:p>
            <w:pPr>
              <w:pStyle w:val="TableContents"/>
              <w:spacing w:before="0" w:after="283"/>
              <w:rPr/>
            </w:pPr>
            <w:r>
              <w:rPr/>
              <w:t>1.</w:t>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283"/>
              <w:rPr/>
            </w:pPr>
            <w:r>
              <w:rPr/>
              <w:t>Witness’s Signature: </w:t>
            </w:r>
            <w:r>
              <w:rPr>
                <w:u w:val="single"/>
              </w:rPr>
              <w:t>                                                 </w:t>
            </w:r>
          </w:p>
        </w:tc>
      </w:tr>
      <w:tr>
        <w:trPr>
          <w:trHeight w:val="120" w:hRule="atLeast"/>
        </w:trPr>
        <w:tc>
          <w:tcPr>
            <w:tcW w:w="624" w:type="dxa"/>
            <w:tcBorders/>
            <w:shd w:fill="auto" w:val="clear"/>
            <w:vAlign w:val="center"/>
          </w:tcPr>
          <w:p>
            <w:pPr>
              <w:pStyle w:val="TableContents"/>
              <w:spacing w:before="0" w:after="283"/>
              <w:rPr>
                <w:sz w:val="4"/>
                <w:szCs w:val="4"/>
              </w:rPr>
            </w:pPr>
            <w:r>
              <w:rPr>
                <w:sz w:val="4"/>
                <w:szCs w:val="4"/>
              </w:rPr>
            </w:r>
          </w:p>
        </w:tc>
        <w:tc>
          <w:tcPr>
            <w:tcW w:w="9580" w:type="dxa"/>
            <w:gridSpan w:val="2"/>
            <w:tcBorders/>
            <w:shd w:fill="auto" w:val="clear"/>
            <w:vAlign w:val="center"/>
          </w:tcPr>
          <w:p>
            <w:pPr>
              <w:pStyle w:val="TableContents"/>
              <w:spacing w:before="0" w:after="283"/>
              <w:rPr>
                <w:sz w:val="4"/>
                <w:szCs w:val="4"/>
              </w:rPr>
            </w:pPr>
            <w:r>
              <w:rPr>
                <w:sz w:val="4"/>
                <w:szCs w:val="4"/>
              </w:rPr>
            </w:r>
          </w:p>
        </w:tc>
      </w:tr>
      <w:tr>
        <w:trPr/>
        <w:tc>
          <w:tcPr>
            <w:tcW w:w="624" w:type="dxa"/>
            <w:tcBorders/>
            <w:shd w:fill="auto" w:val="clear"/>
          </w:tcPr>
          <w:p>
            <w:pPr>
              <w:pStyle w:val="TableContents"/>
              <w:spacing w:before="0" w:after="283"/>
              <w:rPr>
                <w:sz w:val="4"/>
                <w:szCs w:val="4"/>
              </w:rPr>
            </w:pPr>
            <w:r>
              <w:rPr>
                <w:sz w:val="4"/>
                <w:szCs w:val="4"/>
              </w:rPr>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283"/>
              <w:rPr/>
            </w:pPr>
            <w:r>
              <w:rPr/>
              <w:t>Name: </w:t>
            </w:r>
            <w:r>
              <w:rPr>
                <w:u w:val="single"/>
              </w:rPr>
              <w:t>                                                                         </w:t>
            </w:r>
          </w:p>
        </w:tc>
      </w:tr>
      <w:tr>
        <w:trPr>
          <w:trHeight w:val="120" w:hRule="atLeast"/>
        </w:trPr>
        <w:tc>
          <w:tcPr>
            <w:tcW w:w="624" w:type="dxa"/>
            <w:tcBorders/>
            <w:shd w:fill="auto" w:val="clear"/>
            <w:vAlign w:val="center"/>
          </w:tcPr>
          <w:p>
            <w:pPr>
              <w:pStyle w:val="TableContents"/>
              <w:spacing w:before="0" w:after="283"/>
              <w:rPr>
                <w:sz w:val="4"/>
                <w:szCs w:val="4"/>
              </w:rPr>
            </w:pPr>
            <w:r>
              <w:rPr>
                <w:sz w:val="4"/>
                <w:szCs w:val="4"/>
              </w:rPr>
            </w:r>
          </w:p>
        </w:tc>
        <w:tc>
          <w:tcPr>
            <w:tcW w:w="9580" w:type="dxa"/>
            <w:gridSpan w:val="2"/>
            <w:tcBorders/>
            <w:shd w:fill="auto" w:val="clear"/>
            <w:vAlign w:val="center"/>
          </w:tcPr>
          <w:p>
            <w:pPr>
              <w:pStyle w:val="TableContents"/>
              <w:spacing w:before="0" w:after="283"/>
              <w:rPr>
                <w:sz w:val="4"/>
                <w:szCs w:val="4"/>
              </w:rPr>
            </w:pPr>
            <w:r>
              <w:rPr>
                <w:sz w:val="4"/>
                <w:szCs w:val="4"/>
              </w:rPr>
            </w:r>
          </w:p>
        </w:tc>
      </w:tr>
      <w:tr>
        <w:trPr/>
        <w:tc>
          <w:tcPr>
            <w:tcW w:w="624" w:type="dxa"/>
            <w:tcBorders/>
            <w:shd w:fill="auto" w:val="clear"/>
          </w:tcPr>
          <w:p>
            <w:pPr>
              <w:pStyle w:val="TableContents"/>
              <w:spacing w:before="0" w:after="283"/>
              <w:rPr/>
            </w:pPr>
            <w:r>
              <w:rPr/>
              <w:t>2.</w:t>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283"/>
              <w:rPr/>
            </w:pPr>
            <w:r>
              <w:rPr/>
              <w:t>Witness’s Signature: </w:t>
            </w:r>
            <w:r>
              <w:rPr>
                <w:u w:val="single"/>
              </w:rPr>
              <w:t>                                                 </w:t>
            </w:r>
          </w:p>
        </w:tc>
      </w:tr>
      <w:tr>
        <w:trPr/>
        <w:tc>
          <w:tcPr>
            <w:tcW w:w="624" w:type="dxa"/>
            <w:tcBorders/>
            <w:shd w:fill="auto" w:val="clear"/>
          </w:tcPr>
          <w:p>
            <w:pPr>
              <w:pStyle w:val="TableContents"/>
              <w:spacing w:before="0" w:after="283"/>
              <w:rPr>
                <w:sz w:val="4"/>
                <w:szCs w:val="4"/>
              </w:rPr>
            </w:pPr>
            <w:r>
              <w:rPr>
                <w:sz w:val="4"/>
                <w:szCs w:val="4"/>
              </w:rPr>
            </w:r>
          </w:p>
        </w:tc>
        <w:tc>
          <w:tcPr>
            <w:tcW w:w="208" w:type="dxa"/>
            <w:tcBorders/>
            <w:shd w:fill="auto" w:val="clear"/>
            <w:vAlign w:val="bottom"/>
          </w:tcPr>
          <w:p>
            <w:pPr>
              <w:pStyle w:val="TableContents"/>
              <w:spacing w:before="0" w:after="283"/>
              <w:rPr/>
            </w:pPr>
            <w:r>
              <w:rPr/>
              <w:t>  </w:t>
            </w:r>
          </w:p>
        </w:tc>
        <w:tc>
          <w:tcPr>
            <w:tcW w:w="9372" w:type="dxa"/>
            <w:tcBorders/>
            <w:shd w:fill="auto" w:val="clear"/>
          </w:tcPr>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Name: </w:t>
            </w:r>
            <w:r>
              <w:rPr>
                <w:rFonts w:ascii="Times New Roman" w:hAnsi="Times New Roman"/>
                <w:sz w:val="20"/>
                <w:u w:val="single"/>
              </w:rPr>
              <w: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DATED </w:t>
      </w:r>
      <w:r>
        <w:rPr>
          <w:rFonts w:ascii="Times New Roman" w:hAnsi="Times New Roman"/>
          <w:b/>
          <w:sz w:val="20"/>
          <w:u w:val="single"/>
        </w:rPr>
        <w:t xml:space="preserve">5 </w:t>
      </w:r>
      <w:r>
        <w:rPr>
          <w:rFonts w:ascii="Times New Roman" w:hAnsi="Times New Roman"/>
          <w:b/>
          <w:sz w:val="20"/>
        </w:rPr>
        <w:t xml:space="preserve">OCTOBER 2017 </w:t>
      </w:r>
    </w:p>
    <w:p>
      <w:pPr>
        <w:pStyle w:val="TextBody"/>
        <w:spacing w:before="240" w:after="0"/>
        <w:jc w:val="center"/>
        <w:rPr>
          <w:rFonts w:ascii="Times New Roman" w:hAnsi="Times New Roman"/>
          <w:b/>
          <w:sz w:val="20"/>
        </w:rPr>
      </w:pPr>
      <w:r>
        <w:rPr>
          <w:rFonts w:ascii="Times New Roman" w:hAnsi="Times New Roman"/>
          <w:b/>
          <w:sz w:val="20"/>
        </w:rPr>
        <w:t xml:space="preserve">DEED OF CONFIRMATION </w:t>
      </w:r>
    </w:p>
    <w:p>
      <w:pPr>
        <w:pStyle w:val="TextBody"/>
        <w:spacing w:before="240" w:after="0"/>
        <w:jc w:val="center"/>
        <w:rPr>
          <w:rFonts w:ascii="Times New Roman" w:hAnsi="Times New Roman"/>
          <w:b/>
          <w:sz w:val="20"/>
        </w:rPr>
      </w:pPr>
      <w:r>
        <w:rPr>
          <w:rFonts w:ascii="Times New Roman" w:hAnsi="Times New Roman"/>
          <w:b/>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(1) LLC ZEMENIK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(2) VTB BANK (PJSC) </w:t>
      </w:r>
    </w:p>
    <w:p>
      <w:pPr>
        <w:pStyle w:val="TextBody"/>
        <w:spacing w:before="240" w:after="0"/>
        <w:jc w:val="center"/>
        <w:rPr>
          <w:rFonts w:ascii="Times New Roman" w:hAnsi="Times New Roman"/>
          <w:b/>
          <w:sz w:val="20"/>
        </w:rPr>
      </w:pPr>
      <w:r>
        <w:rPr>
          <w:rFonts w:ascii="Times New Roman" w:hAnsi="Times New Roman"/>
          <w:b/>
          <w:sz w:val="20"/>
        </w:rPr>
        <w:t xml:space="preserve">relating to the Deed of Pledge over shares in HeadHunter FSU Limited </w:t>
      </w:r>
    </w:p>
    <w:p>
      <w:pPr>
        <w:pStyle w:val="TextBody"/>
        <w:spacing w:before="240" w:after="0"/>
        <w:jc w:val="center"/>
        <w:rPr>
          <w:rFonts w:ascii="Times New Roman" w:hAnsi="Times New Roman"/>
          <w:b/>
          <w:sz w:val="20"/>
        </w:rPr>
      </w:pPr>
      <w:r>
        <w:rPr>
          <w:rFonts w:ascii="Times New Roman" w:hAnsi="Times New Roman"/>
          <w:b/>
          <w:sz w:val="20"/>
        </w:rPr>
        <w:t xml:space="preserve">dated 19 May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0" w:after="0"/>
        <w:jc w:val="center"/>
        <w:rPr>
          <w:rFonts w:ascii="Times New Roman" w:hAnsi="Times New Roman"/>
          <w:b/>
          <w:sz w:val="20"/>
        </w:rPr>
      </w:pPr>
      <w:r>
        <w:rPr>
          <w:rFonts w:ascii="Times New Roman" w:hAnsi="Times New Roman"/>
          <w:b/>
          <w:sz w:val="20"/>
        </w:rPr>
        <w:t xml:space="preserve">ALEXANDRO§ ECONOMOU LLC </w:t>
      </w:r>
    </w:p>
    <w:p>
      <w:pPr>
        <w:pStyle w:val="TextBody"/>
        <w:pBdr>
          <w:bottom w:val="single" w:sz="8" w:space="1" w:color="000000"/>
        </w:pBdr>
        <w:spacing w:lineRule="atLeast" w:line="141" w:before="0" w:after="40"/>
        <w:rPr/>
      </w:pPr>
      <w:r>
        <w:rPr/>
        <w: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16"/>
        <w:gridCol w:w="199"/>
        <w:gridCol w:w="8481"/>
        <w:gridCol w:w="231"/>
        <w:gridCol w:w="96"/>
        <w:gridCol w:w="419"/>
        <w:gridCol w:w="63"/>
      </w:tblGrid>
      <w:tr>
        <w:trPr/>
        <w:tc>
          <w:tcPr>
            <w:tcW w:w="716" w:type="dxa"/>
            <w:tcBorders/>
            <w:shd w:fill="auto" w:val="clear"/>
            <w:vAlign w:val="center"/>
          </w:tcPr>
          <w:p>
            <w:pPr>
              <w:pStyle w:val="TableContents"/>
              <w:spacing w:before="0" w:after="283"/>
              <w:rPr>
                <w:sz w:val="4"/>
                <w:szCs w:val="4"/>
              </w:rPr>
            </w:pPr>
            <w:r>
              <w:rPr>
                <w:sz w:val="4"/>
                <w:szCs w:val="4"/>
              </w:rPr>
            </w:r>
          </w:p>
        </w:tc>
        <w:tc>
          <w:tcPr>
            <w:tcW w:w="199" w:type="dxa"/>
            <w:tcBorders/>
            <w:shd w:fill="auto" w:val="clear"/>
            <w:vAlign w:val="bottom"/>
          </w:tcPr>
          <w:p>
            <w:pPr>
              <w:pStyle w:val="TableContents"/>
              <w:spacing w:before="0" w:after="283"/>
              <w:rPr>
                <w:sz w:val="4"/>
                <w:szCs w:val="4"/>
              </w:rPr>
            </w:pPr>
            <w:r>
              <w:rPr>
                <w:sz w:val="4"/>
                <w:szCs w:val="4"/>
              </w:rPr>
            </w:r>
          </w:p>
        </w:tc>
        <w:tc>
          <w:tcPr>
            <w:tcW w:w="8481" w:type="dxa"/>
            <w:tcBorders/>
            <w:shd w:fill="auto" w:val="clear"/>
            <w:vAlign w:val="center"/>
          </w:tcPr>
          <w:p>
            <w:pPr>
              <w:pStyle w:val="TableContents"/>
              <w:spacing w:before="0" w:after="283"/>
              <w:rPr>
                <w:sz w:val="4"/>
                <w:szCs w:val="4"/>
              </w:rPr>
            </w:pPr>
            <w:r>
              <w:rPr>
                <w:sz w:val="4"/>
                <w:szCs w:val="4"/>
              </w:rPr>
            </w:r>
          </w:p>
        </w:tc>
        <w:tc>
          <w:tcPr>
            <w:tcW w:w="231" w:type="dxa"/>
            <w:tcBorders/>
            <w:shd w:fill="auto" w:val="clear"/>
            <w:vAlign w:val="bottom"/>
          </w:tcPr>
          <w:p>
            <w:pPr>
              <w:pStyle w:val="TableContents"/>
              <w:spacing w:before="0" w:after="283"/>
              <w:rPr>
                <w:sz w:val="4"/>
                <w:szCs w:val="4"/>
              </w:rPr>
            </w:pPr>
            <w:r>
              <w:rPr>
                <w:sz w:val="4"/>
                <w:szCs w:val="4"/>
              </w:rPr>
            </w:r>
          </w:p>
        </w:tc>
        <w:tc>
          <w:tcPr>
            <w:tcW w:w="96" w:type="dxa"/>
            <w:tcBorders/>
            <w:shd w:fill="auto" w:val="clear"/>
            <w:vAlign w:val="center"/>
          </w:tcPr>
          <w:p>
            <w:pPr>
              <w:pStyle w:val="TableContents"/>
              <w:spacing w:before="0" w:after="283"/>
              <w:rPr>
                <w:sz w:val="4"/>
                <w:szCs w:val="4"/>
              </w:rPr>
            </w:pPr>
            <w:r>
              <w:rPr>
                <w:sz w:val="4"/>
                <w:szCs w:val="4"/>
              </w:rPr>
            </w:r>
          </w:p>
        </w:tc>
        <w:tc>
          <w:tcPr>
            <w:tcW w:w="419"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vAlign w:val="bottom"/>
          </w:tcPr>
          <w:p>
            <w:pPr>
              <w:pStyle w:val="TableContents"/>
              <w:spacing w:before="0" w:after="283"/>
              <w:jc w:val="center"/>
              <w:rPr>
                <w:b/>
              </w:rPr>
            </w:pPr>
            <w:r>
              <w:rPr>
                <w:b/>
              </w:rPr>
              <w:t>Clause</w:t>
            </w:r>
          </w:p>
        </w:tc>
        <w:tc>
          <w:tcPr>
            <w:tcW w:w="199" w:type="dxa"/>
            <w:tcBorders/>
            <w:shd w:fill="auto" w:val="clear"/>
            <w:vAlign w:val="bottom"/>
          </w:tcPr>
          <w:p>
            <w:pPr>
              <w:pStyle w:val="TableContents"/>
              <w:spacing w:before="0" w:after="283"/>
              <w:rPr/>
            </w:pPr>
            <w:r>
              <w:rPr/>
              <w:t> </w:t>
            </w:r>
          </w:p>
        </w:tc>
        <w:tc>
          <w:tcPr>
            <w:tcW w:w="8481" w:type="dxa"/>
            <w:tcBorders/>
            <w:shd w:fill="auto" w:val="clear"/>
            <w:vAlign w:val="bottom"/>
          </w:tcPr>
          <w:p>
            <w:pPr>
              <w:pStyle w:val="TableContents"/>
              <w:spacing w:before="0" w:after="283"/>
              <w:rPr/>
            </w:pPr>
            <w:r>
              <w:rPr/>
              <w:t> </w:t>
            </w:r>
          </w:p>
        </w:tc>
        <w:tc>
          <w:tcPr>
            <w:tcW w:w="231" w:type="dxa"/>
            <w:tcBorders/>
            <w:shd w:fill="auto" w:val="clear"/>
            <w:vAlign w:val="bottom"/>
          </w:tcPr>
          <w:p>
            <w:pPr>
              <w:pStyle w:val="TableContents"/>
              <w:spacing w:before="0" w:after="283"/>
              <w:rPr/>
            </w:pPr>
            <w:r>
              <w:rPr/>
              <w:t>  </w:t>
            </w:r>
          </w:p>
        </w:tc>
        <w:tc>
          <w:tcPr>
            <w:tcW w:w="515" w:type="dxa"/>
            <w:gridSpan w:val="2"/>
            <w:tcBorders/>
            <w:shd w:fill="auto" w:val="clear"/>
            <w:vAlign w:val="bottom"/>
          </w:tcPr>
          <w:p>
            <w:pPr>
              <w:pStyle w:val="TableContents"/>
              <w:spacing w:before="0" w:after="283"/>
              <w:jc w:val="center"/>
              <w:rPr>
                <w:b/>
              </w:rPr>
            </w:pPr>
            <w:r>
              <w:rPr>
                <w:b/>
              </w:rPr>
              <w:t>Page</w:t>
            </w:r>
          </w:p>
        </w:tc>
        <w:tc>
          <w:tcPr>
            <w:tcW w:w="63" w:type="dxa"/>
            <w:tcBorders/>
            <w:shd w:fill="auto" w:val="clear"/>
            <w:vAlign w:val="bottom"/>
          </w:tcPr>
          <w:p>
            <w:pPr>
              <w:pStyle w:val="TableContents"/>
              <w:spacing w:before="0" w:after="283"/>
              <w:rPr/>
            </w:pPr>
            <w:r>
              <w:rPr/>
              <w:t> </w:t>
            </w:r>
          </w:p>
        </w:tc>
      </w:tr>
      <w:tr>
        <w:trPr/>
        <w:tc>
          <w:tcPr>
            <w:tcW w:w="71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w:t>
            </w:r>
          </w:p>
        </w:tc>
        <w:tc>
          <w:tcPr>
            <w:tcW w:w="199" w:type="dxa"/>
            <w:tcBorders/>
            <w:shd w:fill="auto" w:val="clear"/>
            <w:vAlign w:val="bottom"/>
          </w:tcPr>
          <w:p>
            <w:pPr>
              <w:pStyle w:val="TableContents"/>
              <w:spacing w:before="0" w:after="283"/>
              <w:rPr/>
            </w:pPr>
            <w:r>
              <w:rPr/>
              <w:t> </w:t>
            </w:r>
          </w:p>
        </w:tc>
        <w:tc>
          <w:tcPr>
            <w:tcW w:w="8481" w:type="dxa"/>
            <w:tcBorders/>
            <w:shd w:fill="auto" w:val="clear"/>
          </w:tcPr>
          <w:p>
            <w:pPr>
              <w:pStyle w:val="TableContents"/>
              <w:spacing w:before="0" w:after="0"/>
              <w:rPr>
                <w:rFonts w:ascii="Times New Roman" w:hAnsi="Times New Roman"/>
                <w:b/>
                <w:sz w:val="20"/>
              </w:rPr>
            </w:pPr>
            <w:r>
              <w:rPr>
                <w:rFonts w:ascii="Times New Roman" w:hAnsi="Times New Roman"/>
                <w:b/>
                <w:sz w:val="20"/>
              </w:rPr>
              <w:t>INTERPRETATION</w:t>
            </w:r>
          </w:p>
        </w:tc>
        <w:tc>
          <w:tcPr>
            <w:tcW w:w="231"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34</w:t>
            </w:r>
          </w:p>
        </w:tc>
        <w:tc>
          <w:tcPr>
            <w:tcW w:w="63" w:type="dxa"/>
            <w:tcBorders/>
            <w:shd w:fill="auto" w:val="clear"/>
            <w:vAlign w:val="bottom"/>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0" w:type="dxa"/>
            <w:gridSpan w:val="2"/>
            <w:tcBorders/>
            <w:shd w:fill="auto" w:val="clear"/>
            <w:vAlign w:val="center"/>
          </w:tcPr>
          <w:p>
            <w:pPr>
              <w:pStyle w:val="TableContents"/>
              <w:spacing w:before="0" w:after="283"/>
              <w:rPr>
                <w:sz w:val="4"/>
                <w:szCs w:val="4"/>
              </w:rPr>
            </w:pPr>
            <w:r>
              <w:rPr>
                <w:sz w:val="4"/>
                <w:szCs w:val="4"/>
              </w:rPr>
            </w:r>
          </w:p>
        </w:tc>
        <w:tc>
          <w:tcPr>
            <w:tcW w:w="809"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w:t>
            </w:r>
          </w:p>
        </w:tc>
        <w:tc>
          <w:tcPr>
            <w:tcW w:w="199" w:type="dxa"/>
            <w:tcBorders/>
            <w:shd w:fill="auto" w:val="clear"/>
            <w:vAlign w:val="bottom"/>
          </w:tcPr>
          <w:p>
            <w:pPr>
              <w:pStyle w:val="TableContents"/>
              <w:spacing w:before="0" w:after="283"/>
              <w:rPr/>
            </w:pPr>
            <w:r>
              <w:rPr/>
              <w:t> </w:t>
            </w:r>
          </w:p>
        </w:tc>
        <w:tc>
          <w:tcPr>
            <w:tcW w:w="8481" w:type="dxa"/>
            <w:tcBorders/>
            <w:shd w:fill="auto" w:val="clear"/>
          </w:tcPr>
          <w:p>
            <w:pPr>
              <w:pStyle w:val="TableContents"/>
              <w:spacing w:before="0" w:after="0"/>
              <w:rPr>
                <w:rFonts w:ascii="Times New Roman" w:hAnsi="Times New Roman"/>
                <w:b/>
                <w:sz w:val="20"/>
              </w:rPr>
            </w:pPr>
            <w:r>
              <w:rPr>
                <w:rFonts w:ascii="Times New Roman" w:hAnsi="Times New Roman"/>
                <w:b/>
                <w:sz w:val="20"/>
              </w:rPr>
              <w:t>CONFIRMATION</w:t>
            </w:r>
          </w:p>
        </w:tc>
        <w:tc>
          <w:tcPr>
            <w:tcW w:w="231"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34</w:t>
            </w:r>
          </w:p>
        </w:tc>
        <w:tc>
          <w:tcPr>
            <w:tcW w:w="63" w:type="dxa"/>
            <w:tcBorders/>
            <w:shd w:fill="auto" w:val="clear"/>
            <w:vAlign w:val="bottom"/>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0" w:type="dxa"/>
            <w:gridSpan w:val="2"/>
            <w:tcBorders/>
            <w:shd w:fill="auto" w:val="clear"/>
            <w:vAlign w:val="center"/>
          </w:tcPr>
          <w:p>
            <w:pPr>
              <w:pStyle w:val="TableContents"/>
              <w:spacing w:before="0" w:after="283"/>
              <w:rPr>
                <w:sz w:val="4"/>
                <w:szCs w:val="4"/>
              </w:rPr>
            </w:pPr>
            <w:r>
              <w:rPr>
                <w:sz w:val="4"/>
                <w:szCs w:val="4"/>
              </w:rPr>
            </w:r>
          </w:p>
        </w:tc>
        <w:tc>
          <w:tcPr>
            <w:tcW w:w="809"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3.</w:t>
            </w:r>
          </w:p>
        </w:tc>
        <w:tc>
          <w:tcPr>
            <w:tcW w:w="199" w:type="dxa"/>
            <w:tcBorders/>
            <w:shd w:fill="auto" w:val="clear"/>
            <w:vAlign w:val="bottom"/>
          </w:tcPr>
          <w:p>
            <w:pPr>
              <w:pStyle w:val="TableContents"/>
              <w:spacing w:before="0" w:after="283"/>
              <w:rPr/>
            </w:pPr>
            <w:r>
              <w:rPr/>
              <w:t> </w:t>
            </w:r>
          </w:p>
        </w:tc>
        <w:tc>
          <w:tcPr>
            <w:tcW w:w="8481" w:type="dxa"/>
            <w:tcBorders/>
            <w:shd w:fill="auto" w:val="clear"/>
          </w:tcPr>
          <w:p>
            <w:pPr>
              <w:pStyle w:val="TableContents"/>
              <w:spacing w:before="0" w:after="0"/>
              <w:rPr>
                <w:rFonts w:ascii="Times New Roman" w:hAnsi="Times New Roman"/>
                <w:b/>
                <w:sz w:val="20"/>
              </w:rPr>
            </w:pPr>
            <w:r>
              <w:rPr>
                <w:rFonts w:ascii="Times New Roman" w:hAnsi="Times New Roman"/>
                <w:b/>
                <w:sz w:val="20"/>
              </w:rPr>
              <w:t>FURTHER ASSURANCES</w:t>
            </w:r>
          </w:p>
        </w:tc>
        <w:tc>
          <w:tcPr>
            <w:tcW w:w="231"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0" w:type="dxa"/>
            <w:gridSpan w:val="2"/>
            <w:tcBorders/>
            <w:shd w:fill="auto" w:val="clear"/>
            <w:vAlign w:val="center"/>
          </w:tcPr>
          <w:p>
            <w:pPr>
              <w:pStyle w:val="TableContents"/>
              <w:spacing w:before="0" w:after="283"/>
              <w:rPr>
                <w:sz w:val="4"/>
                <w:szCs w:val="4"/>
              </w:rPr>
            </w:pPr>
            <w:r>
              <w:rPr>
                <w:sz w:val="4"/>
                <w:szCs w:val="4"/>
              </w:rPr>
            </w:r>
          </w:p>
        </w:tc>
        <w:tc>
          <w:tcPr>
            <w:tcW w:w="809"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4.</w:t>
            </w:r>
          </w:p>
        </w:tc>
        <w:tc>
          <w:tcPr>
            <w:tcW w:w="199" w:type="dxa"/>
            <w:tcBorders/>
            <w:shd w:fill="auto" w:val="clear"/>
            <w:vAlign w:val="bottom"/>
          </w:tcPr>
          <w:p>
            <w:pPr>
              <w:pStyle w:val="TableContents"/>
              <w:spacing w:before="0" w:after="283"/>
              <w:rPr/>
            </w:pPr>
            <w:r>
              <w:rPr/>
              <w:t> </w:t>
            </w:r>
          </w:p>
        </w:tc>
        <w:tc>
          <w:tcPr>
            <w:tcW w:w="8481" w:type="dxa"/>
            <w:tcBorders/>
            <w:shd w:fill="auto" w:val="clear"/>
          </w:tcPr>
          <w:p>
            <w:pPr>
              <w:pStyle w:val="TableContents"/>
              <w:spacing w:before="0" w:after="0"/>
              <w:rPr>
                <w:rFonts w:ascii="Times New Roman" w:hAnsi="Times New Roman"/>
                <w:b/>
                <w:sz w:val="20"/>
              </w:rPr>
            </w:pPr>
            <w:r>
              <w:rPr>
                <w:rFonts w:ascii="Times New Roman" w:hAnsi="Times New Roman"/>
                <w:b/>
                <w:sz w:val="20"/>
              </w:rPr>
              <w:t>COUNTERPARTS</w:t>
            </w:r>
          </w:p>
        </w:tc>
        <w:tc>
          <w:tcPr>
            <w:tcW w:w="231"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0" w:type="dxa"/>
            <w:gridSpan w:val="2"/>
            <w:tcBorders/>
            <w:shd w:fill="auto" w:val="clear"/>
            <w:vAlign w:val="center"/>
          </w:tcPr>
          <w:p>
            <w:pPr>
              <w:pStyle w:val="TableContents"/>
              <w:spacing w:before="0" w:after="283"/>
              <w:rPr>
                <w:sz w:val="4"/>
                <w:szCs w:val="4"/>
              </w:rPr>
            </w:pPr>
            <w:r>
              <w:rPr>
                <w:sz w:val="4"/>
                <w:szCs w:val="4"/>
              </w:rPr>
            </w:r>
          </w:p>
        </w:tc>
        <w:tc>
          <w:tcPr>
            <w:tcW w:w="809"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5.</w:t>
            </w:r>
          </w:p>
        </w:tc>
        <w:tc>
          <w:tcPr>
            <w:tcW w:w="199" w:type="dxa"/>
            <w:tcBorders/>
            <w:shd w:fill="auto" w:val="clear"/>
            <w:vAlign w:val="bottom"/>
          </w:tcPr>
          <w:p>
            <w:pPr>
              <w:pStyle w:val="TableContents"/>
              <w:spacing w:before="0" w:after="283"/>
              <w:rPr/>
            </w:pPr>
            <w:r>
              <w:rPr/>
              <w:t> </w:t>
            </w:r>
          </w:p>
        </w:tc>
        <w:tc>
          <w:tcPr>
            <w:tcW w:w="8481" w:type="dxa"/>
            <w:tcBorders/>
            <w:shd w:fill="auto" w:val="clear"/>
          </w:tcPr>
          <w:p>
            <w:pPr>
              <w:pStyle w:val="TableContents"/>
              <w:spacing w:before="0" w:after="0"/>
              <w:rPr>
                <w:rFonts w:ascii="Times New Roman" w:hAnsi="Times New Roman"/>
                <w:b/>
                <w:sz w:val="20"/>
              </w:rPr>
            </w:pPr>
            <w:r>
              <w:rPr>
                <w:rFonts w:ascii="Times New Roman" w:hAnsi="Times New Roman"/>
                <w:b/>
                <w:sz w:val="20"/>
              </w:rPr>
              <w:t>GOVERNING LAW</w:t>
            </w:r>
          </w:p>
        </w:tc>
        <w:tc>
          <w:tcPr>
            <w:tcW w:w="231"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0" w:type="dxa"/>
            <w:gridSpan w:val="2"/>
            <w:tcBorders/>
            <w:shd w:fill="auto" w:val="clear"/>
            <w:vAlign w:val="center"/>
          </w:tcPr>
          <w:p>
            <w:pPr>
              <w:pStyle w:val="TableContents"/>
              <w:spacing w:before="0" w:after="283"/>
              <w:rPr>
                <w:sz w:val="4"/>
                <w:szCs w:val="4"/>
              </w:rPr>
            </w:pPr>
            <w:r>
              <w:rPr>
                <w:sz w:val="4"/>
                <w:szCs w:val="4"/>
              </w:rPr>
            </w:r>
          </w:p>
        </w:tc>
        <w:tc>
          <w:tcPr>
            <w:tcW w:w="809"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6.</w:t>
            </w:r>
          </w:p>
        </w:tc>
        <w:tc>
          <w:tcPr>
            <w:tcW w:w="199" w:type="dxa"/>
            <w:tcBorders/>
            <w:shd w:fill="auto" w:val="clear"/>
            <w:vAlign w:val="bottom"/>
          </w:tcPr>
          <w:p>
            <w:pPr>
              <w:pStyle w:val="TableContents"/>
              <w:spacing w:before="0" w:after="283"/>
              <w:rPr/>
            </w:pPr>
            <w:r>
              <w:rPr/>
              <w:t> </w:t>
            </w:r>
          </w:p>
        </w:tc>
        <w:tc>
          <w:tcPr>
            <w:tcW w:w="8481" w:type="dxa"/>
            <w:tcBorders/>
            <w:shd w:fill="auto" w:val="clear"/>
          </w:tcPr>
          <w:p>
            <w:pPr>
              <w:pStyle w:val="TableContents"/>
              <w:spacing w:before="0" w:after="0"/>
              <w:rPr>
                <w:rFonts w:ascii="Times New Roman" w:hAnsi="Times New Roman"/>
                <w:b/>
                <w:sz w:val="20"/>
              </w:rPr>
            </w:pPr>
            <w:r>
              <w:rPr>
                <w:rFonts w:ascii="Times New Roman" w:hAnsi="Times New Roman"/>
                <w:b/>
                <w:sz w:val="20"/>
              </w:rPr>
              <w:t>ENFORCEMENT</w:t>
            </w:r>
          </w:p>
        </w:tc>
        <w:tc>
          <w:tcPr>
            <w:tcW w:w="231"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9396" w:type="dxa"/>
            <w:gridSpan w:val="3"/>
            <w:tcBorders/>
            <w:shd w:fill="auto" w:val="clear"/>
            <w:vAlign w:val="center"/>
          </w:tcPr>
          <w:p>
            <w:pPr>
              <w:pStyle w:val="TableContents"/>
              <w:spacing w:before="0" w:after="283"/>
              <w:rPr>
                <w:sz w:val="4"/>
                <w:szCs w:val="4"/>
              </w:rPr>
            </w:pPr>
            <w:r>
              <w:rPr>
                <w:sz w:val="4"/>
                <w:szCs w:val="4"/>
              </w:rPr>
            </w:r>
          </w:p>
        </w:tc>
        <w:tc>
          <w:tcPr>
            <w:tcW w:w="809" w:type="dxa"/>
            <w:gridSpan w:val="4"/>
            <w:tcBorders/>
            <w:shd w:fill="auto" w:val="clear"/>
            <w:vAlign w:val="center"/>
          </w:tcPr>
          <w:p>
            <w:pPr>
              <w:pStyle w:val="TableContents"/>
              <w:spacing w:before="0" w:after="283"/>
              <w:rPr>
                <w:sz w:val="4"/>
                <w:szCs w:val="4"/>
              </w:rPr>
            </w:pPr>
            <w:r>
              <w:rPr>
                <w:sz w:val="4"/>
                <w:szCs w:val="4"/>
              </w:rPr>
            </w:r>
          </w:p>
        </w:tc>
      </w:tr>
      <w:tr>
        <w:trPr/>
        <w:tc>
          <w:tcPr>
            <w:tcW w:w="9396"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 xml:space="preserve">SIGNATORIES </w:t>
            </w:r>
          </w:p>
        </w:tc>
        <w:tc>
          <w:tcPr>
            <w:tcW w:w="231"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36</w:t>
            </w:r>
          </w:p>
        </w:tc>
        <w:tc>
          <w:tcPr>
            <w:tcW w:w="63"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DEED</w:t>
      </w:r>
      <w:r>
        <w:rPr>
          <w:rFonts w:ascii="Times New Roman" w:hAnsi="Times New Roman"/>
          <w:sz w:val="20"/>
        </w:rPr>
        <w:t xml:space="preserve"> is dated </w:t>
      </w:r>
      <w:r>
        <w:rPr>
          <w:rFonts w:ascii="Times New Roman" w:hAnsi="Times New Roman"/>
          <w:sz w:val="20"/>
          <w:u w:val="single"/>
        </w:rPr>
        <w:t>5</w:t>
      </w:r>
      <w:r>
        <w:rPr>
          <w:rFonts w:ascii="Times New Roman" w:hAnsi="Times New Roman"/>
          <w:sz w:val="20"/>
        </w:rPr>
        <w:t xml:space="preserve"> October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(1)</w:t>
            </w:r>
          </w:p>
        </w:tc>
        <w:tc>
          <w:tcPr>
            <w:tcW w:w="9391" w:type="dxa"/>
            <w:tcBorders/>
            <w:shd w:fill="auto" w:val="clear"/>
          </w:tcPr>
          <w:p>
            <w:pPr>
              <w:pStyle w:val="TableContents"/>
              <w:spacing w:before="0" w:after="283"/>
              <w:jc w:val="left"/>
              <w:rPr/>
            </w:pPr>
            <w:r>
              <w:rPr>
                <w:b/>
              </w:rPr>
              <w:t>LLC ZEMENIK</w:t>
            </w:r>
            <w:r>
              <w:rPr/>
              <w:t>, a company organised and existing under the laws of Russia having its registered office address at Akademika Iljushina Street 4, Block 1, Office 54, Moscow, Russia with registration number 1167746153860 (hereinafter the “</w:t>
            </w:r>
            <w:r>
              <w:rPr>
                <w:b/>
              </w:rPr>
              <w:t>Pledgor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b/>
              </w:rPr>
              <w:t>VTB BANK (PJSC)</w:t>
            </w:r>
            <w:r>
              <w:rPr/>
              <w:t>, a bank organised under the laws of the Russian Federation under primary state registration number 1027739609391, whose registered office is at Ul. Bolshaya Morskaya 29, St. Petersburg 190000, the Russian Federation (hereinafter the “</w:t>
            </w:r>
            <w:r>
              <w:rPr>
                <w:b/>
              </w:rPr>
              <w:t>Pledgee</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Pursuant to a facility agreement dated 16 May 2016 as amended by the amendment agreement No. 1 dated 14 December 2016, the amendment agreement No. 2 dated 28 June 2017 and as amended and restated by the amendment agreement No. 3 dated on or about the date hereof (the “Facility Agreement”) between the Pledgor as borrower and the Pledgee as arranger, facility agent and original lender, the parties thereto agreed, inter alia, that the Pledgor enters into the Deed of Pledge (as defined below) in favour of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The Pledgor and the Pledgee have agreed to enter into this Deed for the purpose of confirming the security granted under the Deed of Pledge. </w:t>
            </w:r>
          </w:p>
        </w:tc>
      </w:tr>
    </w:tbl>
    <w:p>
      <w:pPr>
        <w:pStyle w:val="TextBody"/>
        <w:spacing w:before="24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w:t>
            </w:r>
          </w:p>
        </w:tc>
        <w:tc>
          <w:tcPr>
            <w:tcW w:w="9388" w:type="dxa"/>
            <w:tcBorders/>
            <w:shd w:fill="auto" w:val="clear"/>
          </w:tcPr>
          <w:p>
            <w:pPr>
              <w:pStyle w:val="TableContents"/>
              <w:spacing w:before="0" w:after="283"/>
              <w:jc w:val="left"/>
              <w:rPr>
                <w:b/>
              </w:rPr>
            </w:pPr>
            <w:r>
              <w:rPr>
                <w:b/>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1.1</w:t>
            </w:r>
          </w:p>
        </w:tc>
        <w:tc>
          <w:tcPr>
            <w:tcW w:w="9388" w:type="dxa"/>
            <w:tcBorders/>
            <w:shd w:fill="auto" w:val="clear"/>
          </w:tcPr>
          <w:p>
            <w:pPr>
              <w:pStyle w:val="TableContents"/>
              <w:spacing w:before="0" w:after="283"/>
              <w:jc w:val="left"/>
              <w:rPr/>
            </w:pPr>
            <w:r>
              <w:rPr>
                <w:b/>
              </w:rPr>
              <w:t>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Deed: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HEADHUNTER FSU LIMITED, a company incorporated in Cyprus with registration number HE 178226, whose registered office is at 42 Dositheou, Strovolos 2028 Nicosia, Cyprus. </w:t>
      </w:r>
    </w:p>
    <w:p>
      <w:pPr>
        <w:pStyle w:val="TextBody"/>
        <w:spacing w:before="120" w:after="0"/>
        <w:rPr/>
      </w:pPr>
      <w:r>
        <w:rPr/>
        <w:t>“</w:t>
      </w:r>
      <w:r>
        <w:rPr>
          <w:rFonts w:ascii="Times New Roman" w:hAnsi="Times New Roman"/>
          <w:b/>
          <w:sz w:val="20"/>
        </w:rPr>
        <w:t>Deed of Pledge</w:t>
      </w:r>
      <w:r>
        <w:rPr>
          <w:rFonts w:ascii="Times New Roman" w:hAnsi="Times New Roman"/>
          <w:sz w:val="20"/>
        </w:rPr>
        <w:t xml:space="preserve">” means the deed of pledge dated 19 May 2016, between the Pledgor and the Pledgee, pursuant to which the Pledgor pledged, inter alia, 1,000 (one thousand) issued ordinary shares of €1,71 each in the Company.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Construction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Capitalised terms defined in the Deed of Pledge have, unless expressly defined in this Deed, the same meaning in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provisions of clause 1.2 of the Deed of Pledge apply to this Deed as if they were set out in full in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2.</w:t>
            </w:r>
          </w:p>
        </w:tc>
        <w:tc>
          <w:tcPr>
            <w:tcW w:w="9391" w:type="dxa"/>
            <w:tcBorders/>
            <w:shd w:fill="auto" w:val="clear"/>
          </w:tcPr>
          <w:p>
            <w:pPr>
              <w:pStyle w:val="TableContents"/>
              <w:spacing w:before="0" w:after="283"/>
              <w:jc w:val="left"/>
              <w:rPr>
                <w:b/>
              </w:rPr>
            </w:pPr>
            <w:r>
              <w:rPr>
                <w:b/>
              </w:rPr>
              <w:t xml:space="preserve">CONFIRMATION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Pledgor acknowledges and consents to the amendment agreement no. 3 to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The Pledgor confirms, consents and agrees that the Deed of Pledge remains valid and binding on the Pledgor and that the security granted pursuant to the Deed of Pledge remains valid and is continuing security for the Secured Liabilities.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3.</w:t>
            </w:r>
          </w:p>
        </w:tc>
        <w:tc>
          <w:tcPr>
            <w:tcW w:w="9389" w:type="dxa"/>
            <w:tcBorders/>
            <w:shd w:fill="auto" w:val="clear"/>
          </w:tcPr>
          <w:p>
            <w:pPr>
              <w:pStyle w:val="TableContents"/>
              <w:spacing w:before="0" w:after="283"/>
              <w:jc w:val="left"/>
              <w:rPr>
                <w:b/>
              </w:rPr>
            </w:pPr>
            <w:r>
              <w:rPr>
                <w:b/>
              </w:rPr>
              <w:t xml:space="preserve">FURTHER ASSURANCES </w:t>
            </w:r>
          </w:p>
        </w:tc>
      </w:tr>
    </w:tbl>
    <w:p>
      <w:pPr>
        <w:pStyle w:val="TextBody"/>
        <w:spacing w:before="120" w:after="0"/>
        <w:rPr>
          <w:rFonts w:ascii="Times New Roman" w:hAnsi="Times New Roman"/>
          <w:sz w:val="20"/>
        </w:rPr>
      </w:pPr>
      <w:r>
        <w:rPr>
          <w:rFonts w:ascii="Times New Roman" w:hAnsi="Times New Roman"/>
          <w:sz w:val="20"/>
        </w:rPr>
        <w:t xml:space="preserve">The Pledgor will, at the request of the Pledgee, take whatever action is necessary or reasonably desirable to give effect to clause 2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4.</w:t>
            </w:r>
          </w:p>
        </w:tc>
        <w:tc>
          <w:tcPr>
            <w:tcW w:w="9389"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Deed may be executed in any number of counterparts. This has the same effect as if the signatures on the counterparts were on a single copy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5.</w:t>
            </w:r>
          </w:p>
        </w:tc>
        <w:tc>
          <w:tcPr>
            <w:tcW w:w="9388" w:type="dxa"/>
            <w:tcBorders/>
            <w:shd w:fill="auto" w:val="clear"/>
          </w:tcPr>
          <w:p>
            <w:pPr>
              <w:pStyle w:val="TableContents"/>
              <w:spacing w:before="0" w:after="283"/>
              <w:jc w:val="left"/>
              <w:rPr>
                <w:b/>
              </w:rPr>
            </w:pPr>
            <w:r>
              <w:rPr>
                <w:b/>
              </w:rPr>
              <w:t xml:space="preserve">GOVERNING LAW </w:t>
            </w:r>
          </w:p>
        </w:tc>
      </w:tr>
    </w:tbl>
    <w:p>
      <w:pPr>
        <w:pStyle w:val="TextBody"/>
        <w:spacing w:before="120" w:after="0"/>
        <w:rPr>
          <w:rFonts w:ascii="Times New Roman" w:hAnsi="Times New Roman"/>
          <w:sz w:val="20"/>
        </w:rPr>
      </w:pPr>
      <w:r>
        <w:rPr>
          <w:rFonts w:ascii="Times New Roman" w:hAnsi="Times New Roman"/>
          <w:sz w:val="20"/>
        </w:rPr>
        <w:t xml:space="preserve">This Deed is governed by Cyprus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6.</w:t>
            </w:r>
          </w:p>
        </w:tc>
        <w:tc>
          <w:tcPr>
            <w:tcW w:w="9392" w:type="dxa"/>
            <w:tcBorders/>
            <w:shd w:fill="auto" w:val="clear"/>
          </w:tcPr>
          <w:p>
            <w:pPr>
              <w:pStyle w:val="TableContents"/>
              <w:spacing w:before="0" w:after="283"/>
              <w:jc w:val="left"/>
              <w:rPr>
                <w:b/>
              </w:rPr>
            </w:pPr>
            <w:r>
              <w:rPr>
                <w:b/>
              </w:rPr>
              <w:t xml:space="preserve">ENFORCEMENT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w:t>
            </w:r>
          </w:p>
        </w:tc>
        <w:tc>
          <w:tcPr>
            <w:tcW w:w="9389" w:type="dxa"/>
            <w:tcBorders/>
            <w:shd w:fill="auto" w:val="clear"/>
          </w:tcPr>
          <w:p>
            <w:pPr>
              <w:pStyle w:val="TableContents"/>
              <w:spacing w:before="0" w:after="283"/>
              <w:jc w:val="left"/>
              <w:rPr/>
            </w:pPr>
            <w:r>
              <w:rPr>
                <w:b/>
              </w:rPr>
              <w:t>Jurisdiction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courts of the Republic of Cyprus have exclusive jurisdiction to settle any dispute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courts of the Republic of Cyprus are the most appropriate and convenient courts to settle any such dispute in connection with this Deed. The Pledgor agrees not to argue to the contrary and waive objection to those courts on the grounds of inconvenient forum or otherwise in relation to proceedings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References in this Clause to a dispute in connection with this Deed includes any dispute as to the existence, validity or termination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b/>
              </w:rPr>
              <w:t>Waiver of immunity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agrees not to claim any immunity from proceedings brought by the Pledgee against them in relation to this Deed and to ensure that no such claim is made on their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consents generally to the giving of any relief or the issue of any process in connection with those proceedings;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waives all rights of immunity in respect of them or their assets. </w:t>
            </w:r>
          </w:p>
        </w:tc>
      </w:tr>
    </w:tbl>
    <w:p>
      <w:pPr>
        <w:pStyle w:val="TextBody"/>
        <w:spacing w:before="240" w:after="0"/>
        <w:rPr>
          <w:rFonts w:ascii="Times New Roman" w:hAnsi="Times New Roman"/>
          <w:sz w:val="20"/>
        </w:rPr>
      </w:pPr>
      <w:r>
        <w:rPr>
          <w:rFonts w:ascii="Times New Roman" w:hAnsi="Times New Roman"/>
          <w:b/>
          <w:sz w:val="20"/>
        </w:rPr>
        <w:t>IN WITNESS WHEREOF</w:t>
      </w:r>
      <w:r>
        <w:rPr>
          <w:rFonts w:ascii="Times New Roman" w:hAnsi="Times New Roman"/>
          <w:sz w:val="20"/>
        </w:rPr>
        <w:t xml:space="preserve"> this Deed has been executed and delivered on the date stated at the beginning of this Deed. </w:t>
      </w:r>
      <w:r>
        <w:br w:type="page"/>
      </w:r>
    </w:p>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2862"/>
        <w:gridCol w:w="223"/>
        <w:gridCol w:w="1634"/>
        <w:gridCol w:w="223"/>
        <w:gridCol w:w="5263"/>
      </w:tblGrid>
      <w:tr>
        <w:trPr/>
        <w:tc>
          <w:tcPr>
            <w:tcW w:w="2862" w:type="dxa"/>
            <w:tcBorders/>
            <w:shd w:fill="auto" w:val="clear"/>
            <w:vAlign w:val="center"/>
          </w:tcPr>
          <w:p>
            <w:pPr>
              <w:pStyle w:val="TableContents"/>
              <w:spacing w:before="0" w:after="283"/>
              <w:rPr>
                <w:sz w:val="4"/>
                <w:szCs w:val="4"/>
              </w:rPr>
            </w:pPr>
            <w:r>
              <w:rPr>
                <w:sz w:val="4"/>
                <w:szCs w:val="4"/>
              </w:rPr>
            </w:r>
          </w:p>
        </w:tc>
        <w:tc>
          <w:tcPr>
            <w:tcW w:w="223" w:type="dxa"/>
            <w:tcBorders/>
            <w:shd w:fill="auto" w:val="clear"/>
            <w:vAlign w:val="bottom"/>
          </w:tcPr>
          <w:p>
            <w:pPr>
              <w:pStyle w:val="TableContents"/>
              <w:spacing w:before="0" w:after="283"/>
              <w:rPr>
                <w:sz w:val="4"/>
                <w:szCs w:val="4"/>
              </w:rPr>
            </w:pPr>
            <w:r>
              <w:rPr>
                <w:sz w:val="4"/>
                <w:szCs w:val="4"/>
              </w:rPr>
            </w:r>
          </w:p>
        </w:tc>
        <w:tc>
          <w:tcPr>
            <w:tcW w:w="1634" w:type="dxa"/>
            <w:tcBorders/>
            <w:shd w:fill="auto" w:val="clear"/>
            <w:vAlign w:val="center"/>
          </w:tcPr>
          <w:p>
            <w:pPr>
              <w:pStyle w:val="TableContents"/>
              <w:spacing w:before="0" w:after="283"/>
              <w:rPr>
                <w:sz w:val="4"/>
                <w:szCs w:val="4"/>
              </w:rPr>
            </w:pPr>
            <w:r>
              <w:rPr>
                <w:sz w:val="4"/>
                <w:szCs w:val="4"/>
              </w:rPr>
            </w:r>
          </w:p>
        </w:tc>
        <w:tc>
          <w:tcPr>
            <w:tcW w:w="223" w:type="dxa"/>
            <w:tcBorders/>
            <w:shd w:fill="auto" w:val="clear"/>
            <w:vAlign w:val="bottom"/>
          </w:tcPr>
          <w:p>
            <w:pPr>
              <w:pStyle w:val="TableContents"/>
              <w:spacing w:before="0" w:after="283"/>
              <w:rPr>
                <w:sz w:val="4"/>
                <w:szCs w:val="4"/>
              </w:rPr>
            </w:pPr>
            <w:r>
              <w:rPr>
                <w:sz w:val="4"/>
                <w:szCs w:val="4"/>
              </w:rPr>
            </w:r>
          </w:p>
        </w:tc>
        <w:tc>
          <w:tcPr>
            <w:tcW w:w="5263" w:type="dxa"/>
            <w:tcBorders/>
            <w:shd w:fill="auto" w:val="clear"/>
            <w:vAlign w:val="cente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sz w:val="4"/>
                <w:szCs w:val="4"/>
              </w:rPr>
            </w:pPr>
            <w:r>
              <w:rPr>
                <w:sz w:val="4"/>
                <w:szCs w:val="4"/>
              </w:rPr>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b/>
              </w:rPr>
            </w:pPr>
            <w:r>
              <w:rPr>
                <w:b/>
              </w:rPr>
              <w:t>SIGNATORIES</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b/>
              </w:rPr>
            </w:pPr>
            <w:r>
              <w:rPr>
                <w:b/>
              </w:rPr>
              <w:t>Pledgor</w:t>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pPr>
            <w:r>
              <w:rPr/>
              <w:t>)</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sz w:val="4"/>
                <w:szCs w:val="4"/>
              </w:rPr>
            </w:pPr>
            <w:r>
              <w:rPr>
                <w:sz w:val="4"/>
                <w:szCs w:val="4"/>
              </w:rPr>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pPr>
            <w:r>
              <w:rPr/>
              <w:t>)</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pPr>
            <w:r>
              <w:rPr/>
              <w:t>SIGNED as a DEED</w:t>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pPr>
            <w:r>
              <w:rPr/>
              <w:t>)</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pPr>
            <w:r>
              <w:rPr/>
              <w:t xml:space="preserve">By </w:t>
            </w:r>
            <w:r>
              <w:rPr>
                <w:b/>
              </w:rPr>
              <w:t>LLC ZEMENIK</w:t>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pPr>
            <w:r>
              <w:rPr/>
              <w:t>)</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pPr>
            <w:r>
              <w:rPr/>
              <w:t>acting by its authorised director</w:t>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pPr>
            <w:r>
              <w:rPr/>
              <w:t>)</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pPr>
            <w:r>
              <w:rPr/>
              <w:t>Karen Agajan</w:t>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pPr>
            <w:r>
              <w:rPr/>
              <w:t>)</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r>
        <w:trPr/>
        <w:tc>
          <w:tcPr>
            <w:tcW w:w="2862" w:type="dxa"/>
            <w:tcBorders/>
            <w:shd w:fill="auto" w:val="clear"/>
          </w:tcPr>
          <w:p>
            <w:pPr>
              <w:pStyle w:val="TableContents"/>
              <w:spacing w:before="0" w:after="283"/>
              <w:rPr/>
            </w:pPr>
            <w:r>
              <w:rPr/>
              <w:t>In the presence of:</w:t>
            </w:r>
          </w:p>
        </w:tc>
        <w:tc>
          <w:tcPr>
            <w:tcW w:w="223" w:type="dxa"/>
            <w:tcBorders/>
            <w:shd w:fill="auto" w:val="clear"/>
            <w:vAlign w:val="bottom"/>
          </w:tcPr>
          <w:p>
            <w:pPr>
              <w:pStyle w:val="TableContents"/>
              <w:spacing w:before="0" w:after="283"/>
              <w:rPr/>
            </w:pPr>
            <w:r>
              <w:rPr/>
              <w:t>  </w:t>
            </w:r>
          </w:p>
        </w:tc>
        <w:tc>
          <w:tcPr>
            <w:tcW w:w="1634" w:type="dxa"/>
            <w:tcBorders/>
            <w:shd w:fill="auto" w:val="clear"/>
          </w:tcPr>
          <w:p>
            <w:pPr>
              <w:pStyle w:val="TableContents"/>
              <w:spacing w:before="0" w:after="283"/>
              <w:jc w:val="center"/>
              <w:rPr/>
            </w:pPr>
            <w:r>
              <w:rPr/>
              <w:t>(</w:t>
            </w:r>
          </w:p>
        </w:tc>
        <w:tc>
          <w:tcPr>
            <w:tcW w:w="223" w:type="dxa"/>
            <w:tcBorders/>
            <w:shd w:fill="auto" w:val="clear"/>
            <w:vAlign w:val="bottom"/>
          </w:tcPr>
          <w:p>
            <w:pPr>
              <w:pStyle w:val="TableContents"/>
              <w:spacing w:before="0" w:after="283"/>
              <w:rPr/>
            </w:pPr>
            <w:r>
              <w:rPr/>
              <w:t>  </w:t>
            </w:r>
          </w:p>
        </w:tc>
        <w:tc>
          <w:tcPr>
            <w:tcW w:w="5263"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20"/>
        <w:gridCol w:w="120"/>
        <w:gridCol w:w="1948"/>
        <w:gridCol w:w="120"/>
        <w:gridCol w:w="3688"/>
        <w:gridCol w:w="120"/>
        <w:gridCol w:w="3589"/>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94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68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589"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4.</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5.</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697"/>
        <w:gridCol w:w="797"/>
        <w:gridCol w:w="61"/>
        <w:gridCol w:w="95"/>
        <w:gridCol w:w="60"/>
        <w:gridCol w:w="797"/>
        <w:gridCol w:w="5698"/>
      </w:tblGrid>
      <w:tr>
        <w:trPr/>
        <w:tc>
          <w:tcPr>
            <w:tcW w:w="2697" w:type="dxa"/>
            <w:tcBorders/>
            <w:shd w:fill="auto" w:val="clear"/>
            <w:vAlign w:val="center"/>
          </w:tcPr>
          <w:p>
            <w:pPr>
              <w:pStyle w:val="TableContents"/>
              <w:spacing w:before="0" w:after="283"/>
              <w:rPr>
                <w:sz w:val="4"/>
                <w:szCs w:val="4"/>
              </w:rPr>
            </w:pPr>
            <w:r>
              <w:rPr>
                <w:sz w:val="4"/>
                <w:szCs w:val="4"/>
              </w:rPr>
            </w:r>
          </w:p>
        </w:tc>
        <w:tc>
          <w:tcPr>
            <w:tcW w:w="797" w:type="dxa"/>
            <w:tcBorders/>
            <w:shd w:fill="auto" w:val="clear"/>
            <w:vAlign w:val="bottom"/>
          </w:tcPr>
          <w:p>
            <w:pPr>
              <w:pStyle w:val="TableContents"/>
              <w:spacing w:before="0" w:after="283"/>
              <w:rPr>
                <w:sz w:val="4"/>
                <w:szCs w:val="4"/>
              </w:rPr>
            </w:pPr>
            <w:r>
              <w:rPr>
                <w:sz w:val="4"/>
                <w:szCs w:val="4"/>
              </w:rPr>
            </w:r>
          </w:p>
        </w:tc>
        <w:tc>
          <w:tcPr>
            <w:tcW w:w="61" w:type="dxa"/>
            <w:tcBorders/>
            <w:shd w:fill="auto" w:val="clear"/>
            <w:vAlign w:val="center"/>
          </w:tcPr>
          <w:p>
            <w:pPr>
              <w:pStyle w:val="TableContents"/>
              <w:spacing w:before="0" w:after="283"/>
              <w:rPr>
                <w:sz w:val="4"/>
                <w:szCs w:val="4"/>
              </w:rPr>
            </w:pPr>
            <w:r>
              <w:rPr>
                <w:sz w:val="4"/>
                <w:szCs w:val="4"/>
              </w:rPr>
            </w:r>
          </w:p>
        </w:tc>
        <w:tc>
          <w:tcPr>
            <w:tcW w:w="95"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797" w:type="dxa"/>
            <w:tcBorders/>
            <w:shd w:fill="auto" w:val="clear"/>
            <w:vAlign w:val="bottom"/>
          </w:tcPr>
          <w:p>
            <w:pPr>
              <w:pStyle w:val="TableContents"/>
              <w:spacing w:before="0" w:after="283"/>
              <w:rPr>
                <w:sz w:val="4"/>
                <w:szCs w:val="4"/>
              </w:rPr>
            </w:pPr>
            <w:r>
              <w:rPr>
                <w:sz w:val="4"/>
                <w:szCs w:val="4"/>
              </w:rPr>
            </w:r>
          </w:p>
        </w:tc>
        <w:tc>
          <w:tcPr>
            <w:tcW w:w="5698" w:type="dxa"/>
            <w:tcBorders/>
            <w:shd w:fill="auto" w:val="clear"/>
            <w:vAlign w:val="center"/>
          </w:tcPr>
          <w:p>
            <w:pPr>
              <w:pStyle w:val="TableContents"/>
              <w:spacing w:before="0" w:after="283"/>
              <w:rPr>
                <w:sz w:val="4"/>
                <w:szCs w:val="4"/>
              </w:rPr>
            </w:pPr>
            <w:r>
              <w:rPr>
                <w:sz w:val="4"/>
                <w:szCs w:val="4"/>
              </w:rPr>
            </w:r>
          </w:p>
        </w:tc>
      </w:tr>
      <w:tr>
        <w:trPr/>
        <w:tc>
          <w:tcPr>
            <w:tcW w:w="2697" w:type="dxa"/>
            <w:tcBorders/>
            <w:shd w:fill="auto" w:val="clear"/>
          </w:tcPr>
          <w:p>
            <w:pPr>
              <w:pStyle w:val="TableContents"/>
              <w:spacing w:before="0" w:after="0"/>
              <w:rPr>
                <w:rFonts w:ascii="Times New Roman" w:hAnsi="Times New Roman"/>
                <w:b/>
                <w:sz w:val="20"/>
              </w:rPr>
            </w:pPr>
            <w:r>
              <w:rPr>
                <w:rFonts w:ascii="Times New Roman" w:hAnsi="Times New Roman"/>
                <w:b/>
                <w:sz w:val="20"/>
              </w:rPr>
              <w:t>Pledgee</w:t>
            </w:r>
          </w:p>
        </w:tc>
        <w:tc>
          <w:tcPr>
            <w:tcW w:w="797" w:type="dxa"/>
            <w:tcBorders/>
            <w:shd w:fill="auto" w:val="clear"/>
            <w:vAlign w:val="bottom"/>
          </w:tcPr>
          <w:p>
            <w:pPr>
              <w:pStyle w:val="TableContents"/>
              <w:spacing w:before="0" w:after="283"/>
              <w:rPr/>
            </w:pPr>
            <w:r>
              <w:rPr/>
              <w:t>  </w:t>
            </w:r>
          </w:p>
        </w:tc>
        <w:tc>
          <w:tcPr>
            <w:tcW w:w="61"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right"/>
              <w:rPr/>
            </w:pPr>
            <w:r>
              <w:rPr/>
              <w:t>)</w:t>
            </w:r>
          </w:p>
        </w:tc>
        <w:tc>
          <w:tcPr>
            <w:tcW w:w="60"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5698" w:type="dxa"/>
            <w:tcBorders/>
            <w:shd w:fill="auto" w:val="clear"/>
            <w:vAlign w:val="bottom"/>
          </w:tcPr>
          <w:p>
            <w:pPr>
              <w:pStyle w:val="TableContents"/>
              <w:spacing w:before="0" w:after="283"/>
              <w:rPr>
                <w:sz w:val="4"/>
                <w:szCs w:val="4"/>
              </w:rPr>
            </w:pPr>
            <w:r>
              <w:rPr>
                <w:sz w:val="4"/>
                <w:szCs w:val="4"/>
              </w:rPr>
            </w:r>
          </w:p>
        </w:tc>
      </w:tr>
      <w:tr>
        <w:trPr/>
        <w:tc>
          <w:tcPr>
            <w:tcW w:w="2697"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156" w:type="dxa"/>
            <w:gridSpan w:val="2"/>
            <w:tcBorders/>
            <w:shd w:fill="auto" w:val="clear"/>
            <w:vAlign w:val="bottom"/>
          </w:tcPr>
          <w:p>
            <w:pPr>
              <w:pStyle w:val="TableContents"/>
              <w:spacing w:before="0" w:after="283"/>
              <w:jc w:val="center"/>
              <w:rPr>
                <w:b/>
              </w:rPr>
            </w:pPr>
            <w:r>
              <w:rPr>
                <w:b/>
              </w:rPr>
              <w:t>)</w:t>
            </w:r>
          </w:p>
        </w:tc>
        <w:tc>
          <w:tcPr>
            <w:tcW w:w="60"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5698" w:type="dxa"/>
            <w:tcBorders/>
            <w:shd w:fill="auto" w:val="clear"/>
            <w:vAlign w:val="bottom"/>
          </w:tcPr>
          <w:p>
            <w:pPr>
              <w:pStyle w:val="TableContents"/>
              <w:spacing w:before="0" w:after="283"/>
              <w:rPr/>
            </w:pPr>
            <w:r>
              <w:rPr/>
              <w:t> </w:t>
            </w:r>
          </w:p>
        </w:tc>
      </w:tr>
      <w:tr>
        <w:trPr/>
        <w:tc>
          <w:tcPr>
            <w:tcW w:w="2697" w:type="dxa"/>
            <w:tcBorders/>
            <w:shd w:fill="auto" w:val="clear"/>
          </w:tcPr>
          <w:p>
            <w:pPr>
              <w:pStyle w:val="TableContents"/>
              <w:spacing w:before="0" w:after="0"/>
              <w:rPr>
                <w:rFonts w:ascii="Times New Roman" w:hAnsi="Times New Roman"/>
                <w:sz w:val="20"/>
              </w:rPr>
            </w:pPr>
            <w:r>
              <w:rPr>
                <w:rFonts w:ascii="Times New Roman" w:hAnsi="Times New Roman"/>
                <w:sz w:val="20"/>
              </w:rPr>
              <w:t>SIGNED as a DEED</w:t>
            </w:r>
          </w:p>
        </w:tc>
        <w:tc>
          <w:tcPr>
            <w:tcW w:w="797" w:type="dxa"/>
            <w:tcBorders/>
            <w:shd w:fill="auto" w:val="clear"/>
            <w:vAlign w:val="bottom"/>
          </w:tcPr>
          <w:p>
            <w:pPr>
              <w:pStyle w:val="TableContents"/>
              <w:spacing w:before="0" w:after="283"/>
              <w:rPr/>
            </w:pPr>
            <w:r>
              <w:rPr/>
              <w:t>  </w:t>
            </w:r>
          </w:p>
        </w:tc>
        <w:tc>
          <w:tcPr>
            <w:tcW w:w="61"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right"/>
              <w:rPr/>
            </w:pPr>
            <w:r>
              <w:rPr/>
              <w:t>)</w:t>
            </w:r>
          </w:p>
        </w:tc>
        <w:tc>
          <w:tcPr>
            <w:tcW w:w="60"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5698" w:type="dxa"/>
            <w:tcBorders/>
            <w:shd w:fill="auto" w:val="clear"/>
            <w:vAlign w:val="bottom"/>
          </w:tcPr>
          <w:p>
            <w:pPr>
              <w:pStyle w:val="TableContents"/>
              <w:spacing w:before="0" w:after="283"/>
              <w:rPr>
                <w:sz w:val="4"/>
                <w:szCs w:val="4"/>
              </w:rPr>
            </w:pPr>
            <w:r>
              <w:rPr>
                <w:sz w:val="4"/>
                <w:szCs w:val="4"/>
              </w:rPr>
            </w:r>
          </w:p>
        </w:tc>
      </w:tr>
      <w:tr>
        <w:trPr/>
        <w:tc>
          <w:tcPr>
            <w:tcW w:w="2697" w:type="dxa"/>
            <w:tcBorders/>
            <w:shd w:fill="auto" w:val="clear"/>
          </w:tcPr>
          <w:p>
            <w:pPr>
              <w:pStyle w:val="TableContents"/>
              <w:spacing w:before="0" w:after="0"/>
              <w:rPr>
                <w:rFonts w:ascii="Times New Roman" w:hAnsi="Times New Roman"/>
                <w:sz w:val="20"/>
              </w:rPr>
            </w:pPr>
            <w:r>
              <w:rPr>
                <w:rFonts w:ascii="Times New Roman" w:hAnsi="Times New Roman"/>
                <w:sz w:val="20"/>
              </w:rPr>
              <w:t xml:space="preserve">By </w:t>
            </w:r>
            <w:r>
              <w:rPr>
                <w:rFonts w:ascii="Times New Roman" w:hAnsi="Times New Roman"/>
                <w:b/>
                <w:sz w:val="20"/>
              </w:rPr>
              <w:t>VTB BANK (PJSC)</w:t>
            </w:r>
          </w:p>
        </w:tc>
        <w:tc>
          <w:tcPr>
            <w:tcW w:w="797" w:type="dxa"/>
            <w:tcBorders/>
            <w:shd w:fill="auto" w:val="clear"/>
            <w:vAlign w:val="bottom"/>
          </w:tcPr>
          <w:p>
            <w:pPr>
              <w:pStyle w:val="TableContents"/>
              <w:spacing w:before="0" w:after="283"/>
              <w:rPr/>
            </w:pPr>
            <w:r>
              <w:rPr/>
              <w:t>  </w:t>
            </w:r>
          </w:p>
        </w:tc>
        <w:tc>
          <w:tcPr>
            <w:tcW w:w="61"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right"/>
              <w:rPr/>
            </w:pPr>
            <w:r>
              <w:rPr/>
              <w:t>)</w:t>
            </w:r>
          </w:p>
        </w:tc>
        <w:tc>
          <w:tcPr>
            <w:tcW w:w="60"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5698" w:type="dxa"/>
            <w:tcBorders/>
            <w:shd w:fill="auto" w:val="clear"/>
            <w:vAlign w:val="bottom"/>
          </w:tcPr>
          <w:p>
            <w:pPr>
              <w:pStyle w:val="TableContents"/>
              <w:spacing w:before="0" w:after="283"/>
              <w:rPr>
                <w:sz w:val="4"/>
                <w:szCs w:val="4"/>
              </w:rPr>
            </w:pPr>
            <w:r>
              <w:rPr>
                <w:sz w:val="4"/>
                <w:szCs w:val="4"/>
              </w:rPr>
            </w:r>
          </w:p>
        </w:tc>
      </w:tr>
      <w:tr>
        <w:trPr/>
        <w:tc>
          <w:tcPr>
            <w:tcW w:w="2697" w:type="dxa"/>
            <w:tcBorders/>
            <w:shd w:fill="auto" w:val="clear"/>
          </w:tcPr>
          <w:p>
            <w:pPr>
              <w:pStyle w:val="TableContents"/>
              <w:spacing w:before="0" w:after="0"/>
              <w:rPr>
                <w:rFonts w:ascii="Times New Roman" w:hAnsi="Times New Roman"/>
                <w:sz w:val="20"/>
              </w:rPr>
            </w:pPr>
            <w:r>
              <w:rPr>
                <w:rFonts w:ascii="Times New Roman" w:hAnsi="Times New Roman"/>
                <w:sz w:val="20"/>
              </w:rPr>
              <w:t>acting by its authorised director</w:t>
            </w:r>
          </w:p>
        </w:tc>
        <w:tc>
          <w:tcPr>
            <w:tcW w:w="797" w:type="dxa"/>
            <w:tcBorders/>
            <w:shd w:fill="auto" w:val="clear"/>
            <w:vAlign w:val="bottom"/>
          </w:tcPr>
          <w:p>
            <w:pPr>
              <w:pStyle w:val="TableContents"/>
              <w:spacing w:before="0" w:after="283"/>
              <w:rPr/>
            </w:pPr>
            <w:r>
              <w:rPr/>
              <w:t>  </w:t>
            </w:r>
          </w:p>
        </w:tc>
        <w:tc>
          <w:tcPr>
            <w:tcW w:w="61"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right"/>
              <w:rPr/>
            </w:pPr>
            <w:r>
              <w:rPr/>
              <w:t>)</w:t>
            </w:r>
          </w:p>
        </w:tc>
        <w:tc>
          <w:tcPr>
            <w:tcW w:w="60"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5698" w:type="dxa"/>
            <w:tcBorders/>
            <w:shd w:fill="auto" w:val="clear"/>
            <w:vAlign w:val="bottom"/>
          </w:tcPr>
          <w:p>
            <w:pPr>
              <w:pStyle w:val="TableContents"/>
              <w:spacing w:before="0" w:after="283"/>
              <w:rPr>
                <w:sz w:val="4"/>
                <w:szCs w:val="4"/>
              </w:rPr>
            </w:pPr>
            <w:r>
              <w:rPr>
                <w:sz w:val="4"/>
                <w:szCs w:val="4"/>
              </w:rPr>
            </w:r>
          </w:p>
        </w:tc>
      </w:tr>
      <w:tr>
        <w:trPr/>
        <w:tc>
          <w:tcPr>
            <w:tcW w:w="2697" w:type="dxa"/>
            <w:tcBorders/>
            <w:shd w:fill="auto" w:val="clear"/>
          </w:tcPr>
          <w:p>
            <w:pPr>
              <w:pStyle w:val="TableContents"/>
              <w:spacing w:before="0" w:after="0"/>
              <w:rPr>
                <w:rFonts w:ascii="Times New Roman" w:hAnsi="Times New Roman"/>
                <w:sz w:val="20"/>
              </w:rPr>
            </w:pPr>
            <w:r>
              <w:rPr>
                <w:rFonts w:ascii="Times New Roman" w:hAnsi="Times New Roman"/>
                <w:sz w:val="20"/>
              </w:rPr>
              <w:t>Vitaly Buzoverya</w:t>
            </w:r>
          </w:p>
        </w:tc>
        <w:tc>
          <w:tcPr>
            <w:tcW w:w="797" w:type="dxa"/>
            <w:tcBorders/>
            <w:shd w:fill="auto" w:val="clear"/>
            <w:vAlign w:val="bottom"/>
          </w:tcPr>
          <w:p>
            <w:pPr>
              <w:pStyle w:val="TableContents"/>
              <w:spacing w:before="0" w:after="283"/>
              <w:rPr/>
            </w:pPr>
            <w:r>
              <w:rPr/>
              <w:t>  </w:t>
            </w:r>
          </w:p>
        </w:tc>
        <w:tc>
          <w:tcPr>
            <w:tcW w:w="61"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right"/>
              <w:rPr/>
            </w:pPr>
            <w:r>
              <w:rPr/>
              <w:t>)</w:t>
            </w:r>
          </w:p>
        </w:tc>
        <w:tc>
          <w:tcPr>
            <w:tcW w:w="60"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5698" w:type="dxa"/>
            <w:tcBorders/>
            <w:shd w:fill="auto" w:val="clear"/>
            <w:vAlign w:val="bottom"/>
          </w:tcPr>
          <w:p>
            <w:pPr>
              <w:pStyle w:val="TableContents"/>
              <w:spacing w:before="0" w:after="283"/>
              <w:rPr>
                <w:sz w:val="4"/>
                <w:szCs w:val="4"/>
              </w:rPr>
            </w:pPr>
            <w:r>
              <w:rPr>
                <w:sz w:val="4"/>
                <w:szCs w:val="4"/>
              </w:rPr>
            </w:r>
          </w:p>
        </w:tc>
      </w:tr>
      <w:tr>
        <w:trPr/>
        <w:tc>
          <w:tcPr>
            <w:tcW w:w="2697" w:type="dxa"/>
            <w:tcBorders/>
            <w:shd w:fill="auto" w:val="clear"/>
          </w:tcPr>
          <w:p>
            <w:pPr>
              <w:pStyle w:val="TableContents"/>
              <w:spacing w:before="0" w:after="0"/>
              <w:rPr>
                <w:rFonts w:ascii="Times New Roman" w:hAnsi="Times New Roman"/>
                <w:sz w:val="20"/>
              </w:rPr>
            </w:pPr>
            <w:r>
              <w:rPr>
                <w:rFonts w:ascii="Times New Roman" w:hAnsi="Times New Roman"/>
                <w:sz w:val="20"/>
              </w:rPr>
              <w:t>In the presence of:</w:t>
            </w:r>
          </w:p>
        </w:tc>
        <w:tc>
          <w:tcPr>
            <w:tcW w:w="797" w:type="dxa"/>
            <w:tcBorders/>
            <w:shd w:fill="auto" w:val="clear"/>
            <w:vAlign w:val="bottom"/>
          </w:tcPr>
          <w:p>
            <w:pPr>
              <w:pStyle w:val="TableContents"/>
              <w:spacing w:before="0" w:after="283"/>
              <w:rPr/>
            </w:pPr>
            <w:r>
              <w:rPr/>
              <w:t>  </w:t>
            </w:r>
          </w:p>
        </w:tc>
        <w:tc>
          <w:tcPr>
            <w:tcW w:w="61"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right"/>
              <w:rPr/>
            </w:pPr>
            <w:r>
              <w:rPr/>
              <w:t>(</w:t>
            </w:r>
          </w:p>
        </w:tc>
        <w:tc>
          <w:tcPr>
            <w:tcW w:w="60" w:type="dxa"/>
            <w:tcBorders/>
            <w:shd w:fill="auto" w:val="clear"/>
            <w:vAlign w:val="bottom"/>
          </w:tcPr>
          <w:p>
            <w:pPr>
              <w:pStyle w:val="TableContents"/>
              <w:spacing w:before="0" w:after="283"/>
              <w:rPr/>
            </w:pPr>
            <w:r>
              <w:rPr/>
              <w:t> </w:t>
            </w:r>
          </w:p>
        </w:tc>
        <w:tc>
          <w:tcPr>
            <w:tcW w:w="797" w:type="dxa"/>
            <w:tcBorders/>
            <w:shd w:fill="auto" w:val="clear"/>
            <w:vAlign w:val="bottom"/>
          </w:tcPr>
          <w:p>
            <w:pPr>
              <w:pStyle w:val="TableContents"/>
              <w:spacing w:before="0" w:after="283"/>
              <w:rPr/>
            </w:pPr>
            <w:r>
              <w:rPr/>
              <w:t>  </w:t>
            </w:r>
          </w:p>
        </w:tc>
        <w:tc>
          <w:tcPr>
            <w:tcW w:w="5698" w:type="dxa"/>
            <w:tcBorders/>
            <w:shd w:fill="auto" w:val="clear"/>
            <w:vAlign w:val="bottom"/>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20"/>
        <w:gridCol w:w="120"/>
        <w:gridCol w:w="1948"/>
        <w:gridCol w:w="120"/>
        <w:gridCol w:w="3688"/>
        <w:gridCol w:w="120"/>
        <w:gridCol w:w="3589"/>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94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68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589"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1.</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2.</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2795"/>
        <w:gridCol w:w="225"/>
        <w:gridCol w:w="1650"/>
        <w:gridCol w:w="225"/>
        <w:gridCol w:w="5310"/>
      </w:tblGrid>
      <w:tr>
        <w:trPr/>
        <w:tc>
          <w:tcPr>
            <w:tcW w:w="2795"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bottom"/>
          </w:tcPr>
          <w:p>
            <w:pPr>
              <w:pStyle w:val="TableContents"/>
              <w:spacing w:before="0" w:after="283"/>
              <w:rPr>
                <w:sz w:val="4"/>
                <w:szCs w:val="4"/>
              </w:rPr>
            </w:pPr>
            <w:r>
              <w:rPr>
                <w:sz w:val="4"/>
                <w:szCs w:val="4"/>
              </w:rPr>
            </w:r>
          </w:p>
        </w:tc>
        <w:tc>
          <w:tcPr>
            <w:tcW w:w="1650"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bottom"/>
          </w:tcPr>
          <w:p>
            <w:pPr>
              <w:pStyle w:val="TableContents"/>
              <w:spacing w:before="0" w:after="283"/>
              <w:rPr>
                <w:sz w:val="4"/>
                <w:szCs w:val="4"/>
              </w:rPr>
            </w:pPr>
            <w:r>
              <w:rPr>
                <w:sz w:val="4"/>
                <w:szCs w:val="4"/>
              </w:rPr>
            </w:r>
          </w:p>
        </w:tc>
        <w:tc>
          <w:tcPr>
            <w:tcW w:w="5310" w:type="dxa"/>
            <w:tcBorders/>
            <w:shd w:fill="auto" w:val="clear"/>
            <w:vAlign w:val="center"/>
          </w:tcPr>
          <w:p>
            <w:pPr>
              <w:pStyle w:val="TableContents"/>
              <w:spacing w:before="0" w:after="283"/>
              <w:rPr>
                <w:sz w:val="4"/>
                <w:szCs w:val="4"/>
              </w:rPr>
            </w:pPr>
            <w:r>
              <w:rPr>
                <w:sz w:val="4"/>
                <w:szCs w:val="4"/>
              </w:rPr>
            </w:r>
          </w:p>
        </w:tc>
      </w:tr>
      <w:tr>
        <w:trPr/>
        <w:tc>
          <w:tcPr>
            <w:tcW w:w="2795" w:type="dxa"/>
            <w:tcBorders/>
            <w:shd w:fill="auto" w:val="clear"/>
          </w:tcPr>
          <w:p>
            <w:pPr>
              <w:pStyle w:val="TableContents"/>
              <w:spacing w:before="0" w:after="283"/>
              <w:rPr>
                <w:sz w:val="4"/>
                <w:szCs w:val="4"/>
              </w:rPr>
            </w:pPr>
            <w:r>
              <w:rPr>
                <w:sz w:val="4"/>
                <w:szCs w:val="4"/>
              </w:rPr>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b/>
              </w:rPr>
            </w:pPr>
            <w:r>
              <w:rPr>
                <w:b/>
              </w:rPr>
              <w:t>SIGNATORIES</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sz w:val="4"/>
                <w:szCs w:val="4"/>
              </w:rPr>
            </w:pPr>
            <w:r>
              <w:rPr>
                <w:sz w:val="4"/>
                <w:szCs w:val="4"/>
              </w:rPr>
            </w:r>
          </w:p>
        </w:tc>
      </w:tr>
      <w:tr>
        <w:trPr/>
        <w:tc>
          <w:tcPr>
            <w:tcW w:w="2795" w:type="dxa"/>
            <w:tcBorders/>
            <w:shd w:fill="auto" w:val="clear"/>
          </w:tcPr>
          <w:p>
            <w:pPr>
              <w:pStyle w:val="TableContents"/>
              <w:spacing w:before="0" w:after="0"/>
              <w:rPr>
                <w:rFonts w:ascii="Times New Roman" w:hAnsi="Times New Roman"/>
                <w:b/>
                <w:sz w:val="20"/>
              </w:rPr>
            </w:pPr>
            <w:r>
              <w:rPr>
                <w:rFonts w:ascii="Times New Roman" w:hAnsi="Times New Roman"/>
                <w:b/>
                <w:sz w:val="20"/>
              </w:rPr>
              <w:t>Pledgor</w:t>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pPr>
            <w:r>
              <w:rPr/>
              <w:t>)</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sz w:val="4"/>
                <w:szCs w:val="4"/>
              </w:rPr>
            </w:pPr>
            <w:r>
              <w:rPr>
                <w:sz w:val="4"/>
                <w:szCs w:val="4"/>
              </w:rPr>
            </w:r>
          </w:p>
        </w:tc>
      </w:tr>
      <w:tr>
        <w:trPr/>
        <w:tc>
          <w:tcPr>
            <w:tcW w:w="2795" w:type="dxa"/>
            <w:tcBorders/>
            <w:shd w:fill="auto" w:val="clear"/>
            <w:vAlign w:val="bottom"/>
          </w:tcPr>
          <w:p>
            <w:pPr>
              <w:pStyle w:val="TableContents"/>
              <w:spacing w:before="0" w:after="283"/>
              <w:rPr/>
            </w:pPr>
            <w:r>
              <w:rPr/>
              <w:t> </w:t>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pPr>
            <w:r>
              <w:rPr/>
              <w:t>)</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pPr>
            <w:r>
              <w:rPr/>
              <w:t> </w:t>
            </w:r>
          </w:p>
        </w:tc>
      </w:tr>
      <w:tr>
        <w:trPr/>
        <w:tc>
          <w:tcPr>
            <w:tcW w:w="2795" w:type="dxa"/>
            <w:tcBorders/>
            <w:shd w:fill="auto" w:val="clear"/>
          </w:tcPr>
          <w:p>
            <w:pPr>
              <w:pStyle w:val="TableContents"/>
              <w:spacing w:before="0" w:after="0"/>
              <w:rPr>
                <w:rFonts w:ascii="Times New Roman" w:hAnsi="Times New Roman"/>
                <w:sz w:val="20"/>
              </w:rPr>
            </w:pPr>
            <w:r>
              <w:rPr>
                <w:rFonts w:ascii="Times New Roman" w:hAnsi="Times New Roman"/>
                <w:sz w:val="20"/>
              </w:rPr>
              <w:t>SIGNED as a DEED</w:t>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pPr>
            <w:r>
              <w:rPr/>
              <w:t>)</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sz w:val="4"/>
                <w:szCs w:val="4"/>
              </w:rPr>
            </w:pPr>
            <w:r>
              <w:rPr>
                <w:sz w:val="4"/>
                <w:szCs w:val="4"/>
              </w:rPr>
            </w:r>
          </w:p>
        </w:tc>
      </w:tr>
      <w:tr>
        <w:trPr/>
        <w:tc>
          <w:tcPr>
            <w:tcW w:w="2795" w:type="dxa"/>
            <w:tcBorders/>
            <w:shd w:fill="auto" w:val="clear"/>
          </w:tcPr>
          <w:p>
            <w:pPr>
              <w:pStyle w:val="TableContents"/>
              <w:spacing w:before="0" w:after="0"/>
              <w:rPr>
                <w:rFonts w:ascii="Times New Roman" w:hAnsi="Times New Roman"/>
                <w:sz w:val="20"/>
              </w:rPr>
            </w:pPr>
            <w:r>
              <w:rPr>
                <w:rFonts w:ascii="Times New Roman" w:hAnsi="Times New Roman"/>
                <w:sz w:val="20"/>
              </w:rPr>
              <w:t xml:space="preserve">By </w:t>
            </w:r>
            <w:r>
              <w:rPr>
                <w:rFonts w:ascii="Times New Roman" w:hAnsi="Times New Roman"/>
                <w:b/>
                <w:sz w:val="20"/>
              </w:rPr>
              <w:t>LLC ZEMENIK</w:t>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pPr>
            <w:r>
              <w:rPr/>
              <w:t>)</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sz w:val="4"/>
                <w:szCs w:val="4"/>
              </w:rPr>
            </w:pPr>
            <w:r>
              <w:rPr>
                <w:sz w:val="4"/>
                <w:szCs w:val="4"/>
              </w:rPr>
            </w:r>
          </w:p>
        </w:tc>
      </w:tr>
      <w:tr>
        <w:trPr/>
        <w:tc>
          <w:tcPr>
            <w:tcW w:w="2795" w:type="dxa"/>
            <w:tcBorders/>
            <w:shd w:fill="auto" w:val="clear"/>
          </w:tcPr>
          <w:p>
            <w:pPr>
              <w:pStyle w:val="TableContents"/>
              <w:spacing w:before="0" w:after="0"/>
              <w:rPr>
                <w:rFonts w:ascii="Times New Roman" w:hAnsi="Times New Roman"/>
                <w:sz w:val="20"/>
              </w:rPr>
            </w:pPr>
            <w:r>
              <w:rPr>
                <w:rFonts w:ascii="Times New Roman" w:hAnsi="Times New Roman"/>
                <w:sz w:val="20"/>
              </w:rPr>
              <w:t>acting by its authorised director</w:t>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pPr>
            <w:r>
              <w:rPr/>
              <w:t>)</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sz w:val="4"/>
                <w:szCs w:val="4"/>
              </w:rPr>
            </w:pPr>
            <w:r>
              <w:rPr>
                <w:sz w:val="4"/>
                <w:szCs w:val="4"/>
              </w:rPr>
            </w:r>
          </w:p>
        </w:tc>
      </w:tr>
      <w:tr>
        <w:trPr/>
        <w:tc>
          <w:tcPr>
            <w:tcW w:w="2795" w:type="dxa"/>
            <w:tcBorders/>
            <w:shd w:fill="auto" w:val="clear"/>
          </w:tcPr>
          <w:p>
            <w:pPr>
              <w:pStyle w:val="TableContents"/>
              <w:spacing w:before="0" w:after="0"/>
              <w:rPr>
                <w:rFonts w:ascii="Times New Roman" w:hAnsi="Times New Roman"/>
                <w:sz w:val="20"/>
              </w:rPr>
            </w:pPr>
            <w:r>
              <w:rPr>
                <w:rFonts w:ascii="Times New Roman" w:hAnsi="Times New Roman"/>
                <w:sz w:val="20"/>
              </w:rPr>
              <w:t>Karen Agajan</w:t>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pPr>
            <w:r>
              <w:rPr/>
              <w:t>)</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sz w:val="4"/>
                <w:szCs w:val="4"/>
              </w:rPr>
            </w:pPr>
            <w:r>
              <w:rPr>
                <w:sz w:val="4"/>
                <w:szCs w:val="4"/>
              </w:rPr>
            </w:r>
          </w:p>
        </w:tc>
      </w:tr>
      <w:tr>
        <w:trPr/>
        <w:tc>
          <w:tcPr>
            <w:tcW w:w="2795" w:type="dxa"/>
            <w:tcBorders/>
            <w:shd w:fill="auto" w:val="clear"/>
          </w:tcPr>
          <w:p>
            <w:pPr>
              <w:pStyle w:val="TableContents"/>
              <w:spacing w:before="0" w:after="0"/>
              <w:rPr>
                <w:rFonts w:ascii="Times New Roman" w:hAnsi="Times New Roman"/>
                <w:sz w:val="20"/>
              </w:rPr>
            </w:pPr>
            <w:r>
              <w:rPr>
                <w:rFonts w:ascii="Times New Roman" w:hAnsi="Times New Roman"/>
                <w:sz w:val="20"/>
              </w:rPr>
              <w:t>In the presence of:</w:t>
            </w:r>
          </w:p>
        </w:tc>
        <w:tc>
          <w:tcPr>
            <w:tcW w:w="225" w:type="dxa"/>
            <w:tcBorders/>
            <w:shd w:fill="auto" w:val="clear"/>
            <w:vAlign w:val="bottom"/>
          </w:tcPr>
          <w:p>
            <w:pPr>
              <w:pStyle w:val="TableContents"/>
              <w:spacing w:before="0" w:after="283"/>
              <w:rPr/>
            </w:pPr>
            <w:r>
              <w:rPr/>
              <w:t>  </w:t>
            </w:r>
          </w:p>
        </w:tc>
        <w:tc>
          <w:tcPr>
            <w:tcW w:w="1650" w:type="dxa"/>
            <w:tcBorders/>
            <w:shd w:fill="auto" w:val="clear"/>
            <w:vAlign w:val="bottom"/>
          </w:tcPr>
          <w:p>
            <w:pPr>
              <w:pStyle w:val="TableContents"/>
              <w:spacing w:before="0" w:after="283"/>
              <w:jc w:val="center"/>
              <w:rPr/>
            </w:pPr>
            <w:r>
              <w:rPr/>
              <w:t>(</w:t>
            </w:r>
          </w:p>
        </w:tc>
        <w:tc>
          <w:tcPr>
            <w:tcW w:w="225" w:type="dxa"/>
            <w:tcBorders/>
            <w:shd w:fill="auto" w:val="clear"/>
            <w:vAlign w:val="bottom"/>
          </w:tcPr>
          <w:p>
            <w:pPr>
              <w:pStyle w:val="TableContents"/>
              <w:spacing w:before="0" w:after="283"/>
              <w:rPr/>
            </w:pPr>
            <w:r>
              <w:rPr/>
              <w:t>  </w:t>
            </w:r>
          </w:p>
        </w:tc>
        <w:tc>
          <w:tcPr>
            <w:tcW w:w="5310" w:type="dxa"/>
            <w:tcBorders/>
            <w:shd w:fill="auto" w:val="clear"/>
            <w:vAlign w:val="bottom"/>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20"/>
        <w:gridCol w:w="120"/>
        <w:gridCol w:w="1948"/>
        <w:gridCol w:w="120"/>
        <w:gridCol w:w="3688"/>
        <w:gridCol w:w="120"/>
        <w:gridCol w:w="3589"/>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94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68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589"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1.</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2.</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30"/>
        <w:gridCol w:w="807"/>
        <w:gridCol w:w="95"/>
        <w:gridCol w:w="807"/>
        <w:gridCol w:w="5766"/>
      </w:tblGrid>
      <w:tr>
        <w:trPr/>
        <w:tc>
          <w:tcPr>
            <w:tcW w:w="2730" w:type="dxa"/>
            <w:tcBorders/>
            <w:shd w:fill="auto" w:val="clear"/>
            <w:vAlign w:val="cente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sz w:val="4"/>
                <w:szCs w:val="4"/>
              </w:rPr>
            </w:pPr>
            <w:r>
              <w:rPr>
                <w:sz w:val="4"/>
                <w:szCs w:val="4"/>
              </w:rPr>
            </w:r>
          </w:p>
        </w:tc>
        <w:tc>
          <w:tcPr>
            <w:tcW w:w="95" w:type="dxa"/>
            <w:tcBorders/>
            <w:shd w:fill="auto" w:val="clear"/>
            <w:vAlign w:val="cente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sz w:val="4"/>
                <w:szCs w:val="4"/>
              </w:rPr>
            </w:pPr>
            <w:r>
              <w:rPr>
                <w:sz w:val="4"/>
                <w:szCs w:val="4"/>
              </w:rPr>
            </w:r>
          </w:p>
        </w:tc>
        <w:tc>
          <w:tcPr>
            <w:tcW w:w="5766" w:type="dxa"/>
            <w:tcBorders/>
            <w:shd w:fill="auto" w:val="clear"/>
            <w:vAlign w:val="center"/>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0"/>
              <w:rPr>
                <w:rFonts w:ascii="Times New Roman" w:hAnsi="Times New Roman"/>
                <w:b/>
                <w:sz w:val="20"/>
              </w:rPr>
            </w:pPr>
            <w:r>
              <w:rPr>
                <w:rFonts w:ascii="Times New Roman" w:hAnsi="Times New Roman"/>
                <w:b/>
                <w:sz w:val="20"/>
              </w:rPr>
              <w:t>Pledgee</w:t>
            </w:r>
          </w:p>
        </w:tc>
        <w:tc>
          <w:tcPr>
            <w:tcW w:w="807"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6" w:type="dxa"/>
            <w:tcBorders/>
            <w:shd w:fill="auto" w:val="clear"/>
            <w:vAlign w:val="bottom"/>
          </w:tcPr>
          <w:p>
            <w:pPr>
              <w:pStyle w:val="TableContents"/>
              <w:spacing w:before="0" w:after="283"/>
              <w:rPr>
                <w:sz w:val="4"/>
                <w:szCs w:val="4"/>
              </w:rPr>
            </w:pPr>
            <w:r>
              <w:rPr>
                <w:sz w:val="4"/>
                <w:szCs w:val="4"/>
              </w:rPr>
            </w:r>
          </w:p>
        </w:tc>
      </w:tr>
      <w:tr>
        <w:trPr/>
        <w:tc>
          <w:tcPr>
            <w:tcW w:w="2730" w:type="dxa"/>
            <w:tcBorders/>
            <w:shd w:fill="auto" w:val="clear"/>
            <w:vAlign w:val="bottom"/>
          </w:tcPr>
          <w:p>
            <w:pPr>
              <w:pStyle w:val="TableContents"/>
              <w:spacing w:before="0" w:after="283"/>
              <w:rPr/>
            </w:pPr>
            <w:r>
              <w:rPr/>
              <w:t> </w:t>
            </w:r>
          </w:p>
        </w:tc>
        <w:tc>
          <w:tcPr>
            <w:tcW w:w="807"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center"/>
              <w:rPr>
                <w:b/>
              </w:rPr>
            </w:pPr>
            <w:r>
              <w:rPr>
                <w:b/>
              </w:rPr>
              <w:t>)</w:t>
            </w:r>
          </w:p>
        </w:tc>
        <w:tc>
          <w:tcPr>
            <w:tcW w:w="807" w:type="dxa"/>
            <w:tcBorders/>
            <w:shd w:fill="auto" w:val="clear"/>
            <w:vAlign w:val="bottom"/>
          </w:tcPr>
          <w:p>
            <w:pPr>
              <w:pStyle w:val="TableContents"/>
              <w:spacing w:before="0" w:after="283"/>
              <w:rPr/>
            </w:pPr>
            <w:r>
              <w:rPr/>
              <w:t>  </w:t>
            </w:r>
          </w:p>
        </w:tc>
        <w:tc>
          <w:tcPr>
            <w:tcW w:w="5766" w:type="dxa"/>
            <w:tcBorders/>
            <w:shd w:fill="auto" w:val="clear"/>
            <w:vAlign w:val="bottom"/>
          </w:tcPr>
          <w:p>
            <w:pPr>
              <w:pStyle w:val="TableContents"/>
              <w:spacing w:before="0" w:after="283"/>
              <w:rPr/>
            </w:pPr>
            <w:r>
              <w:rPr/>
              <w:t> </w:t>
            </w:r>
          </w:p>
        </w:tc>
      </w:tr>
      <w:tr>
        <w:trPr/>
        <w:tc>
          <w:tcPr>
            <w:tcW w:w="2730" w:type="dxa"/>
            <w:tcBorders/>
            <w:shd w:fill="auto" w:val="clear"/>
          </w:tcPr>
          <w:p>
            <w:pPr>
              <w:pStyle w:val="TableContents"/>
              <w:spacing w:before="0" w:after="0"/>
              <w:rPr>
                <w:rFonts w:ascii="Times New Roman" w:hAnsi="Times New Roman"/>
                <w:sz w:val="20"/>
              </w:rPr>
            </w:pPr>
            <w:r>
              <w:rPr>
                <w:rFonts w:ascii="Times New Roman" w:hAnsi="Times New Roman"/>
                <w:sz w:val="20"/>
              </w:rPr>
              <w:t>SIGNED as a DEED</w:t>
            </w:r>
          </w:p>
        </w:tc>
        <w:tc>
          <w:tcPr>
            <w:tcW w:w="807"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0"/>
              <w:jc w:val="center"/>
              <w:rPr>
                <w:rFonts w:ascii="Times New Roman" w:hAnsi="Times New Roman"/>
                <w:sz w:val="20"/>
              </w:rPr>
            </w:pPr>
            <w:r>
              <w:rPr>
                <w:rFonts w:ascii="Times New Roman" w:hAnsi="Times New Roman"/>
                <w:sz w:val="20"/>
              </w:rPr>
              <w:t>)</w:t>
            </w:r>
          </w:p>
        </w:tc>
        <w:tc>
          <w:tcPr>
            <w:tcW w:w="807" w:type="dxa"/>
            <w:tcBorders/>
            <w:shd w:fill="auto" w:val="clear"/>
            <w:vAlign w:val="bottom"/>
          </w:tcPr>
          <w:p>
            <w:pPr>
              <w:pStyle w:val="TableContents"/>
              <w:spacing w:before="0" w:after="283"/>
              <w:rPr/>
            </w:pPr>
            <w:r>
              <w:rPr/>
              <w:t>  </w:t>
            </w:r>
          </w:p>
        </w:tc>
        <w:tc>
          <w:tcPr>
            <w:tcW w:w="5766" w:type="dxa"/>
            <w:tcBorders/>
            <w:shd w:fill="auto" w:val="clear"/>
            <w:vAlign w:val="bottom"/>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0"/>
              <w:rPr>
                <w:rFonts w:ascii="Times New Roman" w:hAnsi="Times New Roman"/>
                <w:sz w:val="20"/>
              </w:rPr>
            </w:pPr>
            <w:r>
              <w:rPr>
                <w:rFonts w:ascii="Times New Roman" w:hAnsi="Times New Roman"/>
                <w:sz w:val="20"/>
              </w:rPr>
              <w:t xml:space="preserve">By </w:t>
            </w:r>
            <w:r>
              <w:rPr>
                <w:rFonts w:ascii="Times New Roman" w:hAnsi="Times New Roman"/>
                <w:b/>
                <w:sz w:val="20"/>
              </w:rPr>
              <w:t>VTB BANK (PJSC)</w:t>
            </w:r>
          </w:p>
        </w:tc>
        <w:tc>
          <w:tcPr>
            <w:tcW w:w="807"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6" w:type="dxa"/>
            <w:tcBorders/>
            <w:shd w:fill="auto" w:val="clear"/>
            <w:vAlign w:val="bottom"/>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0"/>
              <w:rPr>
                <w:rFonts w:ascii="Times New Roman" w:hAnsi="Times New Roman"/>
                <w:sz w:val="20"/>
              </w:rPr>
            </w:pPr>
            <w:r>
              <w:rPr>
                <w:rFonts w:ascii="Times New Roman" w:hAnsi="Times New Roman"/>
                <w:sz w:val="20"/>
              </w:rPr>
              <w:t>acting by its authorised director</w:t>
            </w:r>
          </w:p>
        </w:tc>
        <w:tc>
          <w:tcPr>
            <w:tcW w:w="807"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6" w:type="dxa"/>
            <w:tcBorders/>
            <w:shd w:fill="auto" w:val="clear"/>
            <w:vAlign w:val="bottom"/>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0"/>
              <w:rPr>
                <w:rFonts w:ascii="Times New Roman" w:hAnsi="Times New Roman"/>
                <w:sz w:val="20"/>
              </w:rPr>
            </w:pPr>
            <w:r>
              <w:rPr>
                <w:rFonts w:ascii="Times New Roman" w:hAnsi="Times New Roman"/>
                <w:sz w:val="20"/>
              </w:rPr>
              <w:t>Vitaly Buzoverya</w:t>
            </w:r>
          </w:p>
        </w:tc>
        <w:tc>
          <w:tcPr>
            <w:tcW w:w="807"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6" w:type="dxa"/>
            <w:tcBorders/>
            <w:shd w:fill="auto" w:val="clear"/>
            <w:vAlign w:val="bottom"/>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0"/>
              <w:rPr>
                <w:rFonts w:ascii="Times New Roman" w:hAnsi="Times New Roman"/>
                <w:sz w:val="20"/>
              </w:rPr>
            </w:pPr>
            <w:r>
              <w:rPr>
                <w:rFonts w:ascii="Times New Roman" w:hAnsi="Times New Roman"/>
                <w:sz w:val="20"/>
              </w:rPr>
              <w:t>In the presence of:</w:t>
            </w:r>
          </w:p>
        </w:tc>
        <w:tc>
          <w:tcPr>
            <w:tcW w:w="807" w:type="dxa"/>
            <w:tcBorders/>
            <w:shd w:fill="auto" w:val="clear"/>
            <w:vAlign w:val="bottom"/>
          </w:tcPr>
          <w:p>
            <w:pPr>
              <w:pStyle w:val="TableContents"/>
              <w:spacing w:before="0" w:after="283"/>
              <w:rPr/>
            </w:pPr>
            <w:r>
              <w:rPr/>
              <w:t>  </w:t>
            </w:r>
          </w:p>
        </w:tc>
        <w:tc>
          <w:tcPr>
            <w:tcW w:w="95" w:type="dxa"/>
            <w:tcBorders/>
            <w:shd w:fill="auto" w:val="clear"/>
            <w:vAlign w:val="bottom"/>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6" w:type="dxa"/>
            <w:tcBorders/>
            <w:shd w:fill="auto" w:val="clear"/>
            <w:vAlign w:val="bottom"/>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20"/>
        <w:gridCol w:w="120"/>
        <w:gridCol w:w="1948"/>
        <w:gridCol w:w="120"/>
        <w:gridCol w:w="3688"/>
        <w:gridCol w:w="120"/>
        <w:gridCol w:w="3589"/>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94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68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589"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1.</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2.</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b/>
          <w:sz w:val="20"/>
        </w:rPr>
      </w:pPr>
      <w:r>
        <w:rPr>
          <w:rFonts w:ascii="Times New Roman" w:hAnsi="Times New Roman"/>
          <w:b/>
          <w:sz w:val="20"/>
        </w:rPr>
        <w:t xml:space="preserve">EXECUTION VERSION </w:t>
      </w:r>
    </w:p>
    <w:p>
      <w:pPr>
        <w:pStyle w:val="TextBody"/>
        <w:spacing w:before="480" w:after="0"/>
        <w:jc w:val="center"/>
        <w:rPr>
          <w:rFonts w:ascii="Times New Roman" w:hAnsi="Times New Roman"/>
          <w:b/>
          <w:sz w:val="20"/>
        </w:rPr>
      </w:pPr>
      <w:r>
        <w:rPr>
          <w:rFonts w:ascii="Times New Roman" w:hAnsi="Times New Roman"/>
          <w:b/>
          <w:sz w:val="20"/>
        </w:rPr>
        <w:t xml:space="preserve">DATED 29 DECEMBER 2017 </w:t>
      </w:r>
    </w:p>
    <w:p>
      <w:pPr>
        <w:pStyle w:val="TextBody"/>
        <w:spacing w:before="240" w:after="0"/>
        <w:jc w:val="center"/>
        <w:rPr>
          <w:rFonts w:ascii="Times New Roman" w:hAnsi="Times New Roman"/>
          <w:b/>
          <w:sz w:val="20"/>
        </w:rPr>
      </w:pPr>
      <w:r>
        <w:rPr>
          <w:rFonts w:ascii="Times New Roman" w:hAnsi="Times New Roman"/>
          <w:b/>
          <w:sz w:val="20"/>
        </w:rPr>
        <w:t xml:space="preserve">DEED OF CONFIRMATION </w:t>
      </w:r>
    </w:p>
    <w:p>
      <w:pPr>
        <w:pStyle w:val="TextBody"/>
        <w:spacing w:before="240" w:after="0"/>
        <w:jc w:val="center"/>
        <w:rPr>
          <w:rFonts w:ascii="Times New Roman" w:hAnsi="Times New Roman"/>
          <w:sz w:val="20"/>
        </w:rPr>
      </w:pPr>
      <w:r>
        <w:rPr>
          <w:rFonts w:ascii="Times New Roman" w:hAnsi="Times New Roman"/>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(1) LLC ZEMENIK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(2) VTB BANK (PJSC) </w:t>
      </w:r>
    </w:p>
    <w:p>
      <w:pPr>
        <w:pStyle w:val="TextBody"/>
        <w:spacing w:before="240" w:after="0"/>
        <w:jc w:val="center"/>
        <w:rPr>
          <w:rFonts w:ascii="Times New Roman" w:hAnsi="Times New Roman"/>
          <w:b/>
          <w:sz w:val="20"/>
        </w:rPr>
      </w:pPr>
      <w:r>
        <w:rPr>
          <w:rFonts w:ascii="Times New Roman" w:hAnsi="Times New Roman"/>
          <w:b/>
          <w:sz w:val="20"/>
        </w:rPr>
        <w:t xml:space="preserve">relating to the Deed of Pledge over shares in HeadHunter FSU Limited </w:t>
      </w:r>
    </w:p>
    <w:p>
      <w:pPr>
        <w:pStyle w:val="TextBody"/>
        <w:spacing w:before="240" w:after="0"/>
        <w:jc w:val="center"/>
        <w:rPr>
          <w:rFonts w:ascii="Times New Roman" w:hAnsi="Times New Roman"/>
          <w:b/>
          <w:sz w:val="20"/>
        </w:rPr>
      </w:pPr>
      <w:r>
        <w:rPr>
          <w:rFonts w:ascii="Times New Roman" w:hAnsi="Times New Roman"/>
          <w:b/>
          <w:sz w:val="20"/>
        </w:rPr>
        <w:t xml:space="preserve">dated 19 May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ALEXANDRO§ ECONOMOU </w:t>
      </w:r>
    </w:p>
    <w:p>
      <w:pPr>
        <w:pStyle w:val="TextBody"/>
        <w:spacing w:before="0" w:after="0"/>
        <w:jc w:val="center"/>
        <w:rPr>
          <w:rFonts w:ascii="Times New Roman" w:hAnsi="Times New Roman"/>
          <w:b/>
          <w:sz w:val="20"/>
        </w:rPr>
      </w:pPr>
      <w:r>
        <w:rPr>
          <w:rFonts w:ascii="Times New Roman" w:hAnsi="Times New Roman"/>
          <w:b/>
          <w:sz w:val="20"/>
        </w:rPr>
        <w:t xml:space="preserve">LLC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0" w:after="0"/>
        <w:rPr/>
      </w:pPr>
      <w:r>
        <w:rPr/>
        <w: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25"/>
        <w:gridCol w:w="197"/>
        <w:gridCol w:w="8475"/>
        <w:gridCol w:w="230"/>
        <w:gridCol w:w="154"/>
        <w:gridCol w:w="361"/>
        <w:gridCol w:w="63"/>
      </w:tblGrid>
      <w:tr>
        <w:trPr/>
        <w:tc>
          <w:tcPr>
            <w:tcW w:w="725" w:type="dxa"/>
            <w:tcBorders/>
            <w:shd w:fill="auto" w:val="clear"/>
            <w:vAlign w:val="center"/>
          </w:tcPr>
          <w:p>
            <w:pPr>
              <w:pStyle w:val="TableContents"/>
              <w:spacing w:before="0" w:after="283"/>
              <w:rPr>
                <w:sz w:val="4"/>
                <w:szCs w:val="4"/>
              </w:rPr>
            </w:pPr>
            <w:r>
              <w:rPr>
                <w:sz w:val="4"/>
                <w:szCs w:val="4"/>
              </w:rPr>
            </w:r>
          </w:p>
        </w:tc>
        <w:tc>
          <w:tcPr>
            <w:tcW w:w="197" w:type="dxa"/>
            <w:tcBorders/>
            <w:shd w:fill="auto" w:val="clear"/>
            <w:vAlign w:val="bottom"/>
          </w:tcPr>
          <w:p>
            <w:pPr>
              <w:pStyle w:val="TableContents"/>
              <w:spacing w:before="0" w:after="283"/>
              <w:rPr>
                <w:sz w:val="4"/>
                <w:szCs w:val="4"/>
              </w:rPr>
            </w:pPr>
            <w:r>
              <w:rPr>
                <w:sz w:val="4"/>
                <w:szCs w:val="4"/>
              </w:rPr>
            </w:r>
          </w:p>
        </w:tc>
        <w:tc>
          <w:tcPr>
            <w:tcW w:w="8475"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bottom"/>
          </w:tcPr>
          <w:p>
            <w:pPr>
              <w:pStyle w:val="TableContents"/>
              <w:spacing w:before="0" w:after="283"/>
              <w:rPr>
                <w:sz w:val="4"/>
                <w:szCs w:val="4"/>
              </w:rPr>
            </w:pPr>
            <w:r>
              <w:rPr>
                <w:sz w:val="4"/>
                <w:szCs w:val="4"/>
              </w:rPr>
            </w:r>
          </w:p>
        </w:tc>
        <w:tc>
          <w:tcPr>
            <w:tcW w:w="154" w:type="dxa"/>
            <w:tcBorders/>
            <w:shd w:fill="auto" w:val="clear"/>
            <w:vAlign w:val="center"/>
          </w:tcPr>
          <w:p>
            <w:pPr>
              <w:pStyle w:val="TableContents"/>
              <w:spacing w:before="0" w:after="283"/>
              <w:rPr>
                <w:sz w:val="4"/>
                <w:szCs w:val="4"/>
              </w:rPr>
            </w:pPr>
            <w:r>
              <w:rPr>
                <w:sz w:val="4"/>
                <w:szCs w:val="4"/>
              </w:rPr>
            </w:r>
          </w:p>
        </w:tc>
        <w:tc>
          <w:tcPr>
            <w:tcW w:w="361"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725" w:type="dxa"/>
            <w:tcBorders/>
            <w:shd w:fill="auto" w:val="clear"/>
            <w:vAlign w:val="bottom"/>
          </w:tcPr>
          <w:p>
            <w:pPr>
              <w:pStyle w:val="TableContents"/>
              <w:spacing w:before="0" w:after="283"/>
              <w:rPr>
                <w:b/>
              </w:rPr>
            </w:pPr>
            <w:r>
              <w:rPr>
                <w:b/>
              </w:rPr>
              <w:t>Clause</w:t>
            </w:r>
          </w:p>
        </w:tc>
        <w:tc>
          <w:tcPr>
            <w:tcW w:w="197" w:type="dxa"/>
            <w:tcBorders/>
            <w:shd w:fill="auto" w:val="clear"/>
            <w:vAlign w:val="bottom"/>
          </w:tcPr>
          <w:p>
            <w:pPr>
              <w:pStyle w:val="TableContents"/>
              <w:spacing w:before="0" w:after="283"/>
              <w:rPr/>
            </w:pPr>
            <w:r>
              <w:rPr/>
              <w:t> </w:t>
            </w:r>
          </w:p>
        </w:tc>
        <w:tc>
          <w:tcPr>
            <w:tcW w:w="8475" w:type="dxa"/>
            <w:tcBorders/>
            <w:shd w:fill="auto" w:val="clear"/>
            <w:vAlign w:val="bottom"/>
          </w:tcPr>
          <w:p>
            <w:pPr>
              <w:pStyle w:val="TableContents"/>
              <w:spacing w:before="0" w:after="283"/>
              <w:rPr/>
            </w:pPr>
            <w:r>
              <w:rPr/>
              <w:t> </w:t>
            </w:r>
          </w:p>
        </w:tc>
        <w:tc>
          <w:tcPr>
            <w:tcW w:w="230" w:type="dxa"/>
            <w:tcBorders/>
            <w:shd w:fill="auto" w:val="clear"/>
            <w:vAlign w:val="bottom"/>
          </w:tcPr>
          <w:p>
            <w:pPr>
              <w:pStyle w:val="TableContents"/>
              <w:spacing w:before="0" w:after="283"/>
              <w:rPr/>
            </w:pPr>
            <w:r>
              <w:rPr/>
              <w:t>  </w:t>
            </w:r>
          </w:p>
        </w:tc>
        <w:tc>
          <w:tcPr>
            <w:tcW w:w="515" w:type="dxa"/>
            <w:gridSpan w:val="2"/>
            <w:tcBorders/>
            <w:shd w:fill="auto" w:val="clear"/>
            <w:vAlign w:val="bottom"/>
          </w:tcPr>
          <w:p>
            <w:pPr>
              <w:pStyle w:val="TableContents"/>
              <w:spacing w:before="0" w:after="283"/>
              <w:jc w:val="center"/>
              <w:rPr>
                <w:b/>
              </w:rPr>
            </w:pPr>
            <w:r>
              <w:rPr>
                <w:b/>
              </w:rPr>
              <w:t>Page</w:t>
            </w:r>
          </w:p>
        </w:tc>
        <w:tc>
          <w:tcPr>
            <w:tcW w:w="63" w:type="dxa"/>
            <w:tcBorders/>
            <w:shd w:fill="auto" w:val="clear"/>
            <w:vAlign w:val="bottom"/>
          </w:tcPr>
          <w:p>
            <w:pPr>
              <w:pStyle w:val="TableContents"/>
              <w:spacing w:before="0" w:after="283"/>
              <w:rPr/>
            </w:pPr>
            <w:r>
              <w:rPr/>
              <w:t> </w:t>
            </w:r>
          </w:p>
        </w:tc>
      </w:tr>
      <w:tr>
        <w:trPr>
          <w:trHeight w:val="120" w:hRule="atLeast"/>
        </w:trPr>
        <w:tc>
          <w:tcPr>
            <w:tcW w:w="725" w:type="dxa"/>
            <w:tcBorders/>
            <w:shd w:fill="auto" w:val="clear"/>
            <w:vAlign w:val="center"/>
          </w:tcPr>
          <w:p>
            <w:pPr>
              <w:pStyle w:val="TableContents"/>
              <w:spacing w:before="0" w:after="283"/>
              <w:rPr>
                <w:sz w:val="4"/>
                <w:szCs w:val="4"/>
              </w:rPr>
            </w:pPr>
            <w:r>
              <w:rPr>
                <w:sz w:val="4"/>
                <w:szCs w:val="4"/>
              </w:rPr>
            </w:r>
          </w:p>
        </w:tc>
        <w:tc>
          <w:tcPr>
            <w:tcW w:w="8672"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2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1.</w:t>
            </w:r>
          </w:p>
        </w:tc>
        <w:tc>
          <w:tcPr>
            <w:tcW w:w="197" w:type="dxa"/>
            <w:tcBorders/>
            <w:shd w:fill="auto" w:val="clear"/>
            <w:vAlign w:val="bottom"/>
          </w:tcPr>
          <w:p>
            <w:pPr>
              <w:pStyle w:val="TableContents"/>
              <w:spacing w:before="0" w:after="283"/>
              <w:rPr/>
            </w:pPr>
            <w:r>
              <w:rPr/>
              <w:t> </w:t>
            </w:r>
          </w:p>
        </w:tc>
        <w:tc>
          <w:tcPr>
            <w:tcW w:w="8475" w:type="dxa"/>
            <w:tcBorders/>
            <w:shd w:fill="auto" w:val="clear"/>
            <w:vAlign w:val="bottom"/>
          </w:tcPr>
          <w:p>
            <w:pPr>
              <w:pStyle w:val="TableContents"/>
              <w:spacing w:before="0" w:after="283"/>
              <w:rPr/>
            </w:pPr>
            <w:r>
              <w:rPr/>
              <w:t>Interpretation</w:t>
            </w:r>
          </w:p>
        </w:tc>
        <w:tc>
          <w:tcPr>
            <w:tcW w:w="230" w:type="dxa"/>
            <w:tcBorders/>
            <w:shd w:fill="auto" w:val="clear"/>
            <w:vAlign w:val="bottom"/>
          </w:tcPr>
          <w:p>
            <w:pPr>
              <w:pStyle w:val="TableContents"/>
              <w:spacing w:before="0" w:after="283"/>
              <w:rPr/>
            </w:pPr>
            <w:r>
              <w:rPr/>
              <w:t>  </w:t>
            </w:r>
          </w:p>
        </w:tc>
        <w:tc>
          <w:tcPr>
            <w:tcW w:w="154" w:type="dxa"/>
            <w:tcBorders/>
            <w:shd w:fill="auto" w:val="clear"/>
            <w:vAlign w:val="bottom"/>
          </w:tcPr>
          <w:p>
            <w:pPr>
              <w:pStyle w:val="TableContents"/>
              <w:spacing w:before="0" w:after="283"/>
              <w:rPr/>
            </w:pPr>
            <w:r>
              <w:rPr/>
              <w:t> </w:t>
            </w:r>
          </w:p>
        </w:tc>
        <w:tc>
          <w:tcPr>
            <w:tcW w:w="361" w:type="dxa"/>
            <w:tcBorders/>
            <w:shd w:fill="auto" w:val="clear"/>
            <w:vAlign w:val="bottom"/>
          </w:tcPr>
          <w:p>
            <w:pPr>
              <w:pStyle w:val="TableContents"/>
              <w:spacing w:before="0" w:after="283"/>
              <w:jc w:val="right"/>
              <w:rPr/>
            </w:pPr>
            <w:r>
              <w:rPr/>
              <w:t>3</w:t>
            </w:r>
          </w:p>
        </w:tc>
        <w:tc>
          <w:tcPr>
            <w:tcW w:w="63" w:type="dxa"/>
            <w:tcBorders/>
            <w:shd w:fill="auto" w:val="clear"/>
            <w:vAlign w:val="bottom"/>
          </w:tcPr>
          <w:p>
            <w:pPr>
              <w:pStyle w:val="TableContents"/>
              <w:spacing w:before="0" w:after="283"/>
              <w:rPr/>
            </w:pPr>
            <w:r>
              <w:rPr/>
              <w:t> </w:t>
            </w:r>
          </w:p>
        </w:tc>
      </w:tr>
      <w:tr>
        <w:trPr>
          <w:trHeight w:val="120" w:hRule="atLeast"/>
        </w:trPr>
        <w:tc>
          <w:tcPr>
            <w:tcW w:w="725" w:type="dxa"/>
            <w:tcBorders/>
            <w:shd w:fill="auto" w:val="clear"/>
            <w:vAlign w:val="center"/>
          </w:tcPr>
          <w:p>
            <w:pPr>
              <w:pStyle w:val="TableContents"/>
              <w:spacing w:before="0" w:after="283"/>
              <w:rPr>
                <w:sz w:val="4"/>
                <w:szCs w:val="4"/>
              </w:rPr>
            </w:pPr>
            <w:r>
              <w:rPr>
                <w:sz w:val="4"/>
                <w:szCs w:val="4"/>
              </w:rPr>
            </w:r>
          </w:p>
        </w:tc>
        <w:tc>
          <w:tcPr>
            <w:tcW w:w="8672"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2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2.</w:t>
            </w:r>
          </w:p>
        </w:tc>
        <w:tc>
          <w:tcPr>
            <w:tcW w:w="197" w:type="dxa"/>
            <w:tcBorders/>
            <w:shd w:fill="auto" w:val="clear"/>
            <w:vAlign w:val="bottom"/>
          </w:tcPr>
          <w:p>
            <w:pPr>
              <w:pStyle w:val="TableContents"/>
              <w:spacing w:before="0" w:after="283"/>
              <w:rPr/>
            </w:pPr>
            <w:r>
              <w:rPr/>
              <w:t> </w:t>
            </w:r>
          </w:p>
        </w:tc>
        <w:tc>
          <w:tcPr>
            <w:tcW w:w="8475" w:type="dxa"/>
            <w:tcBorders/>
            <w:shd w:fill="auto" w:val="clear"/>
            <w:vAlign w:val="bottom"/>
          </w:tcPr>
          <w:p>
            <w:pPr>
              <w:pStyle w:val="TableContents"/>
              <w:spacing w:before="0" w:after="283"/>
              <w:rPr/>
            </w:pPr>
            <w:r>
              <w:rPr/>
              <w:t>Confirmation</w:t>
            </w:r>
          </w:p>
        </w:tc>
        <w:tc>
          <w:tcPr>
            <w:tcW w:w="230" w:type="dxa"/>
            <w:tcBorders/>
            <w:shd w:fill="auto" w:val="clear"/>
            <w:vAlign w:val="bottom"/>
          </w:tcPr>
          <w:p>
            <w:pPr>
              <w:pStyle w:val="TableContents"/>
              <w:spacing w:before="0" w:after="283"/>
              <w:rPr/>
            </w:pPr>
            <w:r>
              <w:rPr/>
              <w:t>  </w:t>
            </w:r>
          </w:p>
        </w:tc>
        <w:tc>
          <w:tcPr>
            <w:tcW w:w="154" w:type="dxa"/>
            <w:tcBorders/>
            <w:shd w:fill="auto" w:val="clear"/>
            <w:vAlign w:val="bottom"/>
          </w:tcPr>
          <w:p>
            <w:pPr>
              <w:pStyle w:val="TableContents"/>
              <w:spacing w:before="0" w:after="283"/>
              <w:rPr/>
            </w:pPr>
            <w:r>
              <w:rPr/>
              <w:t> </w:t>
            </w:r>
          </w:p>
        </w:tc>
        <w:tc>
          <w:tcPr>
            <w:tcW w:w="361" w:type="dxa"/>
            <w:tcBorders/>
            <w:shd w:fill="auto" w:val="clear"/>
            <w:vAlign w:val="bottom"/>
          </w:tcPr>
          <w:p>
            <w:pPr>
              <w:pStyle w:val="TableContents"/>
              <w:spacing w:before="0" w:after="283"/>
              <w:jc w:val="right"/>
              <w:rPr/>
            </w:pPr>
            <w:r>
              <w:rPr/>
              <w:t>4</w:t>
            </w:r>
          </w:p>
        </w:tc>
        <w:tc>
          <w:tcPr>
            <w:tcW w:w="63" w:type="dxa"/>
            <w:tcBorders/>
            <w:shd w:fill="auto" w:val="clear"/>
            <w:vAlign w:val="bottom"/>
          </w:tcPr>
          <w:p>
            <w:pPr>
              <w:pStyle w:val="TableContents"/>
              <w:spacing w:before="0" w:after="283"/>
              <w:rPr/>
            </w:pPr>
            <w:r>
              <w:rPr/>
              <w:t> </w:t>
            </w:r>
          </w:p>
        </w:tc>
      </w:tr>
      <w:tr>
        <w:trPr>
          <w:trHeight w:val="120" w:hRule="atLeast"/>
        </w:trPr>
        <w:tc>
          <w:tcPr>
            <w:tcW w:w="725" w:type="dxa"/>
            <w:tcBorders/>
            <w:shd w:fill="auto" w:val="clear"/>
            <w:vAlign w:val="center"/>
          </w:tcPr>
          <w:p>
            <w:pPr>
              <w:pStyle w:val="TableContents"/>
              <w:spacing w:before="0" w:after="283"/>
              <w:rPr>
                <w:sz w:val="4"/>
                <w:szCs w:val="4"/>
              </w:rPr>
            </w:pPr>
            <w:r>
              <w:rPr>
                <w:sz w:val="4"/>
                <w:szCs w:val="4"/>
              </w:rPr>
            </w:r>
          </w:p>
        </w:tc>
        <w:tc>
          <w:tcPr>
            <w:tcW w:w="8672"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2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3.</w:t>
            </w:r>
          </w:p>
        </w:tc>
        <w:tc>
          <w:tcPr>
            <w:tcW w:w="197" w:type="dxa"/>
            <w:tcBorders/>
            <w:shd w:fill="auto" w:val="clear"/>
            <w:vAlign w:val="bottom"/>
          </w:tcPr>
          <w:p>
            <w:pPr>
              <w:pStyle w:val="TableContents"/>
              <w:spacing w:before="0" w:after="283"/>
              <w:rPr/>
            </w:pPr>
            <w:r>
              <w:rPr/>
              <w:t> </w:t>
            </w:r>
          </w:p>
        </w:tc>
        <w:tc>
          <w:tcPr>
            <w:tcW w:w="8475" w:type="dxa"/>
            <w:tcBorders/>
            <w:shd w:fill="auto" w:val="clear"/>
            <w:vAlign w:val="bottom"/>
          </w:tcPr>
          <w:p>
            <w:pPr>
              <w:pStyle w:val="TableContents"/>
              <w:spacing w:before="0" w:after="283"/>
              <w:rPr/>
            </w:pPr>
            <w:r>
              <w:rPr/>
              <w:t>Further assurances</w:t>
            </w:r>
          </w:p>
        </w:tc>
        <w:tc>
          <w:tcPr>
            <w:tcW w:w="230" w:type="dxa"/>
            <w:tcBorders/>
            <w:shd w:fill="auto" w:val="clear"/>
            <w:vAlign w:val="bottom"/>
          </w:tcPr>
          <w:p>
            <w:pPr>
              <w:pStyle w:val="TableContents"/>
              <w:spacing w:before="0" w:after="283"/>
              <w:rPr/>
            </w:pPr>
            <w:r>
              <w:rPr/>
              <w:t>  </w:t>
            </w:r>
          </w:p>
        </w:tc>
        <w:tc>
          <w:tcPr>
            <w:tcW w:w="154" w:type="dxa"/>
            <w:tcBorders/>
            <w:shd w:fill="auto" w:val="clear"/>
            <w:vAlign w:val="bottom"/>
          </w:tcPr>
          <w:p>
            <w:pPr>
              <w:pStyle w:val="TableContents"/>
              <w:spacing w:before="0" w:after="283"/>
              <w:rPr/>
            </w:pPr>
            <w:r>
              <w:rPr/>
              <w:t> </w:t>
            </w:r>
          </w:p>
        </w:tc>
        <w:tc>
          <w:tcPr>
            <w:tcW w:w="361" w:type="dxa"/>
            <w:tcBorders/>
            <w:shd w:fill="auto" w:val="clear"/>
            <w:vAlign w:val="bottom"/>
          </w:tcPr>
          <w:p>
            <w:pPr>
              <w:pStyle w:val="TableContents"/>
              <w:spacing w:before="0" w:after="283"/>
              <w:jc w:val="right"/>
              <w:rPr/>
            </w:pPr>
            <w:r>
              <w:rPr/>
              <w:t>4</w:t>
            </w:r>
          </w:p>
        </w:tc>
        <w:tc>
          <w:tcPr>
            <w:tcW w:w="63" w:type="dxa"/>
            <w:tcBorders/>
            <w:shd w:fill="auto" w:val="clear"/>
            <w:vAlign w:val="bottom"/>
          </w:tcPr>
          <w:p>
            <w:pPr>
              <w:pStyle w:val="TableContents"/>
              <w:spacing w:before="0" w:after="283"/>
              <w:rPr/>
            </w:pPr>
            <w:r>
              <w:rPr/>
              <w:t> </w:t>
            </w:r>
          </w:p>
        </w:tc>
      </w:tr>
      <w:tr>
        <w:trPr>
          <w:trHeight w:val="120" w:hRule="atLeast"/>
        </w:trPr>
        <w:tc>
          <w:tcPr>
            <w:tcW w:w="725" w:type="dxa"/>
            <w:tcBorders/>
            <w:shd w:fill="auto" w:val="clear"/>
            <w:vAlign w:val="center"/>
          </w:tcPr>
          <w:p>
            <w:pPr>
              <w:pStyle w:val="TableContents"/>
              <w:spacing w:before="0" w:after="283"/>
              <w:rPr>
                <w:sz w:val="4"/>
                <w:szCs w:val="4"/>
              </w:rPr>
            </w:pPr>
            <w:r>
              <w:rPr>
                <w:sz w:val="4"/>
                <w:szCs w:val="4"/>
              </w:rPr>
            </w:r>
          </w:p>
        </w:tc>
        <w:tc>
          <w:tcPr>
            <w:tcW w:w="8672"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2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w:t>
            </w:r>
          </w:p>
        </w:tc>
        <w:tc>
          <w:tcPr>
            <w:tcW w:w="197" w:type="dxa"/>
            <w:tcBorders/>
            <w:shd w:fill="auto" w:val="clear"/>
            <w:vAlign w:val="bottom"/>
          </w:tcPr>
          <w:p>
            <w:pPr>
              <w:pStyle w:val="TableContents"/>
              <w:spacing w:before="0" w:after="283"/>
              <w:rPr/>
            </w:pPr>
            <w:r>
              <w:rPr/>
              <w:t> </w:t>
            </w:r>
          </w:p>
        </w:tc>
        <w:tc>
          <w:tcPr>
            <w:tcW w:w="8475" w:type="dxa"/>
            <w:tcBorders/>
            <w:shd w:fill="auto" w:val="clear"/>
            <w:vAlign w:val="bottom"/>
          </w:tcPr>
          <w:p>
            <w:pPr>
              <w:pStyle w:val="TableContents"/>
              <w:spacing w:before="0" w:after="283"/>
              <w:rPr/>
            </w:pPr>
            <w:r>
              <w:rPr/>
              <w:t>Counterparts</w:t>
            </w:r>
          </w:p>
        </w:tc>
        <w:tc>
          <w:tcPr>
            <w:tcW w:w="230" w:type="dxa"/>
            <w:tcBorders/>
            <w:shd w:fill="auto" w:val="clear"/>
            <w:vAlign w:val="bottom"/>
          </w:tcPr>
          <w:p>
            <w:pPr>
              <w:pStyle w:val="TableContents"/>
              <w:spacing w:before="0" w:after="283"/>
              <w:rPr/>
            </w:pPr>
            <w:r>
              <w:rPr/>
              <w:t>  </w:t>
            </w:r>
          </w:p>
        </w:tc>
        <w:tc>
          <w:tcPr>
            <w:tcW w:w="154" w:type="dxa"/>
            <w:tcBorders/>
            <w:shd w:fill="auto" w:val="clear"/>
            <w:vAlign w:val="bottom"/>
          </w:tcPr>
          <w:p>
            <w:pPr>
              <w:pStyle w:val="TableContents"/>
              <w:spacing w:before="0" w:after="283"/>
              <w:rPr/>
            </w:pPr>
            <w:r>
              <w:rPr/>
              <w:t> </w:t>
            </w:r>
          </w:p>
        </w:tc>
        <w:tc>
          <w:tcPr>
            <w:tcW w:w="361" w:type="dxa"/>
            <w:tcBorders/>
            <w:shd w:fill="auto" w:val="clear"/>
            <w:vAlign w:val="bottom"/>
          </w:tcPr>
          <w:p>
            <w:pPr>
              <w:pStyle w:val="TableContents"/>
              <w:spacing w:before="0" w:after="283"/>
              <w:jc w:val="right"/>
              <w:rPr/>
            </w:pPr>
            <w:r>
              <w:rPr/>
              <w:t>4</w:t>
            </w:r>
          </w:p>
        </w:tc>
        <w:tc>
          <w:tcPr>
            <w:tcW w:w="63" w:type="dxa"/>
            <w:tcBorders/>
            <w:shd w:fill="auto" w:val="clear"/>
            <w:vAlign w:val="bottom"/>
          </w:tcPr>
          <w:p>
            <w:pPr>
              <w:pStyle w:val="TableContents"/>
              <w:spacing w:before="0" w:after="283"/>
              <w:rPr/>
            </w:pPr>
            <w:r>
              <w:rPr/>
              <w:t> </w:t>
            </w:r>
          </w:p>
        </w:tc>
      </w:tr>
      <w:tr>
        <w:trPr>
          <w:trHeight w:val="120" w:hRule="atLeast"/>
        </w:trPr>
        <w:tc>
          <w:tcPr>
            <w:tcW w:w="725" w:type="dxa"/>
            <w:tcBorders/>
            <w:shd w:fill="auto" w:val="clear"/>
            <w:vAlign w:val="center"/>
          </w:tcPr>
          <w:p>
            <w:pPr>
              <w:pStyle w:val="TableContents"/>
              <w:spacing w:before="0" w:after="283"/>
              <w:rPr>
                <w:sz w:val="4"/>
                <w:szCs w:val="4"/>
              </w:rPr>
            </w:pPr>
            <w:r>
              <w:rPr>
                <w:sz w:val="4"/>
                <w:szCs w:val="4"/>
              </w:rPr>
            </w:r>
          </w:p>
        </w:tc>
        <w:tc>
          <w:tcPr>
            <w:tcW w:w="8672"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2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5.</w:t>
            </w:r>
          </w:p>
        </w:tc>
        <w:tc>
          <w:tcPr>
            <w:tcW w:w="197" w:type="dxa"/>
            <w:tcBorders/>
            <w:shd w:fill="auto" w:val="clear"/>
            <w:vAlign w:val="bottom"/>
          </w:tcPr>
          <w:p>
            <w:pPr>
              <w:pStyle w:val="TableContents"/>
              <w:spacing w:before="0" w:after="283"/>
              <w:rPr/>
            </w:pPr>
            <w:r>
              <w:rPr/>
              <w:t> </w:t>
            </w:r>
          </w:p>
        </w:tc>
        <w:tc>
          <w:tcPr>
            <w:tcW w:w="8475" w:type="dxa"/>
            <w:tcBorders/>
            <w:shd w:fill="auto" w:val="clear"/>
            <w:vAlign w:val="bottom"/>
          </w:tcPr>
          <w:p>
            <w:pPr>
              <w:pStyle w:val="TableContents"/>
              <w:spacing w:before="0" w:after="283"/>
              <w:rPr/>
            </w:pPr>
            <w:r>
              <w:rPr/>
              <w:t>Governing law</w:t>
            </w:r>
          </w:p>
        </w:tc>
        <w:tc>
          <w:tcPr>
            <w:tcW w:w="230" w:type="dxa"/>
            <w:tcBorders/>
            <w:shd w:fill="auto" w:val="clear"/>
            <w:vAlign w:val="bottom"/>
          </w:tcPr>
          <w:p>
            <w:pPr>
              <w:pStyle w:val="TableContents"/>
              <w:spacing w:before="0" w:after="283"/>
              <w:rPr/>
            </w:pPr>
            <w:r>
              <w:rPr/>
              <w:t>  </w:t>
            </w:r>
          </w:p>
        </w:tc>
        <w:tc>
          <w:tcPr>
            <w:tcW w:w="154" w:type="dxa"/>
            <w:tcBorders/>
            <w:shd w:fill="auto" w:val="clear"/>
            <w:vAlign w:val="bottom"/>
          </w:tcPr>
          <w:p>
            <w:pPr>
              <w:pStyle w:val="TableContents"/>
              <w:spacing w:before="0" w:after="283"/>
              <w:rPr/>
            </w:pPr>
            <w:r>
              <w:rPr/>
              <w:t> </w:t>
            </w:r>
          </w:p>
        </w:tc>
        <w:tc>
          <w:tcPr>
            <w:tcW w:w="361" w:type="dxa"/>
            <w:tcBorders/>
            <w:shd w:fill="auto" w:val="clear"/>
            <w:vAlign w:val="bottom"/>
          </w:tcPr>
          <w:p>
            <w:pPr>
              <w:pStyle w:val="TableContents"/>
              <w:spacing w:before="0" w:after="283"/>
              <w:jc w:val="right"/>
              <w:rPr/>
            </w:pPr>
            <w:r>
              <w:rPr/>
              <w:t>4</w:t>
            </w:r>
          </w:p>
        </w:tc>
        <w:tc>
          <w:tcPr>
            <w:tcW w:w="63" w:type="dxa"/>
            <w:tcBorders/>
            <w:shd w:fill="auto" w:val="clear"/>
            <w:vAlign w:val="bottom"/>
          </w:tcPr>
          <w:p>
            <w:pPr>
              <w:pStyle w:val="TableContents"/>
              <w:spacing w:before="0" w:after="283"/>
              <w:rPr/>
            </w:pPr>
            <w:r>
              <w:rPr/>
              <w:t> </w:t>
            </w:r>
          </w:p>
        </w:tc>
      </w:tr>
      <w:tr>
        <w:trPr>
          <w:trHeight w:val="120" w:hRule="atLeast"/>
        </w:trPr>
        <w:tc>
          <w:tcPr>
            <w:tcW w:w="725" w:type="dxa"/>
            <w:tcBorders/>
            <w:shd w:fill="auto" w:val="clear"/>
            <w:vAlign w:val="center"/>
          </w:tcPr>
          <w:p>
            <w:pPr>
              <w:pStyle w:val="TableContents"/>
              <w:spacing w:before="0" w:after="283"/>
              <w:rPr>
                <w:sz w:val="4"/>
                <w:szCs w:val="4"/>
              </w:rPr>
            </w:pPr>
            <w:r>
              <w:rPr>
                <w:sz w:val="4"/>
                <w:szCs w:val="4"/>
              </w:rPr>
            </w:r>
          </w:p>
        </w:tc>
        <w:tc>
          <w:tcPr>
            <w:tcW w:w="8672"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2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6.</w:t>
            </w:r>
          </w:p>
        </w:tc>
        <w:tc>
          <w:tcPr>
            <w:tcW w:w="197" w:type="dxa"/>
            <w:tcBorders/>
            <w:shd w:fill="auto" w:val="clear"/>
            <w:vAlign w:val="bottom"/>
          </w:tcPr>
          <w:p>
            <w:pPr>
              <w:pStyle w:val="TableContents"/>
              <w:spacing w:before="0" w:after="283"/>
              <w:rPr/>
            </w:pPr>
            <w:r>
              <w:rPr/>
              <w:t> </w:t>
            </w:r>
          </w:p>
        </w:tc>
        <w:tc>
          <w:tcPr>
            <w:tcW w:w="8475" w:type="dxa"/>
            <w:tcBorders/>
            <w:shd w:fill="auto" w:val="clear"/>
            <w:vAlign w:val="bottom"/>
          </w:tcPr>
          <w:p>
            <w:pPr>
              <w:pStyle w:val="TableContents"/>
              <w:spacing w:before="0" w:after="283"/>
              <w:rPr/>
            </w:pPr>
            <w:r>
              <w:rPr/>
              <w:t>Enforcement</w:t>
            </w:r>
          </w:p>
        </w:tc>
        <w:tc>
          <w:tcPr>
            <w:tcW w:w="230" w:type="dxa"/>
            <w:tcBorders/>
            <w:shd w:fill="auto" w:val="clear"/>
            <w:vAlign w:val="bottom"/>
          </w:tcPr>
          <w:p>
            <w:pPr>
              <w:pStyle w:val="TableContents"/>
              <w:spacing w:before="0" w:after="283"/>
              <w:rPr/>
            </w:pPr>
            <w:r>
              <w:rPr/>
              <w:t>  </w:t>
            </w:r>
          </w:p>
        </w:tc>
        <w:tc>
          <w:tcPr>
            <w:tcW w:w="154" w:type="dxa"/>
            <w:tcBorders/>
            <w:shd w:fill="auto" w:val="clear"/>
            <w:vAlign w:val="bottom"/>
          </w:tcPr>
          <w:p>
            <w:pPr>
              <w:pStyle w:val="TableContents"/>
              <w:spacing w:before="0" w:after="283"/>
              <w:rPr/>
            </w:pPr>
            <w:r>
              <w:rPr/>
              <w:t> </w:t>
            </w:r>
          </w:p>
        </w:tc>
        <w:tc>
          <w:tcPr>
            <w:tcW w:w="361" w:type="dxa"/>
            <w:tcBorders/>
            <w:shd w:fill="auto" w:val="clear"/>
            <w:vAlign w:val="bottom"/>
          </w:tcPr>
          <w:p>
            <w:pPr>
              <w:pStyle w:val="TableContents"/>
              <w:spacing w:before="0" w:after="283"/>
              <w:jc w:val="right"/>
              <w:rPr/>
            </w:pPr>
            <w:r>
              <w:rPr/>
              <w:t>4</w:t>
            </w:r>
          </w:p>
        </w:tc>
        <w:tc>
          <w:tcPr>
            <w:tcW w:w="63" w:type="dxa"/>
            <w:tcBorders/>
            <w:shd w:fill="auto" w:val="clear"/>
            <w:vAlign w:val="bottom"/>
          </w:tcPr>
          <w:p>
            <w:pPr>
              <w:pStyle w:val="TableContents"/>
              <w:spacing w:before="0" w:after="283"/>
              <w:rPr/>
            </w:pPr>
            <w:r>
              <w:rPr/>
              <w:t> </w:t>
            </w:r>
          </w:p>
        </w:tc>
      </w:tr>
      <w:tr>
        <w:trPr>
          <w:trHeight w:val="120" w:hRule="atLeast"/>
        </w:trPr>
        <w:tc>
          <w:tcPr>
            <w:tcW w:w="9397" w:type="dxa"/>
            <w:gridSpan w:val="3"/>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9397" w:type="dxa"/>
            <w:gridSpan w:val="3"/>
            <w:tcBorders/>
            <w:shd w:fill="auto" w:val="clear"/>
            <w:vAlign w:val="bottom"/>
          </w:tcPr>
          <w:p>
            <w:pPr>
              <w:pStyle w:val="TableContents"/>
              <w:spacing w:before="0" w:after="0"/>
              <w:rPr>
                <w:rFonts w:ascii="Times New Roman" w:hAnsi="Times New Roman"/>
                <w:sz w:val="20"/>
              </w:rPr>
            </w:pPr>
            <w:r>
              <w:rPr>
                <w:rFonts w:ascii="Times New Roman" w:hAnsi="Times New Roman"/>
                <w:sz w:val="20"/>
              </w:rPr>
              <w:t>Signatories</w:t>
            </w:r>
          </w:p>
        </w:tc>
        <w:tc>
          <w:tcPr>
            <w:tcW w:w="230" w:type="dxa"/>
            <w:tcBorders/>
            <w:shd w:fill="auto" w:val="clear"/>
            <w:vAlign w:val="bottom"/>
          </w:tcPr>
          <w:p>
            <w:pPr>
              <w:pStyle w:val="TableContents"/>
              <w:spacing w:before="0" w:after="283"/>
              <w:rPr/>
            </w:pPr>
            <w:r>
              <w:rPr/>
              <w:t>  </w:t>
            </w:r>
          </w:p>
        </w:tc>
        <w:tc>
          <w:tcPr>
            <w:tcW w:w="154" w:type="dxa"/>
            <w:tcBorders/>
            <w:shd w:fill="auto" w:val="clear"/>
            <w:vAlign w:val="bottom"/>
          </w:tcPr>
          <w:p>
            <w:pPr>
              <w:pStyle w:val="TableContents"/>
              <w:spacing w:before="0" w:after="283"/>
              <w:rPr/>
            </w:pPr>
            <w:r>
              <w:rPr/>
              <w:t> </w:t>
            </w:r>
          </w:p>
        </w:tc>
        <w:tc>
          <w:tcPr>
            <w:tcW w:w="361" w:type="dxa"/>
            <w:tcBorders/>
            <w:shd w:fill="auto" w:val="clear"/>
            <w:vAlign w:val="bottom"/>
          </w:tcPr>
          <w:p>
            <w:pPr>
              <w:pStyle w:val="TableContents"/>
              <w:spacing w:before="0" w:after="283"/>
              <w:jc w:val="right"/>
              <w:rPr/>
            </w:pPr>
            <w:r>
              <w:rPr/>
              <w:t>6</w:t>
            </w:r>
          </w:p>
        </w:tc>
        <w:tc>
          <w:tcPr>
            <w:tcW w:w="63" w:type="dxa"/>
            <w:tcBorders/>
            <w:shd w:fill="auto" w:val="clear"/>
            <w:vAlign w:val="bottom"/>
          </w:tcPr>
          <w:p>
            <w:pPr>
              <w:pStyle w:val="TableContents"/>
              <w:spacing w:before="0" w:after="283"/>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DEED</w:t>
      </w:r>
      <w:r>
        <w:rPr>
          <w:rFonts w:ascii="Times New Roman" w:hAnsi="Times New Roman"/>
          <w:sz w:val="20"/>
        </w:rPr>
        <w:t xml:space="preserve"> is dated 29 December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9797"/>
      </w:tblGrid>
      <w:tr>
        <w:trPr/>
        <w:tc>
          <w:tcPr>
            <w:tcW w:w="407" w:type="dxa"/>
            <w:tcBorders/>
            <w:shd w:fill="auto" w:val="clear"/>
          </w:tcPr>
          <w:p>
            <w:pPr>
              <w:pStyle w:val="TableContents"/>
              <w:spacing w:before="0" w:after="283"/>
              <w:jc w:val="left"/>
              <w:rPr/>
            </w:pPr>
            <w:r>
              <w:rPr/>
              <w:t>1.</w:t>
            </w:r>
          </w:p>
        </w:tc>
        <w:tc>
          <w:tcPr>
            <w:tcW w:w="9797" w:type="dxa"/>
            <w:tcBorders/>
            <w:shd w:fill="auto" w:val="clear"/>
          </w:tcPr>
          <w:p>
            <w:pPr>
              <w:pStyle w:val="TableContents"/>
              <w:spacing w:before="0" w:after="283"/>
              <w:jc w:val="left"/>
              <w:rPr/>
            </w:pPr>
            <w:r>
              <w:rPr>
                <w:b/>
              </w:rPr>
              <w:t>LLC ZEMENIK</w:t>
            </w:r>
            <w:r>
              <w:rPr/>
              <w:t xml:space="preserve">, a company organised and existing under the laws of Russia having its registered office address at Akademika Iljushina Street 4, Block 1, Office 54, Moscow, Russia with registration number 1167746153860 (hereinafter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9797"/>
      </w:tblGrid>
      <w:tr>
        <w:trPr/>
        <w:tc>
          <w:tcPr>
            <w:tcW w:w="407" w:type="dxa"/>
            <w:tcBorders/>
            <w:shd w:fill="auto" w:val="clear"/>
          </w:tcPr>
          <w:p>
            <w:pPr>
              <w:pStyle w:val="TableContents"/>
              <w:spacing w:before="0" w:after="283"/>
              <w:jc w:val="left"/>
              <w:rPr/>
            </w:pPr>
            <w:r>
              <w:rPr/>
              <w:t>2.</w:t>
            </w:r>
          </w:p>
        </w:tc>
        <w:tc>
          <w:tcPr>
            <w:tcW w:w="9797" w:type="dxa"/>
            <w:tcBorders/>
            <w:shd w:fill="auto" w:val="clear"/>
          </w:tcPr>
          <w:p>
            <w:pPr>
              <w:pStyle w:val="TableContents"/>
              <w:spacing w:before="0" w:after="283"/>
              <w:jc w:val="left"/>
              <w:rPr/>
            </w:pPr>
            <w:r>
              <w:rPr>
                <w:b/>
              </w:rPr>
              <w:t>VTB BANK (PJSC)</w:t>
            </w:r>
            <w:r>
              <w:rPr/>
              <w:t xml:space="preserve">, a bank organised under the laws of the Russian Federation under primary state registration number 1027739609391, whose registered office is at Ul. Bolshaya Morskaya 29, St. Petersburg 190000, the Russian Federation (hereinafter the “Pledgee”). </w:t>
            </w:r>
          </w:p>
        </w:tc>
      </w:tr>
    </w:tbl>
    <w:p>
      <w:pPr>
        <w:pStyle w:val="TextBody"/>
        <w:spacing w:before="36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9797"/>
      </w:tblGrid>
      <w:tr>
        <w:trPr/>
        <w:tc>
          <w:tcPr>
            <w:tcW w:w="407" w:type="dxa"/>
            <w:tcBorders/>
            <w:shd w:fill="auto" w:val="clear"/>
          </w:tcPr>
          <w:p>
            <w:pPr>
              <w:pStyle w:val="TableContents"/>
              <w:spacing w:before="0" w:after="283"/>
              <w:jc w:val="left"/>
              <w:rPr/>
            </w:pPr>
            <w:r>
              <w:rPr/>
              <w:t>(A)</w:t>
            </w:r>
          </w:p>
        </w:tc>
        <w:tc>
          <w:tcPr>
            <w:tcW w:w="9797" w:type="dxa"/>
            <w:tcBorders/>
            <w:shd w:fill="auto" w:val="clear"/>
          </w:tcPr>
          <w:p>
            <w:pPr>
              <w:pStyle w:val="TableContents"/>
              <w:spacing w:before="0" w:after="283"/>
              <w:jc w:val="left"/>
              <w:rPr/>
            </w:pPr>
            <w:r>
              <w:rPr/>
              <w:t>Pursuant to a facility agreement dated 16 May 2016 as amended by the amendment agreement No. 1 dated 14 December 2016, the amendment agreement No. 2 dated 28 June 2017, the amendment agreement No. 3 dated 5 October 2017 and the amendment agreement No. 4 dated on or about the date hereof (the “</w:t>
            </w:r>
            <w:r>
              <w:rPr>
                <w:b/>
              </w:rPr>
              <w:t>Facility Agreement</w:t>
            </w:r>
            <w:r>
              <w:rPr/>
              <w:t xml:space="preserve">”) between the Pledgor as borrower and the Pledgee as arranger, facility agent and original lender, the parties thereto agreed, </w:t>
            </w:r>
            <w:r>
              <w:rPr>
                <w:i/>
              </w:rPr>
              <w:t>inter alia</w:t>
            </w:r>
            <w:r>
              <w:rPr/>
              <w:t xml:space="preserve">, that the Pledgor enters into the Deed of Pledge (as defined below) in favour of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9797"/>
      </w:tblGrid>
      <w:tr>
        <w:trPr/>
        <w:tc>
          <w:tcPr>
            <w:tcW w:w="407" w:type="dxa"/>
            <w:tcBorders/>
            <w:shd w:fill="auto" w:val="clear"/>
          </w:tcPr>
          <w:p>
            <w:pPr>
              <w:pStyle w:val="TableContents"/>
              <w:spacing w:before="0" w:after="283"/>
              <w:jc w:val="left"/>
              <w:rPr/>
            </w:pPr>
            <w:r>
              <w:rPr/>
              <w:t>(B)</w:t>
            </w:r>
          </w:p>
        </w:tc>
        <w:tc>
          <w:tcPr>
            <w:tcW w:w="9797" w:type="dxa"/>
            <w:tcBorders/>
            <w:shd w:fill="auto" w:val="clear"/>
          </w:tcPr>
          <w:p>
            <w:pPr>
              <w:pStyle w:val="TableContents"/>
              <w:spacing w:before="0" w:after="283"/>
              <w:jc w:val="left"/>
              <w:rPr/>
            </w:pPr>
            <w:r>
              <w:rPr/>
              <w:t xml:space="preserve">The Pledgor and the Pledgee have agreed to enter into this Deed for the purpose of confirming the security granted under the Deed of Pledge. </w:t>
            </w:r>
          </w:p>
        </w:tc>
      </w:tr>
    </w:tbl>
    <w:p>
      <w:pPr>
        <w:pStyle w:val="TextBody"/>
        <w:spacing w:before="36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6"/>
        <w:gridCol w:w="9798"/>
      </w:tblGrid>
      <w:tr>
        <w:trPr/>
        <w:tc>
          <w:tcPr>
            <w:tcW w:w="406" w:type="dxa"/>
            <w:tcBorders/>
            <w:shd w:fill="auto" w:val="clear"/>
          </w:tcPr>
          <w:p>
            <w:pPr>
              <w:pStyle w:val="TableContents"/>
              <w:spacing w:before="0" w:after="283"/>
              <w:jc w:val="left"/>
              <w:rPr>
                <w:b/>
              </w:rPr>
            </w:pPr>
            <w:r>
              <w:rPr>
                <w:b/>
              </w:rPr>
              <w:t>1.</w:t>
            </w:r>
          </w:p>
        </w:tc>
        <w:tc>
          <w:tcPr>
            <w:tcW w:w="9798" w:type="dxa"/>
            <w:tcBorders/>
            <w:shd w:fill="auto" w:val="clear"/>
          </w:tcPr>
          <w:p>
            <w:pPr>
              <w:pStyle w:val="TableContents"/>
              <w:spacing w:before="0" w:after="283"/>
              <w:jc w:val="left"/>
              <w:rPr>
                <w:b/>
              </w:rPr>
            </w:pPr>
            <w:r>
              <w:rPr>
                <w:b/>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408"/>
        <w:gridCol w:w="9389"/>
      </w:tblGrid>
      <w:tr>
        <w:trPr/>
        <w:tc>
          <w:tcPr>
            <w:tcW w:w="407" w:type="dxa"/>
            <w:tcBorders/>
            <w:shd w:fill="auto" w:val="clear"/>
            <w:vAlign w:val="center"/>
          </w:tcPr>
          <w:p>
            <w:pPr>
              <w:pStyle w:val="TableContents"/>
              <w:spacing w:before="0" w:after="283"/>
              <w:rPr/>
            </w:pPr>
            <w:r>
              <w:rPr/>
              <w:t> </w:t>
            </w:r>
          </w:p>
        </w:tc>
        <w:tc>
          <w:tcPr>
            <w:tcW w:w="408" w:type="dxa"/>
            <w:tcBorders/>
            <w:shd w:fill="auto" w:val="clear"/>
          </w:tcPr>
          <w:p>
            <w:pPr>
              <w:pStyle w:val="TableContents"/>
              <w:spacing w:before="0" w:after="283"/>
              <w:jc w:val="left"/>
              <w:rPr>
                <w:b/>
              </w:rPr>
            </w:pPr>
            <w:r>
              <w:rPr>
                <w:b/>
              </w:rPr>
              <w:t>1.1</w:t>
            </w:r>
          </w:p>
        </w:tc>
        <w:tc>
          <w:tcPr>
            <w:tcW w:w="9389" w:type="dxa"/>
            <w:tcBorders/>
            <w:shd w:fill="auto" w:val="clear"/>
          </w:tcPr>
          <w:p>
            <w:pPr>
              <w:pStyle w:val="TableContents"/>
              <w:spacing w:before="0" w:after="283"/>
              <w:jc w:val="left"/>
              <w:rPr>
                <w:b/>
              </w:rPr>
            </w:pPr>
            <w:r>
              <w:rPr>
                <w:b/>
              </w:rPr>
              <w:t xml:space="preserve">Definitions </w:t>
            </w:r>
          </w:p>
        </w:tc>
      </w:tr>
    </w:tbl>
    <w:p>
      <w:pPr>
        <w:pStyle w:val="TextBody"/>
        <w:spacing w:before="120" w:after="0"/>
        <w:rPr>
          <w:rFonts w:ascii="Times New Roman" w:hAnsi="Times New Roman"/>
          <w:sz w:val="20"/>
        </w:rPr>
      </w:pPr>
      <w:r>
        <w:rPr>
          <w:rFonts w:ascii="Times New Roman" w:hAnsi="Times New Roman"/>
          <w:sz w:val="20"/>
        </w:rPr>
        <w:t xml:space="preserve">In this Deed: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HEADHUNTER FSU LIMITED, a company incorporated in Cyprus with registration number HE 178226, whose registered office is at 42 Dositheou, Strovolos 2028 Nicosia, Cyprus. </w:t>
      </w:r>
    </w:p>
    <w:p>
      <w:pPr>
        <w:pStyle w:val="TextBody"/>
        <w:spacing w:before="120" w:after="0"/>
        <w:rPr/>
      </w:pPr>
      <w:r>
        <w:rPr/>
        <w:t>“</w:t>
      </w:r>
      <w:r>
        <w:rPr>
          <w:rFonts w:ascii="Times New Roman" w:hAnsi="Times New Roman"/>
          <w:b/>
          <w:sz w:val="20"/>
        </w:rPr>
        <w:t>Deed of Pledge</w:t>
      </w:r>
      <w:r>
        <w:rPr>
          <w:rFonts w:ascii="Times New Roman" w:hAnsi="Times New Roman"/>
          <w:sz w:val="20"/>
        </w:rPr>
        <w:t xml:space="preserve">” means the deed of pledge dated 19 May 2016, between the Pledgor and the Pledgee, pursuant to which the Pledgor pledged, </w:t>
      </w:r>
      <w:r>
        <w:rPr>
          <w:rFonts w:ascii="Times New Roman" w:hAnsi="Times New Roman"/>
          <w:i/>
          <w:sz w:val="20"/>
        </w:rPr>
        <w:t>inter alia</w:t>
      </w:r>
      <w:r>
        <w:rPr>
          <w:rFonts w:ascii="Times New Roman" w:hAnsi="Times New Roman"/>
          <w:sz w:val="20"/>
        </w:rPr>
        <w:t xml:space="preserve">, 1,000 (one thousand) issued ordinary shares of €1.71 each in the Company.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8"/>
        <w:gridCol w:w="408"/>
        <w:gridCol w:w="9388"/>
      </w:tblGrid>
      <w:tr>
        <w:trPr/>
        <w:tc>
          <w:tcPr>
            <w:tcW w:w="408" w:type="dxa"/>
            <w:tcBorders/>
            <w:shd w:fill="auto" w:val="clear"/>
            <w:vAlign w:val="center"/>
          </w:tcPr>
          <w:p>
            <w:pPr>
              <w:pStyle w:val="TableContents"/>
              <w:spacing w:before="0" w:after="283"/>
              <w:rPr/>
            </w:pPr>
            <w:r>
              <w:rPr/>
              <w:t> </w:t>
            </w:r>
          </w:p>
        </w:tc>
        <w:tc>
          <w:tcPr>
            <w:tcW w:w="408" w:type="dxa"/>
            <w:tcBorders/>
            <w:shd w:fill="auto" w:val="clear"/>
          </w:tcPr>
          <w:p>
            <w:pPr>
              <w:pStyle w:val="TableContents"/>
              <w:spacing w:before="0" w:after="283"/>
              <w:jc w:val="left"/>
              <w:rPr>
                <w:b/>
              </w:rPr>
            </w:pPr>
            <w:r>
              <w:rPr>
                <w:b/>
              </w:rPr>
              <w:t>1.2</w:t>
            </w:r>
          </w:p>
        </w:tc>
        <w:tc>
          <w:tcPr>
            <w:tcW w:w="9388" w:type="dxa"/>
            <w:tcBorders/>
            <w:shd w:fill="auto" w:val="clear"/>
          </w:tcPr>
          <w:p>
            <w:pPr>
              <w:pStyle w:val="TableContents"/>
              <w:spacing w:before="0" w:after="283"/>
              <w:jc w:val="left"/>
              <w:rPr>
                <w:b/>
              </w:rPr>
            </w:pPr>
            <w:r>
              <w:rPr>
                <w:b/>
              </w:rPr>
              <w:t xml:space="preserve">Construction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509"/>
        <w:gridCol w:w="8880"/>
      </w:tblGrid>
      <w:tr>
        <w:trPr/>
        <w:tc>
          <w:tcPr>
            <w:tcW w:w="815"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8880" w:type="dxa"/>
            <w:tcBorders/>
            <w:shd w:fill="auto" w:val="clear"/>
          </w:tcPr>
          <w:p>
            <w:pPr>
              <w:pStyle w:val="TableContents"/>
              <w:spacing w:before="0" w:after="283"/>
              <w:jc w:val="left"/>
              <w:rPr/>
            </w:pPr>
            <w:r>
              <w:rPr/>
              <w:t xml:space="preserve">Capitalised terms defined in the Deed of Pledge have, unless expressly defined in this Deed, the same meaning in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511"/>
        <w:gridCol w:w="8879"/>
      </w:tblGrid>
      <w:tr>
        <w:trPr/>
        <w:tc>
          <w:tcPr>
            <w:tcW w:w="814" w:type="dxa"/>
            <w:tcBorders/>
            <w:shd w:fill="auto" w:val="clear"/>
            <w:vAlign w:val="center"/>
          </w:tcPr>
          <w:p>
            <w:pPr>
              <w:pStyle w:val="TableContents"/>
              <w:spacing w:before="0" w:after="283"/>
              <w:rPr/>
            </w:pPr>
            <w:r>
              <w:rPr/>
              <w:t> </w:t>
            </w:r>
          </w:p>
        </w:tc>
        <w:tc>
          <w:tcPr>
            <w:tcW w:w="511" w:type="dxa"/>
            <w:tcBorders/>
            <w:shd w:fill="auto" w:val="clear"/>
          </w:tcPr>
          <w:p>
            <w:pPr>
              <w:pStyle w:val="TableContents"/>
              <w:spacing w:before="0" w:after="283"/>
              <w:jc w:val="left"/>
              <w:rPr/>
            </w:pPr>
            <w:r>
              <w:rPr/>
              <w:t>(b)</w:t>
            </w:r>
          </w:p>
        </w:tc>
        <w:tc>
          <w:tcPr>
            <w:tcW w:w="8879" w:type="dxa"/>
            <w:tcBorders/>
            <w:shd w:fill="auto" w:val="clear"/>
          </w:tcPr>
          <w:p>
            <w:pPr>
              <w:pStyle w:val="TableContents"/>
              <w:spacing w:before="0" w:after="283"/>
              <w:jc w:val="left"/>
              <w:rPr/>
            </w:pPr>
            <w:r>
              <w:rPr/>
              <w:t xml:space="preserve">The provisions of clause 1.2 of the Deed of Pledge apply to this Deed as if they were set out in full in this Deed.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3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408"/>
        <w:gridCol w:w="9796"/>
      </w:tblGrid>
      <w:tr>
        <w:trPr/>
        <w:tc>
          <w:tcPr>
            <w:tcW w:w="408" w:type="dxa"/>
            <w:tcBorders/>
            <w:shd w:fill="auto" w:val="clear"/>
          </w:tcPr>
          <w:p>
            <w:pPr>
              <w:pStyle w:val="TableContents"/>
              <w:spacing w:before="0" w:after="283"/>
              <w:jc w:val="left"/>
              <w:rPr>
                <w:b/>
              </w:rPr>
            </w:pPr>
            <w:r>
              <w:rPr>
                <w:b/>
              </w:rPr>
              <w:t>2.</w:t>
            </w:r>
          </w:p>
        </w:tc>
        <w:tc>
          <w:tcPr>
            <w:tcW w:w="9796" w:type="dxa"/>
            <w:tcBorders/>
            <w:shd w:fill="auto" w:val="clear"/>
          </w:tcPr>
          <w:p>
            <w:pPr>
              <w:pStyle w:val="TableContents"/>
              <w:spacing w:before="0" w:after="283"/>
              <w:jc w:val="left"/>
              <w:rPr>
                <w:b/>
              </w:rPr>
            </w:pPr>
            <w:r>
              <w:rPr>
                <w:b/>
              </w:rPr>
              <w:t xml:space="preserve">CONFIRMATION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407"/>
        <w:gridCol w:w="9390"/>
      </w:tblGrid>
      <w:tr>
        <w:trPr/>
        <w:tc>
          <w:tcPr>
            <w:tcW w:w="407" w:type="dxa"/>
            <w:tcBorders/>
            <w:shd w:fill="auto" w:val="clear"/>
            <w:vAlign w:val="center"/>
          </w:tcPr>
          <w:p>
            <w:pPr>
              <w:pStyle w:val="TableContents"/>
              <w:spacing w:before="0" w:after="283"/>
              <w:rPr/>
            </w:pPr>
            <w:r>
              <w:rPr/>
              <w:t> </w:t>
            </w:r>
          </w:p>
        </w:tc>
        <w:tc>
          <w:tcPr>
            <w:tcW w:w="407" w:type="dxa"/>
            <w:tcBorders/>
            <w:shd w:fill="auto" w:val="clear"/>
          </w:tcPr>
          <w:p>
            <w:pPr>
              <w:pStyle w:val="TableContents"/>
              <w:spacing w:before="0" w:after="283"/>
              <w:jc w:val="left"/>
              <w:rPr/>
            </w:pPr>
            <w:r>
              <w:rPr/>
              <w:t>(a)</w:t>
            </w:r>
          </w:p>
        </w:tc>
        <w:tc>
          <w:tcPr>
            <w:tcW w:w="9390" w:type="dxa"/>
            <w:tcBorders/>
            <w:shd w:fill="auto" w:val="clear"/>
          </w:tcPr>
          <w:p>
            <w:pPr>
              <w:pStyle w:val="TableContents"/>
              <w:spacing w:before="0" w:after="283"/>
              <w:jc w:val="left"/>
              <w:rPr/>
            </w:pPr>
            <w:r>
              <w:rPr/>
              <w:t xml:space="preserve">The Pledgor acknowledges and consents to the amendment agreement no. 4 to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408"/>
        <w:gridCol w:w="9389"/>
      </w:tblGrid>
      <w:tr>
        <w:trPr/>
        <w:tc>
          <w:tcPr>
            <w:tcW w:w="407" w:type="dxa"/>
            <w:tcBorders/>
            <w:shd w:fill="auto" w:val="clear"/>
            <w:vAlign w:val="center"/>
          </w:tcPr>
          <w:p>
            <w:pPr>
              <w:pStyle w:val="TableContents"/>
              <w:spacing w:before="0" w:after="283"/>
              <w:rPr/>
            </w:pPr>
            <w:r>
              <w:rPr/>
              <w:t> </w:t>
            </w:r>
          </w:p>
        </w:tc>
        <w:tc>
          <w:tcPr>
            <w:tcW w:w="408" w:type="dxa"/>
            <w:tcBorders/>
            <w:shd w:fill="auto" w:val="clear"/>
          </w:tcPr>
          <w:p>
            <w:pPr>
              <w:pStyle w:val="TableContents"/>
              <w:spacing w:before="0" w:after="283"/>
              <w:jc w:val="left"/>
              <w:rPr/>
            </w:pPr>
            <w:r>
              <w:rPr/>
              <w:t>(b)</w:t>
            </w:r>
          </w:p>
        </w:tc>
        <w:tc>
          <w:tcPr>
            <w:tcW w:w="9389" w:type="dxa"/>
            <w:tcBorders/>
            <w:shd w:fill="auto" w:val="clear"/>
          </w:tcPr>
          <w:p>
            <w:pPr>
              <w:pStyle w:val="TableContents"/>
              <w:spacing w:before="0" w:after="283"/>
              <w:jc w:val="left"/>
              <w:rPr/>
            </w:pPr>
            <w:r>
              <w:rPr/>
              <w:t xml:space="preserve">The Pledgor confirms, consents and agrees that the Deed of Pledge remains valid and binding on the Pledgor and that the security granted pursuant to the Deed of Pledge remains valid and is continuing security for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6"/>
        <w:gridCol w:w="9798"/>
      </w:tblGrid>
      <w:tr>
        <w:trPr/>
        <w:tc>
          <w:tcPr>
            <w:tcW w:w="406" w:type="dxa"/>
            <w:tcBorders/>
            <w:shd w:fill="auto" w:val="clear"/>
          </w:tcPr>
          <w:p>
            <w:pPr>
              <w:pStyle w:val="TableContents"/>
              <w:spacing w:before="0" w:after="283"/>
              <w:jc w:val="left"/>
              <w:rPr>
                <w:b/>
              </w:rPr>
            </w:pPr>
            <w:r>
              <w:rPr>
                <w:b/>
              </w:rPr>
              <w:t>3.</w:t>
            </w:r>
          </w:p>
        </w:tc>
        <w:tc>
          <w:tcPr>
            <w:tcW w:w="9798" w:type="dxa"/>
            <w:tcBorders/>
            <w:shd w:fill="auto" w:val="clear"/>
          </w:tcPr>
          <w:p>
            <w:pPr>
              <w:pStyle w:val="TableContents"/>
              <w:spacing w:before="0" w:after="283"/>
              <w:jc w:val="left"/>
              <w:rPr>
                <w:b/>
              </w:rPr>
            </w:pPr>
            <w:r>
              <w:rPr>
                <w:b/>
              </w:rPr>
              <w:t xml:space="preserve">FURTHER ASSURANCES </w:t>
            </w:r>
          </w:p>
        </w:tc>
      </w:tr>
    </w:tbl>
    <w:p>
      <w:pPr>
        <w:pStyle w:val="TextBody"/>
        <w:spacing w:before="120" w:after="0"/>
        <w:rPr>
          <w:rFonts w:ascii="Times New Roman" w:hAnsi="Times New Roman"/>
          <w:sz w:val="20"/>
        </w:rPr>
      </w:pPr>
      <w:r>
        <w:rPr>
          <w:rFonts w:ascii="Times New Roman" w:hAnsi="Times New Roman"/>
          <w:sz w:val="20"/>
        </w:rPr>
        <w:t xml:space="preserve">The Pledgor will, at the request of the Pledgee, take whatever action is necessary or reasonably desirable to give effect to clause 2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9797"/>
      </w:tblGrid>
      <w:tr>
        <w:trPr/>
        <w:tc>
          <w:tcPr>
            <w:tcW w:w="407" w:type="dxa"/>
            <w:tcBorders/>
            <w:shd w:fill="auto" w:val="clear"/>
          </w:tcPr>
          <w:p>
            <w:pPr>
              <w:pStyle w:val="TableContents"/>
              <w:spacing w:before="0" w:after="283"/>
              <w:jc w:val="left"/>
              <w:rPr>
                <w:b/>
              </w:rPr>
            </w:pPr>
            <w:r>
              <w:rPr>
                <w:b/>
              </w:rPr>
              <w:t>4.</w:t>
            </w:r>
          </w:p>
        </w:tc>
        <w:tc>
          <w:tcPr>
            <w:tcW w:w="9797"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Deed may be executed in any number of counterparts. This has the same effect as if the signatures on the counterparts were on a single copy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8"/>
        <w:gridCol w:w="9796"/>
      </w:tblGrid>
      <w:tr>
        <w:trPr/>
        <w:tc>
          <w:tcPr>
            <w:tcW w:w="408" w:type="dxa"/>
            <w:tcBorders/>
            <w:shd w:fill="auto" w:val="clear"/>
          </w:tcPr>
          <w:p>
            <w:pPr>
              <w:pStyle w:val="TableContents"/>
              <w:spacing w:before="0" w:after="283"/>
              <w:jc w:val="left"/>
              <w:rPr>
                <w:b/>
              </w:rPr>
            </w:pPr>
            <w:r>
              <w:rPr>
                <w:b/>
              </w:rPr>
              <w:t>5.</w:t>
            </w:r>
          </w:p>
        </w:tc>
        <w:tc>
          <w:tcPr>
            <w:tcW w:w="9796" w:type="dxa"/>
            <w:tcBorders/>
            <w:shd w:fill="auto" w:val="clear"/>
          </w:tcPr>
          <w:p>
            <w:pPr>
              <w:pStyle w:val="TableContents"/>
              <w:spacing w:before="0" w:after="283"/>
              <w:jc w:val="left"/>
              <w:rPr>
                <w:b/>
              </w:rPr>
            </w:pPr>
            <w:r>
              <w:rPr>
                <w:b/>
              </w:rPr>
              <w:t xml:space="preserve">GOVERNING LAW </w:t>
            </w:r>
          </w:p>
        </w:tc>
      </w:tr>
    </w:tbl>
    <w:p>
      <w:pPr>
        <w:pStyle w:val="TextBody"/>
        <w:spacing w:before="120" w:after="0"/>
        <w:rPr>
          <w:rFonts w:ascii="Times New Roman" w:hAnsi="Times New Roman"/>
          <w:sz w:val="20"/>
        </w:rPr>
      </w:pPr>
      <w:r>
        <w:rPr>
          <w:rFonts w:ascii="Times New Roman" w:hAnsi="Times New Roman"/>
          <w:sz w:val="20"/>
        </w:rPr>
        <w:t xml:space="preserve">This Deed is governed by Cyprus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6"/>
        <w:gridCol w:w="9798"/>
      </w:tblGrid>
      <w:tr>
        <w:trPr/>
        <w:tc>
          <w:tcPr>
            <w:tcW w:w="406" w:type="dxa"/>
            <w:tcBorders/>
            <w:shd w:fill="auto" w:val="clear"/>
          </w:tcPr>
          <w:p>
            <w:pPr>
              <w:pStyle w:val="TableContents"/>
              <w:spacing w:before="0" w:after="283"/>
              <w:jc w:val="left"/>
              <w:rPr>
                <w:b/>
              </w:rPr>
            </w:pPr>
            <w:r>
              <w:rPr>
                <w:b/>
              </w:rPr>
              <w:t>6.</w:t>
            </w:r>
          </w:p>
        </w:tc>
        <w:tc>
          <w:tcPr>
            <w:tcW w:w="9798" w:type="dxa"/>
            <w:tcBorders/>
            <w:shd w:fill="auto" w:val="clear"/>
          </w:tcPr>
          <w:p>
            <w:pPr>
              <w:pStyle w:val="TableContents"/>
              <w:spacing w:before="0" w:after="283"/>
              <w:jc w:val="left"/>
              <w:rPr>
                <w:b/>
              </w:rPr>
            </w:pPr>
            <w:r>
              <w:rPr>
                <w:b/>
              </w:rPr>
              <w:t xml:space="preserve">ENFORCEMENT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408"/>
        <w:gridCol w:w="9389"/>
      </w:tblGrid>
      <w:tr>
        <w:trPr/>
        <w:tc>
          <w:tcPr>
            <w:tcW w:w="407" w:type="dxa"/>
            <w:tcBorders/>
            <w:shd w:fill="auto" w:val="clear"/>
            <w:vAlign w:val="center"/>
          </w:tcPr>
          <w:p>
            <w:pPr>
              <w:pStyle w:val="TableContents"/>
              <w:spacing w:before="0" w:after="283"/>
              <w:rPr/>
            </w:pPr>
            <w:r>
              <w:rPr/>
              <w:t> </w:t>
            </w:r>
          </w:p>
        </w:tc>
        <w:tc>
          <w:tcPr>
            <w:tcW w:w="408" w:type="dxa"/>
            <w:tcBorders/>
            <w:shd w:fill="auto" w:val="clear"/>
          </w:tcPr>
          <w:p>
            <w:pPr>
              <w:pStyle w:val="TableContents"/>
              <w:spacing w:before="0" w:after="283"/>
              <w:jc w:val="left"/>
              <w:rPr>
                <w:b/>
              </w:rPr>
            </w:pPr>
            <w:r>
              <w:rPr>
                <w:b/>
              </w:rPr>
              <w:t>6.1</w:t>
            </w:r>
          </w:p>
        </w:tc>
        <w:tc>
          <w:tcPr>
            <w:tcW w:w="9389" w:type="dxa"/>
            <w:tcBorders/>
            <w:shd w:fill="auto" w:val="clear"/>
          </w:tcPr>
          <w:p>
            <w:pPr>
              <w:pStyle w:val="TableContents"/>
              <w:spacing w:before="0" w:after="283"/>
              <w:jc w:val="left"/>
              <w:rPr>
                <w:b/>
              </w:rPr>
            </w:pPr>
            <w:r>
              <w:rPr>
                <w:b/>
              </w:rPr>
              <w:t xml:space="preserve">Jurisdiction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509"/>
        <w:gridCol w:w="8881"/>
      </w:tblGrid>
      <w:tr>
        <w:trPr/>
        <w:tc>
          <w:tcPr>
            <w:tcW w:w="814"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8881" w:type="dxa"/>
            <w:tcBorders/>
            <w:shd w:fill="auto" w:val="clear"/>
          </w:tcPr>
          <w:p>
            <w:pPr>
              <w:pStyle w:val="TableContents"/>
              <w:spacing w:before="0" w:after="283"/>
              <w:jc w:val="left"/>
              <w:rPr/>
            </w:pPr>
            <w:r>
              <w:rPr/>
              <w:t xml:space="preserve">The courts of the Republic of Cyprus have exclusive jurisdiction to settle any dispute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509"/>
        <w:gridCol w:w="8879"/>
      </w:tblGrid>
      <w:tr>
        <w:trPr/>
        <w:tc>
          <w:tcPr>
            <w:tcW w:w="816"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8879" w:type="dxa"/>
            <w:tcBorders/>
            <w:shd w:fill="auto" w:val="clear"/>
          </w:tcPr>
          <w:p>
            <w:pPr>
              <w:pStyle w:val="TableContents"/>
              <w:spacing w:before="0" w:after="283"/>
              <w:jc w:val="left"/>
              <w:rPr/>
            </w:pPr>
            <w:r>
              <w:rPr/>
              <w:t xml:space="preserve">The courts of the Republic of Cyprus are the most appropriate and convenient courts to settle any such dispute in connection with this Deed. The Pledgor agrees not to argue to the contrary and waive objection to those courts on the grounds of inconvenient forum or otherwise in relation to proceedings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509"/>
        <w:gridCol w:w="8880"/>
      </w:tblGrid>
      <w:tr>
        <w:trPr/>
        <w:tc>
          <w:tcPr>
            <w:tcW w:w="815"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8880" w:type="dxa"/>
            <w:tcBorders/>
            <w:shd w:fill="auto" w:val="clear"/>
          </w:tcPr>
          <w:p>
            <w:pPr>
              <w:pStyle w:val="TableContents"/>
              <w:spacing w:before="0" w:after="283"/>
              <w:jc w:val="left"/>
              <w:rPr/>
            </w:pPr>
            <w:r>
              <w:rPr/>
              <w:t xml:space="preserve">References in this Clause to a dispute in connection with this Deed includes any dispute as to the existence, validity or termination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407"/>
        <w:gridCol w:w="407"/>
        <w:gridCol w:w="9390"/>
      </w:tblGrid>
      <w:tr>
        <w:trPr/>
        <w:tc>
          <w:tcPr>
            <w:tcW w:w="407" w:type="dxa"/>
            <w:tcBorders/>
            <w:shd w:fill="auto" w:val="clear"/>
            <w:vAlign w:val="center"/>
          </w:tcPr>
          <w:p>
            <w:pPr>
              <w:pStyle w:val="TableContents"/>
              <w:spacing w:before="0" w:after="283"/>
              <w:rPr/>
            </w:pPr>
            <w:r>
              <w:rPr/>
              <w:t> </w:t>
            </w:r>
          </w:p>
        </w:tc>
        <w:tc>
          <w:tcPr>
            <w:tcW w:w="407" w:type="dxa"/>
            <w:tcBorders/>
            <w:shd w:fill="auto" w:val="clear"/>
          </w:tcPr>
          <w:p>
            <w:pPr>
              <w:pStyle w:val="TableContents"/>
              <w:spacing w:before="0" w:after="283"/>
              <w:jc w:val="left"/>
              <w:rPr>
                <w:b/>
              </w:rPr>
            </w:pPr>
            <w:r>
              <w:rPr>
                <w:b/>
              </w:rPr>
              <w:t>6.2</w:t>
            </w:r>
          </w:p>
        </w:tc>
        <w:tc>
          <w:tcPr>
            <w:tcW w:w="9390" w:type="dxa"/>
            <w:tcBorders/>
            <w:shd w:fill="auto" w:val="clear"/>
          </w:tcPr>
          <w:p>
            <w:pPr>
              <w:pStyle w:val="TableContents"/>
              <w:spacing w:before="0" w:after="283"/>
              <w:jc w:val="left"/>
              <w:rPr>
                <w:b/>
              </w:rPr>
            </w:pPr>
            <w:r>
              <w:rPr>
                <w:b/>
              </w:rPr>
              <w:t xml:space="preserve">Waiver of immunity </w:t>
            </w:r>
          </w:p>
        </w:tc>
      </w:tr>
    </w:tbl>
    <w:p>
      <w:pPr>
        <w:pStyle w:val="TextBody"/>
        <w:spacing w:before="120" w:after="0"/>
        <w:rPr>
          <w:rFonts w:ascii="Times New Roman" w:hAnsi="Times New Roman"/>
          <w:sz w:val="20"/>
        </w:rPr>
      </w:pPr>
      <w:r>
        <w:rPr>
          <w:rFonts w:ascii="Times New Roman" w:hAnsi="Times New Roman"/>
          <w:sz w:val="20"/>
        </w:rPr>
        <w:t xml:space="preserve">The Pledgor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510"/>
        <w:gridCol w:w="8879"/>
      </w:tblGrid>
      <w:tr>
        <w:trPr/>
        <w:tc>
          <w:tcPr>
            <w:tcW w:w="815"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879" w:type="dxa"/>
            <w:tcBorders/>
            <w:shd w:fill="auto" w:val="clear"/>
          </w:tcPr>
          <w:p>
            <w:pPr>
              <w:pStyle w:val="TableContents"/>
              <w:spacing w:before="0" w:after="283"/>
              <w:jc w:val="left"/>
              <w:rPr/>
            </w:pPr>
            <w:r>
              <w:rPr/>
              <w:t xml:space="preserve">agrees not to claim any immunity from proceedings brought by the Pledgee against them in relation to this Deed and to ensure that no such claim is made on their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509"/>
        <w:gridCol w:w="8880"/>
      </w:tblGrid>
      <w:tr>
        <w:trPr/>
        <w:tc>
          <w:tcPr>
            <w:tcW w:w="815"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8880" w:type="dxa"/>
            <w:tcBorders/>
            <w:shd w:fill="auto" w:val="clear"/>
          </w:tcPr>
          <w:p>
            <w:pPr>
              <w:pStyle w:val="TableContents"/>
              <w:spacing w:before="0" w:after="283"/>
              <w:jc w:val="left"/>
              <w:rPr/>
            </w:pPr>
            <w:r>
              <w:rPr/>
              <w:t xml:space="preserve">consents generally to the giving of any relief or the issue of any process in connection with those proceedings; and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4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407"/>
        <w:gridCol w:w="9289"/>
      </w:tblGrid>
      <w:tr>
        <w:trPr/>
        <w:tc>
          <w:tcPr>
            <w:tcW w:w="508" w:type="dxa"/>
            <w:tcBorders/>
            <w:shd w:fill="auto" w:val="clear"/>
            <w:vAlign w:val="center"/>
          </w:tcPr>
          <w:p>
            <w:pPr>
              <w:pStyle w:val="TableContents"/>
              <w:spacing w:before="0" w:after="283"/>
              <w:rPr/>
            </w:pPr>
            <w:r>
              <w:rPr/>
              <w:t> </w:t>
            </w:r>
          </w:p>
        </w:tc>
        <w:tc>
          <w:tcPr>
            <w:tcW w:w="407" w:type="dxa"/>
            <w:tcBorders/>
            <w:shd w:fill="auto" w:val="clear"/>
          </w:tcPr>
          <w:p>
            <w:pPr>
              <w:pStyle w:val="TableContents"/>
              <w:spacing w:before="0" w:after="283"/>
              <w:jc w:val="left"/>
              <w:rPr/>
            </w:pPr>
            <w:r>
              <w:rPr/>
              <w:t>(c)</w:t>
            </w:r>
          </w:p>
        </w:tc>
        <w:tc>
          <w:tcPr>
            <w:tcW w:w="9289" w:type="dxa"/>
            <w:tcBorders/>
            <w:shd w:fill="auto" w:val="clear"/>
          </w:tcPr>
          <w:p>
            <w:pPr>
              <w:pStyle w:val="TableContents"/>
              <w:spacing w:before="0" w:after="283"/>
              <w:jc w:val="left"/>
              <w:rPr/>
            </w:pPr>
            <w:r>
              <w:rPr/>
              <w:t xml:space="preserve">waives all rights of immunity in respect of them or their assets. </w:t>
            </w:r>
          </w:p>
        </w:tc>
      </w:tr>
    </w:tbl>
    <w:p>
      <w:pPr>
        <w:pStyle w:val="TextBody"/>
        <w:spacing w:before="360" w:after="0"/>
        <w:rPr>
          <w:rFonts w:ascii="Times New Roman" w:hAnsi="Times New Roman"/>
          <w:sz w:val="20"/>
        </w:rPr>
      </w:pPr>
      <w:r>
        <w:rPr>
          <w:rFonts w:ascii="Times New Roman" w:hAnsi="Times New Roman"/>
          <w:b/>
          <w:sz w:val="20"/>
        </w:rPr>
        <w:t>IN WITNESS WHEREOF</w:t>
      </w:r>
      <w:r>
        <w:rPr>
          <w:rFonts w:ascii="Times New Roman" w:hAnsi="Times New Roman"/>
          <w:sz w:val="20"/>
        </w:rPr>
        <w:t xml:space="preserve"> this Deed has been executed and delivered on the date stated at the beginning of this Deed.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5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240" w:after="0"/>
        <w:rPr>
          <w:rFonts w:ascii="Times New Roman" w:hAnsi="Times New Roman"/>
          <w:b/>
          <w:sz w:val="20"/>
        </w:rPr>
      </w:pPr>
      <w:r>
        <w:rPr>
          <w:rFonts w:ascii="Times New Roman" w:hAnsi="Times New Roman"/>
          <w:b/>
          <w:sz w:val="20"/>
        </w:rPr>
        <w:t xml:space="preserve">Pledgor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082"/>
        <w:gridCol w:w="202"/>
        <w:gridCol w:w="5920"/>
      </w:tblGrid>
      <w:tr>
        <w:trPr/>
        <w:tc>
          <w:tcPr>
            <w:tcW w:w="4082"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5920"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pPr>
            <w:r>
              <w:rPr/>
              <w:t>SIGNED as a DEED</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 xml:space="preserve">by </w:t>
            </w:r>
            <w:r>
              <w:rPr>
                <w:b/>
              </w:rPr>
              <w:t>LLC ZEMENIK</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acting by its authorized director</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Karen Agajan</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in the presence of:</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19"/>
        <w:gridCol w:w="207"/>
        <w:gridCol w:w="1832"/>
        <w:gridCol w:w="124"/>
        <w:gridCol w:w="3800"/>
        <w:gridCol w:w="124"/>
        <w:gridCol w:w="3699"/>
      </w:tblGrid>
      <w:tr>
        <w:trPr/>
        <w:tc>
          <w:tcPr>
            <w:tcW w:w="419"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sz w:val="4"/>
                <w:szCs w:val="4"/>
              </w:rPr>
            </w:pPr>
            <w:r>
              <w:rPr>
                <w:sz w:val="4"/>
                <w:szCs w:val="4"/>
              </w:rPr>
            </w:r>
          </w:p>
        </w:tc>
        <w:tc>
          <w:tcPr>
            <w:tcW w:w="1832"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800"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699" w:type="dxa"/>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1.</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2.</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vAlign w:val="bottom"/>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082"/>
        <w:gridCol w:w="203"/>
        <w:gridCol w:w="5919"/>
      </w:tblGrid>
      <w:tr>
        <w:trPr/>
        <w:tc>
          <w:tcPr>
            <w:tcW w:w="4082"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5919"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0"/>
              <w:rPr>
                <w:rFonts w:ascii="Times New Roman" w:hAnsi="Times New Roman"/>
                <w:b/>
                <w:sz w:val="20"/>
              </w:rPr>
            </w:pPr>
            <w:r>
              <w:rPr>
                <w:rFonts w:ascii="Times New Roman" w:hAnsi="Times New Roman"/>
                <w:b/>
                <w:sz w:val="20"/>
              </w:rPr>
              <w:t>Pledgee</w:t>
            </w:r>
          </w:p>
          <w:p>
            <w:pPr>
              <w:pStyle w:val="TableContents"/>
              <w:spacing w:before="0" w:after="20"/>
              <w:rPr/>
            </w:pPr>
            <w:r>
              <w:rPr/>
              <w:t> </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pPr>
            <w:r>
              <w:rPr/>
              <w:t>SIGNED as a DEED</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 xml:space="preserve">by </w:t>
            </w:r>
            <w:r>
              <w:rPr>
                <w:b/>
              </w:rPr>
              <w:t>VTB BANK (PJSC)</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 xml:space="preserve">acting by its </w:t>
            </w:r>
            <w:r>
              <w:rPr>
                <w:u w:val="single"/>
              </w:rPr>
              <w:t>                                </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u w:val="single"/>
              </w:rPr>
            </w:pPr>
            <w:r>
              <w:rPr>
                <w:u w:val="single"/>
              </w:rPr>
              <w:t>                                         </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in the presence of:</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19"/>
        <w:gridCol w:w="207"/>
        <w:gridCol w:w="1832"/>
        <w:gridCol w:w="124"/>
        <w:gridCol w:w="3800"/>
        <w:gridCol w:w="124"/>
        <w:gridCol w:w="3699"/>
      </w:tblGrid>
      <w:tr>
        <w:trPr/>
        <w:tc>
          <w:tcPr>
            <w:tcW w:w="419"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sz w:val="4"/>
                <w:szCs w:val="4"/>
              </w:rPr>
            </w:pPr>
            <w:r>
              <w:rPr>
                <w:sz w:val="4"/>
                <w:szCs w:val="4"/>
              </w:rPr>
            </w:r>
          </w:p>
        </w:tc>
        <w:tc>
          <w:tcPr>
            <w:tcW w:w="1832"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800"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699" w:type="dxa"/>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1.</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2.</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6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240" w:after="0"/>
        <w:rPr>
          <w:rFonts w:ascii="Times New Roman" w:hAnsi="Times New Roman"/>
          <w:b/>
          <w:sz w:val="20"/>
        </w:rPr>
      </w:pPr>
      <w:r>
        <w:rPr>
          <w:rFonts w:ascii="Times New Roman" w:hAnsi="Times New Roman"/>
          <w:b/>
          <w:sz w:val="20"/>
        </w:rPr>
        <w:t xml:space="preserve">Pledgor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082"/>
        <w:gridCol w:w="202"/>
        <w:gridCol w:w="5920"/>
      </w:tblGrid>
      <w:tr>
        <w:trPr/>
        <w:tc>
          <w:tcPr>
            <w:tcW w:w="4082"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5920"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pPr>
            <w:r>
              <w:rPr/>
              <w:t>SIGNED as a DEED</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 xml:space="preserve">by </w:t>
            </w:r>
            <w:r>
              <w:rPr>
                <w:b/>
              </w:rPr>
              <w:t>LLC ZEMENIK</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acting by its authorized director</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Karen Agajan</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in the presence of:</w:t>
            </w:r>
          </w:p>
        </w:tc>
        <w:tc>
          <w:tcPr>
            <w:tcW w:w="202" w:type="dxa"/>
            <w:tcBorders/>
            <w:shd w:fill="auto" w:val="clear"/>
            <w:vAlign w:val="bottom"/>
          </w:tcPr>
          <w:p>
            <w:pPr>
              <w:pStyle w:val="TableContents"/>
              <w:spacing w:before="0" w:after="283"/>
              <w:rPr/>
            </w:pPr>
            <w:r>
              <w:rPr/>
              <w:t>  </w:t>
            </w:r>
          </w:p>
        </w:tc>
        <w:tc>
          <w:tcPr>
            <w:tcW w:w="5920" w:type="dxa"/>
            <w:tcBorders/>
            <w:shd w:fill="auto" w:val="clear"/>
          </w:tcPr>
          <w:p>
            <w:pPr>
              <w:pStyle w:val="TableContents"/>
              <w:spacing w:before="0" w:after="283"/>
              <w:rPr/>
            </w:pPr>
            <w:r>
              <w:rPr/>
              <w:t>                                             </w:t>
            </w: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19"/>
        <w:gridCol w:w="207"/>
        <w:gridCol w:w="1832"/>
        <w:gridCol w:w="124"/>
        <w:gridCol w:w="3800"/>
        <w:gridCol w:w="124"/>
        <w:gridCol w:w="3699"/>
      </w:tblGrid>
      <w:tr>
        <w:trPr/>
        <w:tc>
          <w:tcPr>
            <w:tcW w:w="419"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sz w:val="4"/>
                <w:szCs w:val="4"/>
              </w:rPr>
            </w:pPr>
            <w:r>
              <w:rPr>
                <w:sz w:val="4"/>
                <w:szCs w:val="4"/>
              </w:rPr>
            </w:r>
          </w:p>
        </w:tc>
        <w:tc>
          <w:tcPr>
            <w:tcW w:w="1832"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800"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699" w:type="dxa"/>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1.</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2.</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082"/>
        <w:gridCol w:w="203"/>
        <w:gridCol w:w="5919"/>
      </w:tblGrid>
      <w:tr>
        <w:trPr/>
        <w:tc>
          <w:tcPr>
            <w:tcW w:w="4082"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5919"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0"/>
              <w:rPr>
                <w:rFonts w:ascii="Times New Roman" w:hAnsi="Times New Roman"/>
                <w:b/>
                <w:sz w:val="20"/>
              </w:rPr>
            </w:pPr>
            <w:r>
              <w:rPr>
                <w:rFonts w:ascii="Times New Roman" w:hAnsi="Times New Roman"/>
                <w:b/>
                <w:sz w:val="20"/>
              </w:rPr>
              <w:t>Pledgee</w:t>
            </w:r>
          </w:p>
          <w:p>
            <w:pPr>
              <w:pStyle w:val="TableContents"/>
              <w:spacing w:before="0" w:after="20"/>
              <w:rPr/>
            </w:pPr>
            <w:r>
              <w:rPr/>
              <w:t> </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pPr>
            <w:r>
              <w:rPr/>
              <w:t>SIGNED as a DEED</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 xml:space="preserve">by </w:t>
            </w:r>
            <w:r>
              <w:rPr>
                <w:b/>
              </w:rPr>
              <w:t>VTB BANK (PJSC)</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 xml:space="preserve">acting by its </w:t>
            </w:r>
            <w:r>
              <w:rPr>
                <w:u w:val="single"/>
              </w:rPr>
              <w:t>                                </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u w:val="single"/>
              </w:rPr>
            </w:pPr>
            <w:r>
              <w:rPr>
                <w:u w:val="single"/>
              </w:rPr>
              <w:t>                                    </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r>
        <w:trPr/>
        <w:tc>
          <w:tcPr>
            <w:tcW w:w="4082" w:type="dxa"/>
            <w:tcBorders/>
            <w:shd w:fill="auto" w:val="clear"/>
          </w:tcPr>
          <w:p>
            <w:pPr>
              <w:pStyle w:val="TableContents"/>
              <w:spacing w:before="0" w:after="283"/>
              <w:rPr/>
            </w:pPr>
            <w:r>
              <w:rPr/>
              <w:t>in the presence of:</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19"/>
        <w:gridCol w:w="207"/>
        <w:gridCol w:w="1832"/>
        <w:gridCol w:w="124"/>
        <w:gridCol w:w="3800"/>
        <w:gridCol w:w="124"/>
        <w:gridCol w:w="3699"/>
      </w:tblGrid>
      <w:tr>
        <w:trPr/>
        <w:tc>
          <w:tcPr>
            <w:tcW w:w="419"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sz w:val="4"/>
                <w:szCs w:val="4"/>
              </w:rPr>
            </w:pPr>
            <w:r>
              <w:rPr>
                <w:sz w:val="4"/>
                <w:szCs w:val="4"/>
              </w:rPr>
            </w:r>
          </w:p>
        </w:tc>
        <w:tc>
          <w:tcPr>
            <w:tcW w:w="1832"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800"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699" w:type="dxa"/>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1.</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pPr>
            <w:r>
              <w:rPr/>
              <w:t>2.</w:t>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r>
        <w:trPr>
          <w:trHeight w:val="240" w:hRule="atLeast"/>
        </w:trPr>
        <w:tc>
          <w:tcPr>
            <w:tcW w:w="419" w:type="dxa"/>
            <w:tcBorders/>
            <w:shd w:fill="auto" w:val="clear"/>
            <w:vAlign w:val="center"/>
          </w:tcPr>
          <w:p>
            <w:pPr>
              <w:pStyle w:val="TableContents"/>
              <w:spacing w:before="0" w:after="283"/>
              <w:rPr>
                <w:sz w:val="4"/>
                <w:szCs w:val="4"/>
              </w:rPr>
            </w:pPr>
            <w:r>
              <w:rPr>
                <w:sz w:val="4"/>
                <w:szCs w:val="4"/>
              </w:rPr>
            </w:r>
          </w:p>
        </w:tc>
        <w:tc>
          <w:tcPr>
            <w:tcW w:w="2039" w:type="dxa"/>
            <w:gridSpan w:val="2"/>
            <w:tcBorders/>
            <w:shd w:fill="auto" w:val="clear"/>
            <w:vAlign w:val="center"/>
          </w:tcPr>
          <w:p>
            <w:pPr>
              <w:pStyle w:val="TableContents"/>
              <w:spacing w:before="0" w:after="283"/>
              <w:rPr>
                <w:sz w:val="4"/>
                <w:szCs w:val="4"/>
              </w:rPr>
            </w:pPr>
            <w:r>
              <w:rPr>
                <w:sz w:val="4"/>
                <w:szCs w:val="4"/>
              </w:rPr>
            </w:r>
          </w:p>
        </w:tc>
        <w:tc>
          <w:tcPr>
            <w:tcW w:w="3924" w:type="dxa"/>
            <w:gridSpan w:val="2"/>
            <w:tcBorders/>
            <w:shd w:fill="auto" w:val="clear"/>
            <w:vAlign w:val="center"/>
          </w:tcPr>
          <w:p>
            <w:pPr>
              <w:pStyle w:val="TableContents"/>
              <w:spacing w:before="0" w:after="283"/>
              <w:rPr>
                <w:sz w:val="4"/>
                <w:szCs w:val="4"/>
              </w:rPr>
            </w:pPr>
            <w:r>
              <w:rPr>
                <w:sz w:val="4"/>
                <w:szCs w:val="4"/>
              </w:rPr>
            </w:r>
          </w:p>
        </w:tc>
        <w:tc>
          <w:tcPr>
            <w:tcW w:w="3823" w:type="dxa"/>
            <w:gridSpan w:val="2"/>
            <w:tcBorders/>
            <w:shd w:fill="auto" w:val="clear"/>
            <w:vAlign w:val="center"/>
          </w:tcPr>
          <w:p>
            <w:pPr>
              <w:pStyle w:val="TableContents"/>
              <w:spacing w:before="0" w:after="283"/>
              <w:rPr>
                <w:sz w:val="4"/>
                <w:szCs w:val="4"/>
              </w:rPr>
            </w:pPr>
            <w:r>
              <w:rPr>
                <w:sz w:val="4"/>
                <w:szCs w:val="4"/>
              </w:rPr>
            </w:r>
          </w:p>
        </w:tc>
      </w:tr>
      <w:tr>
        <w:trPr/>
        <w:tc>
          <w:tcPr>
            <w:tcW w:w="419" w:type="dxa"/>
            <w:tcBorders/>
            <w:shd w:fill="auto" w:val="clear"/>
          </w:tcPr>
          <w:p>
            <w:pPr>
              <w:pStyle w:val="TableContents"/>
              <w:spacing w:before="0" w:after="283"/>
              <w:rPr>
                <w:sz w:val="4"/>
                <w:szCs w:val="4"/>
              </w:rPr>
            </w:pPr>
            <w:r>
              <w:rPr>
                <w:sz w:val="4"/>
                <w:szCs w:val="4"/>
              </w:rPr>
            </w:r>
          </w:p>
        </w:tc>
        <w:tc>
          <w:tcPr>
            <w:tcW w:w="207" w:type="dxa"/>
            <w:tcBorders/>
            <w:shd w:fill="auto" w:val="clear"/>
            <w:vAlign w:val="bottom"/>
          </w:tcPr>
          <w:p>
            <w:pPr>
              <w:pStyle w:val="TableContents"/>
              <w:spacing w:before="0" w:after="283"/>
              <w:rPr/>
            </w:pPr>
            <w:r>
              <w:rPr/>
              <w:t> </w:t>
            </w:r>
          </w:p>
        </w:tc>
        <w:tc>
          <w:tcPr>
            <w:tcW w:w="1832"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800" w:type="dxa"/>
            <w:tcBorders/>
            <w:shd w:fill="auto" w:val="clear"/>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699"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6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DEED OF PLEDGE </w:t>
      </w:r>
    </w:p>
    <w:p>
      <w:pPr>
        <w:pStyle w:val="TextBody"/>
        <w:spacing w:before="240" w:after="0"/>
        <w:jc w:val="center"/>
        <w:rPr>
          <w:rFonts w:ascii="Times New Roman" w:hAnsi="Times New Roman"/>
          <w:b/>
          <w:sz w:val="20"/>
        </w:rPr>
      </w:pPr>
      <w:r>
        <w:rPr>
          <w:rFonts w:ascii="Times New Roman" w:hAnsi="Times New Roman"/>
          <w:b/>
          <w:sz w:val="20"/>
        </w:rPr>
        <w:t xml:space="preserve">DATED 27 December 2016 </w:t>
      </w:r>
    </w:p>
    <w:p>
      <w:pPr>
        <w:pStyle w:val="TextBody"/>
        <w:spacing w:before="240" w:after="0"/>
        <w:jc w:val="center"/>
        <w:rPr>
          <w:rFonts w:ascii="Times New Roman" w:hAnsi="Times New Roman"/>
          <w:b/>
          <w:sz w:val="20"/>
        </w:rPr>
      </w:pPr>
      <w:r>
        <w:rPr>
          <w:rFonts w:ascii="Times New Roman" w:hAnsi="Times New Roman"/>
          <w:b/>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ELQ INVESTORS VIII LTD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VTB BANK (PJSC)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0" w:after="0"/>
        <w:jc w:val="center"/>
        <w:rPr>
          <w:rFonts w:ascii="Times New Roman" w:hAnsi="Times New Roman"/>
          <w:b/>
          <w:sz w:val="20"/>
        </w:rPr>
      </w:pPr>
      <w:r>
        <w:rPr>
          <w:rFonts w:ascii="Times New Roman" w:hAnsi="Times New Roman"/>
          <w:b/>
          <w:sz w:val="20"/>
        </w:rPr>
        <w:t xml:space="preserve">ALEXANDRO§ ECONOMOU </w:t>
      </w:r>
    </w:p>
    <w:p>
      <w:pPr>
        <w:pStyle w:val="TextBody"/>
        <w:spacing w:before="0" w:after="0"/>
        <w:jc w:val="center"/>
        <w:rPr>
          <w:rFonts w:ascii="Times New Roman" w:hAnsi="Times New Roman"/>
          <w:b/>
          <w:sz w:val="20"/>
        </w:rPr>
      </w:pPr>
      <w:r>
        <w:rPr>
          <w:rFonts w:ascii="Times New Roman" w:hAnsi="Times New Roman"/>
          <w:b/>
          <w:sz w:val="20"/>
        </w:rPr>
        <w:t xml:space="preserve">LLC </w:t>
      </w:r>
    </w:p>
    <w:p>
      <w:pPr>
        <w:pStyle w:val="TextBody"/>
        <w:pBdr>
          <w:bottom w:val="single" w:sz="8" w:space="1" w:color="000000"/>
        </w:pBdr>
        <w:spacing w:lineRule="atLeast" w:line="141" w:before="0" w:after="40"/>
        <w:rPr/>
      </w:pPr>
      <w:r>
        <w:rPr/>
        <w: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09"/>
        <w:gridCol w:w="192"/>
        <w:gridCol w:w="8502"/>
        <w:gridCol w:w="225"/>
        <w:gridCol w:w="96"/>
        <w:gridCol w:w="419"/>
        <w:gridCol w:w="62"/>
      </w:tblGrid>
      <w:tr>
        <w:trPr/>
        <w:tc>
          <w:tcPr>
            <w:tcW w:w="709" w:type="dxa"/>
            <w:tcBorders/>
            <w:shd w:fill="auto" w:val="clear"/>
            <w:vAlign w:val="center"/>
          </w:tcPr>
          <w:p>
            <w:pPr>
              <w:pStyle w:val="TableContents"/>
              <w:spacing w:before="0" w:after="283"/>
              <w:rPr>
                <w:sz w:val="4"/>
                <w:szCs w:val="4"/>
              </w:rPr>
            </w:pPr>
            <w:r>
              <w:rPr>
                <w:sz w:val="4"/>
                <w:szCs w:val="4"/>
              </w:rPr>
            </w:r>
          </w:p>
        </w:tc>
        <w:tc>
          <w:tcPr>
            <w:tcW w:w="192" w:type="dxa"/>
            <w:tcBorders/>
            <w:shd w:fill="auto" w:val="clear"/>
            <w:vAlign w:val="bottom"/>
          </w:tcPr>
          <w:p>
            <w:pPr>
              <w:pStyle w:val="TableContents"/>
              <w:spacing w:before="0" w:after="283"/>
              <w:rPr>
                <w:sz w:val="4"/>
                <w:szCs w:val="4"/>
              </w:rPr>
            </w:pPr>
            <w:r>
              <w:rPr>
                <w:sz w:val="4"/>
                <w:szCs w:val="4"/>
              </w:rPr>
            </w:r>
          </w:p>
        </w:tc>
        <w:tc>
          <w:tcPr>
            <w:tcW w:w="8502"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bottom"/>
          </w:tcPr>
          <w:p>
            <w:pPr>
              <w:pStyle w:val="TableContents"/>
              <w:spacing w:before="0" w:after="283"/>
              <w:rPr>
                <w:sz w:val="4"/>
                <w:szCs w:val="4"/>
              </w:rPr>
            </w:pPr>
            <w:r>
              <w:rPr>
                <w:sz w:val="4"/>
                <w:szCs w:val="4"/>
              </w:rPr>
            </w:r>
          </w:p>
        </w:tc>
        <w:tc>
          <w:tcPr>
            <w:tcW w:w="96" w:type="dxa"/>
            <w:tcBorders/>
            <w:shd w:fill="auto" w:val="clear"/>
            <w:vAlign w:val="center"/>
          </w:tcPr>
          <w:p>
            <w:pPr>
              <w:pStyle w:val="TableContents"/>
              <w:spacing w:before="0" w:after="283"/>
              <w:rPr>
                <w:sz w:val="4"/>
                <w:szCs w:val="4"/>
              </w:rPr>
            </w:pPr>
            <w:r>
              <w:rPr>
                <w:sz w:val="4"/>
                <w:szCs w:val="4"/>
              </w:rPr>
            </w:r>
          </w:p>
        </w:tc>
        <w:tc>
          <w:tcPr>
            <w:tcW w:w="419" w:type="dxa"/>
            <w:tcBorders/>
            <w:shd w:fill="auto" w:val="clear"/>
            <w:vAlign w:val="center"/>
          </w:tcPr>
          <w:p>
            <w:pPr>
              <w:pStyle w:val="TableContents"/>
              <w:spacing w:before="0" w:after="283"/>
              <w:rPr>
                <w:sz w:val="4"/>
                <w:szCs w:val="4"/>
              </w:rPr>
            </w:pPr>
            <w:r>
              <w:rPr>
                <w:sz w:val="4"/>
                <w:szCs w:val="4"/>
              </w:rPr>
            </w:r>
          </w:p>
        </w:tc>
        <w:tc>
          <w:tcPr>
            <w:tcW w:w="62" w:type="dxa"/>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283"/>
              <w:jc w:val="center"/>
              <w:rPr>
                <w:b/>
              </w:rPr>
            </w:pPr>
            <w:r>
              <w:rPr>
                <w:b/>
              </w:rPr>
              <w:t>Clause</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pPr>
            <w:r>
              <w:rPr/>
              <w:t> </w:t>
            </w:r>
          </w:p>
        </w:tc>
        <w:tc>
          <w:tcPr>
            <w:tcW w:w="225" w:type="dxa"/>
            <w:tcBorders/>
            <w:shd w:fill="auto" w:val="clear"/>
            <w:vAlign w:val="bottom"/>
          </w:tcPr>
          <w:p>
            <w:pPr>
              <w:pStyle w:val="TableContents"/>
              <w:spacing w:before="0" w:after="283"/>
              <w:rPr/>
            </w:pPr>
            <w:r>
              <w:rPr/>
              <w:t>  </w:t>
            </w:r>
          </w:p>
        </w:tc>
        <w:tc>
          <w:tcPr>
            <w:tcW w:w="515" w:type="dxa"/>
            <w:gridSpan w:val="2"/>
            <w:tcBorders/>
            <w:shd w:fill="auto" w:val="clear"/>
            <w:vAlign w:val="bottom"/>
          </w:tcPr>
          <w:p>
            <w:pPr>
              <w:pStyle w:val="TableContents"/>
              <w:spacing w:before="0" w:after="283"/>
              <w:jc w:val="center"/>
              <w:rPr>
                <w:b/>
              </w:rPr>
            </w:pPr>
            <w:r>
              <w:rPr>
                <w:b/>
              </w:rPr>
              <w:t>Page</w:t>
            </w:r>
          </w:p>
        </w:tc>
        <w:tc>
          <w:tcPr>
            <w:tcW w:w="62" w:type="dxa"/>
            <w:tcBorders/>
            <w:shd w:fill="auto" w:val="clear"/>
            <w:vAlign w:val="bottom"/>
          </w:tcPr>
          <w:p>
            <w:pPr>
              <w:pStyle w:val="TableContents"/>
              <w:spacing w:before="0" w:after="283"/>
              <w:rPr/>
            </w:pPr>
            <w:r>
              <w:rPr/>
              <w:t> </w:t>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INTERPRETATION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CREATION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REPRESENTATIONS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RESTRICTIONS ON DEALINGS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SHARES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6.</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PRESERVATION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9</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7.</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WHEN SECURITY BECOMES ENFORCEABLE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8.</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ENFORCEMENT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9.</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APPLICATION OF PROCEEDS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13</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10.</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EXPENSES AND INDEMNITY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14</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DELEGATION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14</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FURTHER ASSURANCES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14</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POWER OF ATTORNEY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15</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MISCELLANEOUS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15</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RELEASE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16.</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CHANGES TO THE PARTIES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17.</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EVIDENCE AND CALCULATIONS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18.</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NOTICES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19.</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LANGUAGE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20.</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SEVERABILITY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WAIVERS AND REMEDIES CUMULATIVE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COUNTERPARTS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GOVERNING LAW</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24.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ENFORCEMENT</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1 INSTRUMENT OF TRANSFER</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2 IRREVOCABLE PROXY AND POWER OF ATTORNEY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21</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3 LETTER OF RESIGNATION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23</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4 LETTER OF AUTHORITY AND UNDERTAKING</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24</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5 NOTICE OF PLEDGE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25</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6 SECRETARY’S CERTIFICATE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26</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7 BOARD RESOLUTION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27</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8 SECRETARY’S CONFIRMATION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28</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vAlign w:val="bottom"/>
          </w:tcPr>
          <w:p>
            <w:pPr>
              <w:pStyle w:val="TableContents"/>
              <w:spacing w:before="0" w:after="0"/>
              <w:rPr>
                <w:rFonts w:ascii="Times New Roman" w:hAnsi="Times New Roman"/>
                <w:b/>
                <w:sz w:val="20"/>
              </w:rPr>
            </w:pPr>
            <w:r>
              <w:rPr>
                <w:rFonts w:ascii="Times New Roman" w:hAnsi="Times New Roman"/>
                <w:b/>
                <w:sz w:val="20"/>
              </w:rPr>
              <w:t>SCHEDULE 9 WAIVER OF PRE-EMPTION RIGHTS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29</w:t>
            </w:r>
          </w:p>
        </w:tc>
        <w:tc>
          <w:tcPr>
            <w:tcW w:w="62"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 xml:space="preserve">THIS DEED </w:t>
      </w:r>
      <w:r>
        <w:rPr>
          <w:rFonts w:ascii="Times New Roman" w:hAnsi="Times New Roman"/>
          <w:sz w:val="20"/>
        </w:rPr>
        <w:t xml:space="preserve">is dated 27 December 2016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ELQ INVESTORS VIII LTD</w:t>
            </w:r>
            <w:r>
              <w:rPr/>
              <w:t>, a company incorporated under the laws of England and Wales with registration number 9182214, whose registered office is at Peterborough Court, 133 Fleet Street, London, EC4A 2BB, United Kingdom (the “</w:t>
            </w:r>
            <w:r>
              <w:rPr>
                <w:b/>
              </w:rPr>
              <w:t>Pledgor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b/>
              </w:rPr>
              <w:t>VTB BANK (PJSC)</w:t>
            </w:r>
            <w:r>
              <w:rPr/>
              <w:t>, a bank organised under the laws of the Russian Federation under primary state registration number 1027739609391, whose registered office is at Ul. Bolshaya Morskaya, 29, St. Petersburg 190000, Russian Federation (the “</w:t>
            </w:r>
            <w:r>
              <w:rPr>
                <w:b/>
              </w:rPr>
              <w:t>Pledgee</w:t>
            </w:r>
            <w:r>
              <w:rPr/>
              <w:t xml:space="preserve">”). </w:t>
            </w:r>
          </w:p>
        </w:tc>
      </w:tr>
    </w:tbl>
    <w:p>
      <w:pPr>
        <w:pStyle w:val="TextBody"/>
        <w:spacing w:before="240" w:after="0"/>
        <w:rPr>
          <w:rFonts w:ascii="Times New Roman" w:hAnsi="Times New Roman"/>
          <w:sz w:val="20"/>
        </w:rPr>
      </w:pPr>
      <w:r>
        <w:rPr>
          <w:rFonts w:ascii="Times New Roman" w:hAnsi="Times New Roman"/>
          <w:b/>
          <w:sz w:val="20"/>
        </w:rPr>
        <w:t>BACKGROUND</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The Pledgor is the owner of 40% of the issued share capital of the Company (as defined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The Pledgor enters into this Deed in connection with the Facility Agreement (as defined below). </w:t>
            </w:r>
          </w:p>
        </w:tc>
      </w:tr>
    </w:tbl>
    <w:p>
      <w:pPr>
        <w:pStyle w:val="TextBody"/>
        <w:spacing w:before="24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w:t>
            </w:r>
          </w:p>
        </w:tc>
        <w:tc>
          <w:tcPr>
            <w:tcW w:w="9388" w:type="dxa"/>
            <w:tcBorders/>
            <w:shd w:fill="auto" w:val="clear"/>
          </w:tcPr>
          <w:p>
            <w:pPr>
              <w:pStyle w:val="TableContents"/>
              <w:spacing w:before="0" w:after="283"/>
              <w:jc w:val="left"/>
              <w:rPr>
                <w:b/>
              </w:rPr>
            </w:pPr>
            <w:r>
              <w:rPr>
                <w:b/>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1.1</w:t>
            </w:r>
          </w:p>
        </w:tc>
        <w:tc>
          <w:tcPr>
            <w:tcW w:w="9388" w:type="dxa"/>
            <w:tcBorders/>
            <w:shd w:fill="auto" w:val="clear"/>
          </w:tcPr>
          <w:p>
            <w:pPr>
              <w:pStyle w:val="TableContents"/>
              <w:spacing w:before="0" w:after="283"/>
              <w:jc w:val="left"/>
              <w:rPr/>
            </w:pPr>
            <w:r>
              <w:rPr>
                <w:b/>
              </w:rPr>
              <w:t>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Deed: </w:t>
      </w:r>
    </w:p>
    <w:p>
      <w:pPr>
        <w:pStyle w:val="TextBody"/>
        <w:spacing w:before="120" w:after="0"/>
        <w:rPr/>
      </w:pPr>
      <w:r>
        <w:rPr/>
        <w:t>“</w:t>
      </w:r>
      <w:r>
        <w:rPr>
          <w:rFonts w:ascii="Times New Roman" w:hAnsi="Times New Roman"/>
          <w:b/>
          <w:sz w:val="20"/>
        </w:rPr>
        <w:t>Companies Law</w:t>
      </w:r>
      <w:r>
        <w:rPr>
          <w:rFonts w:ascii="Times New Roman" w:hAnsi="Times New Roman"/>
          <w:sz w:val="20"/>
        </w:rPr>
        <w:t xml:space="preserve">” means Cyprus Companies Law, Cap. 113.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ZEMENIK TRADING LIMITED, a company incorporated in Cyprus with registration number HE 332806, whose registered office is at 42 Dositheou, Strovolos 2028, Nicosia, Cyprus. </w:t>
      </w:r>
    </w:p>
    <w:p>
      <w:pPr>
        <w:pStyle w:val="TextBody"/>
        <w:spacing w:before="120" w:after="0"/>
        <w:rPr/>
      </w:pPr>
      <w:r>
        <w:rPr/>
        <w:t>“</w:t>
      </w:r>
      <w:r>
        <w:rPr>
          <w:rFonts w:ascii="Times New Roman" w:hAnsi="Times New Roman"/>
          <w:b/>
          <w:sz w:val="20"/>
        </w:rPr>
        <w:t>Event of Default</w:t>
      </w:r>
      <w:r>
        <w:rPr>
          <w:rFonts w:ascii="Times New Roman" w:hAnsi="Times New Roman"/>
          <w:sz w:val="20"/>
        </w:rPr>
        <w:t xml:space="preserve">” means any of the events or circumstances specified as such in clause 19 of the Facility Agreement. </w:t>
      </w:r>
    </w:p>
    <w:p>
      <w:pPr>
        <w:pStyle w:val="TextBody"/>
        <w:spacing w:before="120" w:after="0"/>
        <w:rPr/>
      </w:pPr>
      <w:r>
        <w:rPr/>
        <w:t>“</w:t>
      </w:r>
      <w:r>
        <w:rPr>
          <w:rFonts w:ascii="Times New Roman" w:hAnsi="Times New Roman"/>
          <w:b/>
          <w:sz w:val="20"/>
        </w:rPr>
        <w:t>Facility Agreement</w:t>
      </w:r>
      <w:r>
        <w:rPr>
          <w:rFonts w:ascii="Times New Roman" w:hAnsi="Times New Roman"/>
          <w:sz w:val="20"/>
        </w:rPr>
        <w:t xml:space="preserve">” means the facility agreement dated on or about the date of this Deed between LLC Zemenik as Borrower and the Pledgee as Agent and Original Lender (as the same may be amended, supplemented or novated from time to time). </w:t>
      </w:r>
    </w:p>
    <w:p>
      <w:pPr>
        <w:pStyle w:val="TextBody"/>
        <w:spacing w:before="120" w:after="0"/>
        <w:rPr/>
      </w:pPr>
      <w:r>
        <w:rPr/>
        <w:t>“</w:t>
      </w:r>
      <w:r>
        <w:rPr>
          <w:rFonts w:ascii="Times New Roman" w:hAnsi="Times New Roman"/>
          <w:b/>
          <w:sz w:val="20"/>
        </w:rPr>
        <w:t>Finance Documents</w:t>
      </w:r>
      <w:r>
        <w:rPr>
          <w:rFonts w:ascii="Times New Roman" w:hAnsi="Times New Roman"/>
          <w:sz w:val="20"/>
        </w:rPr>
        <w:t xml:space="preserve">” means the Facility Agreement and any other “Finance Document” (“[GRAPHIC APPEARS HERE]”) defined as such in the Facility Agreement. </w:t>
      </w:r>
    </w:p>
    <w:p>
      <w:pPr>
        <w:pStyle w:val="TextBody"/>
        <w:spacing w:before="120" w:after="0"/>
        <w:rPr/>
      </w:pPr>
      <w:r>
        <w:rPr/>
        <w:t>“</w:t>
      </w:r>
      <w:r>
        <w:rPr>
          <w:rFonts w:ascii="Times New Roman" w:hAnsi="Times New Roman"/>
          <w:b/>
          <w:sz w:val="20"/>
        </w:rPr>
        <w:t>Independent Appraiser</w:t>
      </w:r>
      <w:r>
        <w:rPr>
          <w:rFonts w:ascii="Times New Roman" w:hAnsi="Times New Roman"/>
          <w:sz w:val="20"/>
        </w:rPr>
        <w:t xml:space="preserve">” means any of Delloite CIS Holdings Limited, PricewaterhouseCoopers and Ernst &amp; Young Global Limited, or any of their affiliates, to be appointed by the Pledgee. </w:t>
      </w:r>
    </w:p>
    <w:p>
      <w:pPr>
        <w:pStyle w:val="TextBody"/>
        <w:spacing w:before="120" w:after="0"/>
        <w:rPr/>
      </w:pPr>
      <w:r>
        <w:rPr/>
        <w:t>“</w:t>
      </w:r>
      <w:r>
        <w:rPr>
          <w:rFonts w:ascii="Times New Roman" w:hAnsi="Times New Roman"/>
          <w:b/>
          <w:sz w:val="20"/>
        </w:rPr>
        <w:t>LLC ZEMENIK</w:t>
      </w:r>
      <w:r>
        <w:rPr>
          <w:rFonts w:ascii="Times New Roman" w:hAnsi="Times New Roman"/>
          <w:sz w:val="20"/>
        </w:rPr>
        <w:t xml:space="preserve">” means LLC Zemenik, a company incorporated in the Russian Federation with registration number 1167746153860, whose registered address is at office 54, Akademika Iljushina Street 4, block 1, Moscow, Russian Federation. </w:t>
      </w:r>
    </w:p>
    <w:p>
      <w:pPr>
        <w:pStyle w:val="TextBody"/>
        <w:spacing w:before="120" w:after="0"/>
        <w:rPr/>
      </w:pPr>
      <w:r>
        <w:rPr/>
        <w:t>“</w:t>
      </w:r>
      <w:r>
        <w:rPr>
          <w:rFonts w:ascii="Times New Roman" w:hAnsi="Times New Roman"/>
          <w:b/>
          <w:sz w:val="20"/>
        </w:rPr>
        <w:t>Party</w:t>
      </w:r>
      <w:r>
        <w:rPr>
          <w:rFonts w:ascii="Times New Roman" w:hAnsi="Times New Roman"/>
          <w:sz w:val="20"/>
        </w:rPr>
        <w:t xml:space="preserve">” means a party to this Deed. </w:t>
      </w:r>
    </w:p>
    <w:p>
      <w:pPr>
        <w:pStyle w:val="TextBody"/>
        <w:spacing w:before="120" w:after="0"/>
        <w:rPr/>
      </w:pPr>
      <w:r>
        <w:rPr/>
        <w:t>“</w:t>
      </w:r>
      <w:r>
        <w:rPr>
          <w:rFonts w:ascii="Times New Roman" w:hAnsi="Times New Roman"/>
          <w:b/>
          <w:sz w:val="20"/>
        </w:rPr>
        <w:t>Related Rights</w:t>
      </w:r>
      <w:r>
        <w:rPr>
          <w:rFonts w:ascii="Times New Roman" w:hAnsi="Times New Roman"/>
          <w:sz w:val="20"/>
        </w:rPr>
        <w:t xml:space="preserve">” means, in relation to any Shares, all dividends and other distributions paid or payable after the date hereof on all or any of such Shares and all stocks, shares, securities (and the dividends or interest thereon), rights, money or property accruing or offered at any time by way of issue, redemption, bonus, preference, option rights or otherwise to or in respect of any of such Shares or in substitution or exchange for any such Shares.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Secured Liabilities</w:t>
      </w:r>
      <w:r>
        <w:rPr>
          <w:rFonts w:ascii="Times New Roman" w:hAnsi="Times New Roman"/>
          <w:sz w:val="20"/>
        </w:rPr>
        <w:t xml:space="preserve">” means all present and future debts, obligations and liabilities (whether actual or contingent, and whether owed as principal or surety, jointly or severally or in any other capacity whatsoever) of the Pledgor to the Pledgee under this Deed and of the Borrower to the Pledgee under the Facility Agreement, except for any obligation which, if it were so included, would result in this Deed contravening Section 53 of the Companies Law. </w:t>
      </w:r>
    </w:p>
    <w:p>
      <w:pPr>
        <w:pStyle w:val="TextBody"/>
        <w:spacing w:before="120" w:after="0"/>
        <w:rPr/>
      </w:pPr>
      <w:r>
        <w:rPr/>
        <w:t>“</w:t>
      </w:r>
      <w:r>
        <w:rPr>
          <w:rFonts w:ascii="Times New Roman" w:hAnsi="Times New Roman"/>
          <w:b/>
          <w:sz w:val="20"/>
        </w:rPr>
        <w:t>Security Assets</w:t>
      </w:r>
      <w:r>
        <w:rPr>
          <w:rFonts w:ascii="Times New Roman" w:hAnsi="Times New Roman"/>
          <w:sz w:val="20"/>
        </w:rPr>
        <w:t xml:space="preserve">” means the Shares, the Share Certificates and the Related Rights. </w:t>
      </w:r>
    </w:p>
    <w:p>
      <w:pPr>
        <w:pStyle w:val="TextBody"/>
        <w:spacing w:before="120" w:after="0"/>
        <w:rPr/>
      </w:pPr>
      <w:r>
        <w:rPr/>
        <w:t>“</w:t>
      </w:r>
      <w:r>
        <w:rPr>
          <w:rFonts w:ascii="Times New Roman" w:hAnsi="Times New Roman"/>
          <w:b/>
          <w:sz w:val="20"/>
        </w:rPr>
        <w:t>Security Document</w:t>
      </w:r>
      <w:r>
        <w:rPr>
          <w:rFonts w:ascii="Times New Roman" w:hAnsi="Times New Roman"/>
          <w:sz w:val="20"/>
        </w:rPr>
        <w:t xml:space="preserve">” means this Agreement, the Facility Agreement, any other Finance Document or any other document designated as such by the Pledgee and the Borrower in writing. </w:t>
      </w:r>
    </w:p>
    <w:p>
      <w:pPr>
        <w:pStyle w:val="TextBody"/>
        <w:spacing w:before="120" w:after="0"/>
        <w:rPr/>
      </w:pPr>
      <w:r>
        <w:rPr/>
        <w:t>“</w:t>
      </w:r>
      <w:r>
        <w:rPr>
          <w:rFonts w:ascii="Times New Roman" w:hAnsi="Times New Roman"/>
          <w:b/>
          <w:sz w:val="20"/>
        </w:rPr>
        <w:t>Security Interest</w:t>
      </w:r>
      <w:r>
        <w:rPr>
          <w:rFonts w:ascii="Times New Roman" w:hAnsi="Times New Roman"/>
          <w:sz w:val="20"/>
        </w:rPr>
        <w:t xml:space="preserve">” means any mortgage, pledge, lien, charge, assignment, hypothecation or security interest or any other agreement or arrangement having a similar effect. </w:t>
      </w:r>
    </w:p>
    <w:p>
      <w:pPr>
        <w:pStyle w:val="TextBody"/>
        <w:spacing w:before="120" w:after="0"/>
        <w:rPr/>
      </w:pPr>
      <w:r>
        <w:rPr/>
        <w:t>“</w:t>
      </w:r>
      <w:r>
        <w:rPr>
          <w:rFonts w:ascii="Times New Roman" w:hAnsi="Times New Roman"/>
          <w:b/>
          <w:sz w:val="20"/>
        </w:rPr>
        <w:t>Security Period</w:t>
      </w:r>
      <w:r>
        <w:rPr>
          <w:rFonts w:ascii="Times New Roman" w:hAnsi="Times New Roman"/>
          <w:sz w:val="20"/>
        </w:rPr>
        <w:t xml:space="preserve">” means the period beginning on the date of this Deed and ending on the date on which all the Secured Liabilities have been unconditionally and irrevocably discharged in full. </w:t>
      </w:r>
    </w:p>
    <w:p>
      <w:pPr>
        <w:pStyle w:val="TextBody"/>
        <w:spacing w:before="120" w:after="0"/>
        <w:rPr/>
      </w:pPr>
      <w:r>
        <w:rPr/>
        <w:t>“</w:t>
      </w:r>
      <w:r>
        <w:rPr>
          <w:rFonts w:ascii="Times New Roman" w:hAnsi="Times New Roman"/>
          <w:b/>
          <w:sz w:val="20"/>
        </w:rPr>
        <w:t>Share Certificates</w:t>
      </w:r>
      <w:r>
        <w:rPr>
          <w:rFonts w:ascii="Times New Roman" w:hAnsi="Times New Roman"/>
          <w:sz w:val="20"/>
        </w:rPr>
        <w:t xml:space="preserve">” means all the share certificates representing the Shares and any substitute share certificate or share certificates representing the Shares. </w:t>
      </w:r>
    </w:p>
    <w:p>
      <w:pPr>
        <w:pStyle w:val="TextBody"/>
        <w:spacing w:before="120" w:after="0"/>
        <w:rPr/>
      </w:pPr>
      <w:r>
        <w:rPr/>
        <w:t>“</w:t>
      </w:r>
      <w:r>
        <w:rPr>
          <w:rFonts w:ascii="Times New Roman" w:hAnsi="Times New Roman"/>
          <w:b/>
          <w:sz w:val="20"/>
        </w:rPr>
        <w:t>Shares</w:t>
      </w:r>
      <w:r>
        <w:rPr>
          <w:rFonts w:ascii="Times New Roman" w:hAnsi="Times New Roman"/>
          <w:sz w:val="20"/>
        </w:rPr>
        <w:t xml:space="preserve">” means 40,000 ordinary shares of 1.00 (one) EUR each, held by the Pledgor in the Company (Security Assets), which in aggregate represent 40% of the issued shares in the Company, and any further shares in the capital of the Company now or at any time hereafter legally and/or beneficially owned by the Pledgor or in which the Pledgor has an interest.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Construction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this Deed and any certificate or other document delivered pursuant hereto, unless otherwise expressly provided herein or therein or unless the context requires another meaning, capitalized terms used herein shall have the meanings specified in the Facility Agreement, by reference or otherwise (and each such term is thereby incorporated by reference herein for such use). To the extent such terms are defined by reference to another agreement or document, such terms shall continue to have their original definitions despite any termination, expiration or amendment of such agreement or document, unless the parties agree otherwise in writing.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In this Deed, unless the contrary intention appears, a reference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1" w:type="dxa"/>
            <w:tcBorders/>
            <w:shd w:fill="auto" w:val="clear"/>
          </w:tcPr>
          <w:p>
            <w:pPr>
              <w:pStyle w:val="TableContents"/>
              <w:spacing w:before="0" w:after="283"/>
              <w:jc w:val="left"/>
              <w:rPr/>
            </w:pPr>
            <w:r>
              <w:rPr/>
              <w:t>an “</w:t>
            </w:r>
            <w:r>
              <w:rPr>
                <w:b/>
              </w:rPr>
              <w:t>amendment</w:t>
            </w:r>
            <w:r>
              <w:rPr/>
              <w:t>” includes a supplement, novation, restatement or re-enactment and “</w:t>
            </w:r>
            <w:r>
              <w:rPr>
                <w:b/>
              </w:rPr>
              <w:t>amended</w:t>
            </w:r>
            <w:r>
              <w:rPr/>
              <w:t xml:space="preserve">” will be construed accordingly;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w:t>
            </w:r>
            <w:r>
              <w:rPr>
                <w:b/>
              </w:rPr>
              <w:t>assets</w:t>
            </w:r>
            <w:r>
              <w:rPr/>
              <w:t xml:space="preserve">” includes present and future properties, revenues and rights of every description;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an “</w:t>
            </w:r>
            <w:r>
              <w:rPr>
                <w:b/>
              </w:rPr>
              <w:t>authorisation</w:t>
            </w:r>
            <w:r>
              <w:rPr/>
              <w:t xml:space="preserve">” includes an authorisation, consent, approval, resolution, licence, exemption, filing, registration or notarisation;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(iv)</w:t>
            </w:r>
          </w:p>
        </w:tc>
        <w:tc>
          <w:tcPr>
            <w:tcW w:w="7555" w:type="dxa"/>
            <w:tcBorders/>
            <w:shd w:fill="auto" w:val="clear"/>
          </w:tcPr>
          <w:p>
            <w:pPr>
              <w:pStyle w:val="TableContents"/>
              <w:spacing w:before="0" w:after="283"/>
              <w:jc w:val="left"/>
              <w:rPr/>
            </w:pPr>
            <w:r>
              <w:rPr/>
              <w:t>“</w:t>
            </w:r>
            <w:r>
              <w:rPr>
                <w:b/>
              </w:rPr>
              <w:t>disposal</w:t>
            </w:r>
            <w:r>
              <w:rPr/>
              <w:t>” means a sale, transfer, grant, lease or other disposal, whether voluntary or involuntary, and “</w:t>
            </w:r>
            <w:r>
              <w:rPr>
                <w:b/>
              </w:rPr>
              <w:t>dispose</w:t>
            </w:r>
            <w:r>
              <w:rPr/>
              <w:t xml:space="preserve">” will be construed accordingly;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(v)</w:t>
            </w:r>
          </w:p>
        </w:tc>
        <w:tc>
          <w:tcPr>
            <w:tcW w:w="7554" w:type="dxa"/>
            <w:tcBorders/>
            <w:shd w:fill="auto" w:val="clear"/>
          </w:tcPr>
          <w:p>
            <w:pPr>
              <w:pStyle w:val="TableContents"/>
              <w:spacing w:before="0" w:after="283"/>
              <w:jc w:val="left"/>
              <w:rPr/>
            </w:pPr>
            <w:r>
              <w:rPr/>
              <w:t>a “</w:t>
            </w:r>
            <w:r>
              <w:rPr>
                <w:b/>
              </w:rPr>
              <w:t>person</w:t>
            </w:r>
            <w:r>
              <w:rPr/>
              <w:t xml:space="preserve">” includes any individual, company, corporation, unincorporated association or body (including a partnership, trust, joint venture or consortium), government, state, agency, organisation or other entity whether or not having separate legal personality;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w:t>
            </w:r>
          </w:p>
        </w:tc>
        <w:tc>
          <w:tcPr>
            <w:tcW w:w="7554" w:type="dxa"/>
            <w:tcBorders/>
            <w:shd w:fill="auto" w:val="clear"/>
          </w:tcPr>
          <w:p>
            <w:pPr>
              <w:pStyle w:val="TableContents"/>
              <w:spacing w:before="0" w:after="283"/>
              <w:jc w:val="left"/>
              <w:rPr/>
            </w:pPr>
            <w:r>
              <w:rPr/>
              <w:t xml:space="preserve">a provision of law is a reference to that provision as extended, applied, amended or re-enacted and includes any subordinate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(vii)</w:t>
            </w:r>
          </w:p>
        </w:tc>
        <w:tc>
          <w:tcPr>
            <w:tcW w:w="7554" w:type="dxa"/>
            <w:tcBorders/>
            <w:shd w:fill="auto" w:val="clear"/>
          </w:tcPr>
          <w:p>
            <w:pPr>
              <w:pStyle w:val="TableContents"/>
              <w:spacing w:before="0" w:after="283"/>
              <w:jc w:val="left"/>
              <w:rPr/>
            </w:pPr>
            <w:r>
              <w:rPr/>
              <w:t xml:space="preserve">a Clause, a Subclause or a Schedule is a reference to a clause or subclause of, or a schedule to, this Agreement;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8"/>
        <w:gridCol w:w="7553"/>
      </w:tblGrid>
      <w:tr>
        <w:trPr/>
        <w:tc>
          <w:tcPr>
            <w:tcW w:w="173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(viii)</w:t>
            </w:r>
          </w:p>
        </w:tc>
        <w:tc>
          <w:tcPr>
            <w:tcW w:w="7553" w:type="dxa"/>
            <w:tcBorders/>
            <w:shd w:fill="auto" w:val="clear"/>
          </w:tcPr>
          <w:p>
            <w:pPr>
              <w:pStyle w:val="TableContents"/>
              <w:spacing w:before="0" w:after="283"/>
              <w:jc w:val="left"/>
              <w:rPr/>
            </w:pPr>
            <w:r>
              <w:rPr/>
              <w:t xml:space="preserve">a Party or any other person includes its successors in title, permitted assigns and permitted transferees.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Where the context so admits, the singular includes the plural and vice versa.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3" w:type="dxa"/>
            <w:tcBorders/>
            <w:shd w:fill="auto" w:val="clear"/>
          </w:tcPr>
          <w:p>
            <w:pPr>
              <w:pStyle w:val="TableContents"/>
              <w:spacing w:before="0" w:after="283"/>
              <w:jc w:val="left"/>
              <w:rPr/>
            </w:pPr>
            <w:r>
              <w:rPr/>
              <w:t xml:space="preserve">A reference to a Security Document or other document or security includes (without prejudice to any prohibition on amendments) any amendment however fundamental to that Security Document or other document or security, including any change in the purpose of, any extension or any increase in the amount of a facility or any additional facility.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 xml:space="preserve">Any covenant of the Pledgor under this Deed (other than a payment obligation) remains in force during the Security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4" w:type="dxa"/>
            <w:tcBorders/>
            <w:shd w:fill="auto" w:val="clear"/>
          </w:tcPr>
          <w:p>
            <w:pPr>
              <w:pStyle w:val="TableContents"/>
              <w:spacing w:before="0" w:after="283"/>
              <w:jc w:val="left"/>
              <w:rPr/>
            </w:pPr>
            <w:r>
              <w:rPr/>
              <w:t xml:space="preserve">If the Pledgee reasonably considers that an amount paid to it under this Deed is capable of being avoided or otherwise set aside on the liquidation or administration of the payer or otherwise, then that amount will not be considered to have been irrevocably paid for the purposes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t xml:space="preserve">Unless the context otherwise requires, a reference to a Security Asset includes the proceeds of sale of that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2.</w:t>
            </w:r>
          </w:p>
        </w:tc>
        <w:tc>
          <w:tcPr>
            <w:tcW w:w="9392" w:type="dxa"/>
            <w:tcBorders/>
            <w:shd w:fill="auto" w:val="clear"/>
          </w:tcPr>
          <w:p>
            <w:pPr>
              <w:pStyle w:val="TableContents"/>
              <w:spacing w:before="0" w:after="283"/>
              <w:jc w:val="left"/>
              <w:rPr/>
            </w:pPr>
            <w:r>
              <w:rPr>
                <w:b/>
              </w:rPr>
              <w:t>CREATION OF SECURITY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the security created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is created in favour of the Pledgee;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is continuing security for the payment, discharge and performance of all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2.2</w:t>
            </w:r>
          </w:p>
        </w:tc>
        <w:tc>
          <w:tcPr>
            <w:tcW w:w="9389" w:type="dxa"/>
            <w:tcBorders/>
            <w:shd w:fill="auto" w:val="clear"/>
          </w:tcPr>
          <w:p>
            <w:pPr>
              <w:pStyle w:val="TableContents"/>
              <w:spacing w:before="0" w:after="283"/>
              <w:jc w:val="left"/>
              <w:rPr/>
            </w:pPr>
            <w:r>
              <w:rPr>
                <w:b/>
              </w:rPr>
              <w:t>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As collateral security for the due and punctual payment to the Pledgee of the Secured Liabilities and the performance and observance of and compliance with the other covenants, terms and conditions of the Security Document,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as a registered holder of the Shares, pledges to the Pledgee the Share Certificates;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mortgages (by way of equitable mortgage), charges, transfers, assigns, deposits and sets over to the Pledgee all the Shares and all Related Rights.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b/>
              </w:rPr>
              <w:t>Representations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makes the representations and warranties set out in this Clause to the Pledgee.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w:t>
            </w:r>
          </w:p>
        </w:tc>
        <w:tc>
          <w:tcPr>
            <w:tcW w:w="9389" w:type="dxa"/>
            <w:tcBorders/>
            <w:shd w:fill="auto" w:val="clear"/>
          </w:tcPr>
          <w:p>
            <w:pPr>
              <w:pStyle w:val="TableContents"/>
              <w:spacing w:before="0" w:after="283"/>
              <w:jc w:val="left"/>
              <w:rPr/>
            </w:pPr>
            <w:r>
              <w:rPr>
                <w:b/>
              </w:rPr>
              <w:t>Status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 xml:space="preserve">It is a company, duly incorporated, validly existing and in good standing under the laws of the jurisdiction of its incorporation.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It is not in liquidation and no winding-up, liquidation or similar proceedings are current, pending or threatened against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w:t>
            </w:r>
          </w:p>
        </w:tc>
        <w:tc>
          <w:tcPr>
            <w:tcW w:w="9389" w:type="dxa"/>
            <w:tcBorders/>
            <w:shd w:fill="auto" w:val="clear"/>
          </w:tcPr>
          <w:p>
            <w:pPr>
              <w:pStyle w:val="TableContents"/>
              <w:spacing w:before="0" w:after="283"/>
              <w:jc w:val="left"/>
              <w:rPr/>
            </w:pPr>
            <w:r>
              <w:rPr>
                <w:b/>
              </w:rPr>
              <w:t>Powers and authorities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It has the power to enter into and perform, and has taken all necessary actions to authorise the entry into and performance of, this Deed and the transactions contemplated by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3.4</w:t>
            </w:r>
          </w:p>
        </w:tc>
        <w:tc>
          <w:tcPr>
            <w:tcW w:w="9390" w:type="dxa"/>
            <w:tcBorders/>
            <w:shd w:fill="auto" w:val="clear"/>
          </w:tcPr>
          <w:p>
            <w:pPr>
              <w:pStyle w:val="TableContents"/>
              <w:spacing w:before="0" w:after="283"/>
              <w:jc w:val="left"/>
              <w:rPr/>
            </w:pPr>
            <w:r>
              <w:rPr>
                <w:b/>
              </w:rPr>
              <w:t>Legal validity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constitutes its legally valid, binding and enforceable obligation.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3.5</w:t>
            </w:r>
          </w:p>
        </w:tc>
        <w:tc>
          <w:tcPr>
            <w:tcW w:w="9389" w:type="dxa"/>
            <w:tcBorders/>
            <w:shd w:fill="auto" w:val="clear"/>
          </w:tcPr>
          <w:p>
            <w:pPr>
              <w:pStyle w:val="TableContents"/>
              <w:spacing w:before="0" w:after="283"/>
              <w:jc w:val="left"/>
              <w:rPr/>
            </w:pPr>
            <w:r>
              <w:rPr>
                <w:b/>
              </w:rPr>
              <w:t>Non-conflict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entry into and performance by it of, and the transactions contemplated by, this Deed, or the exercise by the Pledgee of its rights under this Deed, do not and will not conflict with: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law or regulation applicable to 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its constitutional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document which is binding upon it or any of its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3.6</w:t>
            </w:r>
          </w:p>
        </w:tc>
        <w:tc>
          <w:tcPr>
            <w:tcW w:w="9389" w:type="dxa"/>
            <w:tcBorders/>
            <w:shd w:fill="auto" w:val="clear"/>
          </w:tcPr>
          <w:p>
            <w:pPr>
              <w:pStyle w:val="TableContents"/>
              <w:spacing w:before="0" w:after="283"/>
              <w:jc w:val="left"/>
              <w:rPr/>
            </w:pPr>
            <w:r>
              <w:rPr>
                <w:b/>
              </w:rPr>
              <w:t>Authorisations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authorisations required by it in connection with the entry into, performance, validity and enforceability of, and the transactions contemplated by, this Deed have been obtained or effected (as appropriate) and are in full force and effect.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3.7</w:t>
            </w:r>
          </w:p>
        </w:tc>
        <w:tc>
          <w:tcPr>
            <w:tcW w:w="9389" w:type="dxa"/>
            <w:tcBorders/>
            <w:shd w:fill="auto" w:val="clear"/>
          </w:tcPr>
          <w:p>
            <w:pPr>
              <w:pStyle w:val="TableContents"/>
              <w:spacing w:before="0" w:after="283"/>
              <w:jc w:val="left"/>
              <w:rPr/>
            </w:pPr>
            <w:r>
              <w:rPr>
                <w:b/>
              </w:rPr>
              <w:t>Nature of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creates those Security Interests it purports to create and is not liable to be avoided or otherwise set aside on the liquidation of the Pledgor or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3.8</w:t>
            </w:r>
          </w:p>
        </w:tc>
        <w:tc>
          <w:tcPr>
            <w:tcW w:w="9390" w:type="dxa"/>
            <w:tcBorders/>
            <w:shd w:fill="auto" w:val="clear"/>
          </w:tcPr>
          <w:p>
            <w:pPr>
              <w:pStyle w:val="TableContents"/>
              <w:spacing w:before="0" w:after="283"/>
              <w:jc w:val="left"/>
              <w:rPr/>
            </w:pPr>
            <w:r>
              <w:rPr>
                <w:b/>
              </w:rPr>
              <w:t>Shares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Shares have been duly authorised, validly issued and are fully 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Shares and the Related Rights are free and clear of any Security Interests and are not subject to any charging pursuant to the Charging Order Law 1992 (Law 31(I)/92);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the Shares represent 40% of the issued share capital of the Company and other than the remaining 60%, there are no other equity or ownership interests in the Company, options or rights to acquire or subscribe for any such interests or securities convertible into or exchangeable or exercisable for any such interests;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5" w:type="dxa"/>
            <w:tcBorders/>
            <w:shd w:fill="auto" w:val="clear"/>
          </w:tcPr>
          <w:p>
            <w:pPr>
              <w:pStyle w:val="TableContents"/>
              <w:spacing w:before="0" w:after="283"/>
              <w:jc w:val="left"/>
              <w:rPr/>
            </w:pPr>
            <w:r>
              <w:rPr/>
              <w:t xml:space="preserve">no litigation, arbitration or administrative proceedings are current or pending or, to its knowledge, threatened, involving or affecting the Security Assets, and none of the Security Assets are subject to any order, writ, injunction, execution or attachment; and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3" w:type="dxa"/>
            <w:tcBorders/>
            <w:shd w:fill="auto" w:val="clear"/>
          </w:tcPr>
          <w:p>
            <w:pPr>
              <w:pStyle w:val="TableContents"/>
              <w:spacing w:before="0" w:after="283"/>
              <w:jc w:val="left"/>
              <w:rPr/>
            </w:pPr>
            <w:r>
              <w:rPr/>
              <w:t xml:space="preserve">the Pledgor is the sole registered legal and beneficial owner of, and has the power to transfer and grant a security interest in, the Shares and the Related Rights and the lawful holder of the Share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3.9</w:t>
            </w:r>
          </w:p>
        </w:tc>
        <w:tc>
          <w:tcPr>
            <w:tcW w:w="9389" w:type="dxa"/>
            <w:tcBorders/>
            <w:shd w:fill="auto" w:val="clear"/>
          </w:tcPr>
          <w:p>
            <w:pPr>
              <w:pStyle w:val="TableContents"/>
              <w:spacing w:before="0" w:after="283"/>
              <w:jc w:val="left"/>
              <w:rPr/>
            </w:pPr>
            <w:r>
              <w:rPr>
                <w:b/>
              </w:rPr>
              <w:t>Immunity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execution by it of this Deed constitutes, and the exercise by it of its rights and performance of its obligations under this Deed will constitute, private and commercial acts performed for private and commercial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It will not be entitled to claim immunity from suit, execution, attachment or other legal process in any proceedings taken in its jurisdiction of incorporation in relation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bookmarkStart w:id="7" w:name="ex10_4674579_27"/>
            <w:bookmarkEnd w:id="7"/>
            <w:r>
              <w:rPr/>
              <w:t>3.10</w:t>
            </w:r>
          </w:p>
        </w:tc>
        <w:tc>
          <w:tcPr>
            <w:tcW w:w="9388" w:type="dxa"/>
            <w:tcBorders/>
            <w:shd w:fill="auto" w:val="clear"/>
          </w:tcPr>
          <w:p>
            <w:pPr>
              <w:pStyle w:val="TableContents"/>
              <w:spacing w:before="0" w:after="283"/>
              <w:jc w:val="left"/>
              <w:rPr/>
            </w:pPr>
            <w:r>
              <w:rPr>
                <w:b/>
              </w:rPr>
              <w:t>No adverse consequences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It is not necessary under the laws of the jurisdiction of incorporation of the Pledgor or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in order to enable the Pledgee to enforce its rights under this Deed;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by reason of the execution of any Security Document or the performance by it of its obligations under this Deed, </w:t>
            </w:r>
          </w:p>
        </w:tc>
      </w:tr>
    </w:tbl>
    <w:p>
      <w:pPr>
        <w:pStyle w:val="TextBody"/>
        <w:spacing w:before="120" w:after="0"/>
        <w:rPr>
          <w:rFonts w:ascii="Times New Roman" w:hAnsi="Times New Roman"/>
          <w:sz w:val="20"/>
        </w:rPr>
      </w:pPr>
      <w:r>
        <w:rPr>
          <w:rFonts w:ascii="Times New Roman" w:hAnsi="Times New Roman"/>
          <w:sz w:val="20"/>
        </w:rPr>
        <w:t xml:space="preserve">that the Pledgee should be licensed, qualified or otherwise entitled to carry on business in the jurisdiction of incorporation of the Pledgor or the Company.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Pledgee is not and will not be deemed to be resident, domiciled or carrying on business in the jurisdiction of incorporation of the Pledgor or the Company by reason only of the execution, performance and/or enforcement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3.11</w:t>
            </w:r>
          </w:p>
        </w:tc>
        <w:tc>
          <w:tcPr>
            <w:tcW w:w="9389" w:type="dxa"/>
            <w:tcBorders/>
            <w:shd w:fill="auto" w:val="clear"/>
          </w:tcPr>
          <w:p>
            <w:pPr>
              <w:pStyle w:val="TableContents"/>
              <w:spacing w:before="0" w:after="283"/>
              <w:jc w:val="left"/>
              <w:rPr/>
            </w:pPr>
            <w:r>
              <w:rPr>
                <w:b/>
              </w:rPr>
              <w:t>Jurisdiction/governing law</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irrevocable submission under this Deed to the jurisdiction of the courts of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agreement that this Deed is governed by Cyprus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agreement not to claim any immunity to which it or its assets may be entitled, </w:t>
            </w:r>
          </w:p>
        </w:tc>
      </w:tr>
    </w:tbl>
    <w:p>
      <w:pPr>
        <w:pStyle w:val="TextBody"/>
        <w:spacing w:before="120" w:after="0"/>
        <w:rPr>
          <w:rFonts w:ascii="Times New Roman" w:hAnsi="Times New Roman"/>
          <w:sz w:val="20"/>
        </w:rPr>
      </w:pPr>
      <w:r>
        <w:rPr>
          <w:rFonts w:ascii="Times New Roman" w:hAnsi="Times New Roman"/>
          <w:sz w:val="20"/>
        </w:rPr>
        <w:t xml:space="preserve">are legal, valid and binding under the laws of its jurisdiction of incorporation; and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judgment obtained in Cyprus in connection with this Deed will be recognised and be enforceable by the courts of its jurisdiction of incorporation.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3.12</w:t>
            </w:r>
          </w:p>
        </w:tc>
        <w:tc>
          <w:tcPr>
            <w:tcW w:w="9389" w:type="dxa"/>
            <w:tcBorders/>
            <w:shd w:fill="auto" w:val="clear"/>
          </w:tcPr>
          <w:p>
            <w:pPr>
              <w:pStyle w:val="TableContents"/>
              <w:spacing w:before="0" w:after="283"/>
              <w:jc w:val="left"/>
              <w:rPr/>
            </w:pPr>
            <w:r>
              <w:rPr>
                <w:b/>
              </w:rPr>
              <w:t>Times for making 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The representations set out in this Deed (including in this Clause) are made on the date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Unless a representation is expressed to be given at a specific date, each representation under this Deed is deemed to be repeated by the Pledgor during the Security Period on the date of each drawdown, each drawdown request and the first day of each interest period as provided by the Facility Agreement.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When a representation is repeated, it is applied to the circumstances existing at the time of repetition.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4.</w:t>
            </w:r>
          </w:p>
        </w:tc>
        <w:tc>
          <w:tcPr>
            <w:tcW w:w="9389" w:type="dxa"/>
            <w:tcBorders/>
            <w:shd w:fill="auto" w:val="clear"/>
          </w:tcPr>
          <w:p>
            <w:pPr>
              <w:pStyle w:val="TableContents"/>
              <w:spacing w:before="0" w:after="283"/>
              <w:jc w:val="left"/>
              <w:rPr/>
            </w:pPr>
            <w:r>
              <w:rPr>
                <w:b/>
              </w:rPr>
              <w:t>RESTRICTIONS ON DEALINGS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During the Security Period, the Pledgor must not: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create or allow to subsist any Security Interest (other than pursuant to this Deed or the Facility Agreement) on any Security Asset and must at all times warrant and defend the Pledgee’s security interest in the Security Assets against all other Security Interests and claimants;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sell, transfer, licence, lease, assign or otherwise encumber or dispose of any Security Asset;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do, or permit to be done, any act or thing which would or might depreciate, jeopardise or otherwise prejudice the Security Asset or materially diminish the value of any Security Asset or the effectiveness of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5.</w:t>
            </w:r>
          </w:p>
        </w:tc>
        <w:tc>
          <w:tcPr>
            <w:tcW w:w="9390" w:type="dxa"/>
            <w:tcBorders/>
            <w:shd w:fill="auto" w:val="clear"/>
          </w:tcPr>
          <w:p>
            <w:pPr>
              <w:pStyle w:val="TableContents"/>
              <w:spacing w:before="0" w:after="283"/>
              <w:jc w:val="left"/>
              <w:rPr/>
            </w:pPr>
            <w:r>
              <w:rPr>
                <w:b/>
              </w:rPr>
              <w:t>SHARES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5.1</w:t>
            </w:r>
          </w:p>
        </w:tc>
        <w:tc>
          <w:tcPr>
            <w:tcW w:w="9388" w:type="dxa"/>
            <w:tcBorders/>
            <w:shd w:fill="auto" w:val="clear"/>
          </w:tcPr>
          <w:p>
            <w:pPr>
              <w:pStyle w:val="TableContents"/>
              <w:spacing w:before="0" w:after="283"/>
              <w:jc w:val="left"/>
              <w:rPr/>
            </w:pPr>
            <w:r>
              <w:rPr>
                <w:b/>
              </w:rPr>
              <w:t>Deposit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as security for its obligations under this Deed has concurrently with the execution of this Deed delivered or arranged or procured to be delivered to, and deposited with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Share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i/>
              </w:rPr>
              <w:t>undated</w:t>
            </w:r>
            <w:r>
              <w:rPr/>
              <w:t xml:space="preserve"> instrument of transfer of the Shares in the form set out in Schedule 1 (Instrument of Transfer), duly executed by the Pledgor as transferor in the presence of one witness, with the details of the transferee to be left blank;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irrevocable proxy and power of attorney in the form set out in Schedule 2 (Irrevocable Proxy and Power of Attorney), duly executed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i/>
              </w:rPr>
              <w:t>undated</w:t>
            </w:r>
            <w:r>
              <w:rPr/>
              <w:t xml:space="preserve"> letters of resignation, in the form set out in Schedule 3 (Letter of Resignation), duly signed by the Directors and the Secretary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 letter of authority and undertaking, in the form set out in Schedule 4 (Letter of Authority and Undertaking), duly signed by the Directors and the Secretary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5" w:type="dxa"/>
            <w:tcBorders/>
            <w:shd w:fill="auto" w:val="clear"/>
          </w:tcPr>
          <w:p>
            <w:pPr>
              <w:pStyle w:val="TableContents"/>
              <w:spacing w:before="0" w:after="283"/>
              <w:jc w:val="left"/>
              <w:rPr/>
            </w:pPr>
            <w:r>
              <w:rPr/>
              <w:t xml:space="preserve">a written board resolution of the Company, in the form set out in Schedule 7 (Board Resolution), duly passed by the Directors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t xml:space="preserve">an </w:t>
            </w:r>
            <w:r>
              <w:rPr>
                <w:i/>
              </w:rPr>
              <w:t>undated</w:t>
            </w:r>
            <w:r>
              <w:rPr/>
              <w:t xml:space="preserve"> confirmation of the Secretary of the Company in the form set out in Schedule 8 (Secretary’s Confirmation);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(h)</w:t>
            </w:r>
          </w:p>
        </w:tc>
        <w:tc>
          <w:tcPr>
            <w:tcW w:w="8474" w:type="dxa"/>
            <w:tcBorders/>
            <w:shd w:fill="auto" w:val="clear"/>
          </w:tcPr>
          <w:p>
            <w:pPr>
              <w:pStyle w:val="TableContents"/>
              <w:spacing w:before="0" w:after="283"/>
              <w:jc w:val="left"/>
              <w:rPr/>
            </w:pPr>
            <w:r>
              <w:rPr/>
              <w:t xml:space="preserve">waivers of pre-emption rights in the form set out in Schedule 9 (Waiver of Pre-emption Rights) duly signed by all the shareholders of the Company other than the Pledgor.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b/>
              </w:rPr>
              <w:t>Memorandum of Pledge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must execute and deliver to the Company a notice of the pledge evidenced by this Deed in the form set out in Schedule 5 (Notice of Pledge), attaching a certified copy of this Deed and the Pledgor must procure: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that a memorandum of pledge is made in the Register of Members of the Company against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that the Secretary of the Company delivers to the Pledgee a certificate in the form set out in Schedule 6 (Secretary’s Certificate) together with an updated copy of the Register of Members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5.3</w:t>
            </w:r>
          </w:p>
        </w:tc>
        <w:tc>
          <w:tcPr>
            <w:tcW w:w="9390" w:type="dxa"/>
            <w:tcBorders/>
            <w:shd w:fill="auto" w:val="clear"/>
          </w:tcPr>
          <w:p>
            <w:pPr>
              <w:pStyle w:val="TableContents"/>
              <w:spacing w:before="0" w:after="283"/>
              <w:jc w:val="left"/>
              <w:rPr/>
            </w:pPr>
            <w:r>
              <w:rPr>
                <w:b/>
              </w:rPr>
              <w:t>Changes to rights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During the Security Period, the Pledgor must not take or allow the taking of any action on its behalf (except as permitted under the Facility Agreement) which may result: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in the name of the Company being changed;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in the rights attaching to any Security Asset being altered;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further shares in the Company being issued, without the prior written consent of the Pledgee. In the event that such consent is given, the Pledgor must: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execute and deliver to the Pledgee such further or additional security documents in relation to such further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deliver or procure the delivery to the Pledgee of such other documents (including, those documents referred to in Subclauses 5.1 and 5.2) in relation to those further shares, </w:t>
            </w:r>
          </w:p>
        </w:tc>
      </w:tr>
    </w:tbl>
    <w:p>
      <w:pPr>
        <w:pStyle w:val="TextBody"/>
        <w:spacing w:before="120" w:after="0"/>
        <w:rPr>
          <w:rFonts w:ascii="Times New Roman" w:hAnsi="Times New Roman"/>
          <w:sz w:val="20"/>
        </w:rPr>
      </w:pPr>
      <w:r>
        <w:rPr>
          <w:rFonts w:ascii="Times New Roman" w:hAnsi="Times New Roman"/>
          <w:sz w:val="20"/>
        </w:rPr>
        <w:t xml:space="preserve">in each case, as the Pledgee may reasonably require and in form and substance satisfactory to it; and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in new Directors, Secretary or other officers of the Company being appointed, without the prior written consent of the Pledgee. In the event that such consent is given, the Pledgor must promptly upon any new Director, Secretary or other officer of the Company being appointed deliver or procure the delivery to the Pledgee of the documents referred to under Subclauses 5.1(d) and (e) for each new Director, Secretary or other officer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5.4</w:t>
            </w:r>
          </w:p>
        </w:tc>
        <w:tc>
          <w:tcPr>
            <w:tcW w:w="9390" w:type="dxa"/>
            <w:tcBorders/>
            <w:shd w:fill="auto" w:val="clear"/>
          </w:tcPr>
          <w:p>
            <w:pPr>
              <w:pStyle w:val="TableContents"/>
              <w:spacing w:before="0" w:after="283"/>
              <w:jc w:val="left"/>
              <w:rPr/>
            </w:pPr>
            <w:r>
              <w:rPr>
                <w:b/>
              </w:rPr>
              <w:t>Calls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Pledgor must pay when due all calls, taxes, charges or other payments due and payable in respect of any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If the Pledgor fails to do so, the Pledgee may pay the calls, taxes, charges or other payments on behalf of the Pledgor. The Pledgor must promptly on request reimburse the Pledgee for any payment made by the Pledgee under this Subclause.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5.5</w:t>
            </w:r>
          </w:p>
        </w:tc>
        <w:tc>
          <w:tcPr>
            <w:tcW w:w="9389" w:type="dxa"/>
            <w:tcBorders/>
            <w:shd w:fill="auto" w:val="clear"/>
          </w:tcPr>
          <w:p>
            <w:pPr>
              <w:pStyle w:val="TableContents"/>
              <w:spacing w:before="0" w:after="283"/>
              <w:jc w:val="left"/>
              <w:rPr/>
            </w:pPr>
            <w:r>
              <w:rPr>
                <w:b/>
              </w:rPr>
              <w:t>Other obligations in respect of Security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 The Pledgor must comply with all requests for information relating to any Security Asset which is within its knowledge and which it is required to comply with by any law or its constitutional documents. If the Pledgor fails to do so, the Pledgee may elect to provide any information which it may have on behalf of the Pledgor.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 Pledgor must promptly supply a copy to the Pledgee of any information referred to in sub-paragraph (i)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The Pledgor must comply with all other conditions and obligations assumed by it in respect of any Security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The Pledgee is not obliged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perform any obligation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make any payment;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make any enquiry as to the nature or sufficiency of any payment received by it or the Pledgor;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2" w:type="dxa"/>
            <w:tcBorders/>
            <w:shd w:fill="auto" w:val="clear"/>
          </w:tcPr>
          <w:p>
            <w:pPr>
              <w:pStyle w:val="TableContents"/>
              <w:spacing w:before="0" w:after="283"/>
              <w:jc w:val="left"/>
              <w:rPr/>
            </w:pPr>
            <w:r>
              <w:rPr/>
              <w:t xml:space="preserve">present or file any claim or take any other action to collect or enforce the payment of any amount to which it may be entitled under this Deed, </w:t>
            </w:r>
          </w:p>
        </w:tc>
      </w:tr>
    </w:tbl>
    <w:p>
      <w:pPr>
        <w:pStyle w:val="TextBody"/>
        <w:spacing w:before="120" w:after="0"/>
        <w:rPr>
          <w:rFonts w:ascii="Times New Roman" w:hAnsi="Times New Roman"/>
          <w:sz w:val="20"/>
        </w:rPr>
      </w:pPr>
      <w:r>
        <w:rPr>
          <w:rFonts w:ascii="Times New Roman" w:hAnsi="Times New Roman"/>
          <w:sz w:val="20"/>
        </w:rPr>
        <w:t xml:space="preserve">in respect of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w:t>
            </w:r>
          </w:p>
        </w:tc>
        <w:tc>
          <w:tcPr>
            <w:tcW w:w="9389" w:type="dxa"/>
            <w:tcBorders/>
            <w:shd w:fill="auto" w:val="clear"/>
          </w:tcPr>
          <w:p>
            <w:pPr>
              <w:pStyle w:val="TableContents"/>
              <w:spacing w:before="0" w:after="283"/>
              <w:jc w:val="left"/>
              <w:rPr/>
            </w:pPr>
            <w:r>
              <w:rPr>
                <w:b/>
              </w:rPr>
              <w:t>Voting rights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Before this Security becomes enforceable, the Pledgor may continue to exercise and benefit from the voting rights, right to receive dividends and any other distributions in respect of the Security Assets in accordance with the terms provided by the Facility Agreement, powers and other rights in respect of and attaching to the Security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After this Security has become enforceable: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all rights of the Pledgor to exercise voting and other consensual rights with respect to the Security Assets and to receive dividends and other payments in respect of the Security Assets will cease, and all these rights will immediately become vested solely in the Pledgee or its nominees, and the Pledgor grants the Pledgee or its nominees the Pledgor’s irrevocable and unconditional proxy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any dividends and other payments in respect of the Security Assets received by the Pledgor will be held in trust for the Pledgee, and the Pledgor will keep all such amounts separate and apart from all other funds and property so as to be capable of identification as the property of the Pledgee and will deliver these amounts at such time as the Pledgee may request to the Pledgee in the identical form received;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the Pledgee may exercise (in the name of the Pledgor and without any further consent or authority on the part of the Pledgor) any voting rights and any powers or rights which may be exercised by the legal or beneficial owner of the Shares, any person who is the holder of any Shares or otherwise;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the Pledgee may receive, collect, recover, sue for and if necessary use the name of the Pledgor for the recovery of all dividends or other distributions on all or any of the Shares.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b/>
              </w:rPr>
            </w:pPr>
            <w:r>
              <w:rPr>
                <w:b/>
              </w:rPr>
              <w:t>6.</w:t>
            </w:r>
          </w:p>
        </w:tc>
        <w:tc>
          <w:tcPr>
            <w:tcW w:w="9393" w:type="dxa"/>
            <w:tcBorders/>
            <w:shd w:fill="auto" w:val="clear"/>
          </w:tcPr>
          <w:p>
            <w:pPr>
              <w:pStyle w:val="TableContents"/>
              <w:spacing w:before="0" w:after="283"/>
              <w:jc w:val="left"/>
              <w:rPr/>
            </w:pPr>
            <w:r>
              <w:rPr>
                <w:b/>
              </w:rPr>
              <w:t>PRESERVATION OF SECURITY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w:t>
            </w:r>
          </w:p>
        </w:tc>
        <w:tc>
          <w:tcPr>
            <w:tcW w:w="9389" w:type="dxa"/>
            <w:tcBorders/>
            <w:shd w:fill="auto" w:val="clear"/>
          </w:tcPr>
          <w:p>
            <w:pPr>
              <w:pStyle w:val="TableContents"/>
              <w:spacing w:before="0" w:after="283"/>
              <w:jc w:val="left"/>
              <w:rPr/>
            </w:pPr>
            <w:r>
              <w:rPr>
                <w:b/>
              </w:rPr>
              <w:t>Continuing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Security is a continuing security and will extend to the ultimate balance of the Secured Liabilities, regardless of any intermediate payment or discharge in whole or in part.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b/>
              </w:rPr>
              <w:t>Reinstatement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discharge (whether in respect of the obligations of the Pledgor or any security for those obligations or otherwise) or arrangement is made in whole or in part on the faith of any payment, security or other disposition which is avoided or must be restored on insolvency, winding-up, liquidation, administration or otherwise without limitation, the liability of the Pledgor under this Deed will continue or be reinstated as if the discharge or arrangement had not occurred.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Pledgee may concede or compromise any claim that any payment, security or other disposition is liable to avoidance or restoration.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b/>
              </w:rPr>
              <w:t>Waiver of defences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Pledgor under this Deed will not be affected by, and the Pledgor irrevocably waives any defence it might have by virtue of, any act, omission or event which, but for this provision, would reduce, release or prejudice any of its obligations under this Deed (whether or not known to it or to the Pledgee). This includes: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time, forbearance, extension or waiver granted to, or composition or compromise with,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release of any person under the terms of any composition or arrangement;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9"/>
        <w:gridCol w:w="8471"/>
      </w:tblGrid>
      <w:tr>
        <w:trPr/>
        <w:tc>
          <w:tcPr>
            <w:tcW w:w="81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1" w:type="dxa"/>
            <w:tcBorders/>
            <w:shd w:fill="auto" w:val="clear"/>
          </w:tcPr>
          <w:p>
            <w:pPr>
              <w:pStyle w:val="TableContents"/>
              <w:spacing w:before="0" w:after="283"/>
              <w:jc w:val="left"/>
              <w:rPr/>
            </w:pPr>
            <w:r>
              <w:rPr/>
              <w:t xml:space="preserve">the taking, variation, compromise, exchange, renewal or release of, or refusal or neglect to perfect, take up or enforce, any rights against, or security over assets of,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any non-presentation or non-observance of any formality or other requirement in respect of any instrument or any failure to realise the full value of any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any incapacity or lack of power, authority or legal personality of or dissolution or change in the members or status of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(f)</w:t>
            </w:r>
          </w:p>
        </w:tc>
        <w:tc>
          <w:tcPr>
            <w:tcW w:w="8472" w:type="dxa"/>
            <w:tcBorders/>
            <w:shd w:fill="auto" w:val="clear"/>
          </w:tcPr>
          <w:p>
            <w:pPr>
              <w:pStyle w:val="TableContents"/>
              <w:spacing w:before="0" w:after="283"/>
              <w:jc w:val="left"/>
              <w:rPr/>
            </w:pPr>
            <w:r>
              <w:rPr/>
              <w:t xml:space="preserve">any amendment (however fundamental), restatement or novation of a Security Document or any other document, guarantee or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5" w:type="dxa"/>
            <w:tcBorders/>
            <w:shd w:fill="auto" w:val="clear"/>
          </w:tcPr>
          <w:p>
            <w:pPr>
              <w:pStyle w:val="TableContents"/>
              <w:spacing w:before="0" w:after="283"/>
              <w:jc w:val="left"/>
              <w:rPr/>
            </w:pPr>
            <w:r>
              <w:rPr/>
              <w:t xml:space="preserve">any unenforceability, illegality, invalidity or non-provability of any obligation of any person under any Security Document or any other document, guarantee or security or the failure by any member of the Group to enter into or be bound by any Security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(h)</w:t>
            </w:r>
          </w:p>
        </w:tc>
        <w:tc>
          <w:tcPr>
            <w:tcW w:w="8474" w:type="dxa"/>
            <w:tcBorders/>
            <w:shd w:fill="auto" w:val="clear"/>
          </w:tcPr>
          <w:p>
            <w:pPr>
              <w:pStyle w:val="TableContents"/>
              <w:spacing w:before="0" w:after="283"/>
              <w:jc w:val="left"/>
              <w:rPr/>
            </w:pPr>
            <w:r>
              <w:rPr/>
              <w:t xml:space="preserve">the acceptance or taking of other guaranties or security for the Secured Liabilities, or the settlement, release or substitution of any guaranty or security or of any endorser or guarantor in respect of the Secured Liabilities;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7"/>
        <w:gridCol w:w="915"/>
        <w:gridCol w:w="8472"/>
      </w:tblGrid>
      <w:tr>
        <w:trPr/>
        <w:tc>
          <w:tcPr>
            <w:tcW w:w="817"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8472" w:type="dxa"/>
            <w:tcBorders/>
            <w:shd w:fill="auto" w:val="clear"/>
          </w:tcPr>
          <w:p>
            <w:pPr>
              <w:pStyle w:val="TableContents"/>
              <w:spacing w:before="0" w:after="283"/>
              <w:jc w:val="left"/>
              <w:rPr/>
            </w:pPr>
            <w:r>
              <w:rPr/>
              <w:t xml:space="preserve">any insolvency or similar proceedings.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6.4</w:t>
            </w:r>
          </w:p>
        </w:tc>
        <w:tc>
          <w:tcPr>
            <w:tcW w:w="9389" w:type="dxa"/>
            <w:tcBorders/>
            <w:shd w:fill="auto" w:val="clear"/>
          </w:tcPr>
          <w:p>
            <w:pPr>
              <w:pStyle w:val="TableContents"/>
              <w:spacing w:before="0" w:after="283"/>
              <w:jc w:val="left"/>
              <w:rPr/>
            </w:pPr>
            <w:r>
              <w:rPr>
                <w:b/>
              </w:rPr>
              <w:t>Immediate recourse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Pledgor waives any right it may have of first requiring the Pledgee (or any trustee or agent on its behalf) to proceed against or enforce any other right or security or claim payment from any person or file any proof or claim in any insolvency, administration, winding-up or liquidation proceedings relative to any Obligor or any other person before claiming from the Pledgor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This waiver applies irrespective of any law or any provision of a Security Document to the contrary.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6.5</w:t>
            </w:r>
          </w:p>
        </w:tc>
        <w:tc>
          <w:tcPr>
            <w:tcW w:w="9390" w:type="dxa"/>
            <w:tcBorders/>
            <w:shd w:fill="auto" w:val="clear"/>
          </w:tcPr>
          <w:p>
            <w:pPr>
              <w:pStyle w:val="TableContents"/>
              <w:spacing w:before="0" w:after="283"/>
              <w:jc w:val="left"/>
              <w:rPr/>
            </w:pPr>
            <w:r>
              <w:rPr>
                <w:b/>
              </w:rPr>
              <w:t>Appropriations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At any time during the Security Period, the Pledgee (or any trustee or agent on its behalf) may without affecting the liability of the Pledgor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 refrain from applying or enforcing any other moneys, security, guarantees or rights held or received by the Pledgee (or any trustee or agent on its behalf) against those amounts;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apply and enforce them in such manner and order as it sees fit (whether against those amounts or otherwise);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hold in an interest-bearing suspense account any moneys received from the Pledgor or on account of the Pledgor’s liability under this Deed or any other Security Document, without liability to pay interest on those monies.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6.6</w:t>
            </w:r>
          </w:p>
        </w:tc>
        <w:tc>
          <w:tcPr>
            <w:tcW w:w="9390" w:type="dxa"/>
            <w:tcBorders/>
            <w:shd w:fill="auto" w:val="clear"/>
          </w:tcPr>
          <w:p>
            <w:pPr>
              <w:pStyle w:val="TableContents"/>
              <w:spacing w:before="0" w:after="283"/>
              <w:jc w:val="left"/>
              <w:rPr/>
            </w:pPr>
            <w:r>
              <w:rPr>
                <w:b/>
              </w:rPr>
              <w:t>Non-competition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9"/>
        <w:gridCol w:w="8471"/>
      </w:tblGrid>
      <w:tr>
        <w:trPr/>
        <w:tc>
          <w:tcPr>
            <w:tcW w:w="81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Security Period has expired;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Pledgee otherwise directs, </w:t>
            </w:r>
          </w:p>
        </w:tc>
      </w:tr>
    </w:tbl>
    <w:p>
      <w:pPr>
        <w:pStyle w:val="TextBody"/>
        <w:spacing w:before="120" w:after="0"/>
        <w:rPr>
          <w:rFonts w:ascii="Times New Roman" w:hAnsi="Times New Roman"/>
          <w:sz w:val="20"/>
        </w:rPr>
      </w:pPr>
      <w:r>
        <w:rPr>
          <w:rFonts w:ascii="Times New Roman" w:hAnsi="Times New Roman"/>
          <w:sz w:val="20"/>
        </w:rPr>
        <w:t xml:space="preserve">the Pledgor will not, after a claim has been made or by virtue of any payment or performance by it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be subrogated to any rights, security or moneys held, received or receivable by the Pledgee (or any trustee or agent on its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be entitled to any right of contribution or indemnity in respect of any payment made or moneys received on account of the Pledgor’s liability under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claim, rank, prove or vote as a creditor of any Obligor or its estate in competition with the Pledgee (or any trustee or agent on its behalf);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receive, claim or have the benefit of any payment, distribution or security from or on account of any Obligor, or exercise any right of set-off as against any Obligor. </w:t>
            </w:r>
          </w:p>
        </w:tc>
      </w:tr>
    </w:tbl>
    <w:p>
      <w:pPr>
        <w:pStyle w:val="TextBody"/>
        <w:spacing w:before="120" w:after="0"/>
        <w:rPr>
          <w:rFonts w:ascii="Times New Roman" w:hAnsi="Times New Roman"/>
          <w:sz w:val="20"/>
        </w:rPr>
      </w:pPr>
      <w:r>
        <w:rPr>
          <w:rFonts w:ascii="Times New Roman" w:hAnsi="Times New Roman"/>
          <w:sz w:val="20"/>
        </w:rPr>
        <w:t xml:space="preserve">The Pledgor must hold in trust for and must promptly pay or transfer to the Pledgee (or as directed by the Pledgee) any payment or distribution or benefit of security received by it contrary to this Clause or in accordance with any directions given by the Pledgee under this Deed or any other Security Document.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6.7</w:t>
            </w:r>
          </w:p>
        </w:tc>
        <w:tc>
          <w:tcPr>
            <w:tcW w:w="9388" w:type="dxa"/>
            <w:tcBorders/>
            <w:shd w:fill="auto" w:val="clear"/>
          </w:tcPr>
          <w:p>
            <w:pPr>
              <w:pStyle w:val="TableContents"/>
              <w:spacing w:before="0" w:after="283"/>
              <w:jc w:val="left"/>
              <w:rPr/>
            </w:pPr>
            <w:r>
              <w:rPr>
                <w:b/>
              </w:rPr>
              <w:t>Additional security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This Deed is in addition to and is not in any way prejudiced by any other security now or subsequently held by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No prior security held by the Pledgee over any Security Asset will merge into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6.8</w:t>
            </w:r>
          </w:p>
        </w:tc>
        <w:tc>
          <w:tcPr>
            <w:tcW w:w="9389" w:type="dxa"/>
            <w:tcBorders/>
            <w:shd w:fill="auto" w:val="clear"/>
          </w:tcPr>
          <w:p>
            <w:pPr>
              <w:pStyle w:val="TableContents"/>
              <w:spacing w:before="0" w:after="283"/>
              <w:jc w:val="left"/>
              <w:rPr/>
            </w:pPr>
            <w:r>
              <w:rPr>
                <w:b/>
              </w:rPr>
              <w:t>Security held by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may not, without the prior consent of the Pledgee, hold any security from any other Obligor in respect of the Pledgor’s liability under this Deed. The Pledgor will hold any security held by it in breach of this provision on trust for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b/>
              </w:rPr>
            </w:pPr>
            <w:r>
              <w:rPr>
                <w:b/>
              </w:rPr>
              <w:t>7.</w:t>
            </w:r>
          </w:p>
        </w:tc>
        <w:tc>
          <w:tcPr>
            <w:tcW w:w="9393" w:type="dxa"/>
            <w:tcBorders/>
            <w:shd w:fill="auto" w:val="clear"/>
          </w:tcPr>
          <w:p>
            <w:pPr>
              <w:pStyle w:val="TableContents"/>
              <w:spacing w:before="0" w:after="283"/>
              <w:jc w:val="left"/>
              <w:rPr/>
            </w:pPr>
            <w:r>
              <w:rPr>
                <w:b/>
              </w:rPr>
              <w:t>WHEN SECURITY BECOMES ENFORCEABLE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7.1</w:t>
            </w:r>
          </w:p>
        </w:tc>
        <w:tc>
          <w:tcPr>
            <w:tcW w:w="9390" w:type="dxa"/>
            <w:tcBorders/>
            <w:shd w:fill="auto" w:val="clear"/>
          </w:tcPr>
          <w:p>
            <w:pPr>
              <w:pStyle w:val="TableContents"/>
              <w:spacing w:before="0" w:after="283"/>
              <w:jc w:val="left"/>
              <w:rPr/>
            </w:pPr>
            <w:r>
              <w:rPr>
                <w:b/>
              </w:rPr>
              <w:t>Event of Default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Security will become immediately enforceable if an Event of Default occurs.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7.2</w:t>
            </w:r>
          </w:p>
        </w:tc>
        <w:tc>
          <w:tcPr>
            <w:tcW w:w="9388" w:type="dxa"/>
            <w:tcBorders/>
            <w:shd w:fill="auto" w:val="clear"/>
          </w:tcPr>
          <w:p>
            <w:pPr>
              <w:pStyle w:val="TableContents"/>
              <w:spacing w:before="0" w:after="283"/>
              <w:jc w:val="left"/>
              <w:rPr/>
            </w:pPr>
            <w:r>
              <w:rPr>
                <w:b/>
              </w:rPr>
              <w:t>Enforcement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After this Security has become enforceable, the Pledgee may in its absolute discretion enforce all or any part of this Security at the times, in the manner and on the terms it sees fit, and take possession of and hold or dispose of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8.</w:t>
            </w:r>
          </w:p>
        </w:tc>
        <w:tc>
          <w:tcPr>
            <w:tcW w:w="9392" w:type="dxa"/>
            <w:tcBorders/>
            <w:shd w:fill="auto" w:val="clear"/>
          </w:tcPr>
          <w:p>
            <w:pPr>
              <w:pStyle w:val="TableContents"/>
              <w:spacing w:before="0" w:after="283"/>
              <w:jc w:val="left"/>
              <w:rPr/>
            </w:pPr>
            <w:r>
              <w:rPr>
                <w:b/>
              </w:rPr>
              <w:t>ENFORCEMENT OF SECURITY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The power of sale and any other power conferred by law will be immediately exercisable at any time after this Security has become enforceable and the Pledgee has given prior written notice to the Pledgor of its intention to exercise its power of sale or any other power conferred by law (the “</w:t>
            </w:r>
            <w:r>
              <w:rPr>
                <w:b/>
              </w:rPr>
              <w:t>Enforcement Notice</w:t>
            </w:r>
            <w:r>
              <w:rPr/>
              <w:t xml:space="preserve">”). The Pledgee may start enforcement not earlier than following eight Business Days upon receipt of the Enforcement Notice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Pledgee may sell all or any part of the Shares (whether by public offer or private contract) to any person, including (but not limited to) to itself or any person affiliated, associated or otherwise connected to the Pledgee, subject to Clauses 8.1(i) – (k) below (whether comprising cash, debentures or other obligations, shares or other valuable consideration of any kind and whether payable or deliverable in a lump sum or by instalments) as the Pledgee may in its sole and absolute discretion determine.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If any of the Shares are sold by the Pledgee upon credit, for future delivery or for deferred consideration, the Pledgee may retain such Shares until the selling price is paid in full by the purchaser. The Pledgee shall not be liable for any failure by the purchaser to pay for any Shares and, in the event of such failure, the Pledgee may resell such Shares to another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Nothing in this Deed shall restrict the Pledgee from proceeding by suit at law or in equity to foreclose this Deed and sell all or any part of the Shares under a judgment or decree of a court of competent jurisdiction, provided the Pledgor has been given due notice of any such action.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Upon the Pledgee exercising all or any of its rights and powers under this Deed, the Pledgor must promptly procure that the Company registers as owners of the Shares the Pledgee and/or any nominees of the Pledgee or the purchasers of the Shares or otherwise any and all persons entitled to own the Shares as owners of the Shares pursuant to the exercise by the Pledgee of its said rights and powers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 xml:space="preserve">Without limitation to the foregoing provisions of this Clause, the Pledgee shall be entitled but not obliged, in its sole discretion, to use and put into effect all or any of the documents deposited with the Pledgee under Clauses 5.1 and 5.3(c) and (d) in the exercise of any of its rights and powers under this Clause and to register as owners of the Shares the Pledgee and/or any nominees of the Pledgee or the purchasers of the Shares or otherwise any and all persons entitled to own the Shares as owners of the Shares pursuant to the exercise by the Pledgee of its said rights and powers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(g)</w:t>
            </w:r>
          </w:p>
        </w:tc>
        <w:tc>
          <w:tcPr>
            <w:tcW w:w="8473" w:type="dxa"/>
            <w:tcBorders/>
            <w:shd w:fill="auto" w:val="clear"/>
          </w:tcPr>
          <w:p>
            <w:pPr>
              <w:pStyle w:val="TableContents"/>
              <w:spacing w:before="0" w:after="283"/>
              <w:jc w:val="left"/>
              <w:rPr/>
            </w:pPr>
            <w:r>
              <w:rPr/>
              <w:t xml:space="preserve">The Pledgor hereby waives all rights of redemption, stay or appraisal which the Pledgor has or may have under any rule of law or equity now existing or hereafter adopted.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(h)</w:t>
            </w:r>
          </w:p>
        </w:tc>
        <w:tc>
          <w:tcPr>
            <w:tcW w:w="8473" w:type="dxa"/>
            <w:tcBorders/>
            <w:shd w:fill="auto" w:val="clear"/>
          </w:tcPr>
          <w:p>
            <w:pPr>
              <w:pStyle w:val="TableContents"/>
              <w:spacing w:before="0" w:after="283"/>
              <w:jc w:val="left"/>
              <w:rPr/>
            </w:pPr>
            <w:r>
              <w:rPr/>
              <w:t xml:space="preserve">Any restriction on the power of sale conferred by law does not apply to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5"/>
        <w:gridCol w:w="8473"/>
      </w:tblGrid>
      <w:tr>
        <w:trPr/>
        <w:tc>
          <w:tcPr>
            <w:tcW w:w="816"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8473" w:type="dxa"/>
            <w:tcBorders/>
            <w:shd w:fill="auto" w:val="clear"/>
          </w:tcPr>
          <w:p>
            <w:pPr>
              <w:pStyle w:val="TableContents"/>
              <w:spacing w:before="0" w:after="283"/>
              <w:jc w:val="left"/>
              <w:rPr/>
            </w:pPr>
            <w:r>
              <w:rPr/>
              <w:t>The Parties further agree that concurrently with the issuance of the Enforcement Notice, the Pledgee shall engage the Independent Appraiser in order to determine the market value of the Shares (the “</w:t>
            </w:r>
            <w:r>
              <w:rPr>
                <w:b/>
              </w:rPr>
              <w:t>Market Value</w:t>
            </w:r>
            <w:r>
              <w:rPr/>
              <w:t xml:space="preserve">”). The Pledgee shall provide the Pledgor with a copy of the appraisal report stating the Market Value of the Shares prepared by the Independent Appraiser.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(j)</w:t>
            </w:r>
          </w:p>
        </w:tc>
        <w:tc>
          <w:tcPr>
            <w:tcW w:w="8472" w:type="dxa"/>
            <w:tcBorders/>
            <w:shd w:fill="auto" w:val="clear"/>
          </w:tcPr>
          <w:p>
            <w:pPr>
              <w:pStyle w:val="TableContents"/>
              <w:spacing w:before="0" w:after="283"/>
              <w:jc w:val="left"/>
              <w:rPr/>
            </w:pPr>
            <w:r>
              <w:rPr/>
              <w:t xml:space="preserve">Where the Pledgee has elected to sell the Shares at a public sale, the initial sale price of the Shares at a first public sale shall not be less 80% of the Market Value. If the first public sale is declared not to have been successfully completed due to one of the following reasons: (i) fewer than two potential buyers have participated in the public sale or (ii) none of the potential buyers offered a bid exceeding the initial sale price of the Shares, the Pledgee shall call a second public sale. The second public sale shall be conducted by successively lowering of the initial sale price. At the second public sale the Pledgee will be entitled to reduce the initial sale price of the Shares each time by 5%. If the reduction of the initial sale price equals or exceeds 30%, the sale price may be further reduced each time by 3%. The sale price (the price of realisation of the Shares) at the second public sale shall not be lower than 50% of the initial sale price.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(k)</w:t>
            </w:r>
          </w:p>
        </w:tc>
        <w:tc>
          <w:tcPr>
            <w:tcW w:w="8472" w:type="dxa"/>
            <w:tcBorders/>
            <w:shd w:fill="auto" w:val="clear"/>
          </w:tcPr>
          <w:p>
            <w:pPr>
              <w:pStyle w:val="TableContents"/>
              <w:spacing w:before="0" w:after="283"/>
              <w:jc w:val="left"/>
              <w:rPr/>
            </w:pPr>
            <w:r>
              <w:rPr/>
              <w:t xml:space="preserve">Where the Pledgee has elected to sell the Shares to a third party by way of private sale, the Shares shall be sold to such third party at a price not less than the Market Value.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(l)</w:t>
            </w:r>
          </w:p>
        </w:tc>
        <w:tc>
          <w:tcPr>
            <w:tcW w:w="8474" w:type="dxa"/>
            <w:tcBorders/>
            <w:shd w:fill="auto" w:val="clear"/>
          </w:tcPr>
          <w:p>
            <w:pPr>
              <w:pStyle w:val="TableContents"/>
              <w:spacing w:before="0" w:after="283"/>
              <w:jc w:val="left"/>
              <w:rPr/>
            </w:pPr>
            <w:r>
              <w:rPr/>
              <w:t xml:space="preserve">During the time period before the Shares are sold (that cannot be shorter than the time period provided by Clause 8.1(a) above) the Pledgor may discharge the Secured Liabilities that are overdue and stop enforcement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(m)</w:t>
            </w:r>
          </w:p>
        </w:tc>
        <w:tc>
          <w:tcPr>
            <w:tcW w:w="8470" w:type="dxa"/>
            <w:tcBorders/>
            <w:shd w:fill="auto" w:val="clear"/>
          </w:tcPr>
          <w:p>
            <w:pPr>
              <w:pStyle w:val="TableContents"/>
              <w:spacing w:before="0" w:after="283"/>
              <w:jc w:val="left"/>
              <w:rPr/>
            </w:pPr>
            <w:r>
              <w:rPr/>
              <w:t xml:space="preserve">The Pledgee shall stop enforcement of the Shares if the Company or any Guarantor discharges the Secured Liabilities that are overdue during the time period before the Shares are sold (that cannot be shorter than the time period provided by Clause 8.1(a)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8.2</w:t>
            </w:r>
          </w:p>
        </w:tc>
        <w:tc>
          <w:tcPr>
            <w:tcW w:w="9390" w:type="dxa"/>
            <w:tcBorders/>
            <w:shd w:fill="auto" w:val="clear"/>
          </w:tcPr>
          <w:p>
            <w:pPr>
              <w:pStyle w:val="TableContents"/>
              <w:spacing w:before="0" w:after="283"/>
              <w:jc w:val="left"/>
              <w:rPr/>
            </w:pPr>
            <w:r>
              <w:rPr>
                <w:b/>
              </w:rPr>
              <w:t>No liability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will not be liable for any loss arising by reason of taking any action permitted by this Deed or for any neglect, default or omission in connection with the Security Asset (save for wilful misconduct and gross negligence) or for taking possession of or realising all or any part of the Security Asset.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8.3</w:t>
            </w:r>
          </w:p>
        </w:tc>
        <w:tc>
          <w:tcPr>
            <w:tcW w:w="9389" w:type="dxa"/>
            <w:tcBorders/>
            <w:shd w:fill="auto" w:val="clear"/>
          </w:tcPr>
          <w:p>
            <w:pPr>
              <w:pStyle w:val="TableContents"/>
              <w:spacing w:before="0" w:after="283"/>
              <w:jc w:val="left"/>
              <w:rPr/>
            </w:pPr>
            <w:r>
              <w:rPr>
                <w:b/>
              </w:rPr>
              <w:t>Privileges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is entitled to all the rights, powers, privileges and immunities conferred by law (including the Companies Law) on pledgees, mortgagees, charges, encumbrancers and duly appointed receivers under any law (including the Companies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8.4</w:t>
            </w:r>
          </w:p>
        </w:tc>
        <w:tc>
          <w:tcPr>
            <w:tcW w:w="9388" w:type="dxa"/>
            <w:tcBorders/>
            <w:shd w:fill="auto" w:val="clear"/>
          </w:tcPr>
          <w:p>
            <w:pPr>
              <w:pStyle w:val="TableContents"/>
              <w:spacing w:before="0" w:after="283"/>
              <w:jc w:val="left"/>
              <w:rPr/>
            </w:pPr>
            <w:r>
              <w:rPr>
                <w:b/>
              </w:rPr>
              <w:t>Protection of third parties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person (including a purchaser) dealing with the Pledgee or its or his agents will be concerned to enquire: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whether the Secured Liabilities have become payable;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whether any power which the Pledgee is purporting to exercise has become exercisable or is being properly exercised;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whether any money remains due under the Security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how any money paid to the Pledgee is to be applied.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8.5</w:t>
            </w:r>
          </w:p>
        </w:tc>
        <w:tc>
          <w:tcPr>
            <w:tcW w:w="9389" w:type="dxa"/>
            <w:tcBorders/>
            <w:shd w:fill="auto" w:val="clear"/>
          </w:tcPr>
          <w:p>
            <w:pPr>
              <w:pStyle w:val="TableContents"/>
              <w:spacing w:before="0" w:after="283"/>
              <w:jc w:val="left"/>
              <w:rPr/>
            </w:pPr>
            <w:r>
              <w:rPr>
                <w:b/>
              </w:rPr>
              <w:t>Redemption of prior Security Interests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At any time after this Security has become enforceable, the Pledgee may: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3"/>
        <w:gridCol w:w="7556"/>
      </w:tblGrid>
      <w:tr>
        <w:trPr/>
        <w:tc>
          <w:tcPr>
            <w:tcW w:w="173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redeem any prior Security Interest against any Security Asset; and/or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procure the transfer of that Security Interest to itself; and/or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settle and pass the accounts of the prior pledgee, mortgagee, chargee or encumbrancer; any accounts so settled and passed will be, in the absence of manifest error, conclusive and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(iv)</w:t>
            </w:r>
          </w:p>
        </w:tc>
        <w:tc>
          <w:tcPr>
            <w:tcW w:w="7553" w:type="dxa"/>
            <w:tcBorders/>
            <w:shd w:fill="auto" w:val="clear"/>
          </w:tcPr>
          <w:p>
            <w:pPr>
              <w:pStyle w:val="TableContents"/>
              <w:spacing w:before="0" w:after="283"/>
              <w:jc w:val="left"/>
              <w:rPr/>
            </w:pPr>
            <w:r>
              <w:rPr/>
              <w:t xml:space="preserve">The Pledgor must pay to the Pledgee, promptly on demand, the costs and expenses incurred by the Pledgee in connection with any such redemption and/or transfer, including the payment of any principal or interest.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8.6</w:t>
            </w:r>
          </w:p>
        </w:tc>
        <w:tc>
          <w:tcPr>
            <w:tcW w:w="9389" w:type="dxa"/>
            <w:tcBorders/>
            <w:shd w:fill="auto" w:val="clear"/>
          </w:tcPr>
          <w:p>
            <w:pPr>
              <w:pStyle w:val="TableContents"/>
              <w:spacing w:before="0" w:after="283"/>
              <w:jc w:val="left"/>
              <w:rPr/>
            </w:pPr>
            <w:r>
              <w:rPr>
                <w:b/>
              </w:rPr>
              <w:t>Contingencies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this Security is enforced at a time when no amount is due under the Security Documents but at a time when amounts may or will become due, the Pledgee may pay the proceeds of any recoveries effected by it into a suspense account.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9.</w:t>
            </w:r>
          </w:p>
        </w:tc>
        <w:tc>
          <w:tcPr>
            <w:tcW w:w="9389" w:type="dxa"/>
            <w:tcBorders/>
            <w:shd w:fill="auto" w:val="clear"/>
          </w:tcPr>
          <w:p>
            <w:pPr>
              <w:pStyle w:val="TableContents"/>
              <w:spacing w:before="0" w:after="283"/>
              <w:jc w:val="left"/>
              <w:rPr>
                <w:b/>
              </w:rPr>
            </w:pPr>
            <w:r>
              <w:rPr>
                <w:b/>
              </w:rPr>
              <w:t xml:space="preserve">APPLICATION OF PROCEEDS </w:t>
            </w:r>
          </w:p>
        </w:tc>
      </w:tr>
    </w:tbl>
    <w:p>
      <w:pPr>
        <w:pStyle w:val="TextBody"/>
        <w:spacing w:before="120" w:after="0"/>
        <w:rPr>
          <w:rFonts w:ascii="Times New Roman" w:hAnsi="Times New Roman"/>
          <w:sz w:val="20"/>
        </w:rPr>
      </w:pPr>
      <w:r>
        <w:rPr>
          <w:rFonts w:ascii="Times New Roman" w:hAnsi="Times New Roman"/>
          <w:sz w:val="20"/>
        </w:rPr>
        <w:t xml:space="preserve">Unless otherwise determined by the Pledgee, any moneys received by the Pledgee after this Security has become enforceable must be applied in accordance with the Facility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or towards payment of or provision for all costs and expenses incurred by the Pledgee under or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in or towards payment of or provision for the Secured Liabilities;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in payment of the surplus (if any) to the Pledgor or other person entitled to it. </w:t>
            </w:r>
          </w:p>
        </w:tc>
      </w:tr>
    </w:tbl>
    <w:p>
      <w:pPr>
        <w:pStyle w:val="TextBody"/>
        <w:spacing w:before="120" w:after="0"/>
        <w:rPr>
          <w:rFonts w:ascii="Times New Roman" w:hAnsi="Times New Roman"/>
          <w:sz w:val="20"/>
        </w:rPr>
      </w:pPr>
      <w:r>
        <w:rPr>
          <w:rFonts w:ascii="Times New Roman" w:hAnsi="Times New Roman"/>
          <w:sz w:val="20"/>
        </w:rPr>
        <w:t xml:space="preserve">This Clause is subject to the payment of any claims having priority over this Security. Subject to Clause 14.3, this Clause does not prejudice the right of the Pledgee to recover any shortfall from the Pledgor.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10.</w:t>
            </w:r>
          </w:p>
        </w:tc>
        <w:tc>
          <w:tcPr>
            <w:tcW w:w="9388" w:type="dxa"/>
            <w:tcBorders/>
            <w:shd w:fill="auto" w:val="clear"/>
          </w:tcPr>
          <w:p>
            <w:pPr>
              <w:pStyle w:val="TableContents"/>
              <w:spacing w:before="0" w:after="283"/>
              <w:jc w:val="left"/>
              <w:rPr/>
            </w:pPr>
            <w:r>
              <w:rPr>
                <w:b/>
              </w:rPr>
              <w:t>EXPENSES AND INDEMNITY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must procure that the Borrower or any other member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promptly on demand pays all costs and expenses (including stamp duty and legal fees) incurred in connection with this Deed (provided that the costs for its preparation and negotiations are subject to the prior agreed cap) or any amendment of or waiver or consent under this Deed by the Pledgee, attorney-in-fact, manager, agent or other person appointed by the Pledgee under this Deed;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keep each of them indemnified against any failure or delay in paying those costs or expenses and any loss or liability incurred by it in connection with any litigation, arbitration or administrative proceedings concerning this Security; this includes any loss or liability arising from any actual or alleged breach by any person of any law or regulation.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11.</w:t>
            </w:r>
          </w:p>
        </w:tc>
        <w:tc>
          <w:tcPr>
            <w:tcW w:w="9389" w:type="dxa"/>
            <w:tcBorders/>
            <w:shd w:fill="auto" w:val="clear"/>
          </w:tcPr>
          <w:p>
            <w:pPr>
              <w:pStyle w:val="TableContents"/>
              <w:spacing w:before="0" w:after="283"/>
              <w:jc w:val="left"/>
              <w:rPr/>
            </w:pPr>
            <w:r>
              <w:rPr>
                <w:b/>
              </w:rPr>
              <w:t>DELEGATION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11.1</w:t>
            </w:r>
          </w:p>
        </w:tc>
        <w:tc>
          <w:tcPr>
            <w:tcW w:w="9389" w:type="dxa"/>
            <w:tcBorders/>
            <w:shd w:fill="auto" w:val="clear"/>
          </w:tcPr>
          <w:p>
            <w:pPr>
              <w:pStyle w:val="TableContents"/>
              <w:spacing w:before="0" w:after="283"/>
              <w:jc w:val="left"/>
              <w:rPr/>
            </w:pPr>
            <w:r>
              <w:rPr>
                <w:b/>
              </w:rPr>
              <w:t>Power of Attorney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delegate by power of attorney or in any other manner to any person any right, power or discretion exercisable by it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11.2</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such delegation may be made upon any terms (including power to sub-delegate) which the Pledgee may think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11.3</w:t>
            </w:r>
          </w:p>
        </w:tc>
        <w:tc>
          <w:tcPr>
            <w:tcW w:w="9389" w:type="dxa"/>
            <w:tcBorders/>
            <w:shd w:fill="auto" w:val="clear"/>
          </w:tcPr>
          <w:p>
            <w:pPr>
              <w:pStyle w:val="TableContents"/>
              <w:spacing w:before="0" w:after="283"/>
              <w:jc w:val="left"/>
              <w:rPr/>
            </w:pPr>
            <w:r>
              <w:rPr>
                <w:b/>
              </w:rPr>
              <w:t>Liability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will not be in any way liable or responsible to the Pledgor for any loss or liability arising from any act, default, omission or misconduct on the part of any delegate or sub-delegate.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12.</w:t>
            </w:r>
          </w:p>
        </w:tc>
        <w:tc>
          <w:tcPr>
            <w:tcW w:w="9389" w:type="dxa"/>
            <w:tcBorders/>
            <w:shd w:fill="auto" w:val="clear"/>
          </w:tcPr>
          <w:p>
            <w:pPr>
              <w:pStyle w:val="TableContents"/>
              <w:spacing w:before="0" w:after="283"/>
              <w:jc w:val="left"/>
              <w:rPr/>
            </w:pPr>
            <w:r>
              <w:rPr>
                <w:b/>
              </w:rPr>
              <w:t>FURTHER ASSURANCES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must, at its own expense, take whatever action the Pledgee may require for: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creating, attaching, perfecting or protecting and maintaining the priority of any security intended to be created by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facilitating the realisation of any Security Asset, or the exercise of any right, power or discretion exercisable, by the Pledgee or any of its respective delegates or sub-delegates in respect of any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obtaining possession and control of any Security Asset;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facilitating the assignment or transfer of any rights and/or obligations of the Pledgee under this Deed. </w:t>
            </w:r>
          </w:p>
        </w:tc>
      </w:tr>
    </w:tbl>
    <w:p>
      <w:pPr>
        <w:pStyle w:val="TextBody"/>
        <w:spacing w:before="120" w:after="0"/>
        <w:rPr>
          <w:rFonts w:ascii="Times New Roman" w:hAnsi="Times New Roman"/>
          <w:sz w:val="20"/>
        </w:rPr>
      </w:pPr>
      <w:r>
        <w:rPr>
          <w:rFonts w:ascii="Times New Roman" w:hAnsi="Times New Roman"/>
          <w:sz w:val="20"/>
        </w:rPr>
        <w:t xml:space="preserve">This includes: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the execution of any mortgage, charge, transfer, conveyance, assignment or assurance of any property, whether to the Pledgee or to its nominee;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 giving of any notice, order or direction and the making of any registration,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which, in any such case, the Pledgee may think necessary, desirable, or expedient.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13.</w:t>
            </w:r>
          </w:p>
        </w:tc>
        <w:tc>
          <w:tcPr>
            <w:tcW w:w="9388" w:type="dxa"/>
            <w:tcBorders/>
            <w:shd w:fill="auto" w:val="clear"/>
          </w:tcPr>
          <w:p>
            <w:pPr>
              <w:pStyle w:val="TableContents"/>
              <w:spacing w:before="0" w:after="283"/>
              <w:jc w:val="left"/>
              <w:rPr>
                <w:b/>
              </w:rPr>
            </w:pPr>
            <w:r>
              <w:rPr>
                <w:b/>
              </w:rPr>
              <w:t xml:space="preserve">POWER OF ATTORNEY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13.1</w:t>
            </w:r>
          </w:p>
        </w:tc>
        <w:tc>
          <w:tcPr>
            <w:tcW w:w="9389" w:type="dxa"/>
            <w:tcBorders/>
            <w:shd w:fill="auto" w:val="clear"/>
          </w:tcPr>
          <w:p>
            <w:pPr>
              <w:pStyle w:val="TableContents"/>
              <w:spacing w:before="0" w:after="283"/>
              <w:jc w:val="left"/>
              <w:rPr/>
            </w:pPr>
            <w:r>
              <w:rPr/>
              <w:t xml:space="preserve">The Pledgor, by way of security and for good and valuable consideration (the receipt and sufficiency of which is hereby acknowledged), irrevocably and severally coupled with an interest in this Deed appoints the Pledgee and each of its respective delegates and sub-delegates to be its attomey-in-fact to take any action which the Pledgor is obliged to take under this Deed. The Pledgor ratifies and confirms whatever any attomey-in-fact does or purports to do under its appointment under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13.2</w:t>
            </w:r>
          </w:p>
        </w:tc>
        <w:tc>
          <w:tcPr>
            <w:tcW w:w="9388" w:type="dxa"/>
            <w:tcBorders/>
            <w:shd w:fill="auto" w:val="clear"/>
          </w:tcPr>
          <w:p>
            <w:pPr>
              <w:pStyle w:val="TableContents"/>
              <w:spacing w:before="0" w:after="283"/>
              <w:jc w:val="left"/>
              <w:rPr/>
            </w:pPr>
            <w:r>
              <w:rPr/>
              <w:t xml:space="preserve">The power of attorney granted or otherwise made pursuant to this Deed is given by the Pledgor by way of further security for the Secured Liabilities and in order to more fully secure the performance of its obligations under this Deed and in consideration of the mutual covenants in this Deed and for other good and valuable consideration received by the Pledgor from the Pledgee (the receipt, sufficiency and adequacy of which consideration is hereby acknowledged and confirmed).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14.</w:t>
            </w:r>
          </w:p>
        </w:tc>
        <w:tc>
          <w:tcPr>
            <w:tcW w:w="9388" w:type="dxa"/>
            <w:tcBorders/>
            <w:shd w:fill="auto" w:val="clear"/>
          </w:tcPr>
          <w:p>
            <w:pPr>
              <w:pStyle w:val="TableContents"/>
              <w:spacing w:before="0" w:after="283"/>
              <w:jc w:val="left"/>
              <w:rPr/>
            </w:pPr>
            <w:r>
              <w:rPr>
                <w:b/>
              </w:rPr>
              <w:t>MISCELLANEOUS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14.1</w:t>
            </w:r>
          </w:p>
        </w:tc>
        <w:tc>
          <w:tcPr>
            <w:tcW w:w="9389" w:type="dxa"/>
            <w:tcBorders/>
            <w:shd w:fill="auto" w:val="clear"/>
          </w:tcPr>
          <w:p>
            <w:pPr>
              <w:pStyle w:val="TableContents"/>
              <w:spacing w:before="0" w:after="283"/>
              <w:jc w:val="left"/>
              <w:rPr/>
            </w:pPr>
            <w:r>
              <w:rPr>
                <w:b/>
              </w:rPr>
              <w:t>Covenant to pay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Subject to Clause 14.3 below, the Pledgor covenants with the Pledgee that whenever the Borrower does not pay the Secured Liabilities or any amount thereof when the same falls due for payment, performance or discharge in accordance with the terms of the Facility Agreement, it shall on demand by the Pledgee pay, perform and discharge the Secured Liabilities.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14.2</w:t>
            </w:r>
          </w:p>
        </w:tc>
        <w:tc>
          <w:tcPr>
            <w:tcW w:w="9389" w:type="dxa"/>
            <w:tcBorders/>
            <w:shd w:fill="auto" w:val="clear"/>
          </w:tcPr>
          <w:p>
            <w:pPr>
              <w:pStyle w:val="TableContents"/>
              <w:spacing w:before="0" w:after="283"/>
              <w:jc w:val="left"/>
              <w:rPr/>
            </w:pPr>
            <w:r>
              <w:rPr>
                <w:b/>
              </w:rPr>
              <w:t>Financial collateral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To the extent that the assets mortgaged or charged under this Deed constitute “financial collateral” and this Deed and the obligations of the Pledgor under this Deed constitute a “security financial collateral arrangement” (in each case for the purpose of and as defined in the Financial Collateral Law 2004 (Law 43(I)/ 2004) the Pledgee shall have the right after this Security has become enforceable to appropriate all or any part of that financial collateral in or towards the satisfaction of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For the purpose of paragraph (a) above, the value of the financial collateral appropriated shall be the Market Value.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14.3</w:t>
            </w:r>
          </w:p>
        </w:tc>
        <w:tc>
          <w:tcPr>
            <w:tcW w:w="9389" w:type="dxa"/>
            <w:tcBorders/>
            <w:shd w:fill="auto" w:val="clear"/>
          </w:tcPr>
          <w:p>
            <w:pPr>
              <w:pStyle w:val="TableContents"/>
              <w:spacing w:before="0" w:after="283"/>
              <w:jc w:val="left"/>
              <w:rPr/>
            </w:pPr>
            <w:r>
              <w:rPr>
                <w:b/>
              </w:rPr>
              <w:t>Limited recourse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Notwithstanding any other provision of this Deed and any other Security Document, it is expressly agreed and understood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sole recourse of the Pledgee to the Pledgor under this Deed is to the Pledgor’s interest in the Security Assets;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liability of the Pledgor to the Pledgee pursuant to or otherwise in connection with this Deed shall be: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6"/>
        <w:gridCol w:w="914"/>
        <w:gridCol w:w="7554"/>
      </w:tblGrid>
      <w:tr>
        <w:trPr/>
        <w:tc>
          <w:tcPr>
            <w:tcW w:w="173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limited in aggregate to an amount equal to that recovered as a result of enforcement of this Deed with respect to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satisfied only from the proceeds of sale or other disposal or realisation of the Shares pursuant to this Deed.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sz w:val="20"/>
        </w:rPr>
        <w:t xml:space="preserve">If on enforcement over the Security Assets, the net proceeds are insufficient to discharge the liabilities and obligations that the Pledgor has towards the Pledgee under this Deed, then the Pledgor shall be under no further obligations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15.</w:t>
            </w:r>
          </w:p>
        </w:tc>
        <w:tc>
          <w:tcPr>
            <w:tcW w:w="9389" w:type="dxa"/>
            <w:tcBorders/>
            <w:shd w:fill="auto" w:val="clear"/>
          </w:tcPr>
          <w:p>
            <w:pPr>
              <w:pStyle w:val="TableContents"/>
              <w:spacing w:before="0" w:after="283"/>
              <w:jc w:val="left"/>
              <w:rPr/>
            </w:pPr>
            <w:r>
              <w:rPr>
                <w:b/>
              </w:rPr>
              <w:t>RELEASE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At the end of the Security Period, the Pledgee shall promptly, at the request and cost of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deliver or caused to be delivered to the Pledgor or such other person, as the Pledgor may direct, the documents referred in Clause 5.1 hereof and any other documents delivered to the Pledgee pursuant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give notice of discharge of the pledge to the Company for the purpose of cancelling the memorandum of pledge made in its register of members pursuant to section 138(2) of the Contract Law, Cap. 149 (as amended);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execute whatever documents and take whatever action is reasonably required to release the Security Assets from this Security and terminate any powers of attorney or other like appointments.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16.</w:t>
            </w:r>
          </w:p>
        </w:tc>
        <w:tc>
          <w:tcPr>
            <w:tcW w:w="9391" w:type="dxa"/>
            <w:tcBorders/>
            <w:shd w:fill="auto" w:val="clear"/>
          </w:tcPr>
          <w:p>
            <w:pPr>
              <w:pStyle w:val="TableContents"/>
              <w:spacing w:before="0" w:after="283"/>
              <w:jc w:val="left"/>
              <w:rPr/>
            </w:pPr>
            <w:r>
              <w:rPr>
                <w:b/>
              </w:rPr>
              <w:t>CHANGES TO THE PARTIES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16.1</w:t>
            </w:r>
          </w:p>
        </w:tc>
        <w:tc>
          <w:tcPr>
            <w:tcW w:w="9389" w:type="dxa"/>
            <w:tcBorders/>
            <w:shd w:fill="auto" w:val="clear"/>
          </w:tcPr>
          <w:p>
            <w:pPr>
              <w:pStyle w:val="TableContents"/>
              <w:spacing w:before="0" w:after="283"/>
              <w:jc w:val="left"/>
              <w:rPr/>
            </w:pPr>
            <w:r>
              <w:rPr>
                <w:b/>
              </w:rPr>
              <w:t>The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may not assign or transfer any of its rights or obligations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16.2</w:t>
            </w:r>
          </w:p>
        </w:tc>
        <w:tc>
          <w:tcPr>
            <w:tcW w:w="9389" w:type="dxa"/>
            <w:tcBorders/>
            <w:shd w:fill="auto" w:val="clear"/>
          </w:tcPr>
          <w:p>
            <w:pPr>
              <w:pStyle w:val="TableContents"/>
              <w:spacing w:before="0" w:after="283"/>
              <w:jc w:val="left"/>
              <w:rPr/>
            </w:pPr>
            <w:r>
              <w:rPr>
                <w:b/>
              </w:rPr>
              <w:t>The Pledgee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assign or otherwise dispose of all or any of its rights under this Deed to any person to whom it assigns or transfers its rights and obligations under the Facility Agreement, in accordance with the terms of the Security Documents to which it is a party and may disclose any information in its possession relating to the Pledgor to any actual or prospective assignee, transferee or participant.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16.3</w:t>
            </w:r>
          </w:p>
        </w:tc>
        <w:tc>
          <w:tcPr>
            <w:tcW w:w="9389" w:type="dxa"/>
            <w:tcBorders/>
            <w:shd w:fill="auto" w:val="clear"/>
          </w:tcPr>
          <w:p>
            <w:pPr>
              <w:pStyle w:val="TableContents"/>
              <w:spacing w:before="0" w:after="283"/>
              <w:jc w:val="left"/>
              <w:rPr/>
            </w:pPr>
            <w:r>
              <w:rPr>
                <w:b/>
              </w:rPr>
              <w:t>Successors and Assigns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shall be binding upon and shall inure to the benefit of and be enforceable by and against the Parties and their respective heirs, executors, legal representatives, successors, assigns and permitted transferees.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17.</w:t>
            </w:r>
          </w:p>
        </w:tc>
        <w:tc>
          <w:tcPr>
            <w:tcW w:w="9390" w:type="dxa"/>
            <w:tcBorders/>
            <w:shd w:fill="auto" w:val="clear"/>
          </w:tcPr>
          <w:p>
            <w:pPr>
              <w:pStyle w:val="TableContents"/>
              <w:spacing w:before="0" w:after="283"/>
              <w:jc w:val="left"/>
              <w:rPr/>
            </w:pPr>
            <w:r>
              <w:rPr>
                <w:b/>
              </w:rPr>
              <w:t>EVIDENCE AND CALCULATIONS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17.1</w:t>
            </w:r>
          </w:p>
        </w:tc>
        <w:tc>
          <w:tcPr>
            <w:tcW w:w="9388" w:type="dxa"/>
            <w:tcBorders/>
            <w:shd w:fill="auto" w:val="clear"/>
          </w:tcPr>
          <w:p>
            <w:pPr>
              <w:pStyle w:val="TableContents"/>
              <w:spacing w:before="0" w:after="283"/>
              <w:jc w:val="left"/>
              <w:rPr/>
            </w:pPr>
            <w:r>
              <w:rPr>
                <w:b/>
              </w:rPr>
              <w:t>Accounts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Accounts maintained by the Pledgee in connection with this Deed are, in the absence of a manifest error, prima facie evidence of the matters to which they relate for the purpose of any litigation or arbitration proceedings.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17.2</w:t>
            </w:r>
          </w:p>
        </w:tc>
        <w:tc>
          <w:tcPr>
            <w:tcW w:w="9389" w:type="dxa"/>
            <w:tcBorders/>
            <w:shd w:fill="auto" w:val="clear"/>
          </w:tcPr>
          <w:p>
            <w:pPr>
              <w:pStyle w:val="TableContents"/>
              <w:spacing w:before="0" w:after="283"/>
              <w:jc w:val="left"/>
              <w:rPr/>
            </w:pPr>
            <w:r>
              <w:rPr>
                <w:b/>
              </w:rPr>
              <w:t>Certificates and determinations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certification or determination by the Pledgee of a rate or amount under the Security Documents will be, in the absence of manifest error, conclusive evidence of the matters to which it relates.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18.</w:t>
            </w:r>
          </w:p>
        </w:tc>
        <w:tc>
          <w:tcPr>
            <w:tcW w:w="9388" w:type="dxa"/>
            <w:tcBorders/>
            <w:shd w:fill="auto" w:val="clear"/>
          </w:tcPr>
          <w:p>
            <w:pPr>
              <w:pStyle w:val="TableContents"/>
              <w:spacing w:before="0" w:after="283"/>
              <w:jc w:val="left"/>
              <w:rPr/>
            </w:pPr>
            <w:r>
              <w:rPr>
                <w:b/>
              </w:rPr>
              <w:t>NOTICES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18.1</w:t>
            </w:r>
          </w:p>
        </w:tc>
        <w:tc>
          <w:tcPr>
            <w:tcW w:w="9388" w:type="dxa"/>
            <w:tcBorders/>
            <w:shd w:fill="auto" w:val="clear"/>
          </w:tcPr>
          <w:p>
            <w:pPr>
              <w:pStyle w:val="TableContents"/>
              <w:spacing w:before="0" w:after="283"/>
              <w:jc w:val="left"/>
              <w:rPr/>
            </w:pPr>
            <w:r>
              <w:rPr>
                <w:b/>
              </w:rPr>
              <w:t>In writing</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(a)</w:t>
            </w:r>
          </w:p>
        </w:tc>
        <w:tc>
          <w:tcPr>
            <w:tcW w:w="8476" w:type="dxa"/>
            <w:tcBorders/>
            <w:shd w:fill="auto" w:val="clear"/>
          </w:tcPr>
          <w:p>
            <w:pPr>
              <w:pStyle w:val="TableContents"/>
              <w:spacing w:before="0" w:after="283"/>
              <w:jc w:val="left"/>
              <w:rPr/>
            </w:pPr>
            <w:r>
              <w:rPr/>
              <w:t xml:space="preserve">Any communication in connection with this Deed must be in writing and, unless otherwise stated, may be given in person, by international courier service, by fax or e-mail.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Unless it is agreed to the contrary, any consent or agreement required under this Deed must be given in writing.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18.2</w:t>
            </w:r>
          </w:p>
        </w:tc>
        <w:tc>
          <w:tcPr>
            <w:tcW w:w="9390" w:type="dxa"/>
            <w:tcBorders/>
            <w:shd w:fill="auto" w:val="clear"/>
          </w:tcPr>
          <w:p>
            <w:pPr>
              <w:pStyle w:val="TableContents"/>
              <w:spacing w:before="0" w:after="283"/>
              <w:jc w:val="left"/>
              <w:rPr/>
            </w:pPr>
            <w:r>
              <w:rPr>
                <w:b/>
              </w:rPr>
              <w:t>Contact details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contact details of the Pledgor for all notices in connection with this Deed are: </w:t>
            </w:r>
          </w:p>
        </w:tc>
      </w:tr>
    </w:tbl>
    <w:p>
      <w:pPr>
        <w:pStyle w:val="TextBody"/>
        <w:spacing w:before="120" w:after="0"/>
        <w:rPr>
          <w:rFonts w:ascii="Times New Roman" w:hAnsi="Times New Roman"/>
          <w:sz w:val="20"/>
        </w:rPr>
      </w:pPr>
      <w:r>
        <w:rPr>
          <w:rFonts w:ascii="Times New Roman" w:hAnsi="Times New Roman"/>
          <w:sz w:val="20"/>
        </w:rPr>
        <w:t xml:space="preserve">Address: c/o Goldman Sachs International, Peterborough Court, 133 Fleet Street, London EC4A 2BB </w:t>
      </w:r>
    </w:p>
    <w:p>
      <w:pPr>
        <w:pStyle w:val="TextBody"/>
        <w:spacing w:before="120" w:after="0"/>
        <w:rPr>
          <w:rFonts w:ascii="Times New Roman" w:hAnsi="Times New Roman"/>
          <w:sz w:val="20"/>
        </w:rPr>
      </w:pPr>
      <w:r>
        <w:rPr>
          <w:rFonts w:ascii="Times New Roman" w:hAnsi="Times New Roman"/>
          <w:sz w:val="20"/>
        </w:rPr>
        <w:t xml:space="preserve">Email: </w:t>
      </w:r>
      <w:r>
        <w:rPr>
          <w:rFonts w:ascii="Times New Roman" w:hAnsi="Times New Roman"/>
          <w:sz w:val="20"/>
          <w:u w:val="single"/>
        </w:rPr>
        <w:t>greg.olafson@gs.com</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Fax: +44 20 7522 7070 </w:t>
      </w:r>
    </w:p>
    <w:p>
      <w:pPr>
        <w:pStyle w:val="TextBody"/>
        <w:spacing w:before="120" w:after="0"/>
        <w:rPr>
          <w:rFonts w:ascii="Times New Roman" w:hAnsi="Times New Roman"/>
          <w:sz w:val="20"/>
        </w:rPr>
      </w:pPr>
      <w:r>
        <w:rPr>
          <w:rFonts w:ascii="Times New Roman" w:hAnsi="Times New Roman"/>
          <w:sz w:val="20"/>
        </w:rPr>
        <w:t xml:space="preserve">Attention: Greg Olafson </w:t>
      </w:r>
    </w:p>
    <w:p>
      <w:pPr>
        <w:pStyle w:val="TextBody"/>
        <w:spacing w:before="120" w:after="0"/>
        <w:rPr>
          <w:rFonts w:ascii="Times New Roman" w:hAnsi="Times New Roman"/>
          <w:sz w:val="20"/>
        </w:rPr>
      </w:pPr>
      <w:r>
        <w:rPr>
          <w:rFonts w:ascii="Times New Roman" w:hAnsi="Times New Roman"/>
          <w:sz w:val="20"/>
        </w:rPr>
        <w:t xml:space="preserve">With a copy to: </w:t>
      </w:r>
    </w:p>
    <w:p>
      <w:pPr>
        <w:pStyle w:val="TextBody"/>
        <w:spacing w:before="120" w:after="0"/>
        <w:rPr>
          <w:rFonts w:ascii="Times New Roman" w:hAnsi="Times New Roman"/>
          <w:sz w:val="20"/>
        </w:rPr>
      </w:pPr>
      <w:r>
        <w:rPr>
          <w:rFonts w:ascii="Times New Roman" w:hAnsi="Times New Roman"/>
          <w:sz w:val="20"/>
        </w:rPr>
        <w:t xml:space="preserve">Address: c/o OOO Goldman Sachs, 14th Floor, Ducat III, 6 Gasheka Street, Moscow 125047, Russian Federation </w:t>
      </w:r>
    </w:p>
    <w:p>
      <w:pPr>
        <w:pStyle w:val="TextBody"/>
        <w:spacing w:before="120" w:after="0"/>
        <w:rPr>
          <w:rFonts w:ascii="Times New Roman" w:hAnsi="Times New Roman"/>
          <w:sz w:val="20"/>
        </w:rPr>
      </w:pPr>
      <w:r>
        <w:rPr>
          <w:rFonts w:ascii="Times New Roman" w:hAnsi="Times New Roman"/>
          <w:sz w:val="20"/>
        </w:rPr>
        <w:t xml:space="preserve">Fax: +7 495 645 4186 </w:t>
      </w:r>
    </w:p>
    <w:p>
      <w:pPr>
        <w:pStyle w:val="TextBody"/>
        <w:spacing w:before="120" w:after="0"/>
        <w:rPr>
          <w:rFonts w:ascii="Times New Roman" w:hAnsi="Times New Roman"/>
          <w:sz w:val="20"/>
        </w:rPr>
      </w:pPr>
      <w:r>
        <w:rPr>
          <w:rFonts w:ascii="Times New Roman" w:hAnsi="Times New Roman"/>
          <w:sz w:val="20"/>
        </w:rPr>
        <w:t xml:space="preserve">Email: Oleg.Bibergan@gs.com </w:t>
      </w:r>
    </w:p>
    <w:p>
      <w:pPr>
        <w:pStyle w:val="TextBody"/>
        <w:spacing w:before="120" w:after="0"/>
        <w:rPr>
          <w:rFonts w:ascii="Times New Roman" w:hAnsi="Times New Roman"/>
          <w:sz w:val="20"/>
        </w:rPr>
      </w:pPr>
      <w:r>
        <w:rPr>
          <w:rFonts w:ascii="Times New Roman" w:hAnsi="Times New Roman"/>
          <w:sz w:val="20"/>
        </w:rPr>
        <w:t xml:space="preserve">Attention: Oleg Bibergan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contact details of the Pledgee for all notices in connection with this Deed are: </w:t>
            </w:r>
          </w:p>
        </w:tc>
      </w:tr>
    </w:tbl>
    <w:p>
      <w:pPr>
        <w:pStyle w:val="TextBody"/>
        <w:spacing w:before="120" w:after="0"/>
        <w:rPr>
          <w:rFonts w:ascii="Times New Roman" w:hAnsi="Times New Roman"/>
          <w:sz w:val="20"/>
        </w:rPr>
      </w:pPr>
      <w:r>
        <w:rPr>
          <w:rFonts w:ascii="Times New Roman" w:hAnsi="Times New Roman"/>
          <w:sz w:val="20"/>
        </w:rPr>
        <w:t xml:space="preserve">Address: Ul. Bolshaya Morskaya, 29, St. Petersburg 190000, Russia </w:t>
      </w:r>
    </w:p>
    <w:p>
      <w:pPr>
        <w:pStyle w:val="TextBody"/>
        <w:spacing w:before="120" w:after="0"/>
        <w:rPr>
          <w:rFonts w:ascii="Times New Roman" w:hAnsi="Times New Roman"/>
          <w:sz w:val="20"/>
        </w:rPr>
      </w:pPr>
      <w:r>
        <w:rPr>
          <w:rFonts w:ascii="Times New Roman" w:hAnsi="Times New Roman"/>
          <w:sz w:val="20"/>
        </w:rPr>
        <w:t xml:space="preserve">Email: </w:t>
      </w:r>
      <w:r>
        <w:rPr>
          <w:rFonts w:ascii="Times New Roman" w:hAnsi="Times New Roman"/>
          <w:sz w:val="20"/>
          <w:u w:val="single"/>
        </w:rPr>
        <w:t>loanadmin@msk.vtb.ru,</w:t>
      </w:r>
      <w:r>
        <w:rPr>
          <w:rFonts w:ascii="Times New Roman" w:hAnsi="Times New Roman"/>
          <w:sz w:val="20"/>
        </w:rPr>
        <w:t xml:space="preserve"> </w:t>
      </w:r>
      <w:r>
        <w:rPr>
          <w:rFonts w:ascii="Times New Roman" w:hAnsi="Times New Roman"/>
          <w:sz w:val="20"/>
          <w:u w:val="single"/>
        </w:rPr>
        <w:t>TM21@msk.vtb.ru</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Fax: +7 (495) 775-54-54 </w:t>
      </w:r>
    </w:p>
    <w:p>
      <w:pPr>
        <w:pStyle w:val="TextBody"/>
        <w:spacing w:before="120" w:after="0"/>
        <w:rPr>
          <w:rFonts w:ascii="Times New Roman" w:hAnsi="Times New Roman"/>
          <w:sz w:val="20"/>
        </w:rPr>
      </w:pPr>
      <w:r>
        <w:rPr>
          <w:rFonts w:ascii="Times New Roman" w:hAnsi="Times New Roman"/>
          <w:sz w:val="20"/>
        </w:rPr>
        <w:t xml:space="preserve">Attention: Loan administration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Any Party may change its contact details by giving five Business Days’ notice to the other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18.3</w:t>
            </w:r>
          </w:p>
        </w:tc>
        <w:tc>
          <w:tcPr>
            <w:tcW w:w="9389" w:type="dxa"/>
            <w:tcBorders/>
            <w:shd w:fill="auto" w:val="clear"/>
          </w:tcPr>
          <w:p>
            <w:pPr>
              <w:pStyle w:val="TableContents"/>
              <w:spacing w:before="0" w:after="283"/>
              <w:jc w:val="left"/>
              <w:rPr/>
            </w:pPr>
            <w:r>
              <w:rPr>
                <w:b/>
              </w:rPr>
              <w:t>Effectiveness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(a)</w:t>
            </w:r>
          </w:p>
        </w:tc>
        <w:tc>
          <w:tcPr>
            <w:tcW w:w="8476" w:type="dxa"/>
            <w:tcBorders/>
            <w:shd w:fill="auto" w:val="clear"/>
          </w:tcPr>
          <w:p>
            <w:pPr>
              <w:pStyle w:val="TableContents"/>
              <w:spacing w:before="0" w:after="283"/>
              <w:jc w:val="left"/>
              <w:rPr/>
            </w:pPr>
            <w:r>
              <w:rPr/>
              <w:t xml:space="preserve">Any communication in connection with this Deed will be deemed to be given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if sent by fax or by other means allowing to determine that the message is sent by the Party to this Deed – upon receipt in eligible form;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if delivered in person or sent by an international courier service, at the time of delivery.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 communication given under paragraph (a) above but received on a non-working day or after business hours in the place of receipt will only be deemed to be given on the next working day in that place.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19.</w:t>
            </w:r>
          </w:p>
        </w:tc>
        <w:tc>
          <w:tcPr>
            <w:tcW w:w="9390" w:type="dxa"/>
            <w:tcBorders/>
            <w:shd w:fill="auto" w:val="clear"/>
          </w:tcPr>
          <w:p>
            <w:pPr>
              <w:pStyle w:val="TableContents"/>
              <w:spacing w:before="0" w:after="283"/>
              <w:jc w:val="left"/>
              <w:rPr/>
            </w:pPr>
            <w:r>
              <w:rPr>
                <w:b/>
              </w:rPr>
              <w:t>LANGUAGE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notice given in connection with this Deed must be in English.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20.</w:t>
            </w:r>
          </w:p>
        </w:tc>
        <w:tc>
          <w:tcPr>
            <w:tcW w:w="9390" w:type="dxa"/>
            <w:tcBorders/>
            <w:shd w:fill="auto" w:val="clear"/>
          </w:tcPr>
          <w:p>
            <w:pPr>
              <w:pStyle w:val="TableContents"/>
              <w:spacing w:before="0" w:after="283"/>
              <w:jc w:val="left"/>
              <w:rPr/>
            </w:pPr>
            <w:r>
              <w:rPr>
                <w:b/>
              </w:rPr>
              <w:t>SEVERABILITY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a term of this Deed is or becomes illegal, invalid or unenforceable in any respect under any jurisdiction, that will not affect: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legality, validity or enforceability in that jurisdiction of any other term of this Deed;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legality, validity or enforceability in any other jurisdiction of that or any other term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21.</w:t>
            </w:r>
          </w:p>
        </w:tc>
        <w:tc>
          <w:tcPr>
            <w:tcW w:w="9389" w:type="dxa"/>
            <w:tcBorders/>
            <w:shd w:fill="auto" w:val="clear"/>
          </w:tcPr>
          <w:p>
            <w:pPr>
              <w:pStyle w:val="TableContents"/>
              <w:spacing w:before="0" w:after="283"/>
              <w:jc w:val="left"/>
              <w:rPr/>
            </w:pPr>
            <w:r>
              <w:rPr>
                <w:b/>
              </w:rPr>
              <w:t>WAIVERS AND REMEDIES CUMULATIVE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rights of the Pledgee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may be exercised as often as necessary;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are cumulative and not exclusive of its rights under the general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may be waived only in writing and specifically. </w:t>
            </w:r>
          </w:p>
        </w:tc>
      </w:tr>
    </w:tbl>
    <w:p>
      <w:pPr>
        <w:pStyle w:val="TextBody"/>
        <w:spacing w:before="120" w:after="0"/>
        <w:rPr>
          <w:rFonts w:ascii="Times New Roman" w:hAnsi="Times New Roman"/>
          <w:sz w:val="20"/>
        </w:rPr>
      </w:pPr>
      <w:r>
        <w:rPr>
          <w:rFonts w:ascii="Times New Roman" w:hAnsi="Times New Roman"/>
          <w:sz w:val="20"/>
        </w:rPr>
        <w:t xml:space="preserve">Delay in exercising or non-exercise of any right is not a waiver of that right.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22.</w:t>
            </w:r>
          </w:p>
        </w:tc>
        <w:tc>
          <w:tcPr>
            <w:tcW w:w="9388" w:type="dxa"/>
            <w:tcBorders/>
            <w:shd w:fill="auto" w:val="clear"/>
          </w:tcPr>
          <w:p>
            <w:pPr>
              <w:pStyle w:val="TableContents"/>
              <w:spacing w:before="0" w:after="283"/>
              <w:jc w:val="left"/>
              <w:rPr/>
            </w:pPr>
            <w:r>
              <w:rPr>
                <w:b/>
              </w:rPr>
              <w:t>COUNTERPARTS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may be executed in any number of counterparts. This has the same effect as if the signatures on the counterparts were on a single copy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23.</w:t>
            </w:r>
          </w:p>
        </w:tc>
        <w:tc>
          <w:tcPr>
            <w:tcW w:w="9390" w:type="dxa"/>
            <w:tcBorders/>
            <w:shd w:fill="auto" w:val="clear"/>
          </w:tcPr>
          <w:p>
            <w:pPr>
              <w:pStyle w:val="TableContents"/>
              <w:spacing w:before="0" w:after="283"/>
              <w:jc w:val="left"/>
              <w:rPr/>
            </w:pPr>
            <w:r>
              <w:rPr>
                <w:b/>
              </w:rPr>
              <w:t>GOVERNING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is governed by Cyprus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24.</w:t>
            </w:r>
          </w:p>
        </w:tc>
        <w:tc>
          <w:tcPr>
            <w:tcW w:w="9389" w:type="dxa"/>
            <w:tcBorders/>
            <w:shd w:fill="auto" w:val="clear"/>
          </w:tcPr>
          <w:p>
            <w:pPr>
              <w:pStyle w:val="TableContents"/>
              <w:spacing w:before="0" w:after="283"/>
              <w:jc w:val="left"/>
              <w:rPr/>
            </w:pPr>
            <w:r>
              <w:rPr>
                <w:b/>
              </w:rPr>
              <w:t>ENFORCEMENT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24.1</w:t>
            </w:r>
          </w:p>
        </w:tc>
        <w:tc>
          <w:tcPr>
            <w:tcW w:w="9389" w:type="dxa"/>
            <w:tcBorders/>
            <w:shd w:fill="auto" w:val="clear"/>
          </w:tcPr>
          <w:p>
            <w:pPr>
              <w:pStyle w:val="TableContents"/>
              <w:spacing w:before="0" w:after="283"/>
              <w:jc w:val="left"/>
              <w:rPr/>
            </w:pPr>
            <w:r>
              <w:rPr>
                <w:b/>
              </w:rPr>
              <w:t>Jurisdiction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courts of the Republic of Cyprus have exclusive jurisdiction to settle any dispute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courts of the Republic of Cyprus are the most appropriate and convenient courts to settle any such dispute in connection with this Deed. The Pledgor agrees not to argue to the contrary and waives objection to those courts on the grounds of inconvenient forum or otherwise in relation to proceedings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References in this Clause to a dispute in connection with this Deed includes any dispute as to the existence, validity or termination of this Deed.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24.2</w:t>
            </w:r>
          </w:p>
        </w:tc>
        <w:tc>
          <w:tcPr>
            <w:tcW w:w="9388" w:type="dxa"/>
            <w:tcBorders/>
            <w:shd w:fill="auto" w:val="clear"/>
          </w:tcPr>
          <w:p>
            <w:pPr>
              <w:pStyle w:val="TableContents"/>
              <w:spacing w:before="0" w:after="283"/>
              <w:jc w:val="left"/>
              <w:rPr/>
            </w:pPr>
            <w:r>
              <w:rPr>
                <w:b/>
              </w:rPr>
              <w:t>Waiver of immunity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agrees not to claim any immunity from proceedings brought by the Pledgee against it in relation to this Deed and to ensure that no such claim is made on its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consents generally to the giving of any relief or the issue of any process in connection with those proceedings;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waives all rights of immunity in respect of it or its assets. </w:t>
            </w:r>
          </w:p>
        </w:tc>
      </w:tr>
    </w:tbl>
    <w:p>
      <w:pPr>
        <w:pStyle w:val="TextBody"/>
        <w:spacing w:before="240" w:after="0"/>
        <w:rPr>
          <w:rFonts w:ascii="Times New Roman" w:hAnsi="Times New Roman"/>
          <w:sz w:val="20"/>
        </w:rPr>
      </w:pPr>
      <w:r>
        <w:rPr>
          <w:rFonts w:ascii="Times New Roman" w:hAnsi="Times New Roman"/>
          <w:b/>
          <w:sz w:val="20"/>
        </w:rPr>
        <w:t xml:space="preserve">IN WITNESS WHEREOF </w:t>
      </w:r>
      <w:r>
        <w:rPr>
          <w:rFonts w:ascii="Times New Roman" w:hAnsi="Times New Roman"/>
          <w:sz w:val="20"/>
        </w:rPr>
        <w:t xml:space="preserve">this Deed has been executed and delivered on the date stated at the beginning of this Deed.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1 </w:t>
      </w:r>
    </w:p>
    <w:p>
      <w:pPr>
        <w:pStyle w:val="TextBody"/>
        <w:spacing w:before="0" w:after="0"/>
        <w:jc w:val="center"/>
        <w:rPr>
          <w:rFonts w:ascii="Times New Roman" w:hAnsi="Times New Roman"/>
          <w:b/>
          <w:sz w:val="20"/>
        </w:rPr>
      </w:pPr>
      <w:r>
        <w:rPr>
          <w:rFonts w:ascii="Times New Roman" w:hAnsi="Times New Roman"/>
          <w:b/>
          <w:sz w:val="20"/>
        </w:rPr>
        <w:t xml:space="preserve">INSTRUMENT OF TRANSFER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54"/>
        <w:gridCol w:w="204"/>
        <w:gridCol w:w="7246"/>
      </w:tblGrid>
      <w:tr>
        <w:trPr/>
        <w:tc>
          <w:tcPr>
            <w:tcW w:w="275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7246" w:type="dxa"/>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of the Company</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b/>
                <w:sz w:val="20"/>
              </w:rPr>
              <w:t xml:space="preserve">ZEMENIK TRADING LIMITED </w:t>
            </w:r>
            <w:r>
              <w:rPr>
                <w:rFonts w:ascii="Times New Roman" w:hAnsi="Times New Roman"/>
                <w:sz w:val="20"/>
              </w:rPr>
              <w:t>(registered number: HE 332806) (the “</w:t>
            </w:r>
            <w:r>
              <w:rPr>
                <w:rFonts w:ascii="Times New Roman" w:hAnsi="Times New Roman"/>
                <w:b/>
                <w:sz w:val="20"/>
              </w:rPr>
              <w:t>Company</w:t>
            </w:r>
            <w:r>
              <w:rPr>
                <w:rFonts w:ascii="Times New Roman" w:hAnsi="Times New Roman"/>
                <w:sz w:val="20"/>
              </w:rPr>
              <w:t>”)</w:t>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and address of Transferor</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OF PLEDGOR] of [ADDRESS] (the “</w:t>
            </w:r>
            <w:r>
              <w:rPr>
                <w:rFonts w:ascii="Times New Roman" w:hAnsi="Times New Roman"/>
                <w:b/>
                <w:sz w:val="20"/>
              </w:rPr>
              <w:t>Transferor</w:t>
            </w:r>
            <w:r>
              <w:rPr>
                <w:rFonts w:ascii="Times New Roman" w:hAnsi="Times New Roman"/>
                <w:sz w:val="20"/>
              </w:rPr>
              <w:t>”)</w:t>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 and address of Transferee</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(the “</w:t>
            </w:r>
            <w:r>
              <w:rPr>
                <w:rFonts w:ascii="Times New Roman" w:hAnsi="Times New Roman"/>
                <w:b/>
                <w:sz w:val="20"/>
              </w:rPr>
              <w:t>Transferee</w:t>
            </w:r>
            <w:r>
              <w:rPr>
                <w:rFonts w:ascii="Times New Roman" w:hAnsi="Times New Roman"/>
                <w:sz w:val="20"/>
              </w:rPr>
              <w:t>”)</w:t>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Number, Class and</w:t>
            </w:r>
          </w:p>
          <w:p>
            <w:pPr>
              <w:pStyle w:val="TableContents"/>
              <w:spacing w:before="0" w:after="20"/>
              <w:rPr>
                <w:rFonts w:ascii="Times New Roman" w:hAnsi="Times New Roman"/>
                <w:sz w:val="20"/>
              </w:rPr>
            </w:pPr>
            <w:r>
              <w:rPr>
                <w:rFonts w:ascii="Times New Roman" w:hAnsi="Times New Roman"/>
                <w:sz w:val="20"/>
              </w:rPr>
              <w:t>Denomination of Shares</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 ? ] [ordinary] shares of [ ? ] each (the “</w:t>
            </w:r>
            <w:r>
              <w:rPr>
                <w:rFonts w:ascii="Times New Roman" w:hAnsi="Times New Roman"/>
                <w:b/>
                <w:sz w:val="20"/>
              </w:rPr>
              <w:t>Shares</w:t>
            </w:r>
            <w:r>
              <w:rPr>
                <w:rFonts w:ascii="Times New Roman" w:hAnsi="Times New Roman"/>
                <w:sz w:val="20"/>
              </w:rPr>
              <w:t>”)</w:t>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Distinctive numbers of Shares</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 ? ] to [ ? ] inclusive</w:t>
            </w:r>
          </w:p>
        </w:tc>
      </w:tr>
    </w:tbl>
    <w:p>
      <w:pPr>
        <w:pStyle w:val="TextBody"/>
        <w:spacing w:before="240" w:after="0"/>
        <w:rPr>
          <w:rFonts w:ascii="Times New Roman" w:hAnsi="Times New Roman"/>
          <w:sz w:val="20"/>
        </w:rPr>
      </w:pPr>
      <w:r>
        <w:rPr>
          <w:rFonts w:ascii="Times New Roman" w:hAnsi="Times New Roman"/>
          <w:sz w:val="20"/>
        </w:rPr>
        <w:t xml:space="preserve">We, the Transferor, in consideration of the sum of €1 (one Euro) and other good and valuable consideration paid to us by the Transferee (the sufficiency of which we hereby acknowledge), do hereby transfer to the Transferee the Shares in the Company, so that the Transferee, its executors, administrators, successor and assigns, can hold the same subject to the terms and conditions on which we held the Shares at the time of execution of this Instrument. </w:t>
      </w:r>
    </w:p>
    <w:p>
      <w:pPr>
        <w:pStyle w:val="TextBody"/>
        <w:spacing w:before="240" w:after="0"/>
        <w:rPr>
          <w:rFonts w:ascii="Times New Roman" w:hAnsi="Times New Roman"/>
          <w:sz w:val="20"/>
        </w:rPr>
      </w:pPr>
      <w:r>
        <w:rPr>
          <w:rFonts w:ascii="Times New Roman" w:hAnsi="Times New Roman"/>
          <w:sz w:val="20"/>
        </w:rPr>
        <w:t xml:space="preserve">In witness whereof we have caused this Instrument to be executed on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694"/>
        <w:gridCol w:w="204"/>
        <w:gridCol w:w="5306"/>
      </w:tblGrid>
      <w:tr>
        <w:trPr/>
        <w:tc>
          <w:tcPr>
            <w:tcW w:w="469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5306" w:type="dxa"/>
            <w:tcBorders/>
            <w:shd w:fill="auto" w:val="clear"/>
            <w:vAlign w:val="center"/>
          </w:tcPr>
          <w:p>
            <w:pPr>
              <w:pStyle w:val="TableContents"/>
              <w:spacing w:before="0" w:after="283"/>
              <w:rPr>
                <w:sz w:val="4"/>
                <w:szCs w:val="4"/>
              </w:rPr>
            </w:pPr>
            <w:r>
              <w:rPr>
                <w:sz w:val="4"/>
                <w:szCs w:val="4"/>
              </w:rPr>
            </w:r>
          </w:p>
        </w:tc>
      </w:tr>
      <w:tr>
        <w:trPr/>
        <w:tc>
          <w:tcPr>
            <w:tcW w:w="4694" w:type="dxa"/>
            <w:tcBorders/>
            <w:shd w:fill="auto" w:val="clear"/>
          </w:tcPr>
          <w:p>
            <w:pPr>
              <w:pStyle w:val="TableContents"/>
              <w:spacing w:before="0" w:after="283"/>
              <w:rPr/>
            </w:pPr>
            <w:r>
              <w:rPr/>
              <w:t>SIGNED as a DEED</w:t>
            </w:r>
          </w:p>
        </w:tc>
        <w:tc>
          <w:tcPr>
            <w:tcW w:w="204" w:type="dxa"/>
            <w:tcBorders/>
            <w:shd w:fill="auto" w:val="clear"/>
            <w:vAlign w:val="bottom"/>
          </w:tcPr>
          <w:p>
            <w:pPr>
              <w:pStyle w:val="TableContents"/>
              <w:spacing w:before="0" w:after="283"/>
              <w:rPr/>
            </w:pPr>
            <w:r>
              <w:rPr/>
              <w:t>  </w:t>
            </w:r>
          </w:p>
        </w:tc>
        <w:tc>
          <w:tcPr>
            <w:tcW w:w="5306" w:type="dxa"/>
            <w:tcBorders/>
            <w:shd w:fill="auto" w:val="clear"/>
          </w:tcPr>
          <w:p>
            <w:pPr>
              <w:pStyle w:val="TableContents"/>
              <w:spacing w:before="0" w:after="283"/>
              <w:rPr/>
            </w:pPr>
            <w:r>
              <w:rPr/>
              <w:t>)</w:t>
            </w:r>
          </w:p>
        </w:tc>
      </w:tr>
      <w:tr>
        <w:trPr/>
        <w:tc>
          <w:tcPr>
            <w:tcW w:w="4694" w:type="dxa"/>
            <w:tcBorders/>
            <w:shd w:fill="auto" w:val="clear"/>
          </w:tcPr>
          <w:p>
            <w:pPr>
              <w:pStyle w:val="TableContents"/>
              <w:spacing w:before="0" w:after="0"/>
              <w:rPr>
                <w:rFonts w:ascii="Times New Roman" w:hAnsi="Times New Roman"/>
                <w:sz w:val="20"/>
              </w:rPr>
            </w:pPr>
            <w:r>
              <w:rPr>
                <w:rFonts w:ascii="Times New Roman" w:hAnsi="Times New Roman"/>
                <w:sz w:val="20"/>
              </w:rPr>
              <w:t>by [</w:t>
            </w:r>
            <w:r>
              <w:rPr>
                <w:rFonts w:ascii="Times New Roman" w:hAnsi="Times New Roman"/>
                <w:b/>
                <w:sz w:val="20"/>
              </w:rPr>
              <w:t>NAME OF THE PLEDGOR</w:t>
            </w:r>
            <w:r>
              <w:rPr>
                <w:rFonts w:ascii="Times New Roman" w:hAnsi="Times New Roman"/>
                <w:sz w:val="20"/>
              </w:rPr>
              <w:t>]</w:t>
            </w:r>
          </w:p>
        </w:tc>
        <w:tc>
          <w:tcPr>
            <w:tcW w:w="204" w:type="dxa"/>
            <w:tcBorders/>
            <w:shd w:fill="auto" w:val="clear"/>
            <w:vAlign w:val="bottom"/>
          </w:tcPr>
          <w:p>
            <w:pPr>
              <w:pStyle w:val="TableContents"/>
              <w:spacing w:before="0" w:after="283"/>
              <w:rPr/>
            </w:pPr>
            <w:r>
              <w:rPr/>
              <w:t>  </w:t>
            </w:r>
          </w:p>
        </w:tc>
        <w:tc>
          <w:tcPr>
            <w:tcW w:w="5306" w:type="dxa"/>
            <w:tcBorders/>
            <w:shd w:fill="auto" w:val="clear"/>
            <w:vAlign w:val="bottom"/>
          </w:tcPr>
          <w:p>
            <w:pPr>
              <w:pStyle w:val="TableContents"/>
              <w:spacing w:before="0" w:after="283"/>
              <w:rPr/>
            </w:pPr>
            <w:r>
              <w:rPr/>
              <w:t>)</w:t>
            </w:r>
          </w:p>
        </w:tc>
      </w:tr>
      <w:tr>
        <w:trPr/>
        <w:tc>
          <w:tcPr>
            <w:tcW w:w="4694" w:type="dxa"/>
            <w:tcBorders/>
            <w:shd w:fill="auto" w:val="clear"/>
          </w:tcPr>
          <w:p>
            <w:pPr>
              <w:pStyle w:val="TableContents"/>
              <w:spacing w:before="0" w:after="0"/>
              <w:rPr>
                <w:rFonts w:ascii="Times New Roman" w:hAnsi="Times New Roman"/>
                <w:sz w:val="20"/>
              </w:rPr>
            </w:pPr>
            <w:r>
              <w:rPr>
                <w:rFonts w:ascii="Times New Roman" w:hAnsi="Times New Roman"/>
                <w:sz w:val="20"/>
              </w:rPr>
              <w:t>[acting by its authorised attorney/director/signatory]</w:t>
            </w:r>
          </w:p>
        </w:tc>
        <w:tc>
          <w:tcPr>
            <w:tcW w:w="204" w:type="dxa"/>
            <w:tcBorders/>
            <w:shd w:fill="auto" w:val="clear"/>
            <w:vAlign w:val="bottom"/>
          </w:tcPr>
          <w:p>
            <w:pPr>
              <w:pStyle w:val="TableContents"/>
              <w:spacing w:before="0" w:after="283"/>
              <w:rPr/>
            </w:pPr>
            <w:r>
              <w:rPr/>
              <w:t>  </w:t>
            </w:r>
          </w:p>
        </w:tc>
        <w:tc>
          <w:tcPr>
            <w:tcW w:w="5306" w:type="dxa"/>
            <w:tcBorders/>
            <w:shd w:fill="auto" w:val="clear"/>
            <w:vAlign w:val="bottom"/>
          </w:tcPr>
          <w:p>
            <w:pPr>
              <w:pStyle w:val="TableContents"/>
              <w:spacing w:before="0" w:after="283"/>
              <w:rPr/>
            </w:pPr>
            <w:r>
              <w:rPr/>
              <w:t>)</w:t>
            </w:r>
          </w:p>
        </w:tc>
      </w:tr>
      <w:tr>
        <w:trPr/>
        <w:tc>
          <w:tcPr>
            <w:tcW w:w="4694"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204" w:type="dxa"/>
            <w:tcBorders/>
            <w:shd w:fill="auto" w:val="clear"/>
            <w:vAlign w:val="bottom"/>
          </w:tcPr>
          <w:p>
            <w:pPr>
              <w:pStyle w:val="TableContents"/>
              <w:spacing w:before="0" w:after="283"/>
              <w:rPr/>
            </w:pPr>
            <w:r>
              <w:rPr/>
              <w:t>  </w:t>
            </w:r>
          </w:p>
        </w:tc>
        <w:tc>
          <w:tcPr>
            <w:tcW w:w="5306" w:type="dxa"/>
            <w:tcBorders/>
            <w:shd w:fill="auto" w:val="clear"/>
            <w:vAlign w:val="bottom"/>
          </w:tcPr>
          <w:p>
            <w:pPr>
              <w:pStyle w:val="TableContents"/>
              <w:spacing w:before="0" w:after="283"/>
              <w:rPr/>
            </w:pPr>
            <w:r>
              <w:rPr/>
              <w:t>)</w:t>
            </w:r>
          </w:p>
        </w:tc>
      </w:tr>
      <w:tr>
        <w:trPr/>
        <w:tc>
          <w:tcPr>
            <w:tcW w:w="4694" w:type="dxa"/>
            <w:tcBorders/>
            <w:shd w:fill="auto" w:val="clear"/>
          </w:tcPr>
          <w:p>
            <w:pPr>
              <w:pStyle w:val="TableContents"/>
              <w:spacing w:before="0" w:after="0"/>
              <w:rPr>
                <w:rFonts w:ascii="Times New Roman" w:hAnsi="Times New Roman"/>
                <w:sz w:val="20"/>
              </w:rPr>
            </w:pPr>
            <w:r>
              <w:rPr>
                <w:rFonts w:ascii="Times New Roman" w:hAnsi="Times New Roman"/>
                <w:sz w:val="20"/>
              </w:rPr>
              <w:t>in the presence of:</w:t>
            </w:r>
          </w:p>
        </w:tc>
        <w:tc>
          <w:tcPr>
            <w:tcW w:w="204" w:type="dxa"/>
            <w:tcBorders/>
            <w:shd w:fill="auto" w:val="clear"/>
            <w:vAlign w:val="bottom"/>
          </w:tcPr>
          <w:p>
            <w:pPr>
              <w:pStyle w:val="TableContents"/>
              <w:spacing w:before="0" w:after="283"/>
              <w:rPr/>
            </w:pPr>
            <w:r>
              <w:rPr/>
              <w:t>  </w:t>
            </w:r>
          </w:p>
        </w:tc>
        <w:tc>
          <w:tcPr>
            <w:tcW w:w="5306" w:type="dxa"/>
            <w:tcBorders/>
            <w:shd w:fill="auto" w:val="clear"/>
            <w:vAlign w:val="bottom"/>
          </w:tcPr>
          <w:p>
            <w:pPr>
              <w:pStyle w:val="TableContents"/>
              <w:spacing w:before="0" w:after="283"/>
              <w:rPr/>
            </w:pPr>
            <w:r>
              <w:rPr/>
              <w:t>)</w:t>
            </w:r>
          </w:p>
        </w:tc>
      </w:tr>
    </w:tbl>
    <w:tbl>
      <w:tblPr>
        <w:tblW w:w="5000" w:type="pct"/>
        <w:jc w:val="center"/>
        <w:tblInd w:w="0" w:type="dxa"/>
        <w:tblBorders/>
        <w:tblCellMar>
          <w:top w:w="0" w:type="dxa"/>
          <w:left w:w="0" w:type="dxa"/>
          <w:bottom w:w="0" w:type="dxa"/>
          <w:right w:w="0" w:type="dxa"/>
        </w:tblCellMar>
      </w:tblPr>
      <w:tblGrid>
        <w:gridCol w:w="2363"/>
        <w:gridCol w:w="124"/>
        <w:gridCol w:w="3799"/>
        <w:gridCol w:w="124"/>
        <w:gridCol w:w="3795"/>
      </w:tblGrid>
      <w:tr>
        <w:trPr/>
        <w:tc>
          <w:tcPr>
            <w:tcW w:w="2363"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799" w:type="dxa"/>
            <w:tcBorders/>
            <w:shd w:fill="auto" w:val="clear"/>
            <w:vAlign w:val="center"/>
          </w:tcPr>
          <w:p>
            <w:pPr>
              <w:pStyle w:val="TableContents"/>
              <w:spacing w:before="0" w:after="283"/>
              <w:rPr>
                <w:sz w:val="4"/>
                <w:szCs w:val="4"/>
              </w:rPr>
            </w:pPr>
            <w:r>
              <w:rPr>
                <w:sz w:val="4"/>
                <w:szCs w:val="4"/>
              </w:rPr>
            </w:r>
          </w:p>
        </w:tc>
        <w:tc>
          <w:tcPr>
            <w:tcW w:w="124" w:type="dxa"/>
            <w:tcBorders/>
            <w:shd w:fill="auto" w:val="clear"/>
            <w:vAlign w:val="bottom"/>
          </w:tcPr>
          <w:p>
            <w:pPr>
              <w:pStyle w:val="TableContents"/>
              <w:spacing w:before="0" w:after="283"/>
              <w:rPr>
                <w:sz w:val="4"/>
                <w:szCs w:val="4"/>
              </w:rPr>
            </w:pPr>
            <w:r>
              <w:rPr>
                <w:sz w:val="4"/>
                <w:szCs w:val="4"/>
              </w:rPr>
            </w:r>
          </w:p>
        </w:tc>
        <w:tc>
          <w:tcPr>
            <w:tcW w:w="3795" w:type="dxa"/>
            <w:tcBorders/>
            <w:shd w:fill="auto" w:val="clear"/>
            <w:vAlign w:val="center"/>
          </w:tcPr>
          <w:p>
            <w:pPr>
              <w:pStyle w:val="TableContents"/>
              <w:spacing w:before="0" w:after="283"/>
              <w:rPr>
                <w:sz w:val="4"/>
                <w:szCs w:val="4"/>
              </w:rPr>
            </w:pPr>
            <w:r>
              <w:rPr>
                <w:sz w:val="4"/>
                <w:szCs w:val="4"/>
              </w:rPr>
            </w:r>
          </w:p>
        </w:tc>
      </w:tr>
      <w:tr>
        <w:trPr/>
        <w:tc>
          <w:tcPr>
            <w:tcW w:w="2363" w:type="dxa"/>
            <w:tcBorders/>
            <w:shd w:fill="auto" w:val="clear"/>
          </w:tcPr>
          <w:p>
            <w:pPr>
              <w:pStyle w:val="TableContents"/>
              <w:spacing w:before="0" w:after="0"/>
              <w:rPr>
                <w:rFonts w:ascii="Times New Roman" w:hAnsi="Times New Roman"/>
                <w:sz w:val="20"/>
              </w:rPr>
            </w:pPr>
            <w:r>
              <w:rPr>
                <w:rFonts w:ascii="Times New Roman" w:hAnsi="Times New Roman"/>
                <w:sz w:val="20"/>
              </w:rPr>
              <w:t>Witness’s Signature:</w:t>
            </w:r>
          </w:p>
        </w:tc>
        <w:tc>
          <w:tcPr>
            <w:tcW w:w="124" w:type="dxa"/>
            <w:tcBorders/>
            <w:shd w:fill="auto" w:val="clear"/>
            <w:vAlign w:val="bottom"/>
          </w:tcPr>
          <w:p>
            <w:pPr>
              <w:pStyle w:val="TableContents"/>
              <w:spacing w:before="0" w:after="283"/>
              <w:rPr/>
            </w:pPr>
            <w:r>
              <w:rPr/>
              <w:t>  </w:t>
            </w:r>
          </w:p>
        </w:tc>
        <w:tc>
          <w:tcPr>
            <w:tcW w:w="3799" w:type="dxa"/>
            <w:tcBorders/>
            <w:shd w:fill="auto" w:val="clear"/>
            <w:vAlign w:val="bottom"/>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795"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2363" w:type="dxa"/>
            <w:tcBorders/>
            <w:shd w:fill="auto" w:val="clear"/>
            <w:vAlign w:val="center"/>
          </w:tcPr>
          <w:p>
            <w:pPr>
              <w:pStyle w:val="TableContents"/>
              <w:spacing w:before="0" w:after="283"/>
              <w:rPr>
                <w:sz w:val="4"/>
                <w:szCs w:val="4"/>
              </w:rPr>
            </w:pPr>
            <w:r>
              <w:rPr>
                <w:sz w:val="4"/>
                <w:szCs w:val="4"/>
              </w:rPr>
            </w:r>
          </w:p>
        </w:tc>
        <w:tc>
          <w:tcPr>
            <w:tcW w:w="3923" w:type="dxa"/>
            <w:gridSpan w:val="2"/>
            <w:tcBorders/>
            <w:shd w:fill="auto" w:val="clear"/>
            <w:vAlign w:val="center"/>
          </w:tcPr>
          <w:p>
            <w:pPr>
              <w:pStyle w:val="TableContents"/>
              <w:spacing w:before="0" w:after="283"/>
              <w:rPr>
                <w:sz w:val="4"/>
                <w:szCs w:val="4"/>
              </w:rPr>
            </w:pPr>
            <w:r>
              <w:rPr>
                <w:sz w:val="4"/>
                <w:szCs w:val="4"/>
              </w:rPr>
            </w:r>
          </w:p>
        </w:tc>
        <w:tc>
          <w:tcPr>
            <w:tcW w:w="3919" w:type="dxa"/>
            <w:gridSpan w:val="2"/>
            <w:tcBorders/>
            <w:shd w:fill="auto" w:val="clear"/>
            <w:vAlign w:val="center"/>
          </w:tcPr>
          <w:p>
            <w:pPr>
              <w:pStyle w:val="TableContents"/>
              <w:spacing w:before="0" w:after="283"/>
              <w:rPr>
                <w:sz w:val="4"/>
                <w:szCs w:val="4"/>
              </w:rPr>
            </w:pPr>
            <w:r>
              <w:rPr>
                <w:sz w:val="4"/>
                <w:szCs w:val="4"/>
              </w:rPr>
            </w:r>
          </w:p>
        </w:tc>
      </w:tr>
      <w:tr>
        <w:trPr/>
        <w:tc>
          <w:tcPr>
            <w:tcW w:w="2363" w:type="dxa"/>
            <w:tcBorders/>
            <w:shd w:fill="auto" w:val="clear"/>
          </w:tcPr>
          <w:p>
            <w:pPr>
              <w:pStyle w:val="TableContents"/>
              <w:spacing w:before="0" w:after="0"/>
              <w:rPr>
                <w:rFonts w:ascii="Times New Roman" w:hAnsi="Times New Roman"/>
                <w:sz w:val="20"/>
              </w:rPr>
            </w:pPr>
            <w:r>
              <w:rPr>
                <w:rFonts w:ascii="Times New Roman" w:hAnsi="Times New Roman"/>
                <w:sz w:val="20"/>
              </w:rPr>
              <w:t>Name:</w:t>
            </w:r>
          </w:p>
        </w:tc>
        <w:tc>
          <w:tcPr>
            <w:tcW w:w="124" w:type="dxa"/>
            <w:tcBorders/>
            <w:shd w:fill="auto" w:val="clear"/>
            <w:vAlign w:val="bottom"/>
          </w:tcPr>
          <w:p>
            <w:pPr>
              <w:pStyle w:val="TableContents"/>
              <w:spacing w:before="0" w:after="283"/>
              <w:rPr/>
            </w:pPr>
            <w:r>
              <w:rPr/>
              <w:t>  </w:t>
            </w:r>
          </w:p>
        </w:tc>
        <w:tc>
          <w:tcPr>
            <w:tcW w:w="3799" w:type="dxa"/>
            <w:tcBorders/>
            <w:shd w:fill="auto" w:val="clear"/>
            <w:vAlign w:val="bottom"/>
          </w:tcPr>
          <w:p>
            <w:pPr>
              <w:pStyle w:val="TableContents"/>
              <w:pBdr>
                <w:bottom w:val="single" w:sz="2" w:space="1" w:color="000000"/>
              </w:pBdr>
              <w:spacing w:before="0" w:after="20"/>
              <w:rPr/>
            </w:pPr>
            <w:r>
              <w:rPr/>
              <w:t> </w:t>
            </w:r>
          </w:p>
        </w:tc>
        <w:tc>
          <w:tcPr>
            <w:tcW w:w="124" w:type="dxa"/>
            <w:tcBorders/>
            <w:shd w:fill="auto" w:val="clear"/>
            <w:vAlign w:val="bottom"/>
          </w:tcPr>
          <w:p>
            <w:pPr>
              <w:pStyle w:val="TableContents"/>
              <w:spacing w:before="0" w:after="283"/>
              <w:rPr/>
            </w:pPr>
            <w:r>
              <w:rPr/>
              <w:t>  </w:t>
            </w:r>
          </w:p>
        </w:tc>
        <w:tc>
          <w:tcPr>
            <w:tcW w:w="3795" w:type="dxa"/>
            <w:tcBorders/>
            <w:shd w:fill="auto" w:val="clear"/>
            <w:vAlign w:val="bottom"/>
          </w:tcPr>
          <w:p>
            <w:pPr>
              <w:pStyle w:val="TableContents"/>
              <w:spacing w:before="0" w:after="283"/>
              <w:rPr>
                <w:sz w:val="4"/>
                <w:szCs w:val="4"/>
              </w:rPr>
            </w:pPr>
            <w:r>
              <w:rPr>
                <w:sz w:val="4"/>
                <w:szCs w:val="4"/>
              </w:rPr>
            </w:r>
          </w:p>
        </w:tc>
      </w:tr>
    </w:tbl>
    <w:p>
      <w:pPr>
        <w:pStyle w:val="TextBody"/>
        <w:spacing w:before="240" w:after="0"/>
        <w:rPr>
          <w:rFonts w:ascii="Times New Roman" w:hAnsi="Times New Roman"/>
          <w:sz w:val="20"/>
        </w:rPr>
      </w:pPr>
      <w:r>
        <w:rPr>
          <w:rFonts w:ascii="Times New Roman" w:hAnsi="Times New Roman"/>
          <w:sz w:val="20"/>
        </w:rPr>
        <w:t xml:space="preserve">AND we, the Transferee, do hereby agree to accept and take the Shares subject to the terms and conditions aforesaid and have caused this Instrument to be executed on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694"/>
        <w:gridCol w:w="203"/>
        <w:gridCol w:w="5307"/>
      </w:tblGrid>
      <w:tr>
        <w:trPr/>
        <w:tc>
          <w:tcPr>
            <w:tcW w:w="469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5307" w:type="dxa"/>
            <w:tcBorders/>
            <w:shd w:fill="auto" w:val="clear"/>
            <w:vAlign w:val="center"/>
          </w:tcPr>
          <w:p>
            <w:pPr>
              <w:pStyle w:val="TableContents"/>
              <w:spacing w:before="0" w:after="283"/>
              <w:rPr>
                <w:sz w:val="4"/>
                <w:szCs w:val="4"/>
              </w:rPr>
            </w:pPr>
            <w:r>
              <w:rPr>
                <w:sz w:val="4"/>
                <w:szCs w:val="4"/>
              </w:rPr>
            </w:r>
          </w:p>
        </w:tc>
      </w:tr>
      <w:tr>
        <w:trPr/>
        <w:tc>
          <w:tcPr>
            <w:tcW w:w="4694" w:type="dxa"/>
            <w:tcBorders/>
            <w:shd w:fill="auto" w:val="clear"/>
          </w:tcPr>
          <w:p>
            <w:pPr>
              <w:pStyle w:val="TableContents"/>
              <w:spacing w:before="0" w:after="283"/>
              <w:rPr/>
            </w:pPr>
            <w:r>
              <w:rPr/>
              <w:t>SIGNED as a DEED</w:t>
            </w:r>
          </w:p>
        </w:tc>
        <w:tc>
          <w:tcPr>
            <w:tcW w:w="203"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4" w:type="dxa"/>
            <w:tcBorders/>
            <w:shd w:fill="auto" w:val="clear"/>
          </w:tcPr>
          <w:p>
            <w:pPr>
              <w:pStyle w:val="TableContents"/>
              <w:spacing w:before="0" w:after="283"/>
              <w:rPr/>
            </w:pPr>
            <w:r>
              <w:rPr/>
              <w:t>by</w:t>
            </w:r>
          </w:p>
        </w:tc>
        <w:tc>
          <w:tcPr>
            <w:tcW w:w="203"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4" w:type="dxa"/>
            <w:tcBorders/>
            <w:shd w:fill="auto" w:val="clear"/>
          </w:tcPr>
          <w:p>
            <w:pPr>
              <w:pStyle w:val="TableContents"/>
              <w:spacing w:before="0" w:after="283"/>
              <w:rPr/>
            </w:pPr>
            <w:r>
              <w:rPr/>
              <w:t>acting by its authorised</w:t>
            </w:r>
          </w:p>
        </w:tc>
        <w:tc>
          <w:tcPr>
            <w:tcW w:w="203"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4"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4" w:type="dxa"/>
            <w:tcBorders/>
            <w:shd w:fill="auto" w:val="clear"/>
          </w:tcPr>
          <w:p>
            <w:pPr>
              <w:pStyle w:val="TableContents"/>
              <w:spacing w:before="0" w:after="283"/>
              <w:rPr/>
            </w:pPr>
            <w:r>
              <w:rPr/>
              <w:t>in the presence of:</w:t>
            </w:r>
          </w:p>
        </w:tc>
        <w:tc>
          <w:tcPr>
            <w:tcW w:w="203"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bl>
    <w:tbl>
      <w:tblPr>
        <w:tblW w:w="5000" w:type="pct"/>
        <w:jc w:val="center"/>
        <w:tblInd w:w="0" w:type="dxa"/>
        <w:tblBorders/>
        <w:tblCellMar>
          <w:top w:w="0" w:type="dxa"/>
          <w:left w:w="0" w:type="dxa"/>
          <w:bottom w:w="0" w:type="dxa"/>
          <w:right w:w="0" w:type="dxa"/>
        </w:tblCellMar>
      </w:tblPr>
      <w:tblGrid>
        <w:gridCol w:w="2351"/>
        <w:gridCol w:w="110"/>
        <w:gridCol w:w="3796"/>
        <w:gridCol w:w="110"/>
        <w:gridCol w:w="3690"/>
        <w:gridCol w:w="121"/>
        <w:gridCol w:w="27"/>
      </w:tblGrid>
      <w:tr>
        <w:trPr/>
        <w:tc>
          <w:tcPr>
            <w:tcW w:w="2351" w:type="dxa"/>
            <w:tcBorders/>
            <w:shd w:fill="auto" w:val="clear"/>
            <w:vAlign w:val="center"/>
          </w:tcPr>
          <w:p>
            <w:pPr>
              <w:pStyle w:val="TableContents"/>
              <w:spacing w:before="0" w:after="283"/>
              <w:rPr>
                <w:sz w:val="4"/>
                <w:szCs w:val="4"/>
              </w:rPr>
            </w:pPr>
            <w:r>
              <w:rPr>
                <w:sz w:val="4"/>
                <w:szCs w:val="4"/>
              </w:rPr>
            </w:r>
          </w:p>
        </w:tc>
        <w:tc>
          <w:tcPr>
            <w:tcW w:w="110" w:type="dxa"/>
            <w:tcBorders/>
            <w:shd w:fill="auto" w:val="clear"/>
            <w:vAlign w:val="bottom"/>
          </w:tcPr>
          <w:p>
            <w:pPr>
              <w:pStyle w:val="TableContents"/>
              <w:spacing w:before="0" w:after="283"/>
              <w:rPr>
                <w:sz w:val="4"/>
                <w:szCs w:val="4"/>
              </w:rPr>
            </w:pPr>
            <w:r>
              <w:rPr>
                <w:sz w:val="4"/>
                <w:szCs w:val="4"/>
              </w:rPr>
            </w:r>
          </w:p>
        </w:tc>
        <w:tc>
          <w:tcPr>
            <w:tcW w:w="3796" w:type="dxa"/>
            <w:tcBorders/>
            <w:shd w:fill="auto" w:val="clear"/>
            <w:vAlign w:val="center"/>
          </w:tcPr>
          <w:p>
            <w:pPr>
              <w:pStyle w:val="TableContents"/>
              <w:spacing w:before="0" w:after="283"/>
              <w:rPr>
                <w:sz w:val="4"/>
                <w:szCs w:val="4"/>
              </w:rPr>
            </w:pPr>
            <w:r>
              <w:rPr>
                <w:sz w:val="4"/>
                <w:szCs w:val="4"/>
              </w:rPr>
            </w:r>
          </w:p>
        </w:tc>
        <w:tc>
          <w:tcPr>
            <w:tcW w:w="110" w:type="dxa"/>
            <w:tcBorders/>
            <w:shd w:fill="auto" w:val="clear"/>
            <w:vAlign w:val="bottom"/>
          </w:tcPr>
          <w:p>
            <w:pPr>
              <w:pStyle w:val="TableContents"/>
              <w:spacing w:before="0" w:after="283"/>
              <w:rPr>
                <w:sz w:val="4"/>
                <w:szCs w:val="4"/>
              </w:rPr>
            </w:pPr>
            <w:r>
              <w:rPr>
                <w:sz w:val="4"/>
                <w:szCs w:val="4"/>
              </w:rPr>
            </w:r>
          </w:p>
        </w:tc>
        <w:tc>
          <w:tcPr>
            <w:tcW w:w="3690" w:type="dxa"/>
            <w:tcBorders/>
            <w:shd w:fill="auto" w:val="clear"/>
            <w:vAlign w:val="cente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sz w:val="4"/>
                <w:szCs w:val="4"/>
              </w:rPr>
            </w:pPr>
            <w:r>
              <w:rPr>
                <w:sz w:val="4"/>
                <w:szCs w:val="4"/>
              </w:rPr>
            </w:r>
          </w:p>
        </w:tc>
        <w:tc>
          <w:tcPr>
            <w:tcW w:w="27" w:type="dxa"/>
            <w:tcBorders/>
            <w:shd w:fill="auto" w:val="clear"/>
            <w:vAlign w:val="center"/>
          </w:tcPr>
          <w:p>
            <w:pPr>
              <w:pStyle w:val="TableContents"/>
              <w:spacing w:before="0" w:after="283"/>
              <w:rPr>
                <w:sz w:val="4"/>
                <w:szCs w:val="4"/>
              </w:rPr>
            </w:pPr>
            <w:r>
              <w:rPr>
                <w:sz w:val="4"/>
                <w:szCs w:val="4"/>
              </w:rPr>
            </w:r>
          </w:p>
        </w:tc>
      </w:tr>
      <w:tr>
        <w:trPr/>
        <w:tc>
          <w:tcPr>
            <w:tcW w:w="2351" w:type="dxa"/>
            <w:tcBorders/>
            <w:shd w:fill="auto" w:val="clear"/>
          </w:tcPr>
          <w:p>
            <w:pPr>
              <w:pStyle w:val="TableContents"/>
              <w:spacing w:before="0" w:after="283"/>
              <w:rPr/>
            </w:pPr>
            <w:r>
              <w:rPr/>
              <w:t>Witness’s Signature:</w:t>
            </w:r>
          </w:p>
        </w:tc>
        <w:tc>
          <w:tcPr>
            <w:tcW w:w="110" w:type="dxa"/>
            <w:tcBorders/>
            <w:shd w:fill="auto" w:val="clear"/>
            <w:vAlign w:val="bottom"/>
          </w:tcPr>
          <w:p>
            <w:pPr>
              <w:pStyle w:val="TableContents"/>
              <w:spacing w:before="0" w:after="283"/>
              <w:rPr/>
            </w:pPr>
            <w:r>
              <w:rPr/>
              <w:t> </w:t>
            </w:r>
          </w:p>
        </w:tc>
        <w:tc>
          <w:tcPr>
            <w:tcW w:w="3796" w:type="dxa"/>
            <w:tcBorders/>
            <w:shd w:fill="auto" w:val="clear"/>
          </w:tcPr>
          <w:p>
            <w:pPr>
              <w:pStyle w:val="TableContents"/>
              <w:pBdr>
                <w:bottom w:val="single" w:sz="2" w:space="1" w:color="000000"/>
              </w:pBdr>
              <w:spacing w:before="0" w:after="20"/>
              <w:rPr/>
            </w:pPr>
            <w:r>
              <w:rPr/>
              <w:t> </w:t>
            </w:r>
          </w:p>
        </w:tc>
        <w:tc>
          <w:tcPr>
            <w:tcW w:w="110" w:type="dxa"/>
            <w:tcBorders/>
            <w:shd w:fill="auto" w:val="clear"/>
            <w:vAlign w:val="bottom"/>
          </w:tcPr>
          <w:p>
            <w:pPr>
              <w:pStyle w:val="TableContents"/>
              <w:spacing w:before="0" w:after="283"/>
              <w:rPr/>
            </w:pPr>
            <w:r>
              <w:rPr/>
              <w:t> </w:t>
            </w:r>
          </w:p>
        </w:tc>
        <w:tc>
          <w:tcPr>
            <w:tcW w:w="3690" w:type="dxa"/>
            <w:tcBorders/>
            <w:shd w:fill="auto" w:val="clea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pPr>
            <w:r>
              <w:rPr/>
              <w:t>  </w:t>
            </w:r>
          </w:p>
        </w:tc>
        <w:tc>
          <w:tcPr>
            <w:tcW w:w="27" w:type="dxa"/>
            <w:tcBorders/>
            <w:shd w:fill="auto" w:val="clear"/>
          </w:tcPr>
          <w:p>
            <w:pPr>
              <w:pStyle w:val="TableContents"/>
              <w:spacing w:before="0" w:after="283"/>
              <w:rPr>
                <w:sz w:val="4"/>
                <w:szCs w:val="4"/>
              </w:rPr>
            </w:pPr>
            <w:r>
              <w:rPr>
                <w:sz w:val="4"/>
                <w:szCs w:val="4"/>
              </w:rPr>
            </w:r>
          </w:p>
        </w:tc>
      </w:tr>
      <w:tr>
        <w:trPr>
          <w:trHeight w:val="120" w:hRule="atLeast"/>
        </w:trPr>
        <w:tc>
          <w:tcPr>
            <w:tcW w:w="2351" w:type="dxa"/>
            <w:tcBorders/>
            <w:shd w:fill="auto" w:val="clear"/>
            <w:vAlign w:val="center"/>
          </w:tcPr>
          <w:p>
            <w:pPr>
              <w:pStyle w:val="TableContents"/>
              <w:spacing w:before="0" w:after="283"/>
              <w:rPr>
                <w:sz w:val="4"/>
                <w:szCs w:val="4"/>
              </w:rPr>
            </w:pPr>
            <w:r>
              <w:rPr>
                <w:sz w:val="4"/>
                <w:szCs w:val="4"/>
              </w:rPr>
            </w:r>
          </w:p>
        </w:tc>
        <w:tc>
          <w:tcPr>
            <w:tcW w:w="3906" w:type="dxa"/>
            <w:gridSpan w:val="2"/>
            <w:tcBorders/>
            <w:shd w:fill="auto" w:val="clear"/>
            <w:vAlign w:val="center"/>
          </w:tcPr>
          <w:p>
            <w:pPr>
              <w:pStyle w:val="TableContents"/>
              <w:spacing w:before="0" w:after="283"/>
              <w:rPr>
                <w:sz w:val="4"/>
                <w:szCs w:val="4"/>
              </w:rPr>
            </w:pPr>
            <w:r>
              <w:rPr>
                <w:sz w:val="4"/>
                <w:szCs w:val="4"/>
              </w:rPr>
            </w:r>
          </w:p>
        </w:tc>
        <w:tc>
          <w:tcPr>
            <w:tcW w:w="3800" w:type="dxa"/>
            <w:gridSpan w:val="2"/>
            <w:tcBorders/>
            <w:shd w:fill="auto" w:val="clear"/>
            <w:vAlign w:val="center"/>
          </w:tcPr>
          <w:p>
            <w:pPr>
              <w:pStyle w:val="TableContents"/>
              <w:spacing w:before="0" w:after="283"/>
              <w:rPr>
                <w:sz w:val="4"/>
                <w:szCs w:val="4"/>
              </w:rPr>
            </w:pPr>
            <w:r>
              <w:rPr>
                <w:sz w:val="4"/>
                <w:szCs w:val="4"/>
              </w:rPr>
            </w:r>
          </w:p>
        </w:tc>
        <w:tc>
          <w:tcPr>
            <w:tcW w:w="148" w:type="dxa"/>
            <w:gridSpan w:val="2"/>
            <w:tcBorders/>
            <w:shd w:fill="auto" w:val="clear"/>
            <w:vAlign w:val="center"/>
          </w:tcPr>
          <w:p>
            <w:pPr>
              <w:pStyle w:val="TableContents"/>
              <w:spacing w:before="0" w:after="283"/>
              <w:rPr>
                <w:sz w:val="4"/>
                <w:szCs w:val="4"/>
              </w:rPr>
            </w:pPr>
            <w:r>
              <w:rPr>
                <w:sz w:val="4"/>
                <w:szCs w:val="4"/>
              </w:rPr>
            </w:r>
          </w:p>
        </w:tc>
      </w:tr>
      <w:tr>
        <w:trPr/>
        <w:tc>
          <w:tcPr>
            <w:tcW w:w="2351" w:type="dxa"/>
            <w:tcBorders/>
            <w:shd w:fill="auto" w:val="clear"/>
          </w:tcPr>
          <w:p>
            <w:pPr>
              <w:pStyle w:val="TableContents"/>
              <w:spacing w:before="0" w:after="283"/>
              <w:rPr/>
            </w:pPr>
            <w:r>
              <w:rPr/>
              <w:t>Name:</w:t>
            </w:r>
          </w:p>
        </w:tc>
        <w:tc>
          <w:tcPr>
            <w:tcW w:w="110" w:type="dxa"/>
            <w:tcBorders/>
            <w:shd w:fill="auto" w:val="clear"/>
            <w:vAlign w:val="bottom"/>
          </w:tcPr>
          <w:p>
            <w:pPr>
              <w:pStyle w:val="TableContents"/>
              <w:spacing w:before="0" w:after="283"/>
              <w:rPr/>
            </w:pPr>
            <w:r>
              <w:rPr/>
              <w:t> </w:t>
            </w:r>
          </w:p>
        </w:tc>
        <w:tc>
          <w:tcPr>
            <w:tcW w:w="3796" w:type="dxa"/>
            <w:tcBorders/>
            <w:shd w:fill="auto" w:val="clear"/>
          </w:tcPr>
          <w:p>
            <w:pPr>
              <w:pStyle w:val="TableContents"/>
              <w:pBdr>
                <w:bottom w:val="single" w:sz="2" w:space="1" w:color="000000"/>
              </w:pBdr>
              <w:spacing w:before="0" w:after="20"/>
              <w:rPr/>
            </w:pPr>
            <w:r>
              <w:rPr/>
              <w:t> </w:t>
            </w:r>
          </w:p>
        </w:tc>
        <w:tc>
          <w:tcPr>
            <w:tcW w:w="110" w:type="dxa"/>
            <w:tcBorders/>
            <w:shd w:fill="auto" w:val="clear"/>
            <w:vAlign w:val="bottom"/>
          </w:tcPr>
          <w:p>
            <w:pPr>
              <w:pStyle w:val="TableContents"/>
              <w:spacing w:before="0" w:after="283"/>
              <w:rPr/>
            </w:pPr>
            <w:r>
              <w:rPr/>
              <w:t> </w:t>
            </w:r>
          </w:p>
        </w:tc>
        <w:tc>
          <w:tcPr>
            <w:tcW w:w="3690" w:type="dxa"/>
            <w:tcBorders/>
            <w:shd w:fill="auto" w:val="clear"/>
          </w:tcPr>
          <w:p>
            <w:pPr>
              <w:pStyle w:val="TableContents"/>
              <w:spacing w:before="0" w:after="283"/>
              <w:rPr>
                <w:sz w:val="4"/>
                <w:szCs w:val="4"/>
              </w:rPr>
            </w:pPr>
            <w:r>
              <w:rPr>
                <w:sz w:val="4"/>
                <w:szCs w:val="4"/>
              </w:rPr>
            </w:r>
          </w:p>
        </w:tc>
        <w:tc>
          <w:tcPr>
            <w:tcW w:w="121" w:type="dxa"/>
            <w:tcBorders/>
            <w:shd w:fill="auto" w:val="clear"/>
            <w:vAlign w:val="bottom"/>
          </w:tcPr>
          <w:p>
            <w:pPr>
              <w:pStyle w:val="TableContents"/>
              <w:spacing w:before="0" w:after="283"/>
              <w:rPr/>
            </w:pPr>
            <w:r>
              <w:rPr/>
              <w:t>  </w:t>
            </w:r>
          </w:p>
        </w:tc>
        <w:tc>
          <w:tcPr>
            <w:tcW w:w="27"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2 </w:t>
      </w:r>
    </w:p>
    <w:p>
      <w:pPr>
        <w:pStyle w:val="TextBody"/>
        <w:spacing w:before="0" w:after="0"/>
        <w:jc w:val="center"/>
        <w:rPr>
          <w:rFonts w:ascii="Times New Roman" w:hAnsi="Times New Roman"/>
          <w:b/>
          <w:sz w:val="20"/>
        </w:rPr>
      </w:pPr>
      <w:r>
        <w:rPr>
          <w:rFonts w:ascii="Times New Roman" w:hAnsi="Times New Roman"/>
          <w:b/>
          <w:sz w:val="20"/>
        </w:rPr>
        <w:t xml:space="preserve">IRREVOCABLE PROXY AND POWER OF ATTORNEY </w:t>
      </w:r>
    </w:p>
    <w:p>
      <w:pPr>
        <w:pStyle w:val="TextBody"/>
        <w:spacing w:before="240" w:after="0"/>
        <w:rPr>
          <w:rFonts w:ascii="Times New Roman" w:hAnsi="Times New Roman"/>
          <w:sz w:val="20"/>
        </w:rPr>
      </w:pPr>
      <w:r>
        <w:rPr>
          <w:rFonts w:ascii="Times New Roman" w:hAnsi="Times New Roman"/>
          <w:sz w:val="20"/>
        </w:rPr>
        <w:t>This Power of Attorney is made by way of Deed on [DATE] by [PLEDGOR], [DETAILS] (the “</w:t>
      </w:r>
      <w:r>
        <w:rPr>
          <w:rFonts w:ascii="Times New Roman" w:hAnsi="Times New Roman"/>
          <w:b/>
          <w:sz w:val="20"/>
        </w:rPr>
        <w:t>Pledgor</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w:t>
            </w:r>
          </w:p>
        </w:tc>
        <w:tc>
          <w:tcPr>
            <w:tcW w:w="9391" w:type="dxa"/>
            <w:tcBorders/>
            <w:shd w:fill="auto" w:val="clear"/>
          </w:tcPr>
          <w:p>
            <w:pPr>
              <w:pStyle w:val="TableContents"/>
              <w:spacing w:before="0" w:after="283"/>
              <w:jc w:val="left"/>
              <w:rPr/>
            </w:pPr>
            <w:r>
              <w:rPr>
                <w:b/>
              </w:rPr>
              <w:t>APPOINTMENT AND POWERS</w:t>
            </w:r>
            <w:r>
              <w:rPr/>
              <w:t xml:space="preserve"> </w:t>
            </w:r>
          </w:p>
        </w:tc>
      </w:tr>
    </w:tbl>
    <w:p>
      <w:pPr>
        <w:pStyle w:val="TextBody"/>
        <w:spacing w:before="120" w:after="0"/>
        <w:rPr>
          <w:rFonts w:ascii="Times New Roman" w:hAnsi="Times New Roman"/>
          <w:sz w:val="20"/>
        </w:rPr>
      </w:pPr>
      <w:r>
        <w:rPr>
          <w:rFonts w:ascii="Times New Roman" w:hAnsi="Times New Roman"/>
          <w:sz w:val="20"/>
        </w:rPr>
        <w:t>We the Pledgor hereby make, constitute and appoint VTB BANK (PJSC) (the “</w:t>
      </w:r>
      <w:r>
        <w:rPr>
          <w:rFonts w:ascii="Times New Roman" w:hAnsi="Times New Roman"/>
          <w:b/>
          <w:sz w:val="20"/>
        </w:rPr>
        <w:t>Pledgee</w:t>
      </w:r>
      <w:r>
        <w:rPr>
          <w:rFonts w:ascii="Times New Roman" w:hAnsi="Times New Roman"/>
          <w:sz w:val="20"/>
        </w:rPr>
        <w:t>”), acting by any of its directors or officers from time to time, to be our true and lawful proxy and attorney (the “</w:t>
      </w:r>
      <w:r>
        <w:rPr>
          <w:rFonts w:ascii="Times New Roman" w:hAnsi="Times New Roman"/>
          <w:b/>
          <w:sz w:val="20"/>
        </w:rPr>
        <w:t>Attorney</w:t>
      </w:r>
      <w:r>
        <w:rPr>
          <w:rFonts w:ascii="Times New Roman" w:hAnsi="Times New Roman"/>
          <w:sz w:val="20"/>
        </w:rPr>
        <w:t xml:space="preserve">”) with full power and authority, and in our name and place or in the name of the Attorney, and on our behalf: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to exercise all rights in relation to [NUMBER] Ordinary shares of €1.00 each (the “</w:t>
            </w:r>
            <w:r>
              <w:rPr>
                <w:b/>
              </w:rPr>
              <w:t>Shares</w:t>
            </w:r>
            <w:r>
              <w:rPr/>
              <w:t>”) in ZEMENIK TRADING LIMITED (the “</w:t>
            </w:r>
            <w:r>
              <w:rPr>
                <w:b/>
              </w:rPr>
              <w:t>Company</w:t>
            </w:r>
            <w:r>
              <w:rPr/>
              <w:t>”) registered in the name of the Pledgor, which shares have been pledged to the Pledgee pursuant to a deed of pledge dated [DATE] between the Pledgor and the Pledgee (the “</w:t>
            </w:r>
            <w:r>
              <w:rPr>
                <w:b/>
              </w:rPr>
              <w:t>Deed of Pledge</w:t>
            </w:r>
            <w:r>
              <w:rPr/>
              <w:t xml:space="preserve">”), as the Attorney in its absolute discretion sees fit, including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receiving notice of, attending and voting at any annual or extraordinary general meeting of the shareholders of the Company, including meetings of the members of any particular class of shareholder, and all or any adjournment of such meetings, or signing any resolution as registered holder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2" w:type="dxa"/>
            <w:tcBorders/>
            <w:shd w:fill="auto" w:val="clear"/>
          </w:tcPr>
          <w:p>
            <w:pPr>
              <w:pStyle w:val="TableContents"/>
              <w:spacing w:before="0" w:after="283"/>
              <w:jc w:val="left"/>
              <w:rPr/>
            </w:pPr>
            <w:r>
              <w:rPr/>
              <w:t xml:space="preserve">completing and returning proxy cards, consents to short notice and any other documents required to be signed by the registered holder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dealing with and giving directions as to any moneys, securities, benefits, documents, notices or other communications (in whatever form) arising by right of the Shares or received in connection with the Shares from the Company or any other person;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(iv)</w:t>
            </w:r>
          </w:p>
        </w:tc>
        <w:tc>
          <w:tcPr>
            <w:tcW w:w="7553" w:type="dxa"/>
            <w:tcBorders/>
            <w:shd w:fill="auto" w:val="clear"/>
          </w:tcPr>
          <w:p>
            <w:pPr>
              <w:pStyle w:val="TableContents"/>
              <w:spacing w:before="0" w:after="283"/>
              <w:jc w:val="left"/>
              <w:rPr/>
            </w:pPr>
            <w:r>
              <w:rPr/>
              <w:t xml:space="preserve">otherwise executing, delivering and doing all deeds, instruments and acts in the Pledgor’s name insofar as may be done in the Pledgor’s capacity as registered holder of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to execute, deliver and perfect all documents and do all things which an Attorney may consider to be required or desirable for: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carrying out any obligation imposed on the Pledgor by the Deed of Pledge (including the execution and delivery of any pledges, mortgages, charges, assignments or other security and any transfer of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enabling the Pledgee to exercise, or delegate the exercise of, any of the rights, powers and authorities conferred on them by or pursuant to the Deed of Pledge or by law (including, the exercise of any right of a legal or beneficial owner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2.</w:t>
            </w:r>
          </w:p>
        </w:tc>
        <w:tc>
          <w:tcPr>
            <w:tcW w:w="9391" w:type="dxa"/>
            <w:tcBorders/>
            <w:shd w:fill="auto" w:val="clear"/>
          </w:tcPr>
          <w:p>
            <w:pPr>
              <w:pStyle w:val="TableContents"/>
              <w:spacing w:before="0" w:after="283"/>
              <w:jc w:val="left"/>
              <w:rPr/>
            </w:pPr>
            <w:r>
              <w:rPr>
                <w:b/>
              </w:rPr>
              <w:t>DELEGATION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Attorney may delegate one or more of the powers conferred on the Attorney by this power of attorney to a nominee or nominees appointed for that purpose by the board of directors of the relevant Attorney, by resolution or otherwise.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pPr>
            <w:r>
              <w:rPr>
                <w:b/>
              </w:rPr>
              <w:t>SUBSTITUTE ATTORNEY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Attorney may appoint one or more persons to act as substitute attorney(s) for the Pledgor and to exercise one or more of the powers conferred on the Attorney by this power of attorney other than the power to appoint a substitute attorney and revoke any such appointment.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4.</w:t>
            </w:r>
          </w:p>
        </w:tc>
        <w:tc>
          <w:tcPr>
            <w:tcW w:w="9391" w:type="dxa"/>
            <w:tcBorders/>
            <w:shd w:fill="auto" w:val="clear"/>
          </w:tcPr>
          <w:p>
            <w:pPr>
              <w:pStyle w:val="TableContents"/>
              <w:spacing w:before="0" w:after="283"/>
              <w:jc w:val="left"/>
              <w:rPr/>
            </w:pPr>
            <w:r>
              <w:rPr>
                <w:b/>
              </w:rPr>
              <w:t>POWER BY WAY OF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power of attorney is given by way of security pursuant to the Deed of Pledge and shall be irrevocable until all the debts, obligations and liabilities secured by the Deed of Pledge have been unconditionally and irrevocably paid and discharged in full.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5.</w:t>
            </w:r>
          </w:p>
        </w:tc>
        <w:tc>
          <w:tcPr>
            <w:tcW w:w="9389" w:type="dxa"/>
            <w:tcBorders/>
            <w:shd w:fill="auto" w:val="clear"/>
          </w:tcPr>
          <w:p>
            <w:pPr>
              <w:pStyle w:val="TableContents"/>
              <w:spacing w:before="0" w:after="283"/>
              <w:jc w:val="left"/>
              <w:rPr/>
            </w:pPr>
            <w:r>
              <w:rPr>
                <w:b/>
              </w:rPr>
              <w:t>UNDERTAKINGS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indemnifies the Attorney and its officers against any loss or liability suffered by the Attorney or its officers in acting as the Pledgor’s attorney or under this power of attorney;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agrees to ratify and confirm all things lawfully done and all documents executed by the Attorney or its officers in the proper exercise or purported exercise of all or any of its powers under this power of attorney.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6.</w:t>
            </w:r>
          </w:p>
        </w:tc>
        <w:tc>
          <w:tcPr>
            <w:tcW w:w="9389" w:type="dxa"/>
            <w:tcBorders/>
            <w:shd w:fill="auto" w:val="clear"/>
          </w:tcPr>
          <w:p>
            <w:pPr>
              <w:pStyle w:val="TableContents"/>
              <w:spacing w:before="0" w:after="283"/>
              <w:jc w:val="left"/>
              <w:rPr/>
            </w:pPr>
            <w:r>
              <w:rPr>
                <w:b/>
              </w:rPr>
              <w:t>JURISDICTION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power of attorney (and any dispute, controversy, proceedings or claim of whatever nature arising out of or in any way relating to this power of attorney, its formation or any act performed or claimed to be performed under it) shall be governed by and construed in accordance with Cyprus law. </w:t>
      </w:r>
    </w:p>
    <w:p>
      <w:pPr>
        <w:pStyle w:val="TextBody"/>
        <w:spacing w:before="240" w:after="0"/>
        <w:rPr>
          <w:rFonts w:ascii="Times New Roman" w:hAnsi="Times New Roman"/>
          <w:sz w:val="20"/>
        </w:rPr>
      </w:pPr>
      <w:r>
        <w:rPr>
          <w:rFonts w:ascii="Times New Roman" w:hAnsi="Times New Roman"/>
          <w:sz w:val="20"/>
        </w:rPr>
        <w:t xml:space="preserve">This document has been executed as a deed and is delivered and takes effect on the date stated at the beginning of it.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695"/>
        <w:gridCol w:w="202"/>
        <w:gridCol w:w="5307"/>
      </w:tblGrid>
      <w:tr>
        <w:trPr/>
        <w:tc>
          <w:tcPr>
            <w:tcW w:w="4695"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5307" w:type="dxa"/>
            <w:tcBorders/>
            <w:shd w:fill="auto" w:val="clear"/>
            <w:vAlign w:val="center"/>
          </w:tcPr>
          <w:p>
            <w:pPr>
              <w:pStyle w:val="TableContents"/>
              <w:spacing w:before="0" w:after="283"/>
              <w:rPr>
                <w:sz w:val="4"/>
                <w:szCs w:val="4"/>
              </w:rPr>
            </w:pPr>
            <w:r>
              <w:rPr>
                <w:sz w:val="4"/>
                <w:szCs w:val="4"/>
              </w:rPr>
            </w:r>
          </w:p>
        </w:tc>
      </w:tr>
      <w:tr>
        <w:trPr/>
        <w:tc>
          <w:tcPr>
            <w:tcW w:w="4695" w:type="dxa"/>
            <w:tcBorders/>
            <w:shd w:fill="auto" w:val="clear"/>
          </w:tcPr>
          <w:p>
            <w:pPr>
              <w:pStyle w:val="TableContents"/>
              <w:spacing w:before="0" w:after="283"/>
              <w:rPr/>
            </w:pPr>
            <w:r>
              <w:rPr/>
              <w:t>SIGNED as a DEED</w:t>
            </w:r>
          </w:p>
        </w:tc>
        <w:tc>
          <w:tcPr>
            <w:tcW w:w="202"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5" w:type="dxa"/>
            <w:tcBorders/>
            <w:shd w:fill="auto" w:val="clear"/>
          </w:tcPr>
          <w:p>
            <w:pPr>
              <w:pStyle w:val="TableContents"/>
              <w:spacing w:before="0" w:after="283"/>
              <w:rPr/>
            </w:pPr>
            <w:r>
              <w:rPr/>
              <w:t>by [</w:t>
            </w:r>
            <w:r>
              <w:rPr>
                <w:b/>
              </w:rPr>
              <w:t>NAME OF THE PLEDGOR</w:t>
            </w:r>
            <w:r>
              <w:rPr/>
              <w:t>]</w:t>
            </w:r>
          </w:p>
        </w:tc>
        <w:tc>
          <w:tcPr>
            <w:tcW w:w="202"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5" w:type="dxa"/>
            <w:tcBorders/>
            <w:shd w:fill="auto" w:val="clear"/>
          </w:tcPr>
          <w:p>
            <w:pPr>
              <w:pStyle w:val="TableContents"/>
              <w:spacing w:before="0" w:after="283"/>
              <w:rPr/>
            </w:pPr>
            <w:r>
              <w:rPr/>
              <w:t>[acting by its authorised attorney/signatory/director]</w:t>
            </w:r>
          </w:p>
        </w:tc>
        <w:tc>
          <w:tcPr>
            <w:tcW w:w="202"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5" w:type="dxa"/>
            <w:tcBorders/>
            <w:shd w:fill="auto" w:val="clear"/>
          </w:tcPr>
          <w:p>
            <w:pPr>
              <w:pStyle w:val="TableContents"/>
              <w:spacing w:before="0" w:after="283"/>
              <w:rPr/>
            </w:pPr>
            <w:r>
              <w:rPr/>
              <w:t>[NAME]</w:t>
            </w:r>
          </w:p>
        </w:tc>
        <w:tc>
          <w:tcPr>
            <w:tcW w:w="202"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5" w:type="dxa"/>
            <w:tcBorders/>
            <w:shd w:fill="auto" w:val="clear"/>
          </w:tcPr>
          <w:p>
            <w:pPr>
              <w:pStyle w:val="TableContents"/>
              <w:spacing w:before="0" w:after="283"/>
              <w:rPr/>
            </w:pPr>
            <w:r>
              <w:rPr/>
              <w:t>in the presence of:</w:t>
            </w:r>
          </w:p>
        </w:tc>
        <w:tc>
          <w:tcPr>
            <w:tcW w:w="202"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bl>
    <w:tbl>
      <w:tblPr>
        <w:tblW w:w="5000" w:type="pct"/>
        <w:jc w:val="center"/>
        <w:tblInd w:w="0" w:type="dxa"/>
        <w:tblBorders/>
        <w:tblCellMar>
          <w:top w:w="0" w:type="dxa"/>
          <w:left w:w="0" w:type="dxa"/>
          <w:bottom w:w="0" w:type="dxa"/>
          <w:right w:w="0" w:type="dxa"/>
        </w:tblCellMar>
      </w:tblPr>
      <w:tblGrid>
        <w:gridCol w:w="2400"/>
        <w:gridCol w:w="129"/>
        <w:gridCol w:w="3776"/>
        <w:gridCol w:w="129"/>
        <w:gridCol w:w="3771"/>
      </w:tblGrid>
      <w:tr>
        <w:trPr/>
        <w:tc>
          <w:tcPr>
            <w:tcW w:w="2400"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6"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1" w:type="dxa"/>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Witness’s Signature: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Name: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3 </w:t>
      </w:r>
    </w:p>
    <w:p>
      <w:pPr>
        <w:pStyle w:val="TextBody"/>
        <w:spacing w:before="0" w:after="0"/>
        <w:jc w:val="center"/>
        <w:rPr>
          <w:rFonts w:ascii="Times New Roman" w:hAnsi="Times New Roman"/>
          <w:b/>
          <w:sz w:val="20"/>
        </w:rPr>
      </w:pPr>
      <w:r>
        <w:rPr>
          <w:rFonts w:ascii="Times New Roman" w:hAnsi="Times New Roman"/>
          <w:b/>
          <w:sz w:val="20"/>
        </w:rPr>
        <w:t xml:space="preserve">LETTER OF RESIGNATION </w:t>
      </w:r>
    </w:p>
    <w:p>
      <w:pPr>
        <w:pStyle w:val="TextBody"/>
        <w:spacing w:before="240" w:after="0"/>
        <w:rPr>
          <w:rFonts w:ascii="Times New Roman" w:hAnsi="Times New Roman"/>
          <w:sz w:val="20"/>
        </w:rPr>
      </w:pPr>
      <w:r>
        <w:rPr>
          <w:rFonts w:ascii="Times New Roman" w:hAnsi="Times New Roman"/>
          <w:sz w:val="20"/>
        </w:rPr>
        <w:t>To:    ZEMENIK TRADING LIMITED (the “</w:t>
      </w:r>
      <w:r>
        <w:rPr>
          <w:rFonts w:ascii="Times New Roman" w:hAnsi="Times New Roman"/>
          <w:b/>
          <w:sz w:val="20"/>
        </w:rPr>
        <w:t>Company</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240" w:after="0"/>
        <w:rPr>
          <w:rFonts w:ascii="Times New Roman" w:hAnsi="Times New Roman"/>
          <w:sz w:val="20"/>
        </w:rPr>
      </w:pPr>
      <w:r>
        <w:rPr>
          <w:rFonts w:ascii="Times New Roman" w:hAnsi="Times New Roman"/>
          <w:sz w:val="20"/>
        </w:rPr>
        <w:t xml:space="preserve">[We]/[I], [NAME] hereby resign from [our]/[my] position as a [Director] [Secretary] of the Company with effect from the date of this letter. </w:t>
      </w:r>
    </w:p>
    <w:p>
      <w:pPr>
        <w:pStyle w:val="TextBody"/>
        <w:spacing w:before="240" w:after="0"/>
        <w:rPr>
          <w:rFonts w:ascii="Times New Roman" w:hAnsi="Times New Roman"/>
          <w:sz w:val="20"/>
        </w:rPr>
      </w:pPr>
      <w:r>
        <w:rPr>
          <w:rFonts w:ascii="Times New Roman" w:hAnsi="Times New Roman"/>
          <w:sz w:val="20"/>
        </w:rPr>
        <w:t xml:space="preserve">[We]/[I] hereby confirm that [we]/[I] have no claim whatsoever against the Company, other than any fees owed to [us]/[me] or remaining outstanding in respect of serving the Company in [our]/[my] capacity as Director/Secretary up to and including the date of [our]/[my] resignation.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0205"/>
      </w:tblGrid>
      <w:tr>
        <w:trPr/>
        <w:tc>
          <w:tcPr>
            <w:tcW w:w="10205" w:type="dxa"/>
            <w:tcBorders/>
            <w:shd w:fill="auto" w:val="clear"/>
            <w:vAlign w:val="center"/>
          </w:tcPr>
          <w:p>
            <w:pPr>
              <w:pStyle w:val="TableContents"/>
              <w:spacing w:before="0" w:after="283"/>
              <w:rPr>
                <w:sz w:val="4"/>
                <w:szCs w:val="4"/>
              </w:rPr>
            </w:pPr>
            <w:r>
              <w:rPr>
                <w:sz w:val="4"/>
                <w:szCs w:val="4"/>
              </w:rPr>
            </w:r>
          </w:p>
        </w:tc>
      </w:tr>
      <w:tr>
        <w:trPr/>
        <w:tc>
          <w:tcPr>
            <w:tcW w:w="1020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Yours faithfully,</w:t>
            </w:r>
          </w:p>
          <w:p>
            <w:pPr>
              <w:pStyle w:val="TableContents"/>
              <w:spacing w:before="0" w:after="0"/>
              <w:rPr/>
            </w:pPr>
            <w:r>
              <w:rPr/>
              <w:t> </w:t>
            </w:r>
          </w:p>
          <w:p>
            <w:pPr>
              <w:pStyle w:val="TableContents"/>
              <w:spacing w:before="0" w:after="20"/>
              <w:rPr>
                <w:u w:val="single"/>
              </w:rPr>
            </w:pPr>
            <w:r>
              <w:rPr>
                <w:u w:val="single"/>
              </w:rPr>
              <w:t>                                                                              </w:t>
            </w:r>
          </w:p>
        </w:tc>
      </w:tr>
      <w:tr>
        <w:trPr/>
        <w:tc>
          <w:tcPr>
            <w:tcW w:w="10205" w:type="dxa"/>
            <w:tcBorders/>
            <w:shd w:fill="auto" w:val="clear"/>
            <w:vAlign w:val="bottom"/>
          </w:tcPr>
          <w:p>
            <w:pPr>
              <w:pStyle w:val="TableContents"/>
              <w:spacing w:before="0" w:after="283"/>
              <w:rPr/>
            </w:pPr>
            <w:r>
              <w:rPr/>
              <w:t>[</w:t>
            </w:r>
            <w:r>
              <w:rPr>
                <w:b/>
              </w:rPr>
              <w:t>NAME OF DIRECTOR/SECRETARY</w:t>
            </w:r>
            <w:r>
              <w:rPr/>
              <w:t>]</w:t>
            </w:r>
          </w:p>
        </w:tc>
      </w:tr>
      <w:tr>
        <w:trPr/>
        <w:tc>
          <w:tcPr>
            <w:tcW w:w="10205" w:type="dxa"/>
            <w:tcBorders/>
            <w:shd w:fill="auto" w:val="clear"/>
            <w:vAlign w:val="bottom"/>
          </w:tcPr>
          <w:p>
            <w:pPr>
              <w:pStyle w:val="TableContents"/>
              <w:spacing w:before="0" w:after="283"/>
              <w:rPr/>
            </w:pPr>
            <w:r>
              <w:rPr/>
              <w:t>[Director/Secretary]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4 </w:t>
      </w:r>
    </w:p>
    <w:p>
      <w:pPr>
        <w:pStyle w:val="TextBody"/>
        <w:spacing w:before="0" w:after="0"/>
        <w:jc w:val="center"/>
        <w:rPr>
          <w:rFonts w:ascii="Times New Roman" w:hAnsi="Times New Roman"/>
          <w:b/>
          <w:sz w:val="20"/>
        </w:rPr>
      </w:pPr>
      <w:r>
        <w:rPr>
          <w:rFonts w:ascii="Times New Roman" w:hAnsi="Times New Roman"/>
          <w:b/>
          <w:sz w:val="20"/>
        </w:rPr>
        <w:t xml:space="preserve">LETTER OF AUTHORITY AND UNDERTAKING </w:t>
      </w:r>
    </w:p>
    <w:p>
      <w:pPr>
        <w:pStyle w:val="TextBody"/>
        <w:spacing w:before="240" w:after="0"/>
        <w:rPr>
          <w:rFonts w:ascii="Times New Roman" w:hAnsi="Times New Roman"/>
          <w:sz w:val="20"/>
        </w:rPr>
      </w:pPr>
      <w:r>
        <w:rPr>
          <w:rFonts w:ascii="Times New Roman" w:hAnsi="Times New Roman"/>
          <w:sz w:val="20"/>
        </w:rPr>
        <w:t>To:    VTB BANK (PJSC) (the “</w:t>
      </w:r>
      <w:r>
        <w:rPr>
          <w:rFonts w:ascii="Times New Roman" w:hAnsi="Times New Roman"/>
          <w:b/>
          <w:sz w:val="20"/>
        </w:rPr>
        <w:t>Pledgee</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Date:    [DATE]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120" w:after="0"/>
        <w:rPr>
          <w:rFonts w:ascii="Times New Roman" w:hAnsi="Times New Roman"/>
          <w:sz w:val="20"/>
        </w:rPr>
      </w:pPr>
      <w:r>
        <w:rPr>
          <w:rFonts w:ascii="Times New Roman" w:hAnsi="Times New Roman"/>
          <w:b/>
          <w:sz w:val="20"/>
        </w:rPr>
        <w:t>ZEMENIK TRADING</w:t>
      </w:r>
      <w:r>
        <w:rPr>
          <w:rFonts w:ascii="Times New Roman" w:hAnsi="Times New Roman"/>
          <w:sz w:val="20"/>
        </w:rPr>
        <w:t xml:space="preserve"> </w:t>
      </w:r>
      <w:r>
        <w:rPr>
          <w:rFonts w:ascii="Times New Roman" w:hAnsi="Times New Roman"/>
          <w:b/>
          <w:sz w:val="20"/>
        </w:rPr>
        <w:t>(</w:t>
      </w: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We, the undersigned, holding the offices in the Company set out under our names refer to the facility agreement dated [DATE] (as amended, supplemented or novated from time to time, the “</w:t>
      </w:r>
      <w:r>
        <w:rPr>
          <w:rFonts w:ascii="Times New Roman" w:hAnsi="Times New Roman"/>
          <w:b/>
          <w:sz w:val="20"/>
        </w:rPr>
        <w:t>Facility Agreement</w:t>
      </w:r>
      <w:r>
        <w:rPr>
          <w:rFonts w:ascii="Times New Roman" w:hAnsi="Times New Roman"/>
          <w:sz w:val="20"/>
        </w:rPr>
        <w:t>”) and a deed of pledge dated [DATE] in respect of [ ? ] shares in the Company (the “</w:t>
      </w:r>
      <w:r>
        <w:rPr>
          <w:rFonts w:ascii="Times New Roman" w:hAnsi="Times New Roman"/>
          <w:b/>
          <w:sz w:val="20"/>
        </w:rPr>
        <w:t>Deed of Pledge</w:t>
      </w:r>
      <w:r>
        <w:rPr>
          <w:rFonts w:ascii="Times New Roman" w:hAnsi="Times New Roman"/>
          <w:sz w:val="20"/>
        </w:rPr>
        <w:t>”) executed by [ ? ] (the “</w:t>
      </w:r>
      <w:r>
        <w:rPr>
          <w:rFonts w:ascii="Times New Roman" w:hAnsi="Times New Roman"/>
          <w:b/>
          <w:sz w:val="20"/>
        </w:rPr>
        <w:t>Pledgor</w:t>
      </w:r>
      <w:r>
        <w:rPr>
          <w:rFonts w:ascii="Times New Roman" w:hAnsi="Times New Roman"/>
          <w:sz w:val="20"/>
        </w:rPr>
        <w:t xml:space="preserve">”) in favour of the Pledgee as security for the Secured Liabilities (as defined in the Deed of Pledge). </w:t>
      </w:r>
    </w:p>
    <w:p>
      <w:pPr>
        <w:pStyle w:val="TextBody"/>
        <w:spacing w:before="240" w:after="0"/>
        <w:rPr>
          <w:rFonts w:ascii="Times New Roman" w:hAnsi="Times New Roman"/>
          <w:sz w:val="20"/>
        </w:rPr>
      </w:pPr>
      <w:r>
        <w:rPr>
          <w:rFonts w:ascii="Times New Roman" w:hAnsi="Times New Roman"/>
          <w:sz w:val="20"/>
        </w:rPr>
        <w:t xml:space="preserve">For good and valuable consideration provided by the Pledgee (the receipt and sufficiency of which is hereby acknowledged):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1.</w:t>
            </w:r>
          </w:p>
        </w:tc>
        <w:tc>
          <w:tcPr>
            <w:tcW w:w="9392" w:type="dxa"/>
            <w:tcBorders/>
            <w:shd w:fill="auto" w:val="clear"/>
          </w:tcPr>
          <w:p>
            <w:pPr>
              <w:pStyle w:val="TableContents"/>
              <w:spacing w:before="0" w:after="283"/>
              <w:jc w:val="left"/>
              <w:rPr/>
            </w:pPr>
            <w:r>
              <w:rPr/>
              <w:t xml:space="preserve">We hereby irrevocably authorise and undertake with the Pledgee that until the date on which all the Secured Liabilities have been unconditionally and irrevocably paid and discharged in full, we will not act alone or with any other person, enter into or accept or authorise any act or omission in contravention of the terms of the Facility Agreement or the Deed of Pledge;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w:t>
            </w:r>
          </w:p>
        </w:tc>
        <w:tc>
          <w:tcPr>
            <w:tcW w:w="9390" w:type="dxa"/>
            <w:tcBorders/>
            <w:shd w:fill="auto" w:val="clear"/>
          </w:tcPr>
          <w:p>
            <w:pPr>
              <w:pStyle w:val="TableContents"/>
              <w:spacing w:before="0" w:after="283"/>
              <w:jc w:val="left"/>
              <w:rPr/>
            </w:pPr>
            <w:r>
              <w:rPr/>
              <w:t xml:space="preserve">We hereby irrevocably authorise the Pledgee at any time on or after an Event of Default occurs under and as defined in the Facility Agreement, to date, use and otherwise put into full effect the undated letter of resignation delivered by me to the Pledgee pursuant to the Deed of Pledge. </w:t>
            </w:r>
          </w:p>
        </w:tc>
      </w:tr>
    </w:tbl>
    <w:p>
      <w:pPr>
        <w:pStyle w:val="TextBody"/>
        <w:spacing w:before="240" w:after="0"/>
        <w:rPr>
          <w:rFonts w:ascii="Times New Roman" w:hAnsi="Times New Roman"/>
          <w:sz w:val="20"/>
        </w:rPr>
      </w:pPr>
      <w:r>
        <w:rPr>
          <w:rFonts w:ascii="Times New Roman" w:hAnsi="Times New Roman"/>
          <w:sz w:val="20"/>
        </w:rPr>
        <w:t xml:space="preserve">Terms defined in the Deed of Pledge have the same meaning in this letter.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240" w:after="0"/>
        <w:rPr>
          <w:rFonts w:ascii="Times New Roman" w:hAnsi="Times New Roman"/>
          <w:sz w:val="20"/>
        </w:rPr>
      </w:pPr>
      <w:r>
        <w:rPr>
          <w:rFonts w:ascii="Times New Roman" w:hAnsi="Times New Roman"/>
          <w:sz w:val="20"/>
        </w:rPr>
        <w:t xml:space="preserve">Yours faithfully,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679"/>
        <w:gridCol w:w="108"/>
        <w:gridCol w:w="680"/>
        <w:gridCol w:w="120"/>
        <w:gridCol w:w="4618"/>
      </w:tblGrid>
      <w:tr>
        <w:trPr/>
        <w:tc>
          <w:tcPr>
            <w:tcW w:w="4679" w:type="dxa"/>
            <w:tcBorders/>
            <w:shd w:fill="auto" w:val="clear"/>
            <w:vAlign w:val="center"/>
          </w:tcPr>
          <w:p>
            <w:pPr>
              <w:pStyle w:val="TableContents"/>
              <w:spacing w:before="0" w:after="283"/>
              <w:rPr>
                <w:sz w:val="4"/>
                <w:szCs w:val="4"/>
              </w:rPr>
            </w:pPr>
            <w:r>
              <w:rPr>
                <w:sz w:val="4"/>
                <w:szCs w:val="4"/>
              </w:rPr>
            </w:r>
          </w:p>
        </w:tc>
        <w:tc>
          <w:tcPr>
            <w:tcW w:w="108" w:type="dxa"/>
            <w:tcBorders/>
            <w:shd w:fill="auto" w:val="clear"/>
            <w:vAlign w:val="bottom"/>
          </w:tcPr>
          <w:p>
            <w:pPr>
              <w:pStyle w:val="TableContents"/>
              <w:spacing w:before="0" w:after="283"/>
              <w:rPr>
                <w:sz w:val="4"/>
                <w:szCs w:val="4"/>
              </w:rPr>
            </w:pPr>
            <w:r>
              <w:rPr>
                <w:sz w:val="4"/>
                <w:szCs w:val="4"/>
              </w:rPr>
            </w:r>
          </w:p>
        </w:tc>
        <w:tc>
          <w:tcPr>
            <w:tcW w:w="68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4618" w:type="dxa"/>
            <w:tcBorders/>
            <w:shd w:fill="auto" w:val="clear"/>
            <w:vAlign w:val="center"/>
          </w:tcPr>
          <w:p>
            <w:pPr>
              <w:pStyle w:val="TableContents"/>
              <w:spacing w:before="0" w:after="283"/>
              <w:rPr>
                <w:sz w:val="4"/>
                <w:szCs w:val="4"/>
              </w:rPr>
            </w:pPr>
            <w:r>
              <w:rPr>
                <w:sz w:val="4"/>
                <w:szCs w:val="4"/>
              </w:rPr>
            </w:r>
          </w:p>
        </w:tc>
      </w:tr>
      <w:tr>
        <w:trPr/>
        <w:tc>
          <w:tcPr>
            <w:tcW w:w="4679" w:type="dxa"/>
            <w:tcBorders/>
            <w:shd w:fill="auto" w:val="clear"/>
          </w:tcPr>
          <w:p>
            <w:pPr>
              <w:pStyle w:val="TableContents"/>
              <w:pBdr>
                <w:bottom w:val="single" w:sz="2" w:space="1" w:color="000000"/>
              </w:pBdr>
              <w:spacing w:before="0" w:after="0"/>
              <w:rPr/>
            </w:pPr>
            <w:r>
              <w:rPr/>
              <w:t> </w:t>
            </w:r>
          </w:p>
          <w:p>
            <w:pPr>
              <w:pStyle w:val="TableContents"/>
              <w:spacing w:before="0" w:after="20"/>
              <w:rPr>
                <w:rFonts w:ascii="Times New Roman" w:hAnsi="Times New Roman"/>
                <w:sz w:val="20"/>
              </w:rPr>
            </w:pPr>
            <w:r>
              <w:rPr>
                <w:rFonts w:ascii="Times New Roman" w:hAnsi="Times New Roman"/>
                <w:b/>
                <w:sz w:val="20"/>
              </w:rPr>
              <w:t>KATERINA IOSIF</w:t>
            </w:r>
            <w:r>
              <w:rPr>
                <w:rFonts w:ascii="Times New Roman" w:hAnsi="Times New Roman"/>
                <w:sz w:val="20"/>
              </w:rPr>
              <w:br/>
              <w:t>Director</w:t>
            </w:r>
          </w:p>
        </w:tc>
        <w:tc>
          <w:tcPr>
            <w:tcW w:w="108"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4618" w:type="dxa"/>
            <w:tcBorders/>
            <w:shd w:fill="auto" w:val="clear"/>
          </w:tcPr>
          <w:p>
            <w:pPr>
              <w:pStyle w:val="TableContents"/>
              <w:pBdr>
                <w:bottom w:val="single" w:sz="2" w:space="1" w:color="000000"/>
              </w:pBdr>
              <w:spacing w:before="0" w:after="0"/>
              <w:rPr/>
            </w:pPr>
            <w:r>
              <w:rPr/>
              <w:t> </w:t>
            </w:r>
          </w:p>
          <w:p>
            <w:pPr>
              <w:pStyle w:val="TableContents"/>
              <w:spacing w:before="0" w:after="20"/>
              <w:rPr>
                <w:rFonts w:ascii="Times New Roman" w:hAnsi="Times New Roman"/>
                <w:sz w:val="20"/>
              </w:rPr>
            </w:pPr>
            <w:r>
              <w:rPr>
                <w:rFonts w:ascii="Times New Roman" w:hAnsi="Times New Roman"/>
                <w:b/>
                <w:sz w:val="20"/>
              </w:rPr>
              <w:t>PANAYIOTA STYLIANOU</w:t>
            </w:r>
            <w:r>
              <w:rPr>
                <w:rFonts w:ascii="Times New Roman" w:hAnsi="Times New Roman"/>
                <w:sz w:val="20"/>
              </w:rPr>
              <w:br/>
              <w:t>Director</w:t>
            </w:r>
          </w:p>
        </w:tc>
      </w:tr>
      <w:tr>
        <w:trPr>
          <w:trHeight w:val="240" w:hRule="atLeast"/>
        </w:trPr>
        <w:tc>
          <w:tcPr>
            <w:tcW w:w="4679" w:type="dxa"/>
            <w:tcBorders/>
            <w:shd w:fill="auto" w:val="clear"/>
            <w:vAlign w:val="center"/>
          </w:tcPr>
          <w:p>
            <w:pPr>
              <w:pStyle w:val="TableContents"/>
              <w:spacing w:before="0" w:after="283"/>
              <w:rPr>
                <w:sz w:val="4"/>
                <w:szCs w:val="4"/>
              </w:rPr>
            </w:pPr>
            <w:r>
              <w:rPr>
                <w:sz w:val="4"/>
                <w:szCs w:val="4"/>
              </w:rPr>
            </w:r>
          </w:p>
        </w:tc>
        <w:tc>
          <w:tcPr>
            <w:tcW w:w="788" w:type="dxa"/>
            <w:gridSpan w:val="2"/>
            <w:tcBorders/>
            <w:shd w:fill="auto" w:val="clear"/>
            <w:vAlign w:val="center"/>
          </w:tcPr>
          <w:p>
            <w:pPr>
              <w:pStyle w:val="TableContents"/>
              <w:spacing w:before="0" w:after="283"/>
              <w:rPr>
                <w:sz w:val="4"/>
                <w:szCs w:val="4"/>
              </w:rPr>
            </w:pPr>
            <w:r>
              <w:rPr>
                <w:sz w:val="4"/>
                <w:szCs w:val="4"/>
              </w:rPr>
            </w:r>
          </w:p>
        </w:tc>
        <w:tc>
          <w:tcPr>
            <w:tcW w:w="4738" w:type="dxa"/>
            <w:gridSpan w:val="2"/>
            <w:tcBorders/>
            <w:shd w:fill="auto" w:val="clear"/>
            <w:vAlign w:val="center"/>
          </w:tcPr>
          <w:p>
            <w:pPr>
              <w:pStyle w:val="TableContents"/>
              <w:spacing w:before="0" w:after="283"/>
              <w:rPr>
                <w:sz w:val="4"/>
                <w:szCs w:val="4"/>
              </w:rPr>
            </w:pPr>
            <w:r>
              <w:rPr>
                <w:sz w:val="4"/>
                <w:szCs w:val="4"/>
              </w:rPr>
            </w:r>
          </w:p>
        </w:tc>
      </w:tr>
      <w:tr>
        <w:trPr/>
        <w:tc>
          <w:tcPr>
            <w:tcW w:w="4679" w:type="dxa"/>
            <w:tcBorders/>
            <w:shd w:fill="auto" w:val="clear"/>
          </w:tcPr>
          <w:p>
            <w:pPr>
              <w:pStyle w:val="TableContents"/>
              <w:pBdr>
                <w:bottom w:val="single" w:sz="2" w:space="1" w:color="000000"/>
              </w:pBdr>
              <w:spacing w:before="0" w:after="0"/>
              <w:rPr/>
            </w:pPr>
            <w:r>
              <w:rPr/>
              <w:t> </w:t>
            </w:r>
          </w:p>
          <w:p>
            <w:pPr>
              <w:pStyle w:val="TableContents"/>
              <w:spacing w:before="0" w:after="20"/>
              <w:rPr>
                <w:rFonts w:ascii="Times New Roman" w:hAnsi="Times New Roman"/>
                <w:sz w:val="20"/>
              </w:rPr>
            </w:pPr>
            <w:r>
              <w:rPr>
                <w:rFonts w:ascii="Times New Roman" w:hAnsi="Times New Roman"/>
                <w:b/>
                <w:sz w:val="20"/>
              </w:rPr>
              <w:t>ALEXANDER ARBUZOV</w:t>
            </w:r>
            <w:r>
              <w:rPr>
                <w:rFonts w:ascii="Times New Roman" w:hAnsi="Times New Roman"/>
                <w:sz w:val="20"/>
              </w:rPr>
              <w:br/>
              <w:t>Director</w:t>
            </w:r>
          </w:p>
        </w:tc>
        <w:tc>
          <w:tcPr>
            <w:tcW w:w="108" w:type="dxa"/>
            <w:tcBorders/>
            <w:shd w:fill="auto" w:val="clear"/>
            <w:vAlign w:val="bottom"/>
          </w:tcPr>
          <w:p>
            <w:pPr>
              <w:pStyle w:val="TableContents"/>
              <w:spacing w:before="0" w:after="283"/>
              <w:rPr/>
            </w:pPr>
            <w:r>
              <w:rPr/>
              <w:t> </w:t>
            </w:r>
          </w:p>
        </w:tc>
        <w:tc>
          <w:tcPr>
            <w:tcW w:w="68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4618" w:type="dxa"/>
            <w:tcBorders/>
            <w:shd w:fill="auto" w:val="clear"/>
          </w:tcPr>
          <w:p>
            <w:pPr>
              <w:pStyle w:val="TableContents"/>
              <w:pBdr>
                <w:bottom w:val="single" w:sz="2" w:space="1" w:color="000000"/>
              </w:pBdr>
              <w:spacing w:before="0" w:after="0"/>
              <w:rPr/>
            </w:pPr>
            <w:r>
              <w:rPr/>
              <w:t> </w:t>
            </w:r>
          </w:p>
          <w:p>
            <w:pPr>
              <w:pStyle w:val="TableContents"/>
              <w:spacing w:before="0" w:after="20"/>
              <w:rPr>
                <w:rFonts w:ascii="Times New Roman" w:hAnsi="Times New Roman"/>
                <w:sz w:val="20"/>
              </w:rPr>
            </w:pPr>
            <w:r>
              <w:rPr>
                <w:rFonts w:ascii="Times New Roman" w:hAnsi="Times New Roman"/>
                <w:b/>
                <w:sz w:val="20"/>
              </w:rPr>
              <w:t>TOP SECRETARIAL LIMITED</w:t>
            </w:r>
            <w:r>
              <w:rPr>
                <w:rFonts w:ascii="Times New Roman" w:hAnsi="Times New Roman"/>
                <w:sz w:val="20"/>
              </w:rPr>
              <w:br/>
              <w:t>Secretary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5 </w:t>
      </w:r>
    </w:p>
    <w:p>
      <w:pPr>
        <w:pStyle w:val="TextBody"/>
        <w:spacing w:before="0" w:after="0"/>
        <w:jc w:val="center"/>
        <w:rPr>
          <w:rFonts w:ascii="Times New Roman" w:hAnsi="Times New Roman"/>
          <w:b/>
          <w:sz w:val="20"/>
        </w:rPr>
      </w:pPr>
      <w:r>
        <w:rPr>
          <w:rFonts w:ascii="Times New Roman" w:hAnsi="Times New Roman"/>
          <w:b/>
          <w:sz w:val="20"/>
        </w:rPr>
        <w:t xml:space="preserve">NOTICE OF PLEDGE </w:t>
      </w:r>
    </w:p>
    <w:p>
      <w:pPr>
        <w:pStyle w:val="TextBody"/>
        <w:spacing w:before="240" w:after="0"/>
        <w:rPr>
          <w:rFonts w:ascii="Times New Roman" w:hAnsi="Times New Roman"/>
          <w:sz w:val="20"/>
        </w:rPr>
      </w:pPr>
      <w:r>
        <w:rPr>
          <w:rFonts w:ascii="Times New Roman" w:hAnsi="Times New Roman"/>
          <w:sz w:val="20"/>
        </w:rPr>
        <w:t>To:    ZEMENIK TRADING LIMITED (the “</w:t>
      </w:r>
      <w:r>
        <w:rPr>
          <w:rFonts w:ascii="Times New Roman" w:hAnsi="Times New Roman"/>
          <w:b/>
          <w:sz w:val="20"/>
        </w:rPr>
        <w:t>Company</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240" w:after="0"/>
        <w:jc w:val="center"/>
        <w:rPr>
          <w:rFonts w:ascii="Times New Roman" w:hAnsi="Times New Roman"/>
          <w:b/>
          <w:sz w:val="20"/>
        </w:rPr>
      </w:pPr>
      <w:r>
        <w:rPr>
          <w:rFonts w:ascii="Times New Roman" w:hAnsi="Times New Roman"/>
          <w:b/>
          <w:sz w:val="20"/>
        </w:rPr>
        <w:t xml:space="preserve">Deed of Pledge dated [DATE] between </w:t>
      </w:r>
    </w:p>
    <w:p>
      <w:pPr>
        <w:pStyle w:val="TextBody"/>
        <w:spacing w:before="0" w:after="0"/>
        <w:jc w:val="center"/>
        <w:rPr>
          <w:rFonts w:ascii="Times New Roman" w:hAnsi="Times New Roman"/>
          <w:sz w:val="20"/>
        </w:rPr>
      </w:pPr>
      <w:r>
        <w:rPr>
          <w:rFonts w:ascii="Times New Roman" w:hAnsi="Times New Roman"/>
          <w:b/>
          <w:sz w:val="20"/>
        </w:rPr>
        <w:t>[ </w:t>
      </w:r>
      <w:r>
        <w:rPr>
          <w:rFonts w:ascii="Times New Roman" w:hAnsi="Times New Roman"/>
          <w:sz w:val="20"/>
        </w:rPr>
        <w:t>? </w:t>
      </w:r>
      <w:r>
        <w:rPr>
          <w:rFonts w:ascii="Times New Roman" w:hAnsi="Times New Roman"/>
          <w:b/>
          <w:sz w:val="20"/>
        </w:rPr>
        <w:t xml:space="preserve">] and VTB BANK (PJSC) (the “Deed of Pledge”) </w:t>
      </w:r>
    </w:p>
    <w:p>
      <w:pPr>
        <w:pStyle w:val="TextBody"/>
        <w:spacing w:before="240" w:after="0"/>
        <w:rPr>
          <w:rFonts w:ascii="Times New Roman" w:hAnsi="Times New Roman"/>
          <w:sz w:val="20"/>
        </w:rPr>
      </w:pPr>
      <w:r>
        <w:rPr>
          <w:rFonts w:ascii="Times New Roman" w:hAnsi="Times New Roman"/>
          <w:sz w:val="20"/>
        </w:rPr>
        <w:t>This letter constitutes notice to you that under the Deed of Pledge, [ ? ] (the “</w:t>
      </w:r>
      <w:r>
        <w:rPr>
          <w:rFonts w:ascii="Times New Roman" w:hAnsi="Times New Roman"/>
          <w:b/>
          <w:sz w:val="20"/>
        </w:rPr>
        <w:t>Pledgor</w:t>
      </w:r>
      <w:r>
        <w:rPr>
          <w:rFonts w:ascii="Times New Roman" w:hAnsi="Times New Roman"/>
          <w:sz w:val="20"/>
        </w:rPr>
        <w:t xml:space="preserve">”) have, </w:t>
      </w:r>
      <w:r>
        <w:rPr>
          <w:rFonts w:ascii="Times New Roman" w:hAnsi="Times New Roman"/>
          <w:i/>
          <w:sz w:val="20"/>
        </w:rPr>
        <w:t>inter alia</w:t>
      </w:r>
      <w:r>
        <w:rPr>
          <w:rFonts w:ascii="Times New Roman" w:hAnsi="Times New Roman"/>
          <w:sz w:val="20"/>
        </w:rPr>
        <w:t>, pledged in our favour the share certificates representing [ ? ] ordinary shares of €1.00 each in the share capital of the Company (the “</w:t>
      </w:r>
      <w:r>
        <w:rPr>
          <w:rFonts w:ascii="Times New Roman" w:hAnsi="Times New Roman"/>
          <w:b/>
          <w:sz w:val="20"/>
        </w:rPr>
        <w:t>Shares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We attach to this notice a certified copy of the Deed of Pledge duly signed by the Pledgor and us, in the presence of two competent witnesses who subscribed with their names as witnesses. </w:t>
      </w:r>
    </w:p>
    <w:p>
      <w:pPr>
        <w:pStyle w:val="TextBody"/>
        <w:spacing w:before="240" w:after="0"/>
        <w:rPr>
          <w:rFonts w:ascii="Times New Roman" w:hAnsi="Times New Roman"/>
          <w:sz w:val="20"/>
        </w:rPr>
      </w:pPr>
      <w:r>
        <w:rPr>
          <w:rFonts w:ascii="Times New Roman" w:hAnsi="Times New Roman"/>
          <w:sz w:val="20"/>
        </w:rPr>
        <w:t xml:space="preserve">In accordance with Section 138(2)(b) of the Contract Law, Cap. 149, you are instructed 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enter a Memorandum of this pledge in the Register of Members and against the Shares in respect of which this notice is given;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issue to us a certificate acknowledging receipt of this notice and confirming that the aforesaid Memorandum has been made in the Register of Members. </w:t>
            </w:r>
          </w:p>
        </w:tc>
      </w:tr>
    </w:tbl>
    <w:p>
      <w:pPr>
        <w:pStyle w:val="TextBody"/>
        <w:spacing w:before="240" w:after="0"/>
        <w:rPr>
          <w:rFonts w:ascii="Times New Roman" w:hAnsi="Times New Roman"/>
          <w:sz w:val="20"/>
        </w:rPr>
      </w:pPr>
      <w:r>
        <w:rPr>
          <w:rFonts w:ascii="Times New Roman" w:hAnsi="Times New Roman"/>
          <w:sz w:val="20"/>
        </w:rPr>
        <w:t xml:space="preserve">You are instructed to disclose to us any information relation to the Shares requested by us from time to time and to comply with the terms of any written notice or instruction relating to the Shares which you may receive from us.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0205"/>
      </w:tblGrid>
      <w:tr>
        <w:trPr/>
        <w:tc>
          <w:tcPr>
            <w:tcW w:w="10205" w:type="dxa"/>
            <w:tcBorders/>
            <w:shd w:fill="auto" w:val="clear"/>
            <w:vAlign w:val="center"/>
          </w:tcPr>
          <w:p>
            <w:pPr>
              <w:pStyle w:val="TableContents"/>
              <w:spacing w:before="0" w:after="283"/>
              <w:rPr>
                <w:sz w:val="4"/>
                <w:szCs w:val="4"/>
              </w:rPr>
            </w:pPr>
            <w:r>
              <w:rPr>
                <w:sz w:val="4"/>
                <w:szCs w:val="4"/>
              </w:rPr>
            </w:r>
          </w:p>
        </w:tc>
      </w:tr>
      <w:tr>
        <w:trPr/>
        <w:tc>
          <w:tcPr>
            <w:tcW w:w="1020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Yours faithfully,</w:t>
            </w:r>
          </w:p>
          <w:p>
            <w:pPr>
              <w:pStyle w:val="TableContents"/>
              <w:spacing w:before="0" w:after="0"/>
              <w:rPr/>
            </w:pPr>
            <w:r>
              <w:rPr/>
              <w:t> </w:t>
            </w:r>
          </w:p>
          <w:p>
            <w:pPr>
              <w:pStyle w:val="TableContents"/>
              <w:spacing w:before="0" w:after="20"/>
              <w:rPr>
                <w:u w:val="single"/>
              </w:rPr>
            </w:pPr>
            <w:r>
              <w:rPr>
                <w:u w:val="single"/>
              </w:rPr>
              <w:t>                                             </w:t>
            </w:r>
          </w:p>
        </w:tc>
      </w:tr>
      <w:tr>
        <w:trPr/>
        <w:tc>
          <w:tcPr>
            <w:tcW w:w="10205" w:type="dxa"/>
            <w:tcBorders/>
            <w:shd w:fill="auto" w:val="clear"/>
            <w:vAlign w:val="bottom"/>
          </w:tcPr>
          <w:p>
            <w:pPr>
              <w:pStyle w:val="TableContents"/>
              <w:spacing w:before="0" w:after="283"/>
              <w:rPr>
                <w:b/>
              </w:rPr>
            </w:pPr>
            <w:r>
              <w:rPr>
                <w:b/>
              </w:rPr>
              <w:t>VTB BANK (PJSC)</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6 </w:t>
      </w:r>
    </w:p>
    <w:p>
      <w:pPr>
        <w:pStyle w:val="TextBody"/>
        <w:spacing w:before="0" w:after="0"/>
        <w:jc w:val="center"/>
        <w:rPr>
          <w:rFonts w:ascii="Times New Roman" w:hAnsi="Times New Roman"/>
          <w:b/>
          <w:sz w:val="20"/>
        </w:rPr>
      </w:pPr>
      <w:r>
        <w:rPr>
          <w:rFonts w:ascii="Times New Roman" w:hAnsi="Times New Roman"/>
          <w:b/>
          <w:sz w:val="20"/>
        </w:rPr>
        <w:t xml:space="preserve">SECRETARY’S CERTIFICATE </w:t>
      </w:r>
    </w:p>
    <w:p>
      <w:pPr>
        <w:pStyle w:val="TextBody"/>
        <w:spacing w:before="240" w:after="0"/>
        <w:rPr>
          <w:rFonts w:ascii="Times New Roman" w:hAnsi="Times New Roman"/>
          <w:sz w:val="20"/>
        </w:rPr>
      </w:pPr>
      <w:r>
        <w:rPr>
          <w:rFonts w:ascii="Times New Roman" w:hAnsi="Times New Roman"/>
          <w:sz w:val="20"/>
        </w:rPr>
        <w:t>To:    </w:t>
      </w:r>
      <w:r>
        <w:rPr>
          <w:rFonts w:ascii="Times New Roman" w:hAnsi="Times New Roman"/>
          <w:b/>
          <w:sz w:val="20"/>
        </w:rPr>
        <w:t>VTB BANK (PJSC)</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360" w:after="0"/>
        <w:jc w:val="center"/>
        <w:rPr>
          <w:rFonts w:ascii="Times New Roman" w:hAnsi="Times New Roman"/>
          <w:b/>
          <w:sz w:val="20"/>
        </w:rPr>
      </w:pPr>
      <w:r>
        <w:rPr>
          <w:rFonts w:ascii="Times New Roman" w:hAnsi="Times New Roman"/>
          <w:b/>
          <w:sz w:val="20"/>
        </w:rPr>
        <w:t xml:space="preserve">Deed of Pledge dated [DATE] between </w:t>
      </w:r>
    </w:p>
    <w:p>
      <w:pPr>
        <w:pStyle w:val="TextBody"/>
        <w:spacing w:before="0" w:after="0"/>
        <w:jc w:val="center"/>
        <w:rPr>
          <w:rFonts w:ascii="Times New Roman" w:hAnsi="Times New Roman"/>
          <w:sz w:val="20"/>
        </w:rPr>
      </w:pPr>
      <w:r>
        <w:rPr>
          <w:rFonts w:ascii="Times New Roman" w:hAnsi="Times New Roman"/>
          <w:b/>
          <w:sz w:val="20"/>
        </w:rPr>
        <w:t>[ </w:t>
      </w:r>
      <w:r>
        <w:rPr>
          <w:rFonts w:ascii="Times New Roman" w:hAnsi="Times New Roman"/>
          <w:sz w:val="20"/>
        </w:rPr>
        <w:t>? </w:t>
      </w:r>
      <w:r>
        <w:rPr>
          <w:rFonts w:ascii="Times New Roman" w:hAnsi="Times New Roman"/>
          <w:b/>
          <w:sz w:val="20"/>
        </w:rPr>
        <w:t xml:space="preserve">] and VTB BANK (PJSC) (the “Deed of Pledge”) </w:t>
      </w:r>
    </w:p>
    <w:p>
      <w:pPr>
        <w:pStyle w:val="TextBody"/>
        <w:spacing w:before="240" w:after="0"/>
        <w:rPr>
          <w:rFonts w:ascii="Times New Roman" w:hAnsi="Times New Roman"/>
          <w:sz w:val="20"/>
        </w:rPr>
      </w:pPr>
      <w:r>
        <w:rPr>
          <w:rFonts w:ascii="Times New Roman" w:hAnsi="Times New Roman"/>
          <w:sz w:val="20"/>
        </w:rPr>
        <w:t xml:space="preserve">We acknowledge receipt of the notice dated [DATE] notifying us that the [PLEDGOR] have, </w:t>
      </w:r>
      <w:r>
        <w:rPr>
          <w:rFonts w:ascii="Times New Roman" w:hAnsi="Times New Roman"/>
          <w:i/>
          <w:sz w:val="20"/>
        </w:rPr>
        <w:t>inter alia</w:t>
      </w:r>
      <w:r>
        <w:rPr>
          <w:rFonts w:ascii="Times New Roman" w:hAnsi="Times New Roman"/>
          <w:sz w:val="20"/>
        </w:rPr>
        <w:t>, under the Deed of Pledge pledged the share certificates representing [ ? ] ordinary shares of €1.00 each (the “</w:t>
      </w:r>
      <w:r>
        <w:rPr>
          <w:rFonts w:ascii="Times New Roman" w:hAnsi="Times New Roman"/>
          <w:b/>
          <w:sz w:val="20"/>
        </w:rPr>
        <w:t>Shares</w:t>
      </w:r>
      <w:r>
        <w:rPr>
          <w:rFonts w:ascii="Times New Roman" w:hAnsi="Times New Roman"/>
          <w:sz w:val="20"/>
        </w:rPr>
        <w:t xml:space="preserve">”) in </w:t>
      </w:r>
      <w:r>
        <w:rPr>
          <w:rFonts w:ascii="Times New Roman" w:hAnsi="Times New Roman"/>
          <w:b/>
          <w:sz w:val="20"/>
        </w:rPr>
        <w:t xml:space="preserve">ZEMENIK TRADING LIMITED </w:t>
      </w: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together with the certified copy of the Deed of Pledge. </w:t>
      </w:r>
    </w:p>
    <w:p>
      <w:pPr>
        <w:pStyle w:val="TextBody"/>
        <w:spacing w:before="240" w:after="0"/>
        <w:rPr>
          <w:rFonts w:ascii="Times New Roman" w:hAnsi="Times New Roman"/>
          <w:sz w:val="20"/>
        </w:rPr>
      </w:pPr>
      <w:r>
        <w:rPr>
          <w:rFonts w:ascii="Times New Roman" w:hAnsi="Times New Roman"/>
          <w:sz w:val="20"/>
        </w:rPr>
        <w:t xml:space="preserve">We hereby agree to comply with the notice and confirm, certify and acknowledge that we: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t xml:space="preserve">have not received notice of the interest of any third party in the Shares and are not aware of any transfer of the Shares to a third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w:t>
            </w:r>
          </w:p>
        </w:tc>
        <w:tc>
          <w:tcPr>
            <w:tcW w:w="9390" w:type="dxa"/>
            <w:tcBorders/>
            <w:shd w:fill="auto" w:val="clear"/>
          </w:tcPr>
          <w:p>
            <w:pPr>
              <w:pStyle w:val="TableContents"/>
              <w:spacing w:before="0" w:after="283"/>
              <w:jc w:val="left"/>
              <w:rPr/>
            </w:pPr>
            <w:r>
              <w:rPr/>
              <w:t xml:space="preserve">have not received notice of and are not aware of the Shares, the share certificates representing the Shares, or any rights attaching to the Shares being subject to any pledge or other security interest;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w:t>
            </w:r>
          </w:p>
        </w:tc>
        <w:tc>
          <w:tcPr>
            <w:tcW w:w="9388" w:type="dxa"/>
            <w:tcBorders/>
            <w:shd w:fill="auto" w:val="clear"/>
          </w:tcPr>
          <w:p>
            <w:pPr>
              <w:pStyle w:val="TableContents"/>
              <w:spacing w:before="0" w:after="283"/>
              <w:jc w:val="left"/>
              <w:rPr/>
            </w:pPr>
            <w:r>
              <w:rPr/>
              <w:t xml:space="preserve">Memoranda, substantially in the form set out in the Schedule below, have been made and registered in the Register of Members of the Company in accordance with the terms and conditions of the Deed of Pledge. </w:t>
            </w:r>
          </w:p>
        </w:tc>
      </w:tr>
    </w:tbl>
    <w:p>
      <w:pPr>
        <w:pStyle w:val="TextBody"/>
        <w:spacing w:before="240" w:after="0"/>
        <w:rPr>
          <w:rFonts w:ascii="Times New Roman" w:hAnsi="Times New Roman"/>
          <w:sz w:val="20"/>
        </w:rPr>
      </w:pPr>
      <w:r>
        <w:rPr>
          <w:rFonts w:ascii="Times New Roman" w:hAnsi="Times New Roman"/>
          <w:sz w:val="20"/>
        </w:rPr>
        <w:t xml:space="preserve">This certificate is governed by Cyprus law. </w:t>
      </w:r>
    </w:p>
    <w:p>
      <w:pPr>
        <w:pStyle w:val="TextBody"/>
        <w:spacing w:before="480" w:after="0"/>
        <w:jc w:val="center"/>
        <w:rPr>
          <w:rFonts w:ascii="Times New Roman" w:hAnsi="Times New Roman"/>
          <w:b/>
          <w:sz w:val="20"/>
        </w:rPr>
      </w:pPr>
      <w:r>
        <w:rPr>
          <w:rFonts w:ascii="Times New Roman" w:hAnsi="Times New Roman"/>
          <w:b/>
          <w:sz w:val="20"/>
        </w:rPr>
        <w:t xml:space="preserve">SCHEDULE </w:t>
      </w:r>
    </w:p>
    <w:p>
      <w:pPr>
        <w:pStyle w:val="TextBody"/>
        <w:spacing w:before="240" w:after="0"/>
        <w:jc w:val="center"/>
        <w:rPr>
          <w:rFonts w:ascii="Times New Roman" w:hAnsi="Times New Roman"/>
          <w:sz w:val="20"/>
        </w:rPr>
      </w:pPr>
      <w:r>
        <w:rPr>
          <w:rFonts w:ascii="Times New Roman" w:hAnsi="Times New Roman"/>
          <w:sz w:val="20"/>
        </w:rPr>
        <w:t xml:space="preserve">[NUMBER][CLASS] shares of [CURRENCY][NOMINAL VALUE] (with distinctive numbers [ ? ] to [ ? ]) inclusive) registered in the name of [PLEDGOR] have been pledged in favour of [PLEDGEE] under a Deed of Pledge dated [DATE] between [PLEDGOR] and [PLEDGEE]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4082"/>
      </w:tblGrid>
      <w:tr>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Yours faithfully,</w:t>
            </w:r>
          </w:p>
          <w:p>
            <w:pPr>
              <w:pStyle w:val="TableContents"/>
              <w:pBdr>
                <w:bottom w:val="single" w:sz="2" w:space="1" w:color="000000"/>
              </w:pBdr>
              <w:spacing w:before="0" w:after="20"/>
              <w:rPr/>
            </w:pPr>
            <w:r>
              <w:rPr/>
              <w:t> </w:t>
            </w:r>
          </w:p>
        </w:tc>
      </w:tr>
      <w:tr>
        <w:trPr/>
        <w:tc>
          <w:tcPr>
            <w:tcW w:w="4082" w:type="dxa"/>
            <w:tcBorders/>
            <w:shd w:fill="auto" w:val="clear"/>
            <w:vAlign w:val="bottom"/>
          </w:tcPr>
          <w:p>
            <w:pPr>
              <w:pStyle w:val="TableContents"/>
              <w:spacing w:before="0" w:after="283"/>
              <w:rPr>
                <w:b/>
              </w:rPr>
            </w:pPr>
            <w:r>
              <w:rPr>
                <w:b/>
              </w:rPr>
              <w:t>TOP SECRETARIAL LIMITED</w:t>
            </w:r>
          </w:p>
        </w:tc>
      </w:tr>
      <w:tr>
        <w:trPr/>
        <w:tc>
          <w:tcPr>
            <w:tcW w:w="4082" w:type="dxa"/>
            <w:tcBorders/>
            <w:shd w:fill="auto" w:val="clear"/>
          </w:tcPr>
          <w:p>
            <w:pPr>
              <w:pStyle w:val="TableContents"/>
              <w:spacing w:before="0" w:after="0"/>
              <w:rPr>
                <w:rFonts w:ascii="Times New Roman" w:hAnsi="Times New Roman"/>
                <w:sz w:val="20"/>
              </w:rPr>
            </w:pPr>
            <w:r>
              <w:rPr>
                <w:rFonts w:ascii="Times New Roman" w:hAnsi="Times New Roman"/>
                <w:sz w:val="20"/>
              </w:rPr>
              <w:t>Secretary of</w:t>
            </w:r>
          </w:p>
        </w:tc>
      </w:tr>
      <w:tr>
        <w:trPr/>
        <w:tc>
          <w:tcPr>
            <w:tcW w:w="4082" w:type="dxa"/>
            <w:tcBorders/>
            <w:shd w:fill="auto" w:val="clear"/>
          </w:tcPr>
          <w:p>
            <w:pPr>
              <w:pStyle w:val="TableContents"/>
              <w:spacing w:before="0" w:after="0"/>
              <w:rPr>
                <w:rFonts w:ascii="Times New Roman" w:hAnsi="Times New Roman"/>
                <w:sz w:val="20"/>
              </w:rPr>
            </w:pPr>
            <w:r>
              <w:rPr>
                <w:rFonts w:ascii="Times New Roman" w:hAnsi="Times New Roman"/>
                <w:sz w:val="20"/>
              </w:rPr>
              <w:t>ZEMENIK TRADING LIMITED</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7 </w:t>
      </w:r>
    </w:p>
    <w:p>
      <w:pPr>
        <w:pStyle w:val="TextBody"/>
        <w:spacing w:before="0" w:after="0"/>
        <w:jc w:val="center"/>
        <w:rPr>
          <w:rFonts w:ascii="Times New Roman" w:hAnsi="Times New Roman"/>
          <w:b/>
          <w:sz w:val="20"/>
        </w:rPr>
      </w:pPr>
      <w:r>
        <w:rPr>
          <w:rFonts w:ascii="Times New Roman" w:hAnsi="Times New Roman"/>
          <w:b/>
          <w:sz w:val="20"/>
        </w:rPr>
        <w:t xml:space="preserve">BOARD RESOLUTION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sz w:val="20"/>
        </w:rPr>
      </w:pP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240" w:after="0"/>
        <w:jc w:val="center"/>
        <w:rPr>
          <w:rFonts w:ascii="Times New Roman" w:hAnsi="Times New Roman"/>
          <w:sz w:val="20"/>
        </w:rPr>
      </w:pPr>
      <w:r>
        <w:rPr>
          <w:rFonts w:ascii="Times New Roman" w:hAnsi="Times New Roman"/>
          <w:sz w:val="20"/>
        </w:rPr>
        <w:t xml:space="preserve">Written Resolution of the Board of Directors of the Company </w:t>
      </w:r>
    </w:p>
    <w:p>
      <w:pPr>
        <w:pStyle w:val="TextBody"/>
        <w:spacing w:before="0" w:after="0"/>
        <w:jc w:val="center"/>
        <w:rPr>
          <w:rFonts w:ascii="Times New Roman" w:hAnsi="Times New Roman"/>
          <w:sz w:val="20"/>
        </w:rPr>
      </w:pPr>
      <w:r>
        <w:rPr>
          <w:rFonts w:ascii="Times New Roman" w:hAnsi="Times New Roman"/>
          <w:sz w:val="20"/>
        </w:rPr>
        <w:t xml:space="preserve">passed in accordance he Company’s Articles of Association </w:t>
      </w:r>
    </w:p>
    <w:p>
      <w:pPr>
        <w:pStyle w:val="TextBody"/>
        <w:spacing w:before="0" w:after="0"/>
        <w:rPr/>
      </w:pPr>
      <w:r>
        <w:rPr/>
        <w:t> </w:t>
      </w:r>
    </w:p>
    <w:p>
      <w:pPr>
        <w:pStyle w:val="TextBody"/>
        <w:pBdr>
          <w:bottom w:val="single" w:sz="2" w:space="1" w:color="000000"/>
        </w:pBdr>
        <w:spacing w:lineRule="atLeast" w:line="141" w:before="0" w:after="40"/>
        <w:rPr/>
      </w:pPr>
      <w:r>
        <w:rPr/>
        <w: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t xml:space="preserve">BACKGROUND </w:t>
            </w:r>
          </w:p>
        </w:tc>
      </w:tr>
    </w:tbl>
    <w:p>
      <w:pPr>
        <w:pStyle w:val="TextBody"/>
        <w:spacing w:before="120" w:after="0"/>
        <w:rPr>
          <w:rFonts w:ascii="Times New Roman" w:hAnsi="Times New Roman"/>
          <w:sz w:val="20"/>
        </w:rPr>
      </w:pPr>
      <w:r>
        <w:rPr>
          <w:rFonts w:ascii="Times New Roman" w:hAnsi="Times New Roman"/>
          <w:sz w:val="20"/>
        </w:rPr>
        <w:t>[ ? ] (the “</w:t>
      </w:r>
      <w:r>
        <w:rPr>
          <w:rFonts w:ascii="Times New Roman" w:hAnsi="Times New Roman"/>
          <w:b/>
          <w:sz w:val="20"/>
        </w:rPr>
        <w:t>Pledgor</w:t>
      </w:r>
      <w:r>
        <w:rPr>
          <w:rFonts w:ascii="Times New Roman" w:hAnsi="Times New Roman"/>
          <w:sz w:val="20"/>
        </w:rPr>
        <w:t>”) has entered or propose to enter into a deed of pledge (the “</w:t>
      </w:r>
      <w:r>
        <w:rPr>
          <w:rFonts w:ascii="Times New Roman" w:hAnsi="Times New Roman"/>
          <w:b/>
          <w:sz w:val="20"/>
        </w:rPr>
        <w:t>Deed of Pledge</w:t>
      </w:r>
      <w:r>
        <w:rPr>
          <w:rFonts w:ascii="Times New Roman" w:hAnsi="Times New Roman"/>
          <w:sz w:val="20"/>
        </w:rPr>
        <w:t>”) dated on or about the date of this resolution between the Pledgor and VTB BANK (PJSC) (the “</w:t>
      </w:r>
      <w:r>
        <w:rPr>
          <w:rFonts w:ascii="Times New Roman" w:hAnsi="Times New Roman"/>
          <w:b/>
          <w:sz w:val="20"/>
        </w:rPr>
        <w:t>Pledgee</w:t>
      </w:r>
      <w:r>
        <w:rPr>
          <w:rFonts w:ascii="Times New Roman" w:hAnsi="Times New Roman"/>
          <w:sz w:val="20"/>
        </w:rPr>
        <w:t xml:space="preserve">”), pursuant to which the Pledgor shall, </w:t>
      </w:r>
      <w:r>
        <w:rPr>
          <w:rFonts w:ascii="Times New Roman" w:hAnsi="Times New Roman"/>
          <w:i/>
          <w:sz w:val="20"/>
        </w:rPr>
        <w:t>inter alia</w:t>
      </w:r>
      <w:r>
        <w:rPr>
          <w:rFonts w:ascii="Times New Roman" w:hAnsi="Times New Roman"/>
          <w:sz w:val="20"/>
        </w:rPr>
        <w:t>, pledge in favour of the Pledgee the share certificates issued in its name and representing [ ? ] ordinary shares in the Company (the “</w:t>
      </w:r>
      <w:r>
        <w:rPr>
          <w:rFonts w:ascii="Times New Roman" w:hAnsi="Times New Roman"/>
          <w:b/>
          <w:sz w:val="20"/>
        </w:rPr>
        <w:t>Shares</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2.</w:t>
            </w:r>
          </w:p>
        </w:tc>
        <w:tc>
          <w:tcPr>
            <w:tcW w:w="9392" w:type="dxa"/>
            <w:tcBorders/>
            <w:shd w:fill="auto" w:val="clear"/>
          </w:tcPr>
          <w:p>
            <w:pPr>
              <w:pStyle w:val="TableContents"/>
              <w:spacing w:before="0" w:after="283"/>
              <w:jc w:val="left"/>
              <w:rPr/>
            </w:pPr>
            <w:r>
              <w:rPr>
                <w:b/>
              </w:rPr>
              <w:t>RESOLUTIONS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IT IS HEREBY RESOLVED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THAT that the terms of, and the transactions contemplated, by the Deed of Pledge and any related documents be and are hereby approved;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THAT any transfer of Shares made by the Pledgee on enforcement of the Deed of Pledge be and is hereby approved.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THAT the Secretary be and is hereby authorised and instructed: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upon receipt of a notice in respect of the Deed of Pledge, to enter a memorandum of pledge in the Company’s register of members against the Shares and to issue a certificate to the Pledgee confirming the same in accordance with the terms of the Deed of Pledge;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upon receipt of an instrument of transfer of any Shares, to enter the name of the relevant transferee in the register of members of the Company and file the relevant company forms with the Registrar of Companies. </w:t>
            </w:r>
          </w:p>
        </w:tc>
      </w:tr>
    </w:tbl>
    <w:p>
      <w:pPr>
        <w:pStyle w:val="TextBody"/>
        <w:spacing w:before="240" w:after="0"/>
        <w:rPr>
          <w:rFonts w:ascii="Times New Roman" w:hAnsi="Times New Roman"/>
          <w:sz w:val="20"/>
        </w:rPr>
      </w:pPr>
      <w:r>
        <w:rPr>
          <w:rFonts w:ascii="Times New Roman" w:hAnsi="Times New Roman"/>
          <w:sz w:val="20"/>
        </w:rPr>
        <w:t xml:space="preserve">Dated this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699"/>
        <w:gridCol w:w="109"/>
        <w:gridCol w:w="682"/>
        <w:gridCol w:w="122"/>
        <w:gridCol w:w="4593"/>
      </w:tblGrid>
      <w:tr>
        <w:trPr/>
        <w:tc>
          <w:tcPr>
            <w:tcW w:w="4699" w:type="dxa"/>
            <w:tcBorders/>
            <w:shd w:fill="auto" w:val="clear"/>
            <w:vAlign w:val="center"/>
          </w:tcPr>
          <w:p>
            <w:pPr>
              <w:pStyle w:val="TableContents"/>
              <w:spacing w:before="0" w:after="283"/>
              <w:rPr>
                <w:sz w:val="4"/>
                <w:szCs w:val="4"/>
              </w:rPr>
            </w:pPr>
            <w:r>
              <w:rPr>
                <w:sz w:val="4"/>
                <w:szCs w:val="4"/>
              </w:rPr>
            </w:r>
          </w:p>
        </w:tc>
        <w:tc>
          <w:tcPr>
            <w:tcW w:w="109" w:type="dxa"/>
            <w:tcBorders/>
            <w:shd w:fill="auto" w:val="clear"/>
            <w:vAlign w:val="bottom"/>
          </w:tcPr>
          <w:p>
            <w:pPr>
              <w:pStyle w:val="TableContents"/>
              <w:spacing w:before="0" w:after="283"/>
              <w:rPr>
                <w:sz w:val="4"/>
                <w:szCs w:val="4"/>
              </w:rPr>
            </w:pPr>
            <w:r>
              <w:rPr>
                <w:sz w:val="4"/>
                <w:szCs w:val="4"/>
              </w:rPr>
            </w:r>
          </w:p>
        </w:tc>
        <w:tc>
          <w:tcPr>
            <w:tcW w:w="682" w:type="dxa"/>
            <w:tcBorders/>
            <w:shd w:fill="auto" w:val="clear"/>
            <w:vAlign w:val="cente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sz w:val="4"/>
                <w:szCs w:val="4"/>
              </w:rPr>
            </w:pPr>
            <w:r>
              <w:rPr>
                <w:sz w:val="4"/>
                <w:szCs w:val="4"/>
              </w:rPr>
            </w:r>
          </w:p>
        </w:tc>
        <w:tc>
          <w:tcPr>
            <w:tcW w:w="4593" w:type="dxa"/>
            <w:tcBorders/>
            <w:shd w:fill="auto" w:val="clear"/>
            <w:vAlign w:val="center"/>
          </w:tcPr>
          <w:p>
            <w:pPr>
              <w:pStyle w:val="TableContents"/>
              <w:spacing w:before="0" w:after="283"/>
              <w:rPr>
                <w:sz w:val="4"/>
                <w:szCs w:val="4"/>
              </w:rPr>
            </w:pPr>
            <w:r>
              <w:rPr>
                <w:sz w:val="4"/>
                <w:szCs w:val="4"/>
              </w:rPr>
            </w:r>
          </w:p>
        </w:tc>
      </w:tr>
      <w:tr>
        <w:trPr/>
        <w:tc>
          <w:tcPr>
            <w:tcW w:w="4699" w:type="dxa"/>
            <w:tcBorders/>
            <w:shd w:fill="auto" w:val="clear"/>
          </w:tcPr>
          <w:p>
            <w:pPr>
              <w:pStyle w:val="TableContents"/>
              <w:pBdr>
                <w:bottom w:val="single" w:sz="2" w:space="1" w:color="000000"/>
              </w:pBdr>
              <w:spacing w:before="0" w:after="0"/>
              <w:rPr/>
            </w:pPr>
            <w:r>
              <w:rPr/>
              <w:t> </w:t>
            </w:r>
          </w:p>
          <w:p>
            <w:pPr>
              <w:pStyle w:val="TableContents"/>
              <w:spacing w:before="0" w:after="20"/>
              <w:rPr>
                <w:rFonts w:ascii="Times New Roman" w:hAnsi="Times New Roman"/>
                <w:sz w:val="20"/>
              </w:rPr>
            </w:pPr>
            <w:r>
              <w:rPr>
                <w:rFonts w:ascii="Times New Roman" w:hAnsi="Times New Roman"/>
                <w:b/>
                <w:sz w:val="20"/>
              </w:rPr>
              <w:t>KATERINA IOSIF</w:t>
            </w:r>
            <w:r>
              <w:rPr>
                <w:rFonts w:ascii="Times New Roman" w:hAnsi="Times New Roman"/>
                <w:sz w:val="20"/>
              </w:rPr>
              <w:br/>
              <w:t>Director</w:t>
            </w:r>
          </w:p>
        </w:tc>
        <w:tc>
          <w:tcPr>
            <w:tcW w:w="109" w:type="dxa"/>
            <w:tcBorders/>
            <w:shd w:fill="auto" w:val="clear"/>
            <w:vAlign w:val="bottom"/>
          </w:tcPr>
          <w:p>
            <w:pPr>
              <w:pStyle w:val="TableContents"/>
              <w:spacing w:before="0" w:after="283"/>
              <w:rPr/>
            </w:pPr>
            <w:r>
              <w:rPr/>
              <w:t> </w:t>
            </w:r>
          </w:p>
        </w:tc>
        <w:tc>
          <w:tcPr>
            <w:tcW w:w="682" w:type="dxa"/>
            <w:tcBorders/>
            <w:shd w:fill="auto" w:val="clea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pPr>
            <w:r>
              <w:rPr/>
              <w:t>  </w:t>
            </w:r>
          </w:p>
        </w:tc>
        <w:tc>
          <w:tcPr>
            <w:tcW w:w="4593" w:type="dxa"/>
            <w:tcBorders/>
            <w:shd w:fill="auto" w:val="clear"/>
          </w:tcPr>
          <w:p>
            <w:pPr>
              <w:pStyle w:val="TableContents"/>
              <w:pBdr>
                <w:bottom w:val="single" w:sz="2" w:space="1" w:color="000000"/>
              </w:pBdr>
              <w:spacing w:before="0" w:after="0"/>
              <w:rPr/>
            </w:pPr>
            <w:r>
              <w:rPr/>
              <w:t> </w:t>
            </w:r>
          </w:p>
          <w:p>
            <w:pPr>
              <w:pStyle w:val="TableContents"/>
              <w:spacing w:before="0" w:after="20"/>
              <w:rPr>
                <w:rFonts w:ascii="Times New Roman" w:hAnsi="Times New Roman"/>
                <w:sz w:val="20"/>
              </w:rPr>
            </w:pPr>
            <w:r>
              <w:rPr>
                <w:rFonts w:ascii="Times New Roman" w:hAnsi="Times New Roman"/>
                <w:b/>
                <w:sz w:val="20"/>
              </w:rPr>
              <w:t>PANAYIOTA STYLIANOU</w:t>
            </w:r>
            <w:r>
              <w:rPr>
                <w:rFonts w:ascii="Times New Roman" w:hAnsi="Times New Roman"/>
                <w:sz w:val="20"/>
              </w:rPr>
              <w:br/>
              <w:t>Director</w:t>
            </w:r>
          </w:p>
        </w:tc>
      </w:tr>
      <w:tr>
        <w:trPr>
          <w:trHeight w:val="240" w:hRule="atLeast"/>
        </w:trPr>
        <w:tc>
          <w:tcPr>
            <w:tcW w:w="4699" w:type="dxa"/>
            <w:tcBorders/>
            <w:shd w:fill="auto" w:val="clear"/>
            <w:vAlign w:val="center"/>
          </w:tcPr>
          <w:p>
            <w:pPr>
              <w:pStyle w:val="TableContents"/>
              <w:spacing w:before="0" w:after="283"/>
              <w:rPr>
                <w:sz w:val="4"/>
                <w:szCs w:val="4"/>
              </w:rPr>
            </w:pPr>
            <w:r>
              <w:rPr>
                <w:sz w:val="4"/>
                <w:szCs w:val="4"/>
              </w:rPr>
            </w:r>
          </w:p>
        </w:tc>
        <w:tc>
          <w:tcPr>
            <w:tcW w:w="791" w:type="dxa"/>
            <w:gridSpan w:val="2"/>
            <w:tcBorders/>
            <w:shd w:fill="auto" w:val="clear"/>
            <w:vAlign w:val="center"/>
          </w:tcPr>
          <w:p>
            <w:pPr>
              <w:pStyle w:val="TableContents"/>
              <w:spacing w:before="0" w:after="283"/>
              <w:rPr>
                <w:sz w:val="4"/>
                <w:szCs w:val="4"/>
              </w:rPr>
            </w:pPr>
            <w:r>
              <w:rPr>
                <w:sz w:val="4"/>
                <w:szCs w:val="4"/>
              </w:rPr>
            </w:r>
          </w:p>
        </w:tc>
        <w:tc>
          <w:tcPr>
            <w:tcW w:w="4715" w:type="dxa"/>
            <w:gridSpan w:val="2"/>
            <w:tcBorders/>
            <w:shd w:fill="auto" w:val="clear"/>
            <w:vAlign w:val="center"/>
          </w:tcPr>
          <w:p>
            <w:pPr>
              <w:pStyle w:val="TableContents"/>
              <w:spacing w:before="0" w:after="283"/>
              <w:rPr>
                <w:sz w:val="4"/>
                <w:szCs w:val="4"/>
              </w:rPr>
            </w:pPr>
            <w:r>
              <w:rPr>
                <w:sz w:val="4"/>
                <w:szCs w:val="4"/>
              </w:rPr>
            </w:r>
          </w:p>
        </w:tc>
      </w:tr>
      <w:tr>
        <w:trPr/>
        <w:tc>
          <w:tcPr>
            <w:tcW w:w="4699" w:type="dxa"/>
            <w:tcBorders/>
            <w:shd w:fill="auto" w:val="clear"/>
          </w:tcPr>
          <w:p>
            <w:pPr>
              <w:pStyle w:val="TableContents"/>
              <w:pBdr>
                <w:bottom w:val="single" w:sz="2" w:space="1" w:color="000000"/>
              </w:pBdr>
              <w:spacing w:before="0" w:after="0"/>
              <w:rPr/>
            </w:pPr>
            <w:r>
              <w:rPr/>
              <w:t> </w:t>
            </w:r>
          </w:p>
          <w:p>
            <w:pPr>
              <w:pStyle w:val="TableContents"/>
              <w:spacing w:before="0" w:after="20"/>
              <w:rPr>
                <w:rFonts w:ascii="Times New Roman" w:hAnsi="Times New Roman"/>
                <w:sz w:val="20"/>
              </w:rPr>
            </w:pPr>
            <w:r>
              <w:rPr>
                <w:rFonts w:ascii="Times New Roman" w:hAnsi="Times New Roman"/>
                <w:b/>
                <w:sz w:val="20"/>
              </w:rPr>
              <w:t>ALEXANDER ARBUZOV</w:t>
            </w:r>
            <w:r>
              <w:rPr>
                <w:rFonts w:ascii="Times New Roman" w:hAnsi="Times New Roman"/>
                <w:sz w:val="20"/>
              </w:rPr>
              <w:br/>
              <w:t>Director</w:t>
            </w:r>
          </w:p>
        </w:tc>
        <w:tc>
          <w:tcPr>
            <w:tcW w:w="109" w:type="dxa"/>
            <w:tcBorders/>
            <w:shd w:fill="auto" w:val="clear"/>
            <w:vAlign w:val="bottom"/>
          </w:tcPr>
          <w:p>
            <w:pPr>
              <w:pStyle w:val="TableContents"/>
              <w:spacing w:before="0" w:after="283"/>
              <w:rPr/>
            </w:pPr>
            <w:r>
              <w:rPr/>
              <w:t> </w:t>
            </w:r>
          </w:p>
        </w:tc>
        <w:tc>
          <w:tcPr>
            <w:tcW w:w="682" w:type="dxa"/>
            <w:tcBorders/>
            <w:shd w:fill="auto" w:val="clear"/>
          </w:tcPr>
          <w:p>
            <w:pPr>
              <w:pStyle w:val="TableContents"/>
              <w:spacing w:before="0" w:after="283"/>
              <w:rPr>
                <w:sz w:val="4"/>
                <w:szCs w:val="4"/>
              </w:rPr>
            </w:pPr>
            <w:r>
              <w:rPr>
                <w:sz w:val="4"/>
                <w:szCs w:val="4"/>
              </w:rPr>
            </w:r>
          </w:p>
        </w:tc>
        <w:tc>
          <w:tcPr>
            <w:tcW w:w="122" w:type="dxa"/>
            <w:tcBorders/>
            <w:shd w:fill="auto" w:val="clear"/>
            <w:vAlign w:val="bottom"/>
          </w:tcPr>
          <w:p>
            <w:pPr>
              <w:pStyle w:val="TableContents"/>
              <w:spacing w:before="0" w:after="283"/>
              <w:rPr/>
            </w:pPr>
            <w:r>
              <w:rPr/>
              <w:t>  </w:t>
            </w:r>
          </w:p>
        </w:tc>
        <w:tc>
          <w:tcPr>
            <w:tcW w:w="4593"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8 </w:t>
      </w:r>
    </w:p>
    <w:p>
      <w:pPr>
        <w:pStyle w:val="TextBody"/>
        <w:spacing w:before="0" w:after="0"/>
        <w:rPr/>
      </w:pPr>
      <w:r>
        <w:rPr/>
        <w:t>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5"/>
        <w:gridCol w:w="202"/>
        <w:gridCol w:w="4797"/>
      </w:tblGrid>
      <w:tr>
        <w:trPr/>
        <w:tc>
          <w:tcPr>
            <w:tcW w:w="5205"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jc w:val="center"/>
              <w:rPr>
                <w:b/>
              </w:rPr>
            </w:pPr>
            <w:r>
              <w:rPr>
                <w:b/>
              </w:rPr>
              <w:t>SECRETARY’S CONFIRMATION</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jc w:val="center"/>
              <w:rPr/>
            </w:pPr>
            <w:r>
              <w:rPr/>
              <w:drawing>
                <wp:inline distT="0" distB="0" distL="0" distR="0">
                  <wp:extent cx="1609725" cy="14287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link="rId50"/>
                          <a:stretch>
                            <a:fillRect/>
                          </a:stretch>
                        </pic:blipFill>
                        <pic:spPr bwMode="auto">
                          <a:xfrm>
                            <a:off x="0" y="0"/>
                            <a:ext cx="1609725" cy="142875"/>
                          </a:xfrm>
                          <a:prstGeom prst="rect">
                            <a:avLst/>
                          </a:prstGeom>
                          <a:noFill/>
                          <a:ln w="9525">
                            <a:noFill/>
                            <a:miter lim="800000"/>
                            <a:headEnd/>
                            <a:tailEnd/>
                          </a:ln>
                        </pic:spPr>
                      </pic:pic>
                    </a:graphicData>
                  </a:graphic>
                </wp:inline>
              </w:drawing>
            </w:r>
            <w:r>
              <w:rPr/>
              <w:t xml:space="preserve">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b/>
              </w:rPr>
            </w:pPr>
            <w:r>
              <w:rPr>
                <w:b/>
              </w:rPr>
              <w:t>ZEMENIK TRADING LIMITED</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b/>
              </w:rPr>
            </w:pPr>
            <w:r>
              <w:rPr>
                <w:b/>
              </w:rPr>
              <w:t>ZEMENIK TRADING LIMITED</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HE 332806</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HE 332806</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(the “</w:t>
            </w:r>
            <w:r>
              <w:rPr>
                <w:b/>
              </w:rPr>
              <w:t>Company</w:t>
            </w:r>
            <w:r>
              <w:rPr/>
              <w:t>”)</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drawing>
                <wp:inline distT="0" distB="0" distL="0" distR="0">
                  <wp:extent cx="847725" cy="209550"/>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link="rId51"/>
                          <a:stretch>
                            <a:fillRect/>
                          </a:stretch>
                        </pic:blipFill>
                        <pic:spPr bwMode="auto">
                          <a:xfrm>
                            <a:off x="0" y="0"/>
                            <a:ext cx="847725" cy="209550"/>
                          </a:xfrm>
                          <a:prstGeom prst="rect">
                            <a:avLst/>
                          </a:prstGeom>
                          <a:noFill/>
                          <a:ln w="9525">
                            <a:noFill/>
                            <a:miter lim="800000"/>
                            <a:headEnd/>
                            <a:tailEnd/>
                          </a:ln>
                        </pic:spPr>
                      </pic:pic>
                    </a:graphicData>
                  </a:graphic>
                </wp:inline>
              </w:drawing>
            </w:r>
            <w:r>
              <w:rPr/>
              <w:t xml:space="preserve">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Registrar of Companies &amp; Official Receiver</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drawing>
                <wp:inline distT="0" distB="0" distL="0" distR="0">
                  <wp:extent cx="2257425" cy="23812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link="rId52"/>
                          <a:stretch>
                            <a:fillRect/>
                          </a:stretch>
                        </pic:blipFill>
                        <pic:spPr bwMode="auto">
                          <a:xfrm>
                            <a:off x="0" y="0"/>
                            <a:ext cx="2257425" cy="238125"/>
                          </a:xfrm>
                          <a:prstGeom prst="rect">
                            <a:avLst/>
                          </a:prstGeom>
                          <a:noFill/>
                          <a:ln w="9525">
                            <a:noFill/>
                            <a:miter lim="800000"/>
                            <a:headEnd/>
                            <a:tailEnd/>
                          </a:ln>
                        </pic:spPr>
                      </pic:pic>
                    </a:graphicData>
                  </a:graphic>
                </wp:inline>
              </w:drawing>
            </w:r>
            <w:r>
              <w:rPr/>
              <w:t xml:space="preserve">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Department of Registrar of Companies and Official Receiver</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drawing>
                <wp:inline distT="0" distB="0" distL="0" distR="0">
                  <wp:extent cx="2085975" cy="342900"/>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link="rId53"/>
                          <a:stretch>
                            <a:fillRect/>
                          </a:stretch>
                        </pic:blipFill>
                        <pic:spPr bwMode="auto">
                          <a:xfrm>
                            <a:off x="0" y="0"/>
                            <a:ext cx="2085975" cy="342900"/>
                          </a:xfrm>
                          <a:prstGeom prst="rect">
                            <a:avLst/>
                          </a:prstGeom>
                          <a:noFill/>
                          <a:ln w="9525">
                            <a:noFill/>
                            <a:miter lim="800000"/>
                            <a:headEnd/>
                            <a:tailEnd/>
                          </a:ln>
                        </pic:spPr>
                      </pic:pic>
                    </a:graphicData>
                  </a:graphic>
                </wp:inline>
              </w:drawing>
            </w:r>
            <w:r>
              <w:rPr/>
              <w:t xml:space="preserve">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 xml:space="preserve">Date: </w:t>
            </w:r>
            <w:r>
              <w:rPr>
                <w:u w:val="single"/>
              </w:rPr>
              <w:t>                        </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drawing>
                <wp:inline distT="0" distB="0" distL="0" distR="0">
                  <wp:extent cx="647700" cy="171450"/>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link="rId54"/>
                          <a:stretch>
                            <a:fillRect/>
                          </a:stretch>
                        </pic:blipFill>
                        <pic:spPr bwMode="auto">
                          <a:xfrm>
                            <a:off x="0" y="0"/>
                            <a:ext cx="647700" cy="171450"/>
                          </a:xfrm>
                          <a:prstGeom prst="rect">
                            <a:avLst/>
                          </a:prstGeom>
                          <a:noFill/>
                          <a:ln w="9525">
                            <a:noFill/>
                            <a:miter lim="800000"/>
                            <a:headEnd/>
                            <a:tailEnd/>
                          </a:ln>
                        </pic:spPr>
                      </pic:pic>
                    </a:graphicData>
                  </a:graphic>
                </wp:inline>
              </w:drawing>
            </w:r>
            <w:r>
              <w:rPr/>
              <w:t xml:space="preserve"> </w:t>
            </w:r>
            <w:r>
              <w:rPr>
                <w:u w:val="single"/>
              </w:rPr>
              <w:t>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jc w:val="center"/>
              <w:rPr>
                <w:b/>
                <w:u w:val="single"/>
              </w:rPr>
            </w:pPr>
            <w:r>
              <w:rPr>
                <w:b/>
                <w:u w:val="single"/>
              </w:rPr>
              <w:t>Secretary’s Confirmation</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jc w:val="center"/>
              <w:rPr/>
            </w:pPr>
            <w:r>
              <w:rPr/>
              <w:drawing>
                <wp:inline distT="0" distB="0" distL="0" distR="0">
                  <wp:extent cx="1285875" cy="18097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link="rId55"/>
                          <a:stretch>
                            <a:fillRect/>
                          </a:stretch>
                        </pic:blipFill>
                        <pic:spPr bwMode="auto">
                          <a:xfrm>
                            <a:off x="0" y="0"/>
                            <a:ext cx="1285875" cy="180975"/>
                          </a:xfrm>
                          <a:prstGeom prst="rect">
                            <a:avLst/>
                          </a:prstGeom>
                          <a:noFill/>
                          <a:ln w="9525">
                            <a:noFill/>
                            <a:miter lim="800000"/>
                            <a:headEnd/>
                            <a:tailEnd/>
                          </a:ln>
                        </pic:spPr>
                      </pic:pic>
                    </a:graphicData>
                  </a:graphic>
                </wp:inline>
              </w:drawing>
            </w:r>
            <w:r>
              <w:rPr/>
              <w:t xml:space="preserve">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We the undersigned, being the Secretary of the Company hereby certify that the changes set out in the attached filing forms are true, accurate and in accordance with the corporate registers of the Company.</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drawing>
                <wp:inline distT="0" distB="0" distL="0" distR="0">
                  <wp:extent cx="2247900" cy="781050"/>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link="rId56"/>
                          <a:stretch>
                            <a:fillRect/>
                          </a:stretch>
                        </pic:blipFill>
                        <pic:spPr bwMode="auto">
                          <a:xfrm>
                            <a:off x="0" y="0"/>
                            <a:ext cx="2247900" cy="781050"/>
                          </a:xfrm>
                          <a:prstGeom prst="rect">
                            <a:avLst/>
                          </a:prstGeom>
                          <a:noFill/>
                          <a:ln w="9525">
                            <a:noFill/>
                            <a:miter lim="800000"/>
                            <a:headEnd/>
                            <a:tailEnd/>
                          </a:ln>
                        </pic:spPr>
                      </pic:pic>
                    </a:graphicData>
                  </a:graphic>
                </wp:inline>
              </w:drawing>
            </w:r>
            <w:r>
              <w:rPr/>
              <w:t xml:space="preserve">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0"/>
              <w:rPr>
                <w:u w:val="single"/>
              </w:rPr>
            </w:pPr>
            <w:r>
              <w:rPr>
                <w:u w:val="single"/>
              </w:rPr>
              <w:t>                                                     </w:t>
            </w:r>
          </w:p>
          <w:p>
            <w:pPr>
              <w:pStyle w:val="TableContents"/>
              <w:spacing w:before="0" w:after="20"/>
              <w:rPr>
                <w:rFonts w:ascii="Times New Roman" w:hAnsi="Times New Roman"/>
                <w:sz w:val="20"/>
              </w:rPr>
            </w:pPr>
            <w:r>
              <w:rPr>
                <w:rFonts w:ascii="Times New Roman" w:hAnsi="Times New Roman"/>
                <w:sz w:val="20"/>
              </w:rPr>
              <w:t>[Secretary]</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0"/>
              <w:rPr>
                <w:u w:val="single"/>
              </w:rPr>
            </w:pPr>
            <w:r>
              <w:rPr>
                <w:u w:val="single"/>
              </w:rPr>
              <w:t>                                                     </w:t>
            </w:r>
          </w:p>
          <w:p>
            <w:pPr>
              <w:pStyle w:val="TableContents"/>
              <w:spacing w:before="0" w:after="20"/>
              <w:rPr/>
            </w:pPr>
            <w:r>
              <w:rPr/>
              <w:drawing>
                <wp:inline distT="0" distB="0" distL="0" distR="0">
                  <wp:extent cx="809625" cy="228600"/>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link="rId57"/>
                          <a:stretch>
                            <a:fillRect/>
                          </a:stretch>
                        </pic:blipFill>
                        <pic:spPr bwMode="auto">
                          <a:xfrm>
                            <a:off x="0" y="0"/>
                            <a:ext cx="809625" cy="228600"/>
                          </a:xfrm>
                          <a:prstGeom prst="rect">
                            <a:avLst/>
                          </a:prstGeom>
                          <a:noFill/>
                          <a:ln w="9525">
                            <a:noFill/>
                            <a:miter lim="800000"/>
                            <a:headEnd/>
                            <a:tailEnd/>
                          </a:ln>
                        </pic:spPr>
                      </pic:pic>
                    </a:graphicData>
                  </a:graphic>
                </wp:inline>
              </w:drawing>
            </w:r>
            <w:r>
              <w:rPr/>
              <w:t xml:space="preserve"> </w:t>
            </w:r>
          </w:p>
        </w:tc>
      </w:tr>
      <w:tr>
        <w:trPr>
          <w:trHeight w:val="120" w:hRule="atLeast"/>
        </w:trPr>
        <w:tc>
          <w:tcPr>
            <w:tcW w:w="5205" w:type="dxa"/>
            <w:tcBorders/>
            <w:shd w:fill="auto" w:val="clear"/>
            <w:vAlign w:val="center"/>
          </w:tcPr>
          <w:p>
            <w:pPr>
              <w:pStyle w:val="TableContents"/>
              <w:spacing w:before="0" w:after="283"/>
              <w:rPr>
                <w:sz w:val="4"/>
                <w:szCs w:val="4"/>
              </w:rPr>
            </w:pPr>
            <w:r>
              <w:rPr>
                <w:sz w:val="4"/>
                <w:szCs w:val="4"/>
              </w:rPr>
            </w:r>
          </w:p>
        </w:tc>
        <w:tc>
          <w:tcPr>
            <w:tcW w:w="4999" w:type="dxa"/>
            <w:gridSpan w:val="2"/>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t>[INTENTIONALLY LEFT BLANK FOR THE NEW SECRETARY TO SIGN]</w:t>
            </w:r>
          </w:p>
        </w:tc>
        <w:tc>
          <w:tcPr>
            <w:tcW w:w="202"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[INTENTIONALLY LEFT BLANK FOR THE NEW SECRETARY TO SIGN]</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9 </w:t>
      </w:r>
    </w:p>
    <w:p>
      <w:pPr>
        <w:pStyle w:val="TextBody"/>
        <w:spacing w:before="0" w:after="0"/>
        <w:jc w:val="center"/>
        <w:rPr>
          <w:rFonts w:ascii="Times New Roman" w:hAnsi="Times New Roman"/>
          <w:b/>
          <w:sz w:val="20"/>
        </w:rPr>
      </w:pPr>
      <w:r>
        <w:rPr>
          <w:rFonts w:ascii="Times New Roman" w:hAnsi="Times New Roman"/>
          <w:b/>
          <w:sz w:val="20"/>
        </w:rPr>
        <w:t xml:space="preserve">WAIVER OF PRE-EMPTION RIGHTS </w:t>
      </w:r>
    </w:p>
    <w:p>
      <w:pPr>
        <w:pStyle w:val="TextBody"/>
        <w:spacing w:before="240" w:after="0"/>
        <w:rPr>
          <w:rFonts w:ascii="Times New Roman" w:hAnsi="Times New Roman"/>
          <w:sz w:val="20"/>
        </w:rPr>
      </w:pPr>
      <w:r>
        <w:rPr>
          <w:rFonts w:ascii="Times New Roman" w:hAnsi="Times New Roman"/>
          <w:sz w:val="20"/>
        </w:rPr>
        <w:t>To:    ZEMENIK TRADING LIMITED (the “</w:t>
      </w:r>
      <w:r>
        <w:rPr>
          <w:rFonts w:ascii="Times New Roman" w:hAnsi="Times New Roman"/>
          <w:b/>
          <w:sz w:val="20"/>
        </w:rPr>
        <w:t>Company</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Copy:    VTB BANK (PJSC) (the “</w:t>
      </w:r>
      <w:r>
        <w:rPr>
          <w:rFonts w:ascii="Times New Roman" w:hAnsi="Times New Roman"/>
          <w:b/>
          <w:sz w:val="20"/>
        </w:rPr>
        <w:t>Pledgee</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360" w:after="0"/>
        <w:rPr>
          <w:rFonts w:ascii="Times New Roman" w:hAnsi="Times New Roman"/>
          <w:b/>
          <w:sz w:val="20"/>
        </w:rPr>
      </w:pPr>
      <w:r>
        <w:rPr>
          <w:rFonts w:ascii="Times New Roman" w:hAnsi="Times New Roman"/>
          <w:b/>
          <w:sz w:val="20"/>
        </w:rPr>
        <w:t xml:space="preserve">Waiver of pre-emption rights </w:t>
      </w:r>
    </w:p>
    <w:p>
      <w:pPr>
        <w:pStyle w:val="TextBody"/>
        <w:spacing w:before="120" w:after="0"/>
        <w:rPr>
          <w:rFonts w:ascii="Times New Roman" w:hAnsi="Times New Roman"/>
          <w:sz w:val="20"/>
        </w:rPr>
      </w:pPr>
      <w:r>
        <w:rPr>
          <w:rFonts w:ascii="Times New Roman" w:hAnsi="Times New Roman"/>
          <w:sz w:val="20"/>
        </w:rPr>
        <w:t>We refer to the deed of pledge (the “</w:t>
      </w:r>
      <w:r>
        <w:rPr>
          <w:rFonts w:ascii="Times New Roman" w:hAnsi="Times New Roman"/>
          <w:b/>
          <w:sz w:val="20"/>
        </w:rPr>
        <w:t>Deed of Pledge</w:t>
      </w:r>
      <w:r>
        <w:rPr>
          <w:rFonts w:ascii="Times New Roman" w:hAnsi="Times New Roman"/>
          <w:sz w:val="20"/>
        </w:rPr>
        <w:t>”) dated [DATE] between [PLEDGOR] (the “</w:t>
      </w:r>
      <w:r>
        <w:rPr>
          <w:rFonts w:ascii="Times New Roman" w:hAnsi="Times New Roman"/>
          <w:b/>
          <w:sz w:val="20"/>
        </w:rPr>
        <w:t>Pledgor</w:t>
      </w:r>
      <w:r>
        <w:rPr>
          <w:rFonts w:ascii="Times New Roman" w:hAnsi="Times New Roman"/>
          <w:sz w:val="20"/>
        </w:rPr>
        <w:t xml:space="preserve">”) and the Pledgee, pursuant to which the Pledgor, </w:t>
      </w:r>
      <w:r>
        <w:rPr>
          <w:rFonts w:ascii="Times New Roman" w:hAnsi="Times New Roman"/>
          <w:i/>
          <w:sz w:val="20"/>
        </w:rPr>
        <w:t>inter alia</w:t>
      </w:r>
      <w:r>
        <w:rPr>
          <w:rFonts w:ascii="Times New Roman" w:hAnsi="Times New Roman"/>
          <w:sz w:val="20"/>
        </w:rPr>
        <w:t>, pledged in favour of the Pledgee the share certificates issued in its name and representing [NUMBER OF SHARES] of [CURRENCY] [NOMINAL VALUE] in the capital of the Company (the “</w:t>
      </w:r>
      <w:r>
        <w:rPr>
          <w:rFonts w:ascii="Times New Roman" w:hAnsi="Times New Roman"/>
          <w:b/>
          <w:sz w:val="20"/>
        </w:rPr>
        <w:t>Shares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We being shareholder of the Company and being entitled to certain pre-emption rights under the Articles of Association of the Company in respect of any transfer of Shares made on enforcement of the Deed of Pledge or otherwise, hereby irrevocably and unconditionally waive all such pre-emption rights (however arising) as we may have in respect of any such transfer. </w:t>
      </w:r>
    </w:p>
    <w:p>
      <w:pPr>
        <w:pStyle w:val="TextBody"/>
        <w:spacing w:before="240" w:after="0"/>
        <w:rPr>
          <w:rFonts w:ascii="Times New Roman" w:hAnsi="Times New Roman"/>
          <w:sz w:val="20"/>
        </w:rPr>
      </w:pPr>
      <w:r>
        <w:rPr>
          <w:rFonts w:ascii="Times New Roman" w:hAnsi="Times New Roman"/>
          <w:sz w:val="20"/>
        </w:rPr>
        <w:t xml:space="preserve">If any at any time we propose to transfer any of our shares in the Company to a third party, which is not a shareholder on the date of this letter, we shall procure that that third party shall provide to the Pledgee a waiver of pre-emption rights in the form of this letter before any such transfer shall be effected.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693"/>
        <w:gridCol w:w="204"/>
        <w:gridCol w:w="5307"/>
      </w:tblGrid>
      <w:tr>
        <w:trPr/>
        <w:tc>
          <w:tcPr>
            <w:tcW w:w="4693"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5307" w:type="dxa"/>
            <w:tcBorders/>
            <w:shd w:fill="auto" w:val="clear"/>
            <w:vAlign w:val="center"/>
          </w:tcPr>
          <w:p>
            <w:pPr>
              <w:pStyle w:val="TableContents"/>
              <w:spacing w:before="0" w:after="283"/>
              <w:rPr>
                <w:sz w:val="4"/>
                <w:szCs w:val="4"/>
              </w:rPr>
            </w:pPr>
            <w:r>
              <w:rPr>
                <w:sz w:val="4"/>
                <w:szCs w:val="4"/>
              </w:rPr>
            </w:r>
          </w:p>
        </w:tc>
      </w:tr>
      <w:tr>
        <w:trPr/>
        <w:tc>
          <w:tcPr>
            <w:tcW w:w="4693" w:type="dxa"/>
            <w:tcBorders/>
            <w:shd w:fill="auto" w:val="clear"/>
          </w:tcPr>
          <w:p>
            <w:pPr>
              <w:pStyle w:val="TableContents"/>
              <w:spacing w:before="0" w:after="283"/>
              <w:rPr/>
            </w:pPr>
            <w:r>
              <w:rPr/>
              <w:t>SIGNED as a DEED</w:t>
            </w:r>
          </w:p>
        </w:tc>
        <w:tc>
          <w:tcPr>
            <w:tcW w:w="204"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3" w:type="dxa"/>
            <w:tcBorders/>
            <w:shd w:fill="auto" w:val="clear"/>
          </w:tcPr>
          <w:p>
            <w:pPr>
              <w:pStyle w:val="TableContents"/>
              <w:spacing w:before="0" w:after="283"/>
              <w:rPr/>
            </w:pPr>
            <w:r>
              <w:rPr/>
              <w:t>by [</w:t>
            </w:r>
            <w:r>
              <w:rPr>
                <w:b/>
              </w:rPr>
              <w:t>NAME OF SHAREHOLDER</w:t>
            </w:r>
            <w:r>
              <w:rPr/>
              <w:t>]</w:t>
            </w:r>
          </w:p>
        </w:tc>
        <w:tc>
          <w:tcPr>
            <w:tcW w:w="204"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3" w:type="dxa"/>
            <w:tcBorders/>
            <w:shd w:fill="auto" w:val="clear"/>
          </w:tcPr>
          <w:p>
            <w:pPr>
              <w:pStyle w:val="TableContents"/>
              <w:spacing w:before="0" w:after="283"/>
              <w:rPr/>
            </w:pPr>
            <w:r>
              <w:rPr/>
              <w:t>acting by its authorised attorney/signatory/director</w:t>
            </w:r>
          </w:p>
        </w:tc>
        <w:tc>
          <w:tcPr>
            <w:tcW w:w="204"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3" w:type="dxa"/>
            <w:tcBorders/>
            <w:shd w:fill="auto" w:val="clear"/>
          </w:tcPr>
          <w:p>
            <w:pPr>
              <w:pStyle w:val="TableContents"/>
              <w:spacing w:before="0" w:after="283"/>
              <w:rPr/>
            </w:pPr>
            <w:r>
              <w:rPr/>
              <w:t>[NAME OF SIGNATORY]</w:t>
            </w:r>
          </w:p>
        </w:tc>
        <w:tc>
          <w:tcPr>
            <w:tcW w:w="204"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r>
        <w:trPr/>
        <w:tc>
          <w:tcPr>
            <w:tcW w:w="4693" w:type="dxa"/>
            <w:tcBorders/>
            <w:shd w:fill="auto" w:val="clear"/>
          </w:tcPr>
          <w:p>
            <w:pPr>
              <w:pStyle w:val="TableContents"/>
              <w:spacing w:before="0" w:after="283"/>
              <w:rPr/>
            </w:pPr>
            <w:r>
              <w:rPr/>
              <w:t>in the presence of:</w:t>
            </w:r>
          </w:p>
        </w:tc>
        <w:tc>
          <w:tcPr>
            <w:tcW w:w="204" w:type="dxa"/>
            <w:tcBorders/>
            <w:shd w:fill="auto" w:val="clear"/>
            <w:vAlign w:val="bottom"/>
          </w:tcPr>
          <w:p>
            <w:pPr>
              <w:pStyle w:val="TableContents"/>
              <w:spacing w:before="0" w:after="283"/>
              <w:rPr/>
            </w:pPr>
            <w:r>
              <w:rPr/>
              <w:t>  </w:t>
            </w:r>
          </w:p>
        </w:tc>
        <w:tc>
          <w:tcPr>
            <w:tcW w:w="5307" w:type="dxa"/>
            <w:tcBorders/>
            <w:shd w:fill="auto" w:val="clear"/>
          </w:tcPr>
          <w:p>
            <w:pPr>
              <w:pStyle w:val="TableContents"/>
              <w:spacing w:before="0" w:after="283"/>
              <w:rPr/>
            </w:pPr>
            <w:r>
              <w:rPr/>
              <w:t>)</w:t>
            </w:r>
          </w:p>
        </w:tc>
      </w:tr>
    </w:tbl>
    <w:tbl>
      <w:tblPr>
        <w:tblW w:w="5000" w:type="pct"/>
        <w:jc w:val="center"/>
        <w:tblInd w:w="0" w:type="dxa"/>
        <w:tblBorders/>
        <w:tblCellMar>
          <w:top w:w="0" w:type="dxa"/>
          <w:left w:w="0" w:type="dxa"/>
          <w:bottom w:w="0" w:type="dxa"/>
          <w:right w:w="0" w:type="dxa"/>
        </w:tblCellMar>
      </w:tblPr>
      <w:tblGrid>
        <w:gridCol w:w="2400"/>
        <w:gridCol w:w="129"/>
        <w:gridCol w:w="3776"/>
        <w:gridCol w:w="129"/>
        <w:gridCol w:w="3771"/>
      </w:tblGrid>
      <w:tr>
        <w:trPr/>
        <w:tc>
          <w:tcPr>
            <w:tcW w:w="2400"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6"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1" w:type="dxa"/>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Witness’s Signature: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Name: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30"/>
        <w:gridCol w:w="808"/>
        <w:gridCol w:w="95"/>
        <w:gridCol w:w="808"/>
        <w:gridCol w:w="5764"/>
      </w:tblGrid>
      <w:tr>
        <w:trPr/>
        <w:tc>
          <w:tcPr>
            <w:tcW w:w="2730" w:type="dxa"/>
            <w:tcBorders/>
            <w:shd w:fill="auto" w:val="clear"/>
            <w:vAlign w:val="center"/>
          </w:tcPr>
          <w:p>
            <w:pPr>
              <w:pStyle w:val="TableContents"/>
              <w:spacing w:before="0" w:after="283"/>
              <w:rPr>
                <w:sz w:val="4"/>
                <w:szCs w:val="4"/>
              </w:rPr>
            </w:pPr>
            <w:r>
              <w:rPr>
                <w:sz w:val="4"/>
                <w:szCs w:val="4"/>
              </w:rPr>
            </w:r>
          </w:p>
        </w:tc>
        <w:tc>
          <w:tcPr>
            <w:tcW w:w="808" w:type="dxa"/>
            <w:tcBorders/>
            <w:shd w:fill="auto" w:val="clear"/>
            <w:vAlign w:val="bottom"/>
          </w:tcPr>
          <w:p>
            <w:pPr>
              <w:pStyle w:val="TableContents"/>
              <w:spacing w:before="0" w:after="283"/>
              <w:rPr>
                <w:sz w:val="4"/>
                <w:szCs w:val="4"/>
              </w:rPr>
            </w:pPr>
            <w:r>
              <w:rPr>
                <w:sz w:val="4"/>
                <w:szCs w:val="4"/>
              </w:rPr>
            </w:r>
          </w:p>
        </w:tc>
        <w:tc>
          <w:tcPr>
            <w:tcW w:w="95" w:type="dxa"/>
            <w:tcBorders/>
            <w:shd w:fill="auto" w:val="clear"/>
            <w:vAlign w:val="center"/>
          </w:tcPr>
          <w:p>
            <w:pPr>
              <w:pStyle w:val="TableContents"/>
              <w:spacing w:before="0" w:after="283"/>
              <w:rPr>
                <w:sz w:val="4"/>
                <w:szCs w:val="4"/>
              </w:rPr>
            </w:pPr>
            <w:r>
              <w:rPr>
                <w:sz w:val="4"/>
                <w:szCs w:val="4"/>
              </w:rPr>
            </w:r>
          </w:p>
        </w:tc>
        <w:tc>
          <w:tcPr>
            <w:tcW w:w="808" w:type="dxa"/>
            <w:tcBorders/>
            <w:shd w:fill="auto" w:val="clear"/>
            <w:vAlign w:val="bottom"/>
          </w:tcPr>
          <w:p>
            <w:pPr>
              <w:pStyle w:val="TableContents"/>
              <w:spacing w:before="0" w:after="283"/>
              <w:rPr>
                <w:sz w:val="4"/>
                <w:szCs w:val="4"/>
              </w:rPr>
            </w:pPr>
            <w:r>
              <w:rPr>
                <w:sz w:val="4"/>
                <w:szCs w:val="4"/>
              </w:rPr>
            </w:r>
          </w:p>
        </w:tc>
        <w:tc>
          <w:tcPr>
            <w:tcW w:w="5764" w:type="dxa"/>
            <w:tcBorders/>
            <w:shd w:fill="auto" w:val="clear"/>
            <w:vAlign w:val="center"/>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283"/>
              <w:rPr/>
            </w:pPr>
            <w:r>
              <w:rPr/>
              <w:t>Pledgor</w:t>
            </w:r>
          </w:p>
        </w:tc>
        <w:tc>
          <w:tcPr>
            <w:tcW w:w="808"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sz w:val="4"/>
                <w:szCs w:val="4"/>
              </w:rPr>
            </w:pPr>
            <w:r>
              <w:rPr>
                <w:sz w:val="4"/>
                <w:szCs w:val="4"/>
              </w:rPr>
            </w:r>
          </w:p>
        </w:tc>
        <w:tc>
          <w:tcPr>
            <w:tcW w:w="808" w:type="dxa"/>
            <w:tcBorders/>
            <w:shd w:fill="auto" w:val="clear"/>
            <w:vAlign w:val="bottom"/>
          </w:tcPr>
          <w:p>
            <w:pPr>
              <w:pStyle w:val="TableContents"/>
              <w:spacing w:before="0" w:after="283"/>
              <w:rPr/>
            </w:pPr>
            <w:r>
              <w:rPr/>
              <w:t>  </w:t>
            </w:r>
          </w:p>
        </w:tc>
        <w:tc>
          <w:tcPr>
            <w:tcW w:w="5764" w:type="dxa"/>
            <w:tcBorders/>
            <w:shd w:fill="auto" w:val="clear"/>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283"/>
              <w:rPr/>
            </w:pPr>
            <w:r>
              <w:rPr/>
              <w:t>SIGNED as a DEED</w:t>
            </w:r>
          </w:p>
        </w:tc>
        <w:tc>
          <w:tcPr>
            <w:tcW w:w="808"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8" w:type="dxa"/>
            <w:tcBorders/>
            <w:shd w:fill="auto" w:val="clear"/>
            <w:vAlign w:val="bottom"/>
          </w:tcPr>
          <w:p>
            <w:pPr>
              <w:pStyle w:val="TableContents"/>
              <w:spacing w:before="0" w:after="283"/>
              <w:rPr/>
            </w:pPr>
            <w:r>
              <w:rPr/>
              <w:t>  </w:t>
            </w:r>
          </w:p>
        </w:tc>
        <w:tc>
          <w:tcPr>
            <w:tcW w:w="5764" w:type="dxa"/>
            <w:tcBorders/>
            <w:shd w:fill="auto" w:val="clear"/>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283"/>
              <w:rPr/>
            </w:pPr>
            <w:r>
              <w:rPr/>
              <w:t xml:space="preserve">by </w:t>
            </w:r>
            <w:r>
              <w:rPr>
                <w:b/>
              </w:rPr>
              <w:t>ELQ INVESTORS VIII LTD</w:t>
            </w:r>
          </w:p>
        </w:tc>
        <w:tc>
          <w:tcPr>
            <w:tcW w:w="808"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8" w:type="dxa"/>
            <w:tcBorders/>
            <w:shd w:fill="auto" w:val="clear"/>
            <w:vAlign w:val="bottom"/>
          </w:tcPr>
          <w:p>
            <w:pPr>
              <w:pStyle w:val="TableContents"/>
              <w:spacing w:before="0" w:after="283"/>
              <w:rPr/>
            </w:pPr>
            <w:r>
              <w:rPr/>
              <w:t>  </w:t>
            </w:r>
          </w:p>
        </w:tc>
        <w:tc>
          <w:tcPr>
            <w:tcW w:w="5764" w:type="dxa"/>
            <w:tcBorders/>
            <w:shd w:fill="auto" w:val="clear"/>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283"/>
              <w:rPr/>
            </w:pPr>
            <w:r>
              <w:rPr/>
              <w:t>acting by its authorised</w:t>
            </w:r>
          </w:p>
        </w:tc>
        <w:tc>
          <w:tcPr>
            <w:tcW w:w="808"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8" w:type="dxa"/>
            <w:tcBorders/>
            <w:shd w:fill="auto" w:val="clear"/>
            <w:vAlign w:val="bottom"/>
          </w:tcPr>
          <w:p>
            <w:pPr>
              <w:pStyle w:val="TableContents"/>
              <w:spacing w:before="0" w:after="283"/>
              <w:rPr/>
            </w:pPr>
            <w:r>
              <w:rPr/>
              <w:t>  </w:t>
            </w:r>
          </w:p>
        </w:tc>
        <w:tc>
          <w:tcPr>
            <w:tcW w:w="5764" w:type="dxa"/>
            <w:tcBorders/>
            <w:shd w:fill="auto" w:val="clear"/>
          </w:tcPr>
          <w:p>
            <w:pPr>
              <w:pStyle w:val="TableContents"/>
              <w:spacing w:before="0" w:after="283"/>
              <w:rPr>
                <w:sz w:val="4"/>
                <w:szCs w:val="4"/>
              </w:rPr>
            </w:pPr>
            <w:r>
              <w:rPr>
                <w:sz w:val="4"/>
                <w:szCs w:val="4"/>
              </w:rPr>
            </w:r>
          </w:p>
        </w:tc>
      </w:tr>
      <w:tr>
        <w:trPr/>
        <w:tc>
          <w:tcPr>
            <w:tcW w:w="2730" w:type="dxa"/>
            <w:tcBorders>
              <w:bottom w:val="single" w:sz="2" w:space="0" w:color="000000"/>
              <w:insideH w:val="single" w:sz="2" w:space="0" w:color="000000"/>
            </w:tcBorders>
            <w:shd w:fill="auto" w:val="clear"/>
            <w:tcMar>
              <w:bottom w:w="28" w:type="dxa"/>
            </w:tcMar>
          </w:tcPr>
          <w:p>
            <w:pPr>
              <w:pStyle w:val="TableContents"/>
              <w:spacing w:before="0" w:after="283"/>
              <w:rPr/>
            </w:pPr>
            <w:r>
              <w:rPr/>
              <w:t> </w:t>
            </w:r>
          </w:p>
        </w:tc>
        <w:tc>
          <w:tcPr>
            <w:tcW w:w="808"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8" w:type="dxa"/>
            <w:tcBorders/>
            <w:shd w:fill="auto" w:val="clear"/>
            <w:vAlign w:val="bottom"/>
          </w:tcPr>
          <w:p>
            <w:pPr>
              <w:pStyle w:val="TableContents"/>
              <w:spacing w:before="0" w:after="283"/>
              <w:rPr/>
            </w:pPr>
            <w:r>
              <w:rPr/>
              <w:t>  </w:t>
            </w:r>
          </w:p>
        </w:tc>
        <w:tc>
          <w:tcPr>
            <w:tcW w:w="5764" w:type="dxa"/>
            <w:tcBorders/>
            <w:shd w:fill="auto" w:val="clear"/>
          </w:tcPr>
          <w:p>
            <w:pPr>
              <w:pStyle w:val="TableContents"/>
              <w:spacing w:before="0" w:after="283"/>
              <w:rPr>
                <w:sz w:val="4"/>
                <w:szCs w:val="4"/>
              </w:rPr>
            </w:pPr>
            <w:r>
              <w:rPr>
                <w:sz w:val="4"/>
                <w:szCs w:val="4"/>
              </w:rPr>
            </w:r>
          </w:p>
        </w:tc>
      </w:tr>
      <w:tr>
        <w:trPr/>
        <w:tc>
          <w:tcPr>
            <w:tcW w:w="2730" w:type="dxa"/>
            <w:tcBorders/>
            <w:shd w:fill="auto" w:val="clear"/>
          </w:tcPr>
          <w:p>
            <w:pPr>
              <w:pStyle w:val="TableContents"/>
              <w:spacing w:before="0" w:after="283"/>
              <w:rPr/>
            </w:pPr>
            <w:r>
              <w:rPr/>
              <w:t>in the presence of:</w:t>
            </w:r>
          </w:p>
        </w:tc>
        <w:tc>
          <w:tcPr>
            <w:tcW w:w="808"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8" w:type="dxa"/>
            <w:tcBorders/>
            <w:shd w:fill="auto" w:val="clear"/>
            <w:vAlign w:val="bottom"/>
          </w:tcPr>
          <w:p>
            <w:pPr>
              <w:pStyle w:val="TableContents"/>
              <w:spacing w:before="0" w:after="283"/>
              <w:rPr/>
            </w:pPr>
            <w:r>
              <w:rPr/>
              <w:t>  </w:t>
            </w:r>
          </w:p>
        </w:tc>
        <w:tc>
          <w:tcPr>
            <w:tcW w:w="5764" w:type="dxa"/>
            <w:tcBorders/>
            <w:shd w:fill="auto" w:val="clear"/>
          </w:tcPr>
          <w:p>
            <w:pPr>
              <w:pStyle w:val="TableContents"/>
              <w:spacing w:before="0" w:after="283"/>
              <w:rPr>
                <w:sz w:val="4"/>
                <w:szCs w:val="4"/>
              </w:rPr>
            </w:pPr>
            <w:r>
              <w:rPr>
                <w:sz w:val="4"/>
                <w:szCs w:val="4"/>
              </w:rPr>
            </w:r>
          </w:p>
        </w:tc>
      </w:tr>
    </w:tbl>
    <w:tbl>
      <w:tblPr>
        <w:tblW w:w="5000" w:type="pct"/>
        <w:jc w:val="center"/>
        <w:tblInd w:w="0" w:type="dxa"/>
        <w:tblBorders/>
        <w:tblCellMar>
          <w:top w:w="0" w:type="dxa"/>
          <w:left w:w="0" w:type="dxa"/>
          <w:bottom w:w="0" w:type="dxa"/>
          <w:right w:w="0" w:type="dxa"/>
        </w:tblCellMar>
      </w:tblPr>
      <w:tblGrid>
        <w:gridCol w:w="2400"/>
        <w:gridCol w:w="129"/>
        <w:gridCol w:w="3776"/>
        <w:gridCol w:w="129"/>
        <w:gridCol w:w="3771"/>
      </w:tblGrid>
      <w:tr>
        <w:trPr/>
        <w:tc>
          <w:tcPr>
            <w:tcW w:w="2400"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6"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1" w:type="dxa"/>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Witness’s Signature: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Name: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Witness’s Signature: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Name: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bl>
    <w:tbl>
      <w:tblPr>
        <w:tblW w:w="5000" w:type="pct"/>
        <w:jc w:val="center"/>
        <w:tblInd w:w="0" w:type="dxa"/>
        <w:tblBorders/>
        <w:tblCellMar>
          <w:top w:w="0" w:type="dxa"/>
          <w:left w:w="0" w:type="dxa"/>
          <w:bottom w:w="0" w:type="dxa"/>
          <w:right w:w="0" w:type="dxa"/>
        </w:tblCellMar>
      </w:tblPr>
      <w:tblGrid>
        <w:gridCol w:w="2729"/>
        <w:gridCol w:w="807"/>
        <w:gridCol w:w="95"/>
        <w:gridCol w:w="807"/>
        <w:gridCol w:w="5767"/>
      </w:tblGrid>
      <w:tr>
        <w:trPr/>
        <w:tc>
          <w:tcPr>
            <w:tcW w:w="2729" w:type="dxa"/>
            <w:tcBorders/>
            <w:shd w:fill="auto" w:val="clear"/>
            <w:vAlign w:val="cente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sz w:val="4"/>
                <w:szCs w:val="4"/>
              </w:rPr>
            </w:pPr>
            <w:r>
              <w:rPr>
                <w:sz w:val="4"/>
                <w:szCs w:val="4"/>
              </w:rPr>
            </w:r>
          </w:p>
        </w:tc>
        <w:tc>
          <w:tcPr>
            <w:tcW w:w="95" w:type="dxa"/>
            <w:tcBorders/>
            <w:shd w:fill="auto" w:val="clear"/>
            <w:vAlign w:val="cente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sz w:val="4"/>
                <w:szCs w:val="4"/>
              </w:rPr>
            </w:pPr>
            <w:r>
              <w:rPr>
                <w:sz w:val="4"/>
                <w:szCs w:val="4"/>
              </w:rPr>
            </w:r>
          </w:p>
        </w:tc>
        <w:tc>
          <w:tcPr>
            <w:tcW w:w="5767" w:type="dxa"/>
            <w:tcBorders/>
            <w:shd w:fill="auto" w:val="clear"/>
            <w:vAlign w:val="cente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Pledgee</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SIGNED as a DEED</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 xml:space="preserve">by </w:t>
            </w:r>
            <w:r>
              <w:rPr>
                <w:b/>
              </w:rPr>
              <w:t>VTB BANK (PJSC)</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acting by its authorised</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bottom w:val="single" w:sz="2" w:space="0" w:color="000000"/>
              <w:insideH w:val="single" w:sz="2" w:space="0" w:color="000000"/>
            </w:tcBorders>
            <w:shd w:fill="auto" w:val="clear"/>
            <w:tcMar>
              <w:bottom w:w="28" w:type="dxa"/>
            </w:tcMar>
          </w:tcPr>
          <w:p>
            <w:pPr>
              <w:pStyle w:val="TableContents"/>
              <w:spacing w:before="0" w:after="283"/>
              <w:rPr/>
            </w:pPr>
            <w:r>
              <w:rPr/>
              <w:t> </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in the presence of:</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bl>
    <w:tbl>
      <w:tblPr>
        <w:tblW w:w="5000" w:type="pct"/>
        <w:jc w:val="center"/>
        <w:tblInd w:w="0" w:type="dxa"/>
        <w:tblBorders/>
        <w:tblCellMar>
          <w:top w:w="0" w:type="dxa"/>
          <w:left w:w="0" w:type="dxa"/>
          <w:bottom w:w="0" w:type="dxa"/>
          <w:right w:w="0" w:type="dxa"/>
        </w:tblCellMar>
      </w:tblPr>
      <w:tblGrid>
        <w:gridCol w:w="2400"/>
        <w:gridCol w:w="129"/>
        <w:gridCol w:w="3776"/>
        <w:gridCol w:w="129"/>
        <w:gridCol w:w="3771"/>
      </w:tblGrid>
      <w:tr>
        <w:trPr/>
        <w:tc>
          <w:tcPr>
            <w:tcW w:w="2400"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6" w:type="dxa"/>
            <w:tcBorders/>
            <w:shd w:fill="auto" w:val="clear"/>
            <w:vAlign w:val="center"/>
          </w:tcPr>
          <w:p>
            <w:pPr>
              <w:pStyle w:val="TableContents"/>
              <w:spacing w:before="0" w:after="283"/>
              <w:rPr>
                <w:sz w:val="4"/>
                <w:szCs w:val="4"/>
              </w:rPr>
            </w:pPr>
            <w:r>
              <w:rPr>
                <w:sz w:val="4"/>
                <w:szCs w:val="4"/>
              </w:rPr>
            </w:r>
          </w:p>
        </w:tc>
        <w:tc>
          <w:tcPr>
            <w:tcW w:w="129" w:type="dxa"/>
            <w:tcBorders/>
            <w:shd w:fill="auto" w:val="clear"/>
            <w:vAlign w:val="bottom"/>
          </w:tcPr>
          <w:p>
            <w:pPr>
              <w:pStyle w:val="TableContents"/>
              <w:spacing w:before="0" w:after="283"/>
              <w:rPr>
                <w:sz w:val="4"/>
                <w:szCs w:val="4"/>
              </w:rPr>
            </w:pPr>
            <w:r>
              <w:rPr>
                <w:sz w:val="4"/>
                <w:szCs w:val="4"/>
              </w:rPr>
            </w:r>
          </w:p>
        </w:tc>
        <w:tc>
          <w:tcPr>
            <w:tcW w:w="3771" w:type="dxa"/>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Witness’s Signature: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Name: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Witness’s Signature: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r>
        <w:trPr>
          <w:trHeight w:val="120" w:hRule="atLeast"/>
        </w:trPr>
        <w:tc>
          <w:tcPr>
            <w:tcW w:w="2400" w:type="dxa"/>
            <w:tcBorders/>
            <w:shd w:fill="auto" w:val="clear"/>
            <w:vAlign w:val="center"/>
          </w:tcPr>
          <w:p>
            <w:pPr>
              <w:pStyle w:val="TableContents"/>
              <w:spacing w:before="0" w:after="283"/>
              <w:rPr>
                <w:sz w:val="4"/>
                <w:szCs w:val="4"/>
              </w:rPr>
            </w:pPr>
            <w:r>
              <w:rPr>
                <w:sz w:val="4"/>
                <w:szCs w:val="4"/>
              </w:rPr>
            </w:r>
          </w:p>
        </w:tc>
        <w:tc>
          <w:tcPr>
            <w:tcW w:w="3905" w:type="dxa"/>
            <w:gridSpan w:val="2"/>
            <w:tcBorders/>
            <w:shd w:fill="auto" w:val="clear"/>
            <w:vAlign w:val="center"/>
          </w:tcPr>
          <w:p>
            <w:pPr>
              <w:pStyle w:val="TableContents"/>
              <w:spacing w:before="0" w:after="283"/>
              <w:rPr>
                <w:sz w:val="4"/>
                <w:szCs w:val="4"/>
              </w:rPr>
            </w:pPr>
            <w:r>
              <w:rPr>
                <w:sz w:val="4"/>
                <w:szCs w:val="4"/>
              </w:rPr>
            </w:r>
          </w:p>
        </w:tc>
        <w:tc>
          <w:tcPr>
            <w:tcW w:w="3900" w:type="dxa"/>
            <w:gridSpan w:val="2"/>
            <w:tcBorders/>
            <w:shd w:fill="auto" w:val="clear"/>
            <w:vAlign w:val="center"/>
          </w:tcPr>
          <w:p>
            <w:pPr>
              <w:pStyle w:val="TableContents"/>
              <w:spacing w:before="0" w:after="283"/>
              <w:rPr>
                <w:sz w:val="4"/>
                <w:szCs w:val="4"/>
              </w:rPr>
            </w:pPr>
            <w:r>
              <w:rPr>
                <w:sz w:val="4"/>
                <w:szCs w:val="4"/>
              </w:rPr>
            </w:r>
          </w:p>
        </w:tc>
      </w:tr>
      <w:tr>
        <w:trPr/>
        <w:tc>
          <w:tcPr>
            <w:tcW w:w="2400" w:type="dxa"/>
            <w:tcBorders/>
            <w:shd w:fill="auto" w:val="clear"/>
          </w:tcPr>
          <w:p>
            <w:pPr>
              <w:pStyle w:val="TableContents"/>
              <w:spacing w:before="0" w:after="283"/>
              <w:rPr/>
            </w:pPr>
            <w:r>
              <w:rPr/>
              <w:t>Name:</w:t>
            </w:r>
          </w:p>
        </w:tc>
        <w:tc>
          <w:tcPr>
            <w:tcW w:w="129" w:type="dxa"/>
            <w:tcBorders/>
            <w:shd w:fill="auto" w:val="clear"/>
            <w:vAlign w:val="bottom"/>
          </w:tcPr>
          <w:p>
            <w:pPr>
              <w:pStyle w:val="TableContents"/>
              <w:spacing w:before="0" w:after="283"/>
              <w:rPr/>
            </w:pPr>
            <w:r>
              <w:rPr/>
              <w:t>  </w:t>
            </w:r>
          </w:p>
        </w:tc>
        <w:tc>
          <w:tcPr>
            <w:tcW w:w="3776" w:type="dxa"/>
            <w:tcBorders/>
            <w:shd w:fill="auto" w:val="clear"/>
          </w:tcPr>
          <w:p>
            <w:pPr>
              <w:pStyle w:val="TableContents"/>
              <w:pBdr>
                <w:bottom w:val="single" w:sz="2" w:space="1" w:color="000000"/>
              </w:pBdr>
              <w:spacing w:before="0" w:after="20"/>
              <w:rPr/>
            </w:pPr>
            <w:r>
              <w:rPr/>
              <w:t> </w:t>
            </w:r>
          </w:p>
        </w:tc>
        <w:tc>
          <w:tcPr>
            <w:tcW w:w="129" w:type="dxa"/>
            <w:tcBorders/>
            <w:shd w:fill="auto" w:val="clear"/>
            <w:vAlign w:val="bottom"/>
          </w:tcPr>
          <w:p>
            <w:pPr>
              <w:pStyle w:val="TableContents"/>
              <w:spacing w:before="0" w:after="283"/>
              <w:rPr/>
            </w:pPr>
            <w:r>
              <w:rPr/>
              <w:t>  </w:t>
            </w:r>
          </w:p>
        </w:tc>
        <w:tc>
          <w:tcPr>
            <w:tcW w:w="3771"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913"/>
        <w:gridCol w:w="221"/>
        <w:gridCol w:w="1617"/>
        <w:gridCol w:w="221"/>
        <w:gridCol w:w="5233"/>
      </w:tblGrid>
      <w:tr>
        <w:trPr/>
        <w:tc>
          <w:tcPr>
            <w:tcW w:w="2913" w:type="dxa"/>
            <w:tcBorders/>
            <w:shd w:fill="auto" w:val="clear"/>
            <w:vAlign w:val="cente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sz w:val="4"/>
                <w:szCs w:val="4"/>
              </w:rPr>
            </w:pPr>
            <w:r>
              <w:rPr>
                <w:sz w:val="4"/>
                <w:szCs w:val="4"/>
              </w:rPr>
            </w:r>
          </w:p>
        </w:tc>
        <w:tc>
          <w:tcPr>
            <w:tcW w:w="1617" w:type="dxa"/>
            <w:tcBorders/>
            <w:shd w:fill="auto" w:val="clear"/>
            <w:vAlign w:val="cente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sz w:val="4"/>
                <w:szCs w:val="4"/>
              </w:rPr>
            </w:pPr>
            <w:r>
              <w:rPr>
                <w:sz w:val="4"/>
                <w:szCs w:val="4"/>
              </w:rPr>
            </w:r>
          </w:p>
        </w:tc>
        <w:tc>
          <w:tcPr>
            <w:tcW w:w="5233" w:type="dxa"/>
            <w:tcBorders/>
            <w:shd w:fill="auto" w:val="clear"/>
            <w:vAlign w:val="cente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b/>
              </w:rPr>
            </w:pPr>
            <w:r>
              <w:rPr>
                <w:b/>
              </w:rPr>
              <w:t>SIGNATORIES</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b/>
              </w:rPr>
            </w:pPr>
            <w:r>
              <w:rPr>
                <w:b/>
              </w:rPr>
              <w:t>Pledgor</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SIGNED as a DEED</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 xml:space="preserve">by </w:t>
            </w:r>
            <w:r>
              <w:rPr>
                <w:b/>
              </w:rPr>
              <w:t>ELQ INVESTORS VIII LTD</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acting by its authorised</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pBdr>
                <w:bottom w:val="single" w:sz="2" w:space="1" w:color="000000"/>
              </w:pBdr>
              <w:spacing w:before="0" w:after="20"/>
              <w:rPr/>
            </w:pPr>
            <w:r>
              <w:rPr/>
              <w:t> </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in the presence of:</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953"/>
        <w:gridCol w:w="217"/>
        <w:gridCol w:w="3909"/>
        <w:gridCol w:w="217"/>
        <w:gridCol w:w="3908"/>
      </w:tblGrid>
      <w:tr>
        <w:trPr/>
        <w:tc>
          <w:tcPr>
            <w:tcW w:w="1953"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sz w:val="4"/>
                <w:szCs w:val="4"/>
              </w:rPr>
            </w:pPr>
            <w:r>
              <w:rPr>
                <w:sz w:val="4"/>
                <w:szCs w:val="4"/>
              </w:rPr>
            </w:r>
          </w:p>
        </w:tc>
        <w:tc>
          <w:tcPr>
            <w:tcW w:w="3909"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sz w:val="4"/>
                <w:szCs w:val="4"/>
              </w:rPr>
            </w:pPr>
            <w:r>
              <w:rPr>
                <w:sz w:val="4"/>
                <w:szCs w:val="4"/>
              </w:rPr>
            </w:r>
          </w:p>
        </w:tc>
        <w:tc>
          <w:tcPr>
            <w:tcW w:w="3908" w:type="dxa"/>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Witness’s Signature: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r>
        <w:trPr>
          <w:trHeight w:val="120" w:hRule="atLeast"/>
        </w:trPr>
        <w:tc>
          <w:tcPr>
            <w:tcW w:w="1953" w:type="dxa"/>
            <w:tcBorders/>
            <w:shd w:fill="auto" w:val="clear"/>
            <w:vAlign w:val="center"/>
          </w:tcPr>
          <w:p>
            <w:pPr>
              <w:pStyle w:val="TableContents"/>
              <w:spacing w:before="0" w:after="283"/>
              <w:rPr>
                <w:sz w:val="4"/>
                <w:szCs w:val="4"/>
              </w:rPr>
            </w:pPr>
            <w:r>
              <w:rPr>
                <w:sz w:val="4"/>
                <w:szCs w:val="4"/>
              </w:rPr>
            </w:r>
          </w:p>
        </w:tc>
        <w:tc>
          <w:tcPr>
            <w:tcW w:w="4126" w:type="dxa"/>
            <w:gridSpan w:val="2"/>
            <w:tcBorders/>
            <w:shd w:fill="auto" w:val="clear"/>
            <w:vAlign w:val="center"/>
          </w:tcPr>
          <w:p>
            <w:pPr>
              <w:pStyle w:val="TableContents"/>
              <w:spacing w:before="0" w:after="283"/>
              <w:rPr>
                <w:sz w:val="4"/>
                <w:szCs w:val="4"/>
              </w:rPr>
            </w:pPr>
            <w:r>
              <w:rPr>
                <w:sz w:val="4"/>
                <w:szCs w:val="4"/>
              </w:rPr>
            </w:r>
          </w:p>
        </w:tc>
        <w:tc>
          <w:tcPr>
            <w:tcW w:w="4125" w:type="dxa"/>
            <w:gridSpan w:val="2"/>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Name: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r>
        <w:trPr>
          <w:trHeight w:val="120" w:hRule="atLeast"/>
        </w:trPr>
        <w:tc>
          <w:tcPr>
            <w:tcW w:w="1953" w:type="dxa"/>
            <w:tcBorders/>
            <w:shd w:fill="auto" w:val="clear"/>
            <w:vAlign w:val="center"/>
          </w:tcPr>
          <w:p>
            <w:pPr>
              <w:pStyle w:val="TableContents"/>
              <w:spacing w:before="0" w:after="283"/>
              <w:rPr>
                <w:sz w:val="4"/>
                <w:szCs w:val="4"/>
              </w:rPr>
            </w:pPr>
            <w:r>
              <w:rPr>
                <w:sz w:val="4"/>
                <w:szCs w:val="4"/>
              </w:rPr>
            </w:r>
          </w:p>
        </w:tc>
        <w:tc>
          <w:tcPr>
            <w:tcW w:w="4126" w:type="dxa"/>
            <w:gridSpan w:val="2"/>
            <w:tcBorders/>
            <w:shd w:fill="auto" w:val="clear"/>
            <w:vAlign w:val="center"/>
          </w:tcPr>
          <w:p>
            <w:pPr>
              <w:pStyle w:val="TableContents"/>
              <w:spacing w:before="0" w:after="283"/>
              <w:rPr>
                <w:sz w:val="4"/>
                <w:szCs w:val="4"/>
              </w:rPr>
            </w:pPr>
            <w:r>
              <w:rPr>
                <w:sz w:val="4"/>
                <w:szCs w:val="4"/>
              </w:rPr>
            </w:r>
          </w:p>
        </w:tc>
        <w:tc>
          <w:tcPr>
            <w:tcW w:w="4125" w:type="dxa"/>
            <w:gridSpan w:val="2"/>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Witness’s Signature: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r>
        <w:trPr>
          <w:trHeight w:val="120" w:hRule="atLeast"/>
        </w:trPr>
        <w:tc>
          <w:tcPr>
            <w:tcW w:w="1953" w:type="dxa"/>
            <w:tcBorders/>
            <w:shd w:fill="auto" w:val="clear"/>
            <w:vAlign w:val="center"/>
          </w:tcPr>
          <w:p>
            <w:pPr>
              <w:pStyle w:val="TableContents"/>
              <w:spacing w:before="0" w:after="283"/>
              <w:rPr>
                <w:sz w:val="4"/>
                <w:szCs w:val="4"/>
              </w:rPr>
            </w:pPr>
            <w:r>
              <w:rPr>
                <w:sz w:val="4"/>
                <w:szCs w:val="4"/>
              </w:rPr>
            </w:r>
          </w:p>
        </w:tc>
        <w:tc>
          <w:tcPr>
            <w:tcW w:w="4126" w:type="dxa"/>
            <w:gridSpan w:val="2"/>
            <w:tcBorders/>
            <w:shd w:fill="auto" w:val="clear"/>
            <w:vAlign w:val="center"/>
          </w:tcPr>
          <w:p>
            <w:pPr>
              <w:pStyle w:val="TableContents"/>
              <w:spacing w:before="0" w:after="283"/>
              <w:rPr>
                <w:sz w:val="4"/>
                <w:szCs w:val="4"/>
              </w:rPr>
            </w:pPr>
            <w:r>
              <w:rPr>
                <w:sz w:val="4"/>
                <w:szCs w:val="4"/>
              </w:rPr>
            </w:r>
          </w:p>
        </w:tc>
        <w:tc>
          <w:tcPr>
            <w:tcW w:w="4125" w:type="dxa"/>
            <w:gridSpan w:val="2"/>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Name: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29"/>
        <w:gridCol w:w="807"/>
        <w:gridCol w:w="95"/>
        <w:gridCol w:w="807"/>
        <w:gridCol w:w="5767"/>
      </w:tblGrid>
      <w:tr>
        <w:trPr/>
        <w:tc>
          <w:tcPr>
            <w:tcW w:w="2729" w:type="dxa"/>
            <w:tcBorders/>
            <w:shd w:fill="auto" w:val="clear"/>
            <w:vAlign w:val="cente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sz w:val="4"/>
                <w:szCs w:val="4"/>
              </w:rPr>
            </w:pPr>
            <w:r>
              <w:rPr>
                <w:sz w:val="4"/>
                <w:szCs w:val="4"/>
              </w:rPr>
            </w:r>
          </w:p>
        </w:tc>
        <w:tc>
          <w:tcPr>
            <w:tcW w:w="95" w:type="dxa"/>
            <w:tcBorders/>
            <w:shd w:fill="auto" w:val="clear"/>
            <w:vAlign w:val="cente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sz w:val="4"/>
                <w:szCs w:val="4"/>
              </w:rPr>
            </w:pPr>
            <w:r>
              <w:rPr>
                <w:sz w:val="4"/>
                <w:szCs w:val="4"/>
              </w:rPr>
            </w:r>
          </w:p>
        </w:tc>
        <w:tc>
          <w:tcPr>
            <w:tcW w:w="5767" w:type="dxa"/>
            <w:tcBorders/>
            <w:shd w:fill="auto" w:val="clear"/>
            <w:vAlign w:val="cente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b/>
              </w:rPr>
            </w:pPr>
            <w:r>
              <w:rPr>
                <w:b/>
              </w:rPr>
              <w:t>Pledgee</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sz w:val="4"/>
                <w:szCs w:val="4"/>
              </w:rPr>
            </w:pPr>
            <w:r>
              <w:rPr>
                <w:sz w:val="4"/>
                <w:szCs w:val="4"/>
              </w:rPr>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SIGNED as a DEED</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 xml:space="preserve">by </w:t>
            </w:r>
            <w:r>
              <w:rPr>
                <w:b/>
              </w:rPr>
              <w:t>VTB BANK (PJSC)</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acting by its authorised</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pBdr>
                <w:bottom w:val="single" w:sz="2" w:space="1" w:color="000000"/>
              </w:pBdr>
              <w:spacing w:before="0" w:after="20"/>
              <w:rPr/>
            </w:pPr>
            <w:r>
              <w:rPr/>
              <w:t> </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r>
        <w:trPr/>
        <w:tc>
          <w:tcPr>
            <w:tcW w:w="2729" w:type="dxa"/>
            <w:tcBorders/>
            <w:shd w:fill="auto" w:val="clear"/>
          </w:tcPr>
          <w:p>
            <w:pPr>
              <w:pStyle w:val="TableContents"/>
              <w:spacing w:before="0" w:after="283"/>
              <w:rPr/>
            </w:pPr>
            <w:r>
              <w:rPr/>
              <w:t>in the presence of:</w:t>
            </w:r>
          </w:p>
        </w:tc>
        <w:tc>
          <w:tcPr>
            <w:tcW w:w="807"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7" w:type="dxa"/>
            <w:tcBorders/>
            <w:shd w:fill="auto" w:val="clear"/>
            <w:vAlign w:val="bottom"/>
          </w:tcPr>
          <w:p>
            <w:pPr>
              <w:pStyle w:val="TableContents"/>
              <w:spacing w:before="0" w:after="283"/>
              <w:rPr/>
            </w:pPr>
            <w:r>
              <w:rPr/>
              <w:t>  </w:t>
            </w:r>
          </w:p>
        </w:tc>
        <w:tc>
          <w:tcPr>
            <w:tcW w:w="5767"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953"/>
        <w:gridCol w:w="217"/>
        <w:gridCol w:w="3909"/>
        <w:gridCol w:w="217"/>
        <w:gridCol w:w="3908"/>
      </w:tblGrid>
      <w:tr>
        <w:trPr/>
        <w:tc>
          <w:tcPr>
            <w:tcW w:w="1953"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sz w:val="4"/>
                <w:szCs w:val="4"/>
              </w:rPr>
            </w:pPr>
            <w:r>
              <w:rPr>
                <w:sz w:val="4"/>
                <w:szCs w:val="4"/>
              </w:rPr>
            </w:r>
          </w:p>
        </w:tc>
        <w:tc>
          <w:tcPr>
            <w:tcW w:w="3909"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bottom"/>
          </w:tcPr>
          <w:p>
            <w:pPr>
              <w:pStyle w:val="TableContents"/>
              <w:spacing w:before="0" w:after="283"/>
              <w:rPr>
                <w:sz w:val="4"/>
                <w:szCs w:val="4"/>
              </w:rPr>
            </w:pPr>
            <w:r>
              <w:rPr>
                <w:sz w:val="4"/>
                <w:szCs w:val="4"/>
              </w:rPr>
            </w:r>
          </w:p>
        </w:tc>
        <w:tc>
          <w:tcPr>
            <w:tcW w:w="3908" w:type="dxa"/>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Witness’s Signature: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r>
        <w:trPr>
          <w:trHeight w:val="120" w:hRule="atLeast"/>
        </w:trPr>
        <w:tc>
          <w:tcPr>
            <w:tcW w:w="1953" w:type="dxa"/>
            <w:tcBorders/>
            <w:shd w:fill="auto" w:val="clear"/>
            <w:vAlign w:val="center"/>
          </w:tcPr>
          <w:p>
            <w:pPr>
              <w:pStyle w:val="TableContents"/>
              <w:spacing w:before="0" w:after="283"/>
              <w:rPr>
                <w:sz w:val="4"/>
                <w:szCs w:val="4"/>
              </w:rPr>
            </w:pPr>
            <w:r>
              <w:rPr>
                <w:sz w:val="4"/>
                <w:szCs w:val="4"/>
              </w:rPr>
            </w:r>
          </w:p>
        </w:tc>
        <w:tc>
          <w:tcPr>
            <w:tcW w:w="4126" w:type="dxa"/>
            <w:gridSpan w:val="2"/>
            <w:tcBorders/>
            <w:shd w:fill="auto" w:val="clear"/>
            <w:vAlign w:val="center"/>
          </w:tcPr>
          <w:p>
            <w:pPr>
              <w:pStyle w:val="TableContents"/>
              <w:spacing w:before="0" w:after="283"/>
              <w:rPr>
                <w:sz w:val="4"/>
                <w:szCs w:val="4"/>
              </w:rPr>
            </w:pPr>
            <w:r>
              <w:rPr>
                <w:sz w:val="4"/>
                <w:szCs w:val="4"/>
              </w:rPr>
            </w:r>
          </w:p>
        </w:tc>
        <w:tc>
          <w:tcPr>
            <w:tcW w:w="4125" w:type="dxa"/>
            <w:gridSpan w:val="2"/>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Name: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r>
        <w:trPr>
          <w:trHeight w:val="120" w:hRule="atLeast"/>
        </w:trPr>
        <w:tc>
          <w:tcPr>
            <w:tcW w:w="1953" w:type="dxa"/>
            <w:tcBorders/>
            <w:shd w:fill="auto" w:val="clear"/>
            <w:vAlign w:val="center"/>
          </w:tcPr>
          <w:p>
            <w:pPr>
              <w:pStyle w:val="TableContents"/>
              <w:spacing w:before="0" w:after="283"/>
              <w:rPr>
                <w:sz w:val="4"/>
                <w:szCs w:val="4"/>
              </w:rPr>
            </w:pPr>
            <w:r>
              <w:rPr>
                <w:sz w:val="4"/>
                <w:szCs w:val="4"/>
              </w:rPr>
            </w:r>
          </w:p>
        </w:tc>
        <w:tc>
          <w:tcPr>
            <w:tcW w:w="4126" w:type="dxa"/>
            <w:gridSpan w:val="2"/>
            <w:tcBorders/>
            <w:shd w:fill="auto" w:val="clear"/>
            <w:vAlign w:val="center"/>
          </w:tcPr>
          <w:p>
            <w:pPr>
              <w:pStyle w:val="TableContents"/>
              <w:spacing w:before="0" w:after="283"/>
              <w:rPr>
                <w:sz w:val="4"/>
                <w:szCs w:val="4"/>
              </w:rPr>
            </w:pPr>
            <w:r>
              <w:rPr>
                <w:sz w:val="4"/>
                <w:szCs w:val="4"/>
              </w:rPr>
            </w:r>
          </w:p>
        </w:tc>
        <w:tc>
          <w:tcPr>
            <w:tcW w:w="4125" w:type="dxa"/>
            <w:gridSpan w:val="2"/>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Witness’s Signature: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r>
        <w:trPr>
          <w:trHeight w:val="120" w:hRule="atLeast"/>
        </w:trPr>
        <w:tc>
          <w:tcPr>
            <w:tcW w:w="1953" w:type="dxa"/>
            <w:tcBorders/>
            <w:shd w:fill="auto" w:val="clear"/>
            <w:vAlign w:val="center"/>
          </w:tcPr>
          <w:p>
            <w:pPr>
              <w:pStyle w:val="TableContents"/>
              <w:spacing w:before="0" w:after="283"/>
              <w:rPr>
                <w:sz w:val="4"/>
                <w:szCs w:val="4"/>
              </w:rPr>
            </w:pPr>
            <w:r>
              <w:rPr>
                <w:sz w:val="4"/>
                <w:szCs w:val="4"/>
              </w:rPr>
            </w:r>
          </w:p>
        </w:tc>
        <w:tc>
          <w:tcPr>
            <w:tcW w:w="4126" w:type="dxa"/>
            <w:gridSpan w:val="2"/>
            <w:tcBorders/>
            <w:shd w:fill="auto" w:val="clear"/>
            <w:vAlign w:val="center"/>
          </w:tcPr>
          <w:p>
            <w:pPr>
              <w:pStyle w:val="TableContents"/>
              <w:spacing w:before="0" w:after="283"/>
              <w:rPr>
                <w:sz w:val="4"/>
                <w:szCs w:val="4"/>
              </w:rPr>
            </w:pPr>
            <w:r>
              <w:rPr>
                <w:sz w:val="4"/>
                <w:szCs w:val="4"/>
              </w:rPr>
            </w:r>
          </w:p>
        </w:tc>
        <w:tc>
          <w:tcPr>
            <w:tcW w:w="4125" w:type="dxa"/>
            <w:gridSpan w:val="2"/>
            <w:tcBorders/>
            <w:shd w:fill="auto" w:val="clear"/>
            <w:vAlign w:val="center"/>
          </w:tcPr>
          <w:p>
            <w:pPr>
              <w:pStyle w:val="TableContents"/>
              <w:spacing w:before="0" w:after="283"/>
              <w:rPr>
                <w:sz w:val="4"/>
                <w:szCs w:val="4"/>
              </w:rPr>
            </w:pPr>
            <w:r>
              <w:rPr>
                <w:sz w:val="4"/>
                <w:szCs w:val="4"/>
              </w:rPr>
            </w:r>
          </w:p>
        </w:tc>
      </w:tr>
      <w:tr>
        <w:trPr/>
        <w:tc>
          <w:tcPr>
            <w:tcW w:w="1953" w:type="dxa"/>
            <w:tcBorders/>
            <w:shd w:fill="auto" w:val="clear"/>
          </w:tcPr>
          <w:p>
            <w:pPr>
              <w:pStyle w:val="TableContents"/>
              <w:spacing w:before="0" w:after="283"/>
              <w:rPr/>
            </w:pPr>
            <w:r>
              <w:rPr/>
              <w:t>Name:</w:t>
            </w:r>
          </w:p>
        </w:tc>
        <w:tc>
          <w:tcPr>
            <w:tcW w:w="217" w:type="dxa"/>
            <w:tcBorders/>
            <w:shd w:fill="auto" w:val="clear"/>
            <w:vAlign w:val="bottom"/>
          </w:tcPr>
          <w:p>
            <w:pPr>
              <w:pStyle w:val="TableContents"/>
              <w:spacing w:before="0" w:after="283"/>
              <w:rPr/>
            </w:pPr>
            <w:r>
              <w:rPr/>
              <w:t>  </w:t>
            </w:r>
          </w:p>
        </w:tc>
        <w:tc>
          <w:tcPr>
            <w:tcW w:w="3909" w:type="dxa"/>
            <w:tcBorders/>
            <w:shd w:fill="auto" w:val="clear"/>
          </w:tcPr>
          <w:p>
            <w:pPr>
              <w:pStyle w:val="TableContents"/>
              <w:pBdr>
                <w:bottom w:val="single" w:sz="2" w:space="1" w:color="000000"/>
              </w:pBdr>
              <w:spacing w:before="0" w:after="20"/>
              <w:rPr/>
            </w:pPr>
            <w:r>
              <w:rPr/>
              <w:t> </w:t>
            </w:r>
          </w:p>
        </w:tc>
        <w:tc>
          <w:tcPr>
            <w:tcW w:w="217" w:type="dxa"/>
            <w:tcBorders/>
            <w:shd w:fill="auto" w:val="clear"/>
            <w:vAlign w:val="bottom"/>
          </w:tcPr>
          <w:p>
            <w:pPr>
              <w:pStyle w:val="TableContents"/>
              <w:spacing w:before="0" w:after="283"/>
              <w:rPr/>
            </w:pPr>
            <w:r>
              <w:rPr/>
              <w:t>  </w:t>
            </w:r>
          </w:p>
        </w:tc>
        <w:tc>
          <w:tcPr>
            <w:tcW w:w="3908"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DATED 5 OCTOBER 2017 </w:t>
      </w:r>
    </w:p>
    <w:p>
      <w:pPr>
        <w:pStyle w:val="TextBody"/>
        <w:spacing w:before="240" w:after="0"/>
        <w:jc w:val="center"/>
        <w:rPr>
          <w:rFonts w:ascii="Times New Roman" w:hAnsi="Times New Roman"/>
          <w:b/>
          <w:sz w:val="20"/>
        </w:rPr>
      </w:pPr>
      <w:r>
        <w:rPr>
          <w:rFonts w:ascii="Times New Roman" w:hAnsi="Times New Roman"/>
          <w:b/>
          <w:sz w:val="20"/>
        </w:rPr>
        <w:t xml:space="preserve">DEED OF CONFIRMATION </w:t>
      </w:r>
    </w:p>
    <w:p>
      <w:pPr>
        <w:pStyle w:val="TextBody"/>
        <w:spacing w:before="240" w:after="0"/>
        <w:jc w:val="center"/>
        <w:rPr>
          <w:rFonts w:ascii="Times New Roman" w:hAnsi="Times New Roman"/>
          <w:sz w:val="20"/>
        </w:rPr>
      </w:pPr>
      <w:r>
        <w:rPr>
          <w:rFonts w:ascii="Times New Roman" w:hAnsi="Times New Roman"/>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(1) ELQ INVESTORS VIII LTD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(2) VTB BANK (PJSC) </w:t>
      </w:r>
    </w:p>
    <w:p>
      <w:pPr>
        <w:pStyle w:val="TextBody"/>
        <w:spacing w:before="240" w:after="0"/>
        <w:jc w:val="center"/>
        <w:rPr>
          <w:rFonts w:ascii="Times New Roman" w:hAnsi="Times New Roman"/>
          <w:b/>
          <w:sz w:val="20"/>
        </w:rPr>
      </w:pPr>
      <w:r>
        <w:rPr>
          <w:rFonts w:ascii="Times New Roman" w:hAnsi="Times New Roman"/>
          <w:b/>
          <w:sz w:val="20"/>
        </w:rPr>
        <w:t xml:space="preserve">relating to the Deed of Pledge over shares in ZEMENIK TRADING LIMITED </w:t>
      </w:r>
    </w:p>
    <w:p>
      <w:pPr>
        <w:pStyle w:val="TextBody"/>
        <w:spacing w:before="240" w:after="0"/>
        <w:jc w:val="center"/>
        <w:rPr>
          <w:rFonts w:ascii="Times New Roman" w:hAnsi="Times New Roman"/>
          <w:b/>
          <w:sz w:val="20"/>
        </w:rPr>
      </w:pPr>
      <w:r>
        <w:rPr>
          <w:rFonts w:ascii="Times New Roman" w:hAnsi="Times New Roman"/>
          <w:b/>
          <w:sz w:val="20"/>
        </w:rPr>
        <w:t xml:space="preserve">dated 27 December 2016 </w:t>
      </w:r>
    </w:p>
    <w:p>
      <w:pPr>
        <w:pStyle w:val="TextBody"/>
        <w:spacing w:before="0" w:after="0"/>
        <w:rPr/>
      </w:pPr>
      <w:r>
        <w:rPr/>
        <w: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0" w:after="0"/>
        <w:jc w:val="center"/>
        <w:rPr>
          <w:rFonts w:ascii="Times New Roman" w:hAnsi="Times New Roman"/>
          <w:b/>
          <w:sz w:val="20"/>
        </w:rPr>
      </w:pPr>
      <w:r>
        <w:rPr>
          <w:rFonts w:ascii="Times New Roman" w:hAnsi="Times New Roman"/>
          <w:b/>
          <w:sz w:val="20"/>
        </w:rPr>
        <w:t xml:space="preserve">ALEXANDRO§ ECONOMOU </w:t>
      </w:r>
    </w:p>
    <w:p>
      <w:pPr>
        <w:pStyle w:val="TextBody"/>
        <w:spacing w:before="0" w:after="0"/>
        <w:jc w:val="center"/>
        <w:rPr>
          <w:rFonts w:ascii="Times New Roman" w:hAnsi="Times New Roman"/>
          <w:b/>
          <w:sz w:val="20"/>
        </w:rPr>
      </w:pPr>
      <w:r>
        <w:rPr>
          <w:rFonts w:ascii="Times New Roman" w:hAnsi="Times New Roman"/>
          <w:b/>
          <w:sz w:val="20"/>
        </w:rPr>
        <w:t xml:space="preserve">LLC </w:t>
      </w:r>
    </w:p>
    <w:p>
      <w:pPr>
        <w:pStyle w:val="TextBody"/>
        <w:pBdr>
          <w:bottom w:val="single" w:sz="8" w:space="1" w:color="000000"/>
        </w:pBdr>
        <w:spacing w:lineRule="atLeast" w:line="141" w:before="0" w:after="40"/>
        <w:rPr/>
      </w:pPr>
      <w:r>
        <w:rPr/>
        <w: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16"/>
        <w:gridCol w:w="197"/>
        <w:gridCol w:w="8484"/>
        <w:gridCol w:w="230"/>
        <w:gridCol w:w="154"/>
        <w:gridCol w:w="361"/>
        <w:gridCol w:w="63"/>
      </w:tblGrid>
      <w:tr>
        <w:trPr/>
        <w:tc>
          <w:tcPr>
            <w:tcW w:w="716" w:type="dxa"/>
            <w:tcBorders/>
            <w:shd w:fill="auto" w:val="clear"/>
            <w:vAlign w:val="center"/>
          </w:tcPr>
          <w:p>
            <w:pPr>
              <w:pStyle w:val="TableContents"/>
              <w:spacing w:before="0" w:after="283"/>
              <w:rPr>
                <w:sz w:val="4"/>
                <w:szCs w:val="4"/>
              </w:rPr>
            </w:pPr>
            <w:r>
              <w:rPr>
                <w:sz w:val="4"/>
                <w:szCs w:val="4"/>
              </w:rPr>
            </w:r>
          </w:p>
        </w:tc>
        <w:tc>
          <w:tcPr>
            <w:tcW w:w="197" w:type="dxa"/>
            <w:tcBorders/>
            <w:shd w:fill="auto" w:val="clear"/>
            <w:vAlign w:val="bottom"/>
          </w:tcPr>
          <w:p>
            <w:pPr>
              <w:pStyle w:val="TableContents"/>
              <w:spacing w:before="0" w:after="283"/>
              <w:rPr>
                <w:sz w:val="4"/>
                <w:szCs w:val="4"/>
              </w:rPr>
            </w:pPr>
            <w:r>
              <w:rPr>
                <w:sz w:val="4"/>
                <w:szCs w:val="4"/>
              </w:rPr>
            </w:r>
          </w:p>
        </w:tc>
        <w:tc>
          <w:tcPr>
            <w:tcW w:w="8484"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bottom"/>
          </w:tcPr>
          <w:p>
            <w:pPr>
              <w:pStyle w:val="TableContents"/>
              <w:spacing w:before="0" w:after="283"/>
              <w:rPr>
                <w:sz w:val="4"/>
                <w:szCs w:val="4"/>
              </w:rPr>
            </w:pPr>
            <w:r>
              <w:rPr>
                <w:sz w:val="4"/>
                <w:szCs w:val="4"/>
              </w:rPr>
            </w:r>
          </w:p>
        </w:tc>
        <w:tc>
          <w:tcPr>
            <w:tcW w:w="154" w:type="dxa"/>
            <w:tcBorders/>
            <w:shd w:fill="auto" w:val="clear"/>
            <w:vAlign w:val="center"/>
          </w:tcPr>
          <w:p>
            <w:pPr>
              <w:pStyle w:val="TableContents"/>
              <w:spacing w:before="0" w:after="283"/>
              <w:rPr>
                <w:sz w:val="4"/>
                <w:szCs w:val="4"/>
              </w:rPr>
            </w:pPr>
            <w:r>
              <w:rPr>
                <w:sz w:val="4"/>
                <w:szCs w:val="4"/>
              </w:rPr>
            </w:r>
          </w:p>
        </w:tc>
        <w:tc>
          <w:tcPr>
            <w:tcW w:w="361"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vAlign w:val="bottom"/>
          </w:tcPr>
          <w:p>
            <w:pPr>
              <w:pStyle w:val="TableContents"/>
              <w:spacing w:before="0" w:after="283"/>
              <w:jc w:val="center"/>
              <w:rPr>
                <w:b/>
              </w:rPr>
            </w:pPr>
            <w:r>
              <w:rPr>
                <w:b/>
              </w:rPr>
              <w:t>Clause</w:t>
            </w:r>
          </w:p>
        </w:tc>
        <w:tc>
          <w:tcPr>
            <w:tcW w:w="197" w:type="dxa"/>
            <w:tcBorders/>
            <w:shd w:fill="auto" w:val="clear"/>
            <w:vAlign w:val="bottom"/>
          </w:tcPr>
          <w:p>
            <w:pPr>
              <w:pStyle w:val="TableContents"/>
              <w:spacing w:before="0" w:after="283"/>
              <w:rPr/>
            </w:pPr>
            <w:r>
              <w:rPr/>
              <w:t> </w:t>
            </w:r>
          </w:p>
        </w:tc>
        <w:tc>
          <w:tcPr>
            <w:tcW w:w="8484" w:type="dxa"/>
            <w:tcBorders/>
            <w:shd w:fill="auto" w:val="clear"/>
            <w:vAlign w:val="bottom"/>
          </w:tcPr>
          <w:p>
            <w:pPr>
              <w:pStyle w:val="TableContents"/>
              <w:spacing w:before="0" w:after="283"/>
              <w:rPr/>
            </w:pPr>
            <w:r>
              <w:rPr/>
              <w:t> </w:t>
            </w:r>
          </w:p>
        </w:tc>
        <w:tc>
          <w:tcPr>
            <w:tcW w:w="230" w:type="dxa"/>
            <w:tcBorders/>
            <w:shd w:fill="auto" w:val="clear"/>
            <w:vAlign w:val="bottom"/>
          </w:tcPr>
          <w:p>
            <w:pPr>
              <w:pStyle w:val="TableContents"/>
              <w:spacing w:before="0" w:after="283"/>
              <w:rPr/>
            </w:pPr>
            <w:r>
              <w:rPr/>
              <w:t>  </w:t>
            </w:r>
          </w:p>
        </w:tc>
        <w:tc>
          <w:tcPr>
            <w:tcW w:w="515" w:type="dxa"/>
            <w:gridSpan w:val="2"/>
            <w:tcBorders/>
            <w:shd w:fill="auto" w:val="clear"/>
            <w:vAlign w:val="bottom"/>
          </w:tcPr>
          <w:p>
            <w:pPr>
              <w:pStyle w:val="TableContents"/>
              <w:spacing w:before="0" w:after="283"/>
              <w:jc w:val="center"/>
              <w:rPr>
                <w:b/>
              </w:rPr>
            </w:pPr>
            <w:r>
              <w:rPr>
                <w:b/>
              </w:rPr>
              <w:t>Page</w:t>
            </w:r>
          </w:p>
        </w:tc>
        <w:tc>
          <w:tcPr>
            <w:tcW w:w="63" w:type="dxa"/>
            <w:tcBorders/>
            <w:shd w:fill="auto" w:val="clear"/>
            <w:vAlign w:val="bottom"/>
          </w:tcPr>
          <w:p>
            <w:pPr>
              <w:pStyle w:val="TableContents"/>
              <w:spacing w:before="0" w:after="283"/>
              <w:rPr/>
            </w:pPr>
            <w:r>
              <w:rPr/>
              <w:t> </w:t>
            </w:r>
          </w:p>
        </w:tc>
      </w:tr>
      <w:tr>
        <w:trPr/>
        <w:tc>
          <w:tcPr>
            <w:tcW w:w="716" w:type="dxa"/>
            <w:tcBorders/>
            <w:shd w:fill="auto" w:val="clear"/>
          </w:tcPr>
          <w:p>
            <w:pPr>
              <w:pStyle w:val="TableContents"/>
              <w:spacing w:before="0" w:after="0"/>
              <w:rPr>
                <w:rFonts w:ascii="Times New Roman" w:hAnsi="Times New Roman"/>
                <w:b/>
                <w:sz w:val="20"/>
              </w:rPr>
            </w:pPr>
            <w:r>
              <w:rPr>
                <w:rFonts w:ascii="Times New Roman" w:hAnsi="Times New Roman"/>
                <w:b/>
                <w:sz w:val="20"/>
              </w:rPr>
              <w:t>1.</w:t>
            </w:r>
          </w:p>
        </w:tc>
        <w:tc>
          <w:tcPr>
            <w:tcW w:w="197" w:type="dxa"/>
            <w:tcBorders/>
            <w:shd w:fill="auto" w:val="clear"/>
            <w:vAlign w:val="bottom"/>
          </w:tcPr>
          <w:p>
            <w:pPr>
              <w:pStyle w:val="TableContents"/>
              <w:spacing w:before="0" w:after="283"/>
              <w:rPr/>
            </w:pPr>
            <w:r>
              <w:rPr/>
              <w:t> </w:t>
            </w:r>
          </w:p>
        </w:tc>
        <w:tc>
          <w:tcPr>
            <w:tcW w:w="8484" w:type="dxa"/>
            <w:tcBorders/>
            <w:shd w:fill="auto" w:val="clear"/>
          </w:tcPr>
          <w:p>
            <w:pPr>
              <w:pStyle w:val="TableContents"/>
              <w:spacing w:before="0" w:after="0"/>
              <w:rPr>
                <w:rFonts w:ascii="Times New Roman" w:hAnsi="Times New Roman"/>
                <w:b/>
                <w:sz w:val="20"/>
              </w:rPr>
            </w:pPr>
            <w:r>
              <w:rPr>
                <w:rFonts w:ascii="Times New Roman" w:hAnsi="Times New Roman"/>
                <w:b/>
                <w:sz w:val="20"/>
              </w:rPr>
              <w:t>INTERPRETATION</w:t>
            </w:r>
          </w:p>
        </w:tc>
        <w:tc>
          <w:tcPr>
            <w:tcW w:w="230" w:type="dxa"/>
            <w:tcBorders/>
            <w:shd w:fill="auto" w:val="clear"/>
            <w:vAlign w:val="bottom"/>
          </w:tcPr>
          <w:p>
            <w:pPr>
              <w:pStyle w:val="TableContents"/>
              <w:spacing w:before="0" w:after="283"/>
              <w:rPr/>
            </w:pPr>
            <w:r>
              <w:rPr/>
              <w:t>  </w:t>
            </w:r>
          </w:p>
        </w:tc>
        <w:tc>
          <w:tcPr>
            <w:tcW w:w="154" w:type="dxa"/>
            <w:tcBorders/>
            <w:shd w:fill="auto" w:val="clear"/>
          </w:tcPr>
          <w:p>
            <w:pPr>
              <w:pStyle w:val="TableContents"/>
              <w:spacing w:before="0" w:after="283"/>
              <w:rPr/>
            </w:pPr>
            <w:r>
              <w:rPr/>
              <w:t> </w:t>
            </w:r>
          </w:p>
        </w:tc>
        <w:tc>
          <w:tcPr>
            <w:tcW w:w="361" w:type="dxa"/>
            <w:tcBorders/>
            <w:shd w:fill="auto" w:val="clear"/>
          </w:tcPr>
          <w:p>
            <w:pPr>
              <w:pStyle w:val="TableContents"/>
              <w:spacing w:before="0" w:after="283"/>
              <w:jc w:val="right"/>
              <w:rPr>
                <w:b/>
              </w:rPr>
            </w:pPr>
            <w:r>
              <w:rPr>
                <w:b/>
              </w:rPr>
              <w:t>1</w:t>
            </w:r>
          </w:p>
        </w:tc>
        <w:tc>
          <w:tcPr>
            <w:tcW w:w="63" w:type="dxa"/>
            <w:tcBorders/>
            <w:shd w:fill="auto" w:val="clear"/>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1"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tcPr>
          <w:p>
            <w:pPr>
              <w:pStyle w:val="TableContents"/>
              <w:spacing w:before="0" w:after="0"/>
              <w:rPr>
                <w:rFonts w:ascii="Times New Roman" w:hAnsi="Times New Roman"/>
                <w:b/>
                <w:sz w:val="20"/>
              </w:rPr>
            </w:pPr>
            <w:r>
              <w:rPr>
                <w:rFonts w:ascii="Times New Roman" w:hAnsi="Times New Roman"/>
                <w:b/>
                <w:sz w:val="20"/>
              </w:rPr>
              <w:t>2.</w:t>
            </w:r>
          </w:p>
        </w:tc>
        <w:tc>
          <w:tcPr>
            <w:tcW w:w="197" w:type="dxa"/>
            <w:tcBorders/>
            <w:shd w:fill="auto" w:val="clear"/>
            <w:vAlign w:val="bottom"/>
          </w:tcPr>
          <w:p>
            <w:pPr>
              <w:pStyle w:val="TableContents"/>
              <w:spacing w:before="0" w:after="283"/>
              <w:rPr/>
            </w:pPr>
            <w:r>
              <w:rPr/>
              <w:t> </w:t>
            </w:r>
          </w:p>
        </w:tc>
        <w:tc>
          <w:tcPr>
            <w:tcW w:w="8484" w:type="dxa"/>
            <w:tcBorders/>
            <w:shd w:fill="auto" w:val="clear"/>
          </w:tcPr>
          <w:p>
            <w:pPr>
              <w:pStyle w:val="TableContents"/>
              <w:spacing w:before="0" w:after="0"/>
              <w:rPr>
                <w:rFonts w:ascii="Times New Roman" w:hAnsi="Times New Roman"/>
                <w:b/>
                <w:sz w:val="20"/>
              </w:rPr>
            </w:pPr>
            <w:r>
              <w:rPr>
                <w:rFonts w:ascii="Times New Roman" w:hAnsi="Times New Roman"/>
                <w:b/>
                <w:sz w:val="20"/>
              </w:rPr>
              <w:t>CONFIRMATION</w:t>
            </w:r>
          </w:p>
        </w:tc>
        <w:tc>
          <w:tcPr>
            <w:tcW w:w="230" w:type="dxa"/>
            <w:tcBorders/>
            <w:shd w:fill="auto" w:val="clear"/>
            <w:vAlign w:val="bottom"/>
          </w:tcPr>
          <w:p>
            <w:pPr>
              <w:pStyle w:val="TableContents"/>
              <w:spacing w:before="0" w:after="283"/>
              <w:rPr/>
            </w:pPr>
            <w:r>
              <w:rPr/>
              <w:t>  </w:t>
            </w:r>
          </w:p>
        </w:tc>
        <w:tc>
          <w:tcPr>
            <w:tcW w:w="154" w:type="dxa"/>
            <w:tcBorders/>
            <w:shd w:fill="auto" w:val="clear"/>
          </w:tcPr>
          <w:p>
            <w:pPr>
              <w:pStyle w:val="TableContents"/>
              <w:spacing w:before="0" w:after="283"/>
              <w:rPr/>
            </w:pPr>
            <w:r>
              <w:rPr/>
              <w:t> </w:t>
            </w:r>
          </w:p>
        </w:tc>
        <w:tc>
          <w:tcPr>
            <w:tcW w:w="361" w:type="dxa"/>
            <w:tcBorders/>
            <w:shd w:fill="auto" w:val="clear"/>
          </w:tcPr>
          <w:p>
            <w:pPr>
              <w:pStyle w:val="TableContents"/>
              <w:spacing w:before="0" w:after="283"/>
              <w:jc w:val="right"/>
              <w:rPr>
                <w:b/>
              </w:rPr>
            </w:pPr>
            <w:r>
              <w:rPr>
                <w:b/>
              </w:rPr>
              <w:t>1</w:t>
            </w:r>
          </w:p>
        </w:tc>
        <w:tc>
          <w:tcPr>
            <w:tcW w:w="63" w:type="dxa"/>
            <w:tcBorders/>
            <w:shd w:fill="auto" w:val="clear"/>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1"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tcPr>
          <w:p>
            <w:pPr>
              <w:pStyle w:val="TableContents"/>
              <w:spacing w:before="0" w:after="0"/>
              <w:rPr>
                <w:rFonts w:ascii="Times New Roman" w:hAnsi="Times New Roman"/>
                <w:b/>
                <w:sz w:val="20"/>
              </w:rPr>
            </w:pPr>
            <w:r>
              <w:rPr>
                <w:rFonts w:ascii="Times New Roman" w:hAnsi="Times New Roman"/>
                <w:b/>
                <w:sz w:val="20"/>
              </w:rPr>
              <w:t>3.</w:t>
            </w:r>
          </w:p>
        </w:tc>
        <w:tc>
          <w:tcPr>
            <w:tcW w:w="197" w:type="dxa"/>
            <w:tcBorders/>
            <w:shd w:fill="auto" w:val="clear"/>
            <w:vAlign w:val="bottom"/>
          </w:tcPr>
          <w:p>
            <w:pPr>
              <w:pStyle w:val="TableContents"/>
              <w:spacing w:before="0" w:after="283"/>
              <w:rPr/>
            </w:pPr>
            <w:r>
              <w:rPr/>
              <w:t> </w:t>
            </w:r>
          </w:p>
        </w:tc>
        <w:tc>
          <w:tcPr>
            <w:tcW w:w="8484" w:type="dxa"/>
            <w:tcBorders/>
            <w:shd w:fill="auto" w:val="clear"/>
          </w:tcPr>
          <w:p>
            <w:pPr>
              <w:pStyle w:val="TableContents"/>
              <w:spacing w:before="0" w:after="0"/>
              <w:rPr>
                <w:rFonts w:ascii="Times New Roman" w:hAnsi="Times New Roman"/>
                <w:b/>
                <w:sz w:val="20"/>
              </w:rPr>
            </w:pPr>
            <w:r>
              <w:rPr>
                <w:rFonts w:ascii="Times New Roman" w:hAnsi="Times New Roman"/>
                <w:b/>
                <w:sz w:val="20"/>
              </w:rPr>
              <w:t>FURTHER ASSURANCES</w:t>
            </w:r>
          </w:p>
        </w:tc>
        <w:tc>
          <w:tcPr>
            <w:tcW w:w="230" w:type="dxa"/>
            <w:tcBorders/>
            <w:shd w:fill="auto" w:val="clear"/>
            <w:vAlign w:val="bottom"/>
          </w:tcPr>
          <w:p>
            <w:pPr>
              <w:pStyle w:val="TableContents"/>
              <w:spacing w:before="0" w:after="283"/>
              <w:rPr/>
            </w:pPr>
            <w:r>
              <w:rPr/>
              <w:t>  </w:t>
            </w:r>
          </w:p>
        </w:tc>
        <w:tc>
          <w:tcPr>
            <w:tcW w:w="154" w:type="dxa"/>
            <w:tcBorders/>
            <w:shd w:fill="auto" w:val="clear"/>
          </w:tcPr>
          <w:p>
            <w:pPr>
              <w:pStyle w:val="TableContents"/>
              <w:spacing w:before="0" w:after="283"/>
              <w:rPr/>
            </w:pPr>
            <w:r>
              <w:rPr/>
              <w:t> </w:t>
            </w:r>
          </w:p>
        </w:tc>
        <w:tc>
          <w:tcPr>
            <w:tcW w:w="361" w:type="dxa"/>
            <w:tcBorders/>
            <w:shd w:fill="auto" w:val="clear"/>
          </w:tcPr>
          <w:p>
            <w:pPr>
              <w:pStyle w:val="TableContents"/>
              <w:spacing w:before="0" w:after="283"/>
              <w:jc w:val="right"/>
              <w:rPr>
                <w:b/>
              </w:rPr>
            </w:pPr>
            <w:r>
              <w:rPr>
                <w:b/>
              </w:rPr>
              <w:t>2</w:t>
            </w:r>
          </w:p>
        </w:tc>
        <w:tc>
          <w:tcPr>
            <w:tcW w:w="63" w:type="dxa"/>
            <w:tcBorders/>
            <w:shd w:fill="auto" w:val="clear"/>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1"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tcPr>
          <w:p>
            <w:pPr>
              <w:pStyle w:val="TableContents"/>
              <w:spacing w:before="0" w:after="0"/>
              <w:rPr>
                <w:rFonts w:ascii="Times New Roman" w:hAnsi="Times New Roman"/>
                <w:b/>
                <w:sz w:val="20"/>
              </w:rPr>
            </w:pPr>
            <w:r>
              <w:rPr>
                <w:rFonts w:ascii="Times New Roman" w:hAnsi="Times New Roman"/>
                <w:b/>
                <w:sz w:val="20"/>
              </w:rPr>
              <w:t>4.</w:t>
            </w:r>
          </w:p>
        </w:tc>
        <w:tc>
          <w:tcPr>
            <w:tcW w:w="197" w:type="dxa"/>
            <w:tcBorders/>
            <w:shd w:fill="auto" w:val="clear"/>
            <w:vAlign w:val="bottom"/>
          </w:tcPr>
          <w:p>
            <w:pPr>
              <w:pStyle w:val="TableContents"/>
              <w:spacing w:before="0" w:after="283"/>
              <w:rPr/>
            </w:pPr>
            <w:r>
              <w:rPr/>
              <w:t> </w:t>
            </w:r>
          </w:p>
        </w:tc>
        <w:tc>
          <w:tcPr>
            <w:tcW w:w="8484" w:type="dxa"/>
            <w:tcBorders/>
            <w:shd w:fill="auto" w:val="clear"/>
          </w:tcPr>
          <w:p>
            <w:pPr>
              <w:pStyle w:val="TableContents"/>
              <w:spacing w:before="0" w:after="0"/>
              <w:rPr>
                <w:rFonts w:ascii="Times New Roman" w:hAnsi="Times New Roman"/>
                <w:b/>
                <w:sz w:val="20"/>
              </w:rPr>
            </w:pPr>
            <w:r>
              <w:rPr>
                <w:rFonts w:ascii="Times New Roman" w:hAnsi="Times New Roman"/>
                <w:b/>
                <w:sz w:val="20"/>
              </w:rPr>
              <w:t>COUNTERPARTS</w:t>
            </w:r>
          </w:p>
        </w:tc>
        <w:tc>
          <w:tcPr>
            <w:tcW w:w="230" w:type="dxa"/>
            <w:tcBorders/>
            <w:shd w:fill="auto" w:val="clear"/>
            <w:vAlign w:val="bottom"/>
          </w:tcPr>
          <w:p>
            <w:pPr>
              <w:pStyle w:val="TableContents"/>
              <w:spacing w:before="0" w:after="283"/>
              <w:rPr/>
            </w:pPr>
            <w:r>
              <w:rPr/>
              <w:t>  </w:t>
            </w:r>
          </w:p>
        </w:tc>
        <w:tc>
          <w:tcPr>
            <w:tcW w:w="154" w:type="dxa"/>
            <w:tcBorders/>
            <w:shd w:fill="auto" w:val="clear"/>
          </w:tcPr>
          <w:p>
            <w:pPr>
              <w:pStyle w:val="TableContents"/>
              <w:spacing w:before="0" w:after="283"/>
              <w:rPr/>
            </w:pPr>
            <w:r>
              <w:rPr/>
              <w:t> </w:t>
            </w:r>
          </w:p>
        </w:tc>
        <w:tc>
          <w:tcPr>
            <w:tcW w:w="361" w:type="dxa"/>
            <w:tcBorders/>
            <w:shd w:fill="auto" w:val="clear"/>
          </w:tcPr>
          <w:p>
            <w:pPr>
              <w:pStyle w:val="TableContents"/>
              <w:spacing w:before="0" w:after="283"/>
              <w:jc w:val="right"/>
              <w:rPr>
                <w:b/>
              </w:rPr>
            </w:pPr>
            <w:r>
              <w:rPr>
                <w:b/>
              </w:rPr>
              <w:t>2</w:t>
            </w:r>
          </w:p>
        </w:tc>
        <w:tc>
          <w:tcPr>
            <w:tcW w:w="63" w:type="dxa"/>
            <w:tcBorders/>
            <w:shd w:fill="auto" w:val="clear"/>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1"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tcPr>
          <w:p>
            <w:pPr>
              <w:pStyle w:val="TableContents"/>
              <w:spacing w:before="0" w:after="0"/>
              <w:rPr>
                <w:rFonts w:ascii="Times New Roman" w:hAnsi="Times New Roman"/>
                <w:b/>
                <w:sz w:val="20"/>
              </w:rPr>
            </w:pPr>
            <w:r>
              <w:rPr>
                <w:rFonts w:ascii="Times New Roman" w:hAnsi="Times New Roman"/>
                <w:b/>
                <w:sz w:val="20"/>
              </w:rPr>
              <w:t>5.</w:t>
            </w:r>
          </w:p>
        </w:tc>
        <w:tc>
          <w:tcPr>
            <w:tcW w:w="197" w:type="dxa"/>
            <w:tcBorders/>
            <w:shd w:fill="auto" w:val="clear"/>
            <w:vAlign w:val="bottom"/>
          </w:tcPr>
          <w:p>
            <w:pPr>
              <w:pStyle w:val="TableContents"/>
              <w:spacing w:before="0" w:after="283"/>
              <w:rPr/>
            </w:pPr>
            <w:r>
              <w:rPr/>
              <w:t> </w:t>
            </w:r>
          </w:p>
        </w:tc>
        <w:tc>
          <w:tcPr>
            <w:tcW w:w="8484" w:type="dxa"/>
            <w:tcBorders/>
            <w:shd w:fill="auto" w:val="clear"/>
          </w:tcPr>
          <w:p>
            <w:pPr>
              <w:pStyle w:val="TableContents"/>
              <w:spacing w:before="0" w:after="0"/>
              <w:rPr>
                <w:rFonts w:ascii="Times New Roman" w:hAnsi="Times New Roman"/>
                <w:b/>
                <w:sz w:val="20"/>
              </w:rPr>
            </w:pPr>
            <w:r>
              <w:rPr>
                <w:rFonts w:ascii="Times New Roman" w:hAnsi="Times New Roman"/>
                <w:b/>
                <w:sz w:val="20"/>
              </w:rPr>
              <w:t>GOVERNING LAW</w:t>
            </w:r>
          </w:p>
        </w:tc>
        <w:tc>
          <w:tcPr>
            <w:tcW w:w="230" w:type="dxa"/>
            <w:tcBorders/>
            <w:shd w:fill="auto" w:val="clear"/>
            <w:vAlign w:val="bottom"/>
          </w:tcPr>
          <w:p>
            <w:pPr>
              <w:pStyle w:val="TableContents"/>
              <w:spacing w:before="0" w:after="283"/>
              <w:rPr/>
            </w:pPr>
            <w:r>
              <w:rPr/>
              <w:t>  </w:t>
            </w:r>
          </w:p>
        </w:tc>
        <w:tc>
          <w:tcPr>
            <w:tcW w:w="154" w:type="dxa"/>
            <w:tcBorders/>
            <w:shd w:fill="auto" w:val="clear"/>
          </w:tcPr>
          <w:p>
            <w:pPr>
              <w:pStyle w:val="TableContents"/>
              <w:spacing w:before="0" w:after="283"/>
              <w:rPr/>
            </w:pPr>
            <w:r>
              <w:rPr/>
              <w:t> </w:t>
            </w:r>
          </w:p>
        </w:tc>
        <w:tc>
          <w:tcPr>
            <w:tcW w:w="361" w:type="dxa"/>
            <w:tcBorders/>
            <w:shd w:fill="auto" w:val="clear"/>
          </w:tcPr>
          <w:p>
            <w:pPr>
              <w:pStyle w:val="TableContents"/>
              <w:spacing w:before="0" w:after="283"/>
              <w:jc w:val="right"/>
              <w:rPr>
                <w:b/>
              </w:rPr>
            </w:pPr>
            <w:r>
              <w:rPr>
                <w:b/>
              </w:rPr>
              <w:t>2</w:t>
            </w:r>
          </w:p>
        </w:tc>
        <w:tc>
          <w:tcPr>
            <w:tcW w:w="63" w:type="dxa"/>
            <w:tcBorders/>
            <w:shd w:fill="auto" w:val="clear"/>
          </w:tcPr>
          <w:p>
            <w:pPr>
              <w:pStyle w:val="TableContents"/>
              <w:spacing w:before="0" w:after="283"/>
              <w:rPr/>
            </w:pPr>
            <w:r>
              <w:rPr/>
              <w:t> </w:t>
            </w:r>
          </w:p>
        </w:tc>
      </w:tr>
      <w:tr>
        <w:trPr>
          <w:trHeight w:val="120" w:hRule="atLeast"/>
        </w:trPr>
        <w:tc>
          <w:tcPr>
            <w:tcW w:w="716" w:type="dxa"/>
            <w:tcBorders/>
            <w:shd w:fill="auto" w:val="clear"/>
            <w:vAlign w:val="center"/>
          </w:tcPr>
          <w:p>
            <w:pPr>
              <w:pStyle w:val="TableContents"/>
              <w:spacing w:before="0" w:after="283"/>
              <w:rPr>
                <w:sz w:val="4"/>
                <w:szCs w:val="4"/>
              </w:rPr>
            </w:pPr>
            <w:r>
              <w:rPr>
                <w:sz w:val="4"/>
                <w:szCs w:val="4"/>
              </w:rPr>
            </w:r>
          </w:p>
        </w:tc>
        <w:tc>
          <w:tcPr>
            <w:tcW w:w="8681" w:type="dxa"/>
            <w:gridSpan w:val="2"/>
            <w:tcBorders/>
            <w:shd w:fill="auto" w:val="clear"/>
            <w:vAlign w:val="center"/>
          </w:tcPr>
          <w:p>
            <w:pPr>
              <w:pStyle w:val="TableContents"/>
              <w:spacing w:before="0" w:after="283"/>
              <w:rPr>
                <w:sz w:val="4"/>
                <w:szCs w:val="4"/>
              </w:rPr>
            </w:pPr>
            <w:r>
              <w:rPr>
                <w:sz w:val="4"/>
                <w:szCs w:val="4"/>
              </w:rPr>
            </w:r>
          </w:p>
        </w:tc>
        <w:tc>
          <w:tcPr>
            <w:tcW w:w="808" w:type="dxa"/>
            <w:gridSpan w:val="4"/>
            <w:tcBorders/>
            <w:shd w:fill="auto" w:val="clear"/>
            <w:vAlign w:val="center"/>
          </w:tcPr>
          <w:p>
            <w:pPr>
              <w:pStyle w:val="TableContents"/>
              <w:spacing w:before="0" w:after="283"/>
              <w:rPr>
                <w:sz w:val="4"/>
                <w:szCs w:val="4"/>
              </w:rPr>
            </w:pPr>
            <w:r>
              <w:rPr>
                <w:sz w:val="4"/>
                <w:szCs w:val="4"/>
              </w:rPr>
            </w:r>
          </w:p>
        </w:tc>
      </w:tr>
      <w:tr>
        <w:trPr/>
        <w:tc>
          <w:tcPr>
            <w:tcW w:w="716" w:type="dxa"/>
            <w:tcBorders/>
            <w:shd w:fill="auto" w:val="clear"/>
          </w:tcPr>
          <w:p>
            <w:pPr>
              <w:pStyle w:val="TableContents"/>
              <w:spacing w:before="0" w:after="0"/>
              <w:rPr>
                <w:rFonts w:ascii="Times New Roman" w:hAnsi="Times New Roman"/>
                <w:b/>
                <w:sz w:val="20"/>
              </w:rPr>
            </w:pPr>
            <w:r>
              <w:rPr>
                <w:rFonts w:ascii="Times New Roman" w:hAnsi="Times New Roman"/>
                <w:b/>
                <w:sz w:val="20"/>
              </w:rPr>
              <w:t>6.</w:t>
            </w:r>
          </w:p>
        </w:tc>
        <w:tc>
          <w:tcPr>
            <w:tcW w:w="197" w:type="dxa"/>
            <w:tcBorders/>
            <w:shd w:fill="auto" w:val="clear"/>
            <w:vAlign w:val="bottom"/>
          </w:tcPr>
          <w:p>
            <w:pPr>
              <w:pStyle w:val="TableContents"/>
              <w:spacing w:before="0" w:after="283"/>
              <w:rPr/>
            </w:pPr>
            <w:r>
              <w:rPr/>
              <w:t> </w:t>
            </w:r>
          </w:p>
        </w:tc>
        <w:tc>
          <w:tcPr>
            <w:tcW w:w="8484" w:type="dxa"/>
            <w:tcBorders/>
            <w:shd w:fill="auto" w:val="clear"/>
          </w:tcPr>
          <w:p>
            <w:pPr>
              <w:pStyle w:val="TableContents"/>
              <w:spacing w:before="0" w:after="0"/>
              <w:rPr>
                <w:rFonts w:ascii="Times New Roman" w:hAnsi="Times New Roman"/>
                <w:b/>
                <w:sz w:val="20"/>
              </w:rPr>
            </w:pPr>
            <w:r>
              <w:rPr>
                <w:rFonts w:ascii="Times New Roman" w:hAnsi="Times New Roman"/>
                <w:b/>
                <w:sz w:val="20"/>
              </w:rPr>
              <w:t>ENFORCEMENT</w:t>
            </w:r>
          </w:p>
        </w:tc>
        <w:tc>
          <w:tcPr>
            <w:tcW w:w="230" w:type="dxa"/>
            <w:tcBorders/>
            <w:shd w:fill="auto" w:val="clear"/>
            <w:vAlign w:val="bottom"/>
          </w:tcPr>
          <w:p>
            <w:pPr>
              <w:pStyle w:val="TableContents"/>
              <w:spacing w:before="0" w:after="283"/>
              <w:rPr/>
            </w:pPr>
            <w:r>
              <w:rPr/>
              <w:t>  </w:t>
            </w:r>
          </w:p>
        </w:tc>
        <w:tc>
          <w:tcPr>
            <w:tcW w:w="154" w:type="dxa"/>
            <w:tcBorders/>
            <w:shd w:fill="auto" w:val="clear"/>
          </w:tcPr>
          <w:p>
            <w:pPr>
              <w:pStyle w:val="TableContents"/>
              <w:spacing w:before="0" w:after="283"/>
              <w:rPr/>
            </w:pPr>
            <w:r>
              <w:rPr/>
              <w:t> </w:t>
            </w:r>
          </w:p>
        </w:tc>
        <w:tc>
          <w:tcPr>
            <w:tcW w:w="361" w:type="dxa"/>
            <w:tcBorders/>
            <w:shd w:fill="auto" w:val="clear"/>
          </w:tcPr>
          <w:p>
            <w:pPr>
              <w:pStyle w:val="TableContents"/>
              <w:spacing w:before="0" w:after="283"/>
              <w:jc w:val="right"/>
              <w:rPr>
                <w:b/>
              </w:rPr>
            </w:pPr>
            <w:r>
              <w:rPr>
                <w:b/>
              </w:rPr>
              <w:t>2</w:t>
            </w:r>
          </w:p>
        </w:tc>
        <w:tc>
          <w:tcPr>
            <w:tcW w:w="63" w:type="dxa"/>
            <w:tcBorders/>
            <w:shd w:fill="auto" w:val="clear"/>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 xml:space="preserve">THIS DEED </w:t>
      </w:r>
      <w:r>
        <w:rPr>
          <w:rFonts w:ascii="Times New Roman" w:hAnsi="Times New Roman"/>
          <w:sz w:val="20"/>
        </w:rPr>
        <w:t xml:space="preserve">is dated 5 October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b/>
              </w:rPr>
              <w:t xml:space="preserve">ELQ INVESTORS VIII LTD, </w:t>
            </w:r>
            <w:r>
              <w:rPr/>
              <w:t>a company organised and existing under the laws of England and Wales having its registered office address at Peterborough Court, 133 Fleet Street, London, EC4A 2BB, United Kingdom with registration number 9182214 (hereinafter the “</w:t>
            </w:r>
            <w:r>
              <w:rPr>
                <w:b/>
              </w:rPr>
              <w:t>Pledgor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b/>
              </w:rPr>
              <w:t xml:space="preserve">VTB BANK (PJSC), </w:t>
            </w:r>
            <w:r>
              <w:rPr/>
              <w:t>a bank organised under the laws of the Russian Federation under primary state registration number 1027739609391, whose registered office is at Ul. Bolshaya Morskaya 29, St. Petersburg 190000, the Russian Federation (hereinafter the “</w:t>
            </w:r>
            <w:r>
              <w:rPr>
                <w:b/>
              </w:rPr>
              <w:t>Pledgee</w:t>
            </w:r>
            <w:r>
              <w:rPr/>
              <w:t xml:space="preserve">”). </w:t>
            </w:r>
          </w:p>
        </w:tc>
      </w:tr>
    </w:tbl>
    <w:p>
      <w:pPr>
        <w:pStyle w:val="TextBody"/>
        <w:spacing w:before="24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Pursuant to a facility agreement dated 16 May 2016 as amended by the amendment agreement No. 1 dated 14 December 2016, the amendment agreement No. 2 dated 28 June 2017 and as amended and restated by the amendment agreement No. 3 dated on or about the date hereof (the “</w:t>
            </w:r>
            <w:r>
              <w:rPr>
                <w:b/>
              </w:rPr>
              <w:t>Facility Agreement</w:t>
            </w:r>
            <w:r>
              <w:rPr/>
              <w:t xml:space="preserve">”) between LLC ZEMENIK, a company incorporated in Russia with registration number 1167746153860, whose registered office is at Akademika Iljushina Street 4, Block 1, Office 54, Moscow, Russia as borrower and the Pledgee as arranger, facility agent and original lender, the parties thereto agreed, </w:t>
            </w:r>
            <w:r>
              <w:rPr>
                <w:i/>
              </w:rPr>
              <w:t>inter alia</w:t>
            </w:r>
            <w:r>
              <w:rPr/>
              <w:t xml:space="preserve">, that the Pledgor enters into the Deed of Pledge (as defined below) in favour of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The Pledgor and the Pledgee have agreed to enter into this Deed for the purpose of confirming the security granted under the Deed of Pledge. </w:t>
            </w:r>
          </w:p>
        </w:tc>
      </w:tr>
    </w:tbl>
    <w:p>
      <w:pPr>
        <w:pStyle w:val="TextBody"/>
        <w:spacing w:before="24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w:t>
            </w:r>
          </w:p>
        </w:tc>
        <w:tc>
          <w:tcPr>
            <w:tcW w:w="9391" w:type="dxa"/>
            <w:tcBorders/>
            <w:shd w:fill="auto" w:val="clear"/>
          </w:tcPr>
          <w:p>
            <w:pPr>
              <w:pStyle w:val="TableContents"/>
              <w:spacing w:before="0" w:after="283"/>
              <w:jc w:val="left"/>
              <w:rPr/>
            </w:pPr>
            <w:r>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1.1</w:t>
            </w:r>
          </w:p>
        </w:tc>
        <w:tc>
          <w:tcPr>
            <w:tcW w:w="9388" w:type="dxa"/>
            <w:tcBorders/>
            <w:shd w:fill="auto" w:val="clear"/>
          </w:tcPr>
          <w:p>
            <w:pPr>
              <w:pStyle w:val="TableContents"/>
              <w:spacing w:before="0" w:after="283"/>
              <w:jc w:val="left"/>
              <w:rPr/>
            </w:pPr>
            <w:r>
              <w:rPr>
                <w:b/>
              </w:rPr>
              <w:t>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Deed: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ZEMENIK TRADING LIMITED, a company incorporated in Cyprus with registration number HE 332806, whose registered office is at 42 Dositheou, Strovolos 2028 Nicosia, Cyprus. </w:t>
      </w:r>
    </w:p>
    <w:p>
      <w:pPr>
        <w:pStyle w:val="TextBody"/>
        <w:spacing w:before="120" w:after="0"/>
        <w:rPr/>
      </w:pPr>
      <w:r>
        <w:rPr/>
        <w:t>“</w:t>
      </w:r>
      <w:r>
        <w:rPr>
          <w:rFonts w:ascii="Times New Roman" w:hAnsi="Times New Roman"/>
          <w:b/>
          <w:sz w:val="20"/>
        </w:rPr>
        <w:t>Deed of Pledge</w:t>
      </w:r>
      <w:r>
        <w:rPr>
          <w:rFonts w:ascii="Times New Roman" w:hAnsi="Times New Roman"/>
          <w:sz w:val="20"/>
        </w:rPr>
        <w:t xml:space="preserve">” means the deed of pledge dated 27 December 2016, between the Pledgor and the Pledgee, pursuant to which the Pledgor pledged, </w:t>
      </w:r>
      <w:r>
        <w:rPr>
          <w:rFonts w:ascii="Times New Roman" w:hAnsi="Times New Roman"/>
          <w:i/>
          <w:sz w:val="20"/>
        </w:rPr>
        <w:t>inter alia</w:t>
      </w:r>
      <w:r>
        <w:rPr>
          <w:rFonts w:ascii="Times New Roman" w:hAnsi="Times New Roman"/>
          <w:sz w:val="20"/>
        </w:rPr>
        <w:t xml:space="preserve">, 40,000 (forty thousand) issued ordinary shares of €1,00 each in the Company.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Construction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Capitalised terms defined in the Deed of Pledge have, unless expressly defined in this Deed, the same meaning in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provisions of clause 1.2 of the Deed of Pledge apply to this Deed as if they were set out in full in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2.</w:t>
            </w:r>
          </w:p>
        </w:tc>
        <w:tc>
          <w:tcPr>
            <w:tcW w:w="9391" w:type="dxa"/>
            <w:tcBorders/>
            <w:shd w:fill="auto" w:val="clear"/>
          </w:tcPr>
          <w:p>
            <w:pPr>
              <w:pStyle w:val="TableContents"/>
              <w:spacing w:before="0" w:after="283"/>
              <w:jc w:val="left"/>
              <w:rPr/>
            </w:pPr>
            <w:r>
              <w:rPr>
                <w:b/>
              </w:rPr>
              <w:t>CONFIRMATION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Pledgor acknowledges and consents to the amendment agreement no. 3 to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The Pledgor confirms, consents and agrees that the Deed of Pledge remains valid and binding on the Pledgor and that the security granted pursuant to the Deed of Pledge remains valid and is continuing security for the Secured Liabilities.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3.</w:t>
            </w:r>
          </w:p>
        </w:tc>
        <w:tc>
          <w:tcPr>
            <w:tcW w:w="9389" w:type="dxa"/>
            <w:tcBorders/>
            <w:shd w:fill="auto" w:val="clear"/>
          </w:tcPr>
          <w:p>
            <w:pPr>
              <w:pStyle w:val="TableContents"/>
              <w:spacing w:before="0" w:after="283"/>
              <w:jc w:val="left"/>
              <w:rPr/>
            </w:pPr>
            <w:r>
              <w:rPr>
                <w:b/>
              </w:rPr>
              <w:t>FURTHER ASSURANCES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will, at the request of the Pledgee, take whatever action is necessary or reasonably desirable to give effect to clause 2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4.</w:t>
            </w:r>
          </w:p>
        </w:tc>
        <w:tc>
          <w:tcPr>
            <w:tcW w:w="9389" w:type="dxa"/>
            <w:tcBorders/>
            <w:shd w:fill="auto" w:val="clear"/>
          </w:tcPr>
          <w:p>
            <w:pPr>
              <w:pStyle w:val="TableContents"/>
              <w:spacing w:before="0" w:after="283"/>
              <w:jc w:val="left"/>
              <w:rPr/>
            </w:pPr>
            <w:r>
              <w:rPr>
                <w:b/>
              </w:rPr>
              <w:t>COUNTERPARTS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may be executed in any number of counterparts. This has the same effect as if the signatures on the counterparts were on a single copy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5.</w:t>
            </w:r>
          </w:p>
        </w:tc>
        <w:tc>
          <w:tcPr>
            <w:tcW w:w="9388" w:type="dxa"/>
            <w:tcBorders/>
            <w:shd w:fill="auto" w:val="clear"/>
          </w:tcPr>
          <w:p>
            <w:pPr>
              <w:pStyle w:val="TableContents"/>
              <w:spacing w:before="0" w:after="283"/>
              <w:jc w:val="left"/>
              <w:rPr/>
            </w:pPr>
            <w:r>
              <w:rPr>
                <w:b/>
              </w:rPr>
              <w:t>GOVERNING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is governed by Cyprus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6.</w:t>
            </w:r>
          </w:p>
        </w:tc>
        <w:tc>
          <w:tcPr>
            <w:tcW w:w="9392" w:type="dxa"/>
            <w:tcBorders/>
            <w:shd w:fill="auto" w:val="clear"/>
          </w:tcPr>
          <w:p>
            <w:pPr>
              <w:pStyle w:val="TableContents"/>
              <w:spacing w:before="0" w:after="283"/>
              <w:jc w:val="left"/>
              <w:rPr/>
            </w:pPr>
            <w:r>
              <w:rPr>
                <w:b/>
              </w:rPr>
              <w:t>ENFORCEMENT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w:t>
            </w:r>
          </w:p>
        </w:tc>
        <w:tc>
          <w:tcPr>
            <w:tcW w:w="9389" w:type="dxa"/>
            <w:tcBorders/>
            <w:shd w:fill="auto" w:val="clear"/>
          </w:tcPr>
          <w:p>
            <w:pPr>
              <w:pStyle w:val="TableContents"/>
              <w:spacing w:before="0" w:after="283"/>
              <w:jc w:val="left"/>
              <w:rPr/>
            </w:pPr>
            <w:r>
              <w:rPr>
                <w:b/>
              </w:rPr>
              <w:t>Jurisdiction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courts of the Republic of Cyprus have exclusive jurisdiction to settle any dispute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courts of the Republic of Cyprus are the most appropriate and convenient courts to settle any such dispute in connection with this Deed. The Pledgor agrees not to argue to the contrary and waive objection to those courts on the grounds of inconvenient forum or otherwise in relation to proceedings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References in this Clause to a dispute in connection with this Deed includes any dispute as to the existence, validity or termination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b/>
              </w:rPr>
              <w:t>Waiver of immunity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agrees not to claim any immunity from proceedings brought by the Pledgee against them in relation to this Deed and to ensure that no such claim is made on their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consents generally to the giving of any relief or the issue of any process in connection with those proceedings;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waives all rights of immunity in respect of them or their assets. </w:t>
            </w:r>
          </w:p>
        </w:tc>
      </w:tr>
    </w:tbl>
    <w:p>
      <w:pPr>
        <w:pStyle w:val="TextBody"/>
        <w:spacing w:before="240" w:after="0"/>
        <w:rPr>
          <w:rFonts w:ascii="Times New Roman" w:hAnsi="Times New Roman"/>
          <w:sz w:val="20"/>
        </w:rPr>
      </w:pPr>
      <w:r>
        <w:rPr>
          <w:rFonts w:ascii="Times New Roman" w:hAnsi="Times New Roman"/>
          <w:b/>
          <w:sz w:val="20"/>
        </w:rPr>
        <w:t xml:space="preserve">IN WITNESS WHEREOF </w:t>
      </w:r>
      <w:r>
        <w:rPr>
          <w:rFonts w:ascii="Times New Roman" w:hAnsi="Times New Roman"/>
          <w:sz w:val="20"/>
        </w:rPr>
        <w:t xml:space="preserve">this Deed has been executed and delivered on the date stated at the beginning of this Deed. </w:t>
      </w:r>
      <w:r>
        <w:br w:type="page"/>
      </w:r>
    </w:p>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2913"/>
        <w:gridCol w:w="221"/>
        <w:gridCol w:w="1617"/>
        <w:gridCol w:w="221"/>
        <w:gridCol w:w="5233"/>
      </w:tblGrid>
      <w:tr>
        <w:trPr/>
        <w:tc>
          <w:tcPr>
            <w:tcW w:w="2913" w:type="dxa"/>
            <w:tcBorders/>
            <w:shd w:fill="auto" w:val="clear"/>
            <w:vAlign w:val="cente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sz w:val="4"/>
                <w:szCs w:val="4"/>
              </w:rPr>
            </w:pPr>
            <w:r>
              <w:rPr>
                <w:sz w:val="4"/>
                <w:szCs w:val="4"/>
              </w:rPr>
            </w:r>
          </w:p>
        </w:tc>
        <w:tc>
          <w:tcPr>
            <w:tcW w:w="1617" w:type="dxa"/>
            <w:tcBorders/>
            <w:shd w:fill="auto" w:val="clear"/>
            <w:vAlign w:val="cente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sz w:val="4"/>
                <w:szCs w:val="4"/>
              </w:rPr>
            </w:pPr>
            <w:r>
              <w:rPr>
                <w:sz w:val="4"/>
                <w:szCs w:val="4"/>
              </w:rPr>
            </w:r>
          </w:p>
        </w:tc>
        <w:tc>
          <w:tcPr>
            <w:tcW w:w="5233" w:type="dxa"/>
            <w:tcBorders/>
            <w:shd w:fill="auto" w:val="clear"/>
            <w:vAlign w:val="cente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b/>
              </w:rPr>
            </w:pPr>
            <w:r>
              <w:rPr>
                <w:b/>
              </w:rPr>
              <w:t>SIGNATORIES</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b/>
              </w:rPr>
            </w:pPr>
            <w:r>
              <w:rPr>
                <w:b/>
              </w:rPr>
              <w:t>Pledgor</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rPr>
                <w:sz w:val="4"/>
                <w:szCs w:val="4"/>
              </w:rPr>
            </w:pPr>
            <w:r>
              <w:rPr>
                <w:sz w:val="4"/>
                <w:szCs w:val="4"/>
              </w:rPr>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SIGNED as a DEED</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 xml:space="preserve">by </w:t>
            </w:r>
            <w:r>
              <w:rPr>
                <w:b/>
              </w:rPr>
              <w:t>ELQ INVESTORS VIII LTD</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acting by its authorised director</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pBdr>
                <w:bottom w:val="single" w:sz="2" w:space="1" w:color="000000"/>
              </w:pBdr>
              <w:spacing w:before="0" w:after="20"/>
              <w:rPr/>
            </w:pPr>
            <w:r>
              <w:rPr/>
              <w:t> </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r>
        <w:trPr/>
        <w:tc>
          <w:tcPr>
            <w:tcW w:w="2913" w:type="dxa"/>
            <w:tcBorders/>
            <w:shd w:fill="auto" w:val="clear"/>
          </w:tcPr>
          <w:p>
            <w:pPr>
              <w:pStyle w:val="TableContents"/>
              <w:spacing w:before="0" w:after="283"/>
              <w:rPr/>
            </w:pPr>
            <w:r>
              <w:rPr/>
              <w:t>in the presence of:</w:t>
            </w:r>
          </w:p>
        </w:tc>
        <w:tc>
          <w:tcPr>
            <w:tcW w:w="221" w:type="dxa"/>
            <w:tcBorders/>
            <w:shd w:fill="auto" w:val="clear"/>
            <w:vAlign w:val="bottom"/>
          </w:tcPr>
          <w:p>
            <w:pPr>
              <w:pStyle w:val="TableContents"/>
              <w:spacing w:before="0" w:after="283"/>
              <w:rPr/>
            </w:pPr>
            <w:r>
              <w:rPr/>
              <w:t>  </w:t>
            </w:r>
          </w:p>
        </w:tc>
        <w:tc>
          <w:tcPr>
            <w:tcW w:w="1617" w:type="dxa"/>
            <w:tcBorders/>
            <w:shd w:fill="auto" w:val="clear"/>
          </w:tcPr>
          <w:p>
            <w:pPr>
              <w:pStyle w:val="TableContents"/>
              <w:spacing w:before="0" w:after="283"/>
              <w:jc w:val="center"/>
              <w:rPr/>
            </w:pPr>
            <w:r>
              <w:rPr/>
              <w:t>)</w:t>
            </w:r>
          </w:p>
        </w:tc>
        <w:tc>
          <w:tcPr>
            <w:tcW w:w="221" w:type="dxa"/>
            <w:tcBorders/>
            <w:shd w:fill="auto" w:val="clear"/>
            <w:vAlign w:val="bottom"/>
          </w:tcPr>
          <w:p>
            <w:pPr>
              <w:pStyle w:val="TableContents"/>
              <w:spacing w:before="0" w:after="283"/>
              <w:rPr/>
            </w:pPr>
            <w:r>
              <w:rPr/>
              <w:t>  </w:t>
            </w:r>
          </w:p>
        </w:tc>
        <w:tc>
          <w:tcPr>
            <w:tcW w:w="5233"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20"/>
        <w:gridCol w:w="120"/>
        <w:gridCol w:w="1948"/>
        <w:gridCol w:w="120"/>
        <w:gridCol w:w="3688"/>
        <w:gridCol w:w="120"/>
        <w:gridCol w:w="3589"/>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94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68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589"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3.</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4.</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28"/>
        <w:gridCol w:w="809"/>
        <w:gridCol w:w="95"/>
        <w:gridCol w:w="808"/>
        <w:gridCol w:w="5765"/>
      </w:tblGrid>
      <w:tr>
        <w:trPr/>
        <w:tc>
          <w:tcPr>
            <w:tcW w:w="2728" w:type="dxa"/>
            <w:tcBorders/>
            <w:shd w:fill="auto" w:val="clear"/>
            <w:vAlign w:val="center"/>
          </w:tcPr>
          <w:p>
            <w:pPr>
              <w:pStyle w:val="TableContents"/>
              <w:spacing w:before="0" w:after="283"/>
              <w:rPr>
                <w:sz w:val="4"/>
                <w:szCs w:val="4"/>
              </w:rPr>
            </w:pPr>
            <w:r>
              <w:rPr>
                <w:sz w:val="4"/>
                <w:szCs w:val="4"/>
              </w:rPr>
            </w:r>
          </w:p>
        </w:tc>
        <w:tc>
          <w:tcPr>
            <w:tcW w:w="809" w:type="dxa"/>
            <w:tcBorders/>
            <w:shd w:fill="auto" w:val="clear"/>
            <w:vAlign w:val="bottom"/>
          </w:tcPr>
          <w:p>
            <w:pPr>
              <w:pStyle w:val="TableContents"/>
              <w:spacing w:before="0" w:after="283"/>
              <w:rPr>
                <w:sz w:val="4"/>
                <w:szCs w:val="4"/>
              </w:rPr>
            </w:pPr>
            <w:r>
              <w:rPr>
                <w:sz w:val="4"/>
                <w:szCs w:val="4"/>
              </w:rPr>
            </w:r>
          </w:p>
        </w:tc>
        <w:tc>
          <w:tcPr>
            <w:tcW w:w="95" w:type="dxa"/>
            <w:tcBorders/>
            <w:shd w:fill="auto" w:val="clear"/>
            <w:vAlign w:val="center"/>
          </w:tcPr>
          <w:p>
            <w:pPr>
              <w:pStyle w:val="TableContents"/>
              <w:spacing w:before="0" w:after="283"/>
              <w:rPr>
                <w:sz w:val="4"/>
                <w:szCs w:val="4"/>
              </w:rPr>
            </w:pPr>
            <w:r>
              <w:rPr>
                <w:sz w:val="4"/>
                <w:szCs w:val="4"/>
              </w:rPr>
            </w:r>
          </w:p>
        </w:tc>
        <w:tc>
          <w:tcPr>
            <w:tcW w:w="808" w:type="dxa"/>
            <w:tcBorders/>
            <w:shd w:fill="auto" w:val="clear"/>
            <w:vAlign w:val="bottom"/>
          </w:tcPr>
          <w:p>
            <w:pPr>
              <w:pStyle w:val="TableContents"/>
              <w:spacing w:before="0" w:after="283"/>
              <w:rPr>
                <w:sz w:val="4"/>
                <w:szCs w:val="4"/>
              </w:rPr>
            </w:pPr>
            <w:r>
              <w:rPr>
                <w:sz w:val="4"/>
                <w:szCs w:val="4"/>
              </w:rPr>
            </w:r>
          </w:p>
        </w:tc>
        <w:tc>
          <w:tcPr>
            <w:tcW w:w="5765" w:type="dxa"/>
            <w:tcBorders/>
            <w:shd w:fill="auto" w:val="clear"/>
            <w:vAlign w:val="center"/>
          </w:tcPr>
          <w:p>
            <w:pPr>
              <w:pStyle w:val="TableContents"/>
              <w:spacing w:before="0" w:after="283"/>
              <w:rPr>
                <w:sz w:val="4"/>
                <w:szCs w:val="4"/>
              </w:rPr>
            </w:pPr>
            <w:r>
              <w:rPr>
                <w:sz w:val="4"/>
                <w:szCs w:val="4"/>
              </w:rPr>
            </w:r>
          </w:p>
        </w:tc>
      </w:tr>
      <w:tr>
        <w:trPr/>
        <w:tc>
          <w:tcPr>
            <w:tcW w:w="2728" w:type="dxa"/>
            <w:tcBorders/>
            <w:shd w:fill="auto" w:val="clear"/>
          </w:tcPr>
          <w:p>
            <w:pPr>
              <w:pStyle w:val="TableContents"/>
              <w:spacing w:before="0" w:after="283"/>
              <w:rPr>
                <w:b/>
              </w:rPr>
            </w:pPr>
            <w:r>
              <w:rPr>
                <w:b/>
              </w:rPr>
              <w:t>Pledgee</w:t>
            </w:r>
          </w:p>
        </w:tc>
        <w:tc>
          <w:tcPr>
            <w:tcW w:w="809"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rPr>
                <w:sz w:val="4"/>
                <w:szCs w:val="4"/>
              </w:rPr>
            </w:pPr>
            <w:r>
              <w:rPr>
                <w:sz w:val="4"/>
                <w:szCs w:val="4"/>
              </w:rPr>
            </w:r>
          </w:p>
        </w:tc>
        <w:tc>
          <w:tcPr>
            <w:tcW w:w="808" w:type="dxa"/>
            <w:tcBorders/>
            <w:shd w:fill="auto" w:val="clear"/>
            <w:vAlign w:val="bottom"/>
          </w:tcPr>
          <w:p>
            <w:pPr>
              <w:pStyle w:val="TableContents"/>
              <w:spacing w:before="0" w:after="283"/>
              <w:rPr/>
            </w:pPr>
            <w:r>
              <w:rPr/>
              <w:t>  </w:t>
            </w:r>
          </w:p>
        </w:tc>
        <w:tc>
          <w:tcPr>
            <w:tcW w:w="5765" w:type="dxa"/>
            <w:tcBorders/>
            <w:shd w:fill="auto" w:val="clear"/>
          </w:tcPr>
          <w:p>
            <w:pPr>
              <w:pStyle w:val="TableContents"/>
              <w:spacing w:before="0" w:after="283"/>
              <w:rPr>
                <w:sz w:val="4"/>
                <w:szCs w:val="4"/>
              </w:rPr>
            </w:pPr>
            <w:r>
              <w:rPr>
                <w:sz w:val="4"/>
                <w:szCs w:val="4"/>
              </w:rPr>
            </w:r>
          </w:p>
        </w:tc>
      </w:tr>
      <w:tr>
        <w:trPr/>
        <w:tc>
          <w:tcPr>
            <w:tcW w:w="2728" w:type="dxa"/>
            <w:tcBorders/>
            <w:shd w:fill="auto" w:val="clear"/>
          </w:tcPr>
          <w:p>
            <w:pPr>
              <w:pStyle w:val="TableContents"/>
              <w:spacing w:before="0" w:after="283"/>
              <w:rPr/>
            </w:pPr>
            <w:r>
              <w:rPr/>
              <w:t>SIGNED as a DEED</w:t>
            </w:r>
          </w:p>
        </w:tc>
        <w:tc>
          <w:tcPr>
            <w:tcW w:w="809"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8" w:type="dxa"/>
            <w:tcBorders/>
            <w:shd w:fill="auto" w:val="clear"/>
            <w:vAlign w:val="bottom"/>
          </w:tcPr>
          <w:p>
            <w:pPr>
              <w:pStyle w:val="TableContents"/>
              <w:spacing w:before="0" w:after="283"/>
              <w:rPr/>
            </w:pPr>
            <w:r>
              <w:rPr/>
              <w:t>  </w:t>
            </w:r>
          </w:p>
        </w:tc>
        <w:tc>
          <w:tcPr>
            <w:tcW w:w="5765" w:type="dxa"/>
            <w:tcBorders/>
            <w:shd w:fill="auto" w:val="clear"/>
          </w:tcPr>
          <w:p>
            <w:pPr>
              <w:pStyle w:val="TableContents"/>
              <w:spacing w:before="0" w:after="283"/>
              <w:rPr>
                <w:sz w:val="4"/>
                <w:szCs w:val="4"/>
              </w:rPr>
            </w:pPr>
            <w:r>
              <w:rPr>
                <w:sz w:val="4"/>
                <w:szCs w:val="4"/>
              </w:rPr>
            </w:r>
          </w:p>
        </w:tc>
      </w:tr>
      <w:tr>
        <w:trPr/>
        <w:tc>
          <w:tcPr>
            <w:tcW w:w="2728" w:type="dxa"/>
            <w:tcBorders/>
            <w:shd w:fill="auto" w:val="clear"/>
          </w:tcPr>
          <w:p>
            <w:pPr>
              <w:pStyle w:val="TableContents"/>
              <w:spacing w:before="0" w:after="283"/>
              <w:rPr/>
            </w:pPr>
            <w:r>
              <w:rPr/>
              <w:t xml:space="preserve">by </w:t>
            </w:r>
            <w:r>
              <w:rPr>
                <w:b/>
              </w:rPr>
              <w:t>VTB BANK (PJSC)</w:t>
            </w:r>
          </w:p>
        </w:tc>
        <w:tc>
          <w:tcPr>
            <w:tcW w:w="809"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8" w:type="dxa"/>
            <w:tcBorders/>
            <w:shd w:fill="auto" w:val="clear"/>
            <w:vAlign w:val="bottom"/>
          </w:tcPr>
          <w:p>
            <w:pPr>
              <w:pStyle w:val="TableContents"/>
              <w:spacing w:before="0" w:after="283"/>
              <w:rPr/>
            </w:pPr>
            <w:r>
              <w:rPr/>
              <w:t>  </w:t>
            </w:r>
          </w:p>
        </w:tc>
        <w:tc>
          <w:tcPr>
            <w:tcW w:w="5765" w:type="dxa"/>
            <w:tcBorders/>
            <w:shd w:fill="auto" w:val="clear"/>
          </w:tcPr>
          <w:p>
            <w:pPr>
              <w:pStyle w:val="TableContents"/>
              <w:spacing w:before="0" w:after="283"/>
              <w:rPr>
                <w:sz w:val="4"/>
                <w:szCs w:val="4"/>
              </w:rPr>
            </w:pPr>
            <w:r>
              <w:rPr>
                <w:sz w:val="4"/>
                <w:szCs w:val="4"/>
              </w:rPr>
            </w:r>
          </w:p>
        </w:tc>
      </w:tr>
      <w:tr>
        <w:trPr/>
        <w:tc>
          <w:tcPr>
            <w:tcW w:w="2728" w:type="dxa"/>
            <w:tcBorders/>
            <w:shd w:fill="auto" w:val="clear"/>
          </w:tcPr>
          <w:p>
            <w:pPr>
              <w:pStyle w:val="TableContents"/>
              <w:spacing w:before="0" w:after="283"/>
              <w:rPr/>
            </w:pPr>
            <w:r>
              <w:rPr/>
              <w:t>acting by its authorised representative</w:t>
            </w:r>
          </w:p>
        </w:tc>
        <w:tc>
          <w:tcPr>
            <w:tcW w:w="809"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8" w:type="dxa"/>
            <w:tcBorders/>
            <w:shd w:fill="auto" w:val="clear"/>
            <w:vAlign w:val="bottom"/>
          </w:tcPr>
          <w:p>
            <w:pPr>
              <w:pStyle w:val="TableContents"/>
              <w:spacing w:before="0" w:after="283"/>
              <w:rPr/>
            </w:pPr>
            <w:r>
              <w:rPr/>
              <w:t>  </w:t>
            </w:r>
          </w:p>
        </w:tc>
        <w:tc>
          <w:tcPr>
            <w:tcW w:w="5765" w:type="dxa"/>
            <w:tcBorders/>
            <w:shd w:fill="auto" w:val="clear"/>
          </w:tcPr>
          <w:p>
            <w:pPr>
              <w:pStyle w:val="TableContents"/>
              <w:spacing w:before="0" w:after="283"/>
              <w:rPr>
                <w:sz w:val="4"/>
                <w:szCs w:val="4"/>
              </w:rPr>
            </w:pPr>
            <w:r>
              <w:rPr>
                <w:sz w:val="4"/>
                <w:szCs w:val="4"/>
              </w:rPr>
            </w:r>
          </w:p>
        </w:tc>
      </w:tr>
      <w:tr>
        <w:trPr/>
        <w:tc>
          <w:tcPr>
            <w:tcW w:w="2728" w:type="dxa"/>
            <w:tcBorders/>
            <w:shd w:fill="auto" w:val="clear"/>
          </w:tcPr>
          <w:p>
            <w:pPr>
              <w:pStyle w:val="TableContents"/>
              <w:spacing w:before="0" w:after="283"/>
              <w:rPr/>
            </w:pPr>
            <w:r>
              <w:rPr/>
              <w:t>Vitaly Buzoverya</w:t>
            </w:r>
          </w:p>
        </w:tc>
        <w:tc>
          <w:tcPr>
            <w:tcW w:w="809"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8" w:type="dxa"/>
            <w:tcBorders/>
            <w:shd w:fill="auto" w:val="clear"/>
            <w:vAlign w:val="bottom"/>
          </w:tcPr>
          <w:p>
            <w:pPr>
              <w:pStyle w:val="TableContents"/>
              <w:spacing w:before="0" w:after="283"/>
              <w:rPr/>
            </w:pPr>
            <w:r>
              <w:rPr/>
              <w:t>  </w:t>
            </w:r>
          </w:p>
        </w:tc>
        <w:tc>
          <w:tcPr>
            <w:tcW w:w="5765" w:type="dxa"/>
            <w:tcBorders/>
            <w:shd w:fill="auto" w:val="clear"/>
          </w:tcPr>
          <w:p>
            <w:pPr>
              <w:pStyle w:val="TableContents"/>
              <w:spacing w:before="0" w:after="283"/>
              <w:rPr>
                <w:sz w:val="4"/>
                <w:szCs w:val="4"/>
              </w:rPr>
            </w:pPr>
            <w:r>
              <w:rPr>
                <w:sz w:val="4"/>
                <w:szCs w:val="4"/>
              </w:rPr>
            </w:r>
          </w:p>
        </w:tc>
      </w:tr>
      <w:tr>
        <w:trPr/>
        <w:tc>
          <w:tcPr>
            <w:tcW w:w="2728" w:type="dxa"/>
            <w:tcBorders/>
            <w:shd w:fill="auto" w:val="clear"/>
          </w:tcPr>
          <w:p>
            <w:pPr>
              <w:pStyle w:val="TableContents"/>
              <w:spacing w:before="0" w:after="283"/>
              <w:rPr/>
            </w:pPr>
            <w:r>
              <w:rPr/>
              <w:t>in the presence of:</w:t>
            </w:r>
          </w:p>
        </w:tc>
        <w:tc>
          <w:tcPr>
            <w:tcW w:w="809" w:type="dxa"/>
            <w:tcBorders/>
            <w:shd w:fill="auto" w:val="clear"/>
            <w:vAlign w:val="bottom"/>
          </w:tcPr>
          <w:p>
            <w:pPr>
              <w:pStyle w:val="TableContents"/>
              <w:spacing w:before="0" w:after="283"/>
              <w:rPr/>
            </w:pPr>
            <w:r>
              <w:rPr/>
              <w:t>  </w:t>
            </w:r>
          </w:p>
        </w:tc>
        <w:tc>
          <w:tcPr>
            <w:tcW w:w="95" w:type="dxa"/>
            <w:tcBorders/>
            <w:shd w:fill="auto" w:val="clear"/>
          </w:tcPr>
          <w:p>
            <w:pPr>
              <w:pStyle w:val="TableContents"/>
              <w:spacing w:before="0" w:after="283"/>
              <w:jc w:val="center"/>
              <w:rPr/>
            </w:pPr>
            <w:r>
              <w:rPr/>
              <w:t>)</w:t>
            </w:r>
          </w:p>
        </w:tc>
        <w:tc>
          <w:tcPr>
            <w:tcW w:w="808" w:type="dxa"/>
            <w:tcBorders/>
            <w:shd w:fill="auto" w:val="clear"/>
            <w:vAlign w:val="bottom"/>
          </w:tcPr>
          <w:p>
            <w:pPr>
              <w:pStyle w:val="TableContents"/>
              <w:spacing w:before="0" w:after="283"/>
              <w:rPr/>
            </w:pPr>
            <w:r>
              <w:rPr/>
              <w:t>  </w:t>
            </w:r>
          </w:p>
        </w:tc>
        <w:tc>
          <w:tcPr>
            <w:tcW w:w="5765"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20"/>
        <w:gridCol w:w="120"/>
        <w:gridCol w:w="1948"/>
        <w:gridCol w:w="120"/>
        <w:gridCol w:w="3688"/>
        <w:gridCol w:w="120"/>
        <w:gridCol w:w="3589"/>
      </w:tblGrid>
      <w:tr>
        <w:trPr/>
        <w:tc>
          <w:tcPr>
            <w:tcW w:w="620"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194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688" w:type="dxa"/>
            <w:tcBorders/>
            <w:shd w:fill="auto" w:val="clear"/>
            <w:vAlign w:val="cente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sz w:val="4"/>
                <w:szCs w:val="4"/>
              </w:rPr>
            </w:pPr>
            <w:r>
              <w:rPr>
                <w:sz w:val="4"/>
                <w:szCs w:val="4"/>
              </w:rPr>
            </w:r>
          </w:p>
        </w:tc>
        <w:tc>
          <w:tcPr>
            <w:tcW w:w="3589" w:type="dxa"/>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1.</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pPr>
            <w:r>
              <w:rPr/>
              <w:t>2.</w:t>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Witness’s Signature: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r>
        <w:trPr>
          <w:trHeight w:val="120" w:hRule="atLeast"/>
        </w:trPr>
        <w:tc>
          <w:tcPr>
            <w:tcW w:w="620" w:type="dxa"/>
            <w:tcBorders/>
            <w:shd w:fill="auto" w:val="clear"/>
            <w:vAlign w:val="center"/>
          </w:tcPr>
          <w:p>
            <w:pPr>
              <w:pStyle w:val="TableContents"/>
              <w:spacing w:before="0" w:after="283"/>
              <w:rPr>
                <w:sz w:val="4"/>
                <w:szCs w:val="4"/>
              </w:rPr>
            </w:pPr>
            <w:r>
              <w:rPr>
                <w:sz w:val="4"/>
                <w:szCs w:val="4"/>
              </w:rPr>
            </w:r>
          </w:p>
        </w:tc>
        <w:tc>
          <w:tcPr>
            <w:tcW w:w="2068" w:type="dxa"/>
            <w:gridSpan w:val="2"/>
            <w:tcBorders/>
            <w:shd w:fill="auto" w:val="clear"/>
            <w:vAlign w:val="center"/>
          </w:tcPr>
          <w:p>
            <w:pPr>
              <w:pStyle w:val="TableContents"/>
              <w:spacing w:before="0" w:after="283"/>
              <w:rPr>
                <w:sz w:val="4"/>
                <w:szCs w:val="4"/>
              </w:rPr>
            </w:pPr>
            <w:r>
              <w:rPr>
                <w:sz w:val="4"/>
                <w:szCs w:val="4"/>
              </w:rPr>
            </w:r>
          </w:p>
        </w:tc>
        <w:tc>
          <w:tcPr>
            <w:tcW w:w="3808" w:type="dxa"/>
            <w:gridSpan w:val="2"/>
            <w:tcBorders/>
            <w:shd w:fill="auto" w:val="clear"/>
            <w:vAlign w:val="center"/>
          </w:tcPr>
          <w:p>
            <w:pPr>
              <w:pStyle w:val="TableContents"/>
              <w:spacing w:before="0" w:after="283"/>
              <w:rPr>
                <w:sz w:val="4"/>
                <w:szCs w:val="4"/>
              </w:rPr>
            </w:pPr>
            <w:r>
              <w:rPr>
                <w:sz w:val="4"/>
                <w:szCs w:val="4"/>
              </w:rPr>
            </w:r>
          </w:p>
        </w:tc>
        <w:tc>
          <w:tcPr>
            <w:tcW w:w="3709" w:type="dxa"/>
            <w:gridSpan w:val="2"/>
            <w:tcBorders/>
            <w:shd w:fill="auto" w:val="clear"/>
            <w:vAlign w:val="center"/>
          </w:tcPr>
          <w:p>
            <w:pPr>
              <w:pStyle w:val="TableContents"/>
              <w:spacing w:before="0" w:after="283"/>
              <w:rPr>
                <w:sz w:val="4"/>
                <w:szCs w:val="4"/>
              </w:rPr>
            </w:pPr>
            <w:r>
              <w:rPr>
                <w:sz w:val="4"/>
                <w:szCs w:val="4"/>
              </w:rPr>
            </w:r>
          </w:p>
        </w:tc>
      </w:tr>
      <w:tr>
        <w:trPr/>
        <w:tc>
          <w:tcPr>
            <w:tcW w:w="620" w:type="dxa"/>
            <w:tcBorders/>
            <w:shd w:fill="auto" w:val="clear"/>
          </w:tcPr>
          <w:p>
            <w:pPr>
              <w:pStyle w:val="TableContents"/>
              <w:spacing w:before="0" w:after="283"/>
              <w:rPr>
                <w:sz w:val="4"/>
                <w:szCs w:val="4"/>
              </w:rPr>
            </w:pPr>
            <w:r>
              <w:rPr>
                <w:sz w:val="4"/>
                <w:szCs w:val="4"/>
              </w:rPr>
            </w:r>
          </w:p>
        </w:tc>
        <w:tc>
          <w:tcPr>
            <w:tcW w:w="120" w:type="dxa"/>
            <w:tcBorders/>
            <w:shd w:fill="auto" w:val="clear"/>
            <w:vAlign w:val="bottom"/>
          </w:tcPr>
          <w:p>
            <w:pPr>
              <w:pStyle w:val="TableContents"/>
              <w:spacing w:before="0" w:after="283"/>
              <w:rPr/>
            </w:pPr>
            <w:r>
              <w:rPr/>
              <w:t>  </w:t>
            </w:r>
          </w:p>
        </w:tc>
        <w:tc>
          <w:tcPr>
            <w:tcW w:w="1948" w:type="dxa"/>
            <w:tcBorders/>
            <w:shd w:fill="auto" w:val="clear"/>
          </w:tcPr>
          <w:p>
            <w:pPr>
              <w:pStyle w:val="TableContents"/>
              <w:spacing w:before="0" w:after="283"/>
              <w:rPr/>
            </w:pPr>
            <w:r>
              <w:rPr/>
              <w:t>Name:</w:t>
            </w:r>
          </w:p>
        </w:tc>
        <w:tc>
          <w:tcPr>
            <w:tcW w:w="120" w:type="dxa"/>
            <w:tcBorders/>
            <w:shd w:fill="auto" w:val="clear"/>
            <w:vAlign w:val="bottom"/>
          </w:tcPr>
          <w:p>
            <w:pPr>
              <w:pStyle w:val="TableContents"/>
              <w:spacing w:before="0" w:after="283"/>
              <w:rPr/>
            </w:pPr>
            <w:r>
              <w:rPr/>
              <w:t>  </w:t>
            </w:r>
          </w:p>
        </w:tc>
        <w:tc>
          <w:tcPr>
            <w:tcW w:w="3688" w:type="dxa"/>
            <w:tcBorders/>
            <w:shd w:fill="auto" w:val="clear"/>
          </w:tcPr>
          <w:p>
            <w:pPr>
              <w:pStyle w:val="TableContents"/>
              <w:pBdr>
                <w:bottom w:val="single" w:sz="2" w:space="1" w:color="000000"/>
              </w:pBdr>
              <w:spacing w:before="0" w:after="20"/>
              <w:rPr/>
            </w:pPr>
            <w:r>
              <w:rPr/>
              <w:t> </w:t>
            </w:r>
          </w:p>
        </w:tc>
        <w:tc>
          <w:tcPr>
            <w:tcW w:w="120" w:type="dxa"/>
            <w:tcBorders/>
            <w:shd w:fill="auto" w:val="clear"/>
            <w:vAlign w:val="bottom"/>
          </w:tcPr>
          <w:p>
            <w:pPr>
              <w:pStyle w:val="TableContents"/>
              <w:spacing w:before="0" w:after="283"/>
              <w:rPr/>
            </w:pPr>
            <w:r>
              <w:rPr/>
              <w:t>  </w:t>
            </w:r>
          </w:p>
        </w:tc>
        <w:tc>
          <w:tcPr>
            <w:tcW w:w="3589"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b/>
          <w:sz w:val="20"/>
        </w:rPr>
      </w:pPr>
      <w:r>
        <w:rPr>
          <w:rFonts w:ascii="Times New Roman" w:hAnsi="Times New Roman"/>
          <w:b/>
          <w:sz w:val="20"/>
        </w:rPr>
        <w:t xml:space="preserve">EXECUTION VERSION </w:t>
      </w:r>
    </w:p>
    <w:p>
      <w:pPr>
        <w:pStyle w:val="TextBody"/>
        <w:spacing w:before="240" w:after="0"/>
        <w:jc w:val="center"/>
        <w:rPr>
          <w:rFonts w:ascii="Times New Roman" w:hAnsi="Times New Roman"/>
          <w:b/>
          <w:sz w:val="20"/>
        </w:rPr>
      </w:pPr>
      <w:r>
        <w:rPr>
          <w:rFonts w:ascii="Times New Roman" w:hAnsi="Times New Roman"/>
          <w:b/>
          <w:sz w:val="20"/>
        </w:rPr>
        <w:t xml:space="preserve">DATED 29 DECEMBER 2017 </w:t>
      </w:r>
    </w:p>
    <w:p>
      <w:pPr>
        <w:pStyle w:val="TextBody"/>
        <w:spacing w:before="240" w:after="0"/>
        <w:jc w:val="center"/>
        <w:rPr>
          <w:rFonts w:ascii="Times New Roman" w:hAnsi="Times New Roman"/>
          <w:b/>
          <w:sz w:val="20"/>
        </w:rPr>
      </w:pPr>
      <w:r>
        <w:rPr>
          <w:rFonts w:ascii="Times New Roman" w:hAnsi="Times New Roman"/>
          <w:b/>
          <w:sz w:val="20"/>
        </w:rPr>
        <w:t xml:space="preserve">DEED OF RELEASE AND TERMINATION </w:t>
      </w:r>
    </w:p>
    <w:p>
      <w:pPr>
        <w:pStyle w:val="TextBody"/>
        <w:spacing w:before="240" w:after="0"/>
        <w:jc w:val="center"/>
        <w:rPr>
          <w:rFonts w:ascii="Times New Roman" w:hAnsi="Times New Roman"/>
          <w:b/>
          <w:sz w:val="20"/>
        </w:rPr>
      </w:pPr>
      <w:r>
        <w:rPr>
          <w:rFonts w:ascii="Times New Roman" w:hAnsi="Times New Roman"/>
          <w:b/>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ELQ INVESTORS VIII LTD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VTB BANK (PJSC)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ALEXANDRO§ ECONOMOU </w:t>
      </w:r>
    </w:p>
    <w:p>
      <w:pPr>
        <w:pStyle w:val="TextBody"/>
        <w:spacing w:before="0" w:after="0"/>
        <w:jc w:val="center"/>
        <w:rPr>
          <w:rFonts w:ascii="Times New Roman" w:hAnsi="Times New Roman"/>
          <w:b/>
          <w:sz w:val="20"/>
        </w:rPr>
      </w:pPr>
      <w:r>
        <w:rPr>
          <w:rFonts w:ascii="Times New Roman" w:hAnsi="Times New Roman"/>
          <w:b/>
          <w:sz w:val="20"/>
        </w:rPr>
        <w:t xml:space="preserve">LLC </w:t>
      </w:r>
    </w:p>
    <w:p>
      <w:pPr>
        <w:pStyle w:val="TextBody"/>
        <w:spacing w:before="0" w:after="0"/>
        <w:rPr/>
      </w:pPr>
      <w:r>
        <w:rPr/>
        <w:t> </w:t>
      </w:r>
    </w:p>
    <w:p>
      <w:pPr>
        <w:pStyle w:val="TextBody"/>
        <w:pBdr>
          <w:bottom w:val="single" w:sz="8" w:space="1" w:color="000000"/>
        </w:pBdr>
        <w:spacing w:lineRule="atLeast" w:line="141" w:before="0" w:after="40"/>
        <w:rPr/>
      </w:pPr>
      <w:r>
        <w:rPr/>
        <w:t> </w:t>
      </w:r>
      <w:r>
        <w:br w:type="page"/>
      </w:r>
    </w:p>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THIS DEED IS DATED 29 DECEMBER 2017. </w:t>
      </w:r>
    </w:p>
    <w:p>
      <w:pPr>
        <w:pStyle w:val="TextBody"/>
        <w:spacing w:before="120" w:after="0"/>
        <w:rPr>
          <w:rFonts w:ascii="Times New Roman" w:hAnsi="Times New Roman"/>
          <w:b/>
          <w:sz w:val="20"/>
        </w:rPr>
      </w:pPr>
      <w:r>
        <w:rPr>
          <w:rFonts w:ascii="Times New Roman" w:hAnsi="Times New Roman"/>
          <w:b/>
          <w:sz w:val="20"/>
        </w:rPr>
        <w:t xml:space="preserve">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w:t>
            </w:r>
          </w:p>
        </w:tc>
        <w:tc>
          <w:tcPr>
            <w:tcW w:w="9695" w:type="dxa"/>
            <w:tcBorders/>
            <w:shd w:fill="auto" w:val="clear"/>
          </w:tcPr>
          <w:p>
            <w:pPr>
              <w:pStyle w:val="TableContents"/>
              <w:spacing w:before="0" w:after="283"/>
              <w:jc w:val="left"/>
              <w:rPr/>
            </w:pPr>
            <w:r>
              <w:rPr>
                <w:b/>
              </w:rPr>
              <w:t>ELQ INVESTORS VIII LTD,</w:t>
            </w:r>
            <w:r>
              <w:rPr/>
              <w:t xml:space="preserve"> a company incorporated under the laws of England and Wales with registration number 9182214, whose registered office is at Peterborough Court, 133 Fleet Street, London, EC4A 2BB, United Kingdom (the “Released </w:t>
            </w:r>
            <w:r>
              <w:rPr>
                <w:b/>
              </w:rPr>
              <w:t>Party”);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w:t>
            </w:r>
          </w:p>
        </w:tc>
        <w:tc>
          <w:tcPr>
            <w:tcW w:w="9695" w:type="dxa"/>
            <w:tcBorders/>
            <w:shd w:fill="auto" w:val="clear"/>
          </w:tcPr>
          <w:p>
            <w:pPr>
              <w:pStyle w:val="TableContents"/>
              <w:spacing w:before="0" w:after="283"/>
              <w:jc w:val="left"/>
              <w:rPr/>
            </w:pPr>
            <w:r>
              <w:rPr>
                <w:b/>
              </w:rPr>
              <w:t>ZEMENIK TRADING LIMITED,</w:t>
            </w:r>
            <w:r>
              <w:rPr/>
              <w:t xml:space="preserve"> a company incorporated in Cyprus with registration number HE 332806, whose registered office is at 42 Dositheou, Strovolos 2028, Nicosia, Cyprus (the “Company”);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w:t>
            </w:r>
          </w:p>
        </w:tc>
        <w:tc>
          <w:tcPr>
            <w:tcW w:w="9696" w:type="dxa"/>
            <w:tcBorders/>
            <w:shd w:fill="auto" w:val="clear"/>
          </w:tcPr>
          <w:p>
            <w:pPr>
              <w:pStyle w:val="TableContents"/>
              <w:spacing w:before="0" w:after="283"/>
              <w:jc w:val="left"/>
              <w:rPr/>
            </w:pPr>
            <w:r>
              <w:rPr>
                <w:b/>
              </w:rPr>
              <w:t>VTB BANK (PJSC)</w:t>
            </w:r>
            <w:r>
              <w:rPr/>
              <w:t>, a bank organised under the laws of the Russian Federation under primary state registration number 1027739609391, whose registered office is at Ul. Bolshaya Morskaya, 29, St. Petersburg 190000, Russian Federation (the “</w:t>
            </w:r>
            <w:r>
              <w:rPr>
                <w:b/>
              </w:rPr>
              <w:t>Pledgee</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(A)</w:t>
            </w:r>
          </w:p>
        </w:tc>
        <w:tc>
          <w:tcPr>
            <w:tcW w:w="9696" w:type="dxa"/>
            <w:tcBorders/>
            <w:shd w:fill="auto" w:val="clear"/>
          </w:tcPr>
          <w:p>
            <w:pPr>
              <w:pStyle w:val="TableContents"/>
              <w:spacing w:before="0" w:after="283"/>
              <w:jc w:val="left"/>
              <w:rPr/>
            </w:pPr>
            <w:r>
              <w:rPr/>
              <w:t>On 16 May 2016, LLC Zemenik, a company incorporated in the Russian Federation with registration number 1167746153860, whose registered address is at office 54, Akademika Iljushina Street 4, block 1, Moscow, Russian Federation as borrower (the “</w:t>
            </w:r>
            <w:r>
              <w:rPr>
                <w:b/>
              </w:rPr>
              <w:t>Borrower</w:t>
            </w:r>
            <w:r>
              <w:rPr/>
              <w:t>”) and the Pledgee as lender entered into a facility Agreement (as amended or supplemented from time to time) (the “</w:t>
            </w:r>
            <w:r>
              <w:rPr>
                <w:b/>
              </w:rPr>
              <w:t>Facility</w:t>
            </w:r>
            <w:r>
              <w:rPr/>
              <w:t xml:space="preserve"> </w:t>
            </w:r>
            <w:r>
              <w:rPr>
                <w:b/>
              </w:rPr>
              <w:t>Agreement”)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(B)</w:t>
            </w:r>
          </w:p>
        </w:tc>
        <w:tc>
          <w:tcPr>
            <w:tcW w:w="9696" w:type="dxa"/>
            <w:tcBorders/>
            <w:shd w:fill="auto" w:val="clear"/>
          </w:tcPr>
          <w:p>
            <w:pPr>
              <w:pStyle w:val="TableContents"/>
              <w:spacing w:before="0" w:after="283"/>
              <w:jc w:val="left"/>
              <w:rPr/>
            </w:pPr>
            <w:r>
              <w:rPr/>
              <w:t>The Released Party as pledgor and the Pledgee as pledgee entered into a deed of pledge dated 27 December 2016 (the “</w:t>
            </w:r>
            <w:r>
              <w:rPr>
                <w:b/>
              </w:rPr>
              <w:t>Deed of Pledge”)</w:t>
            </w:r>
            <w:r>
              <w:rPr/>
              <w:t xml:space="preserve"> pursuant to which the Released Party pledged in favour of the Pledgee 40,000 ordinary shares of €1.00 each owned by it in the share capital of the Company. The Deed of Pledge was entered into as security for the payment, discharge and performance of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(C)</w:t>
            </w:r>
          </w:p>
        </w:tc>
        <w:tc>
          <w:tcPr>
            <w:tcW w:w="9695" w:type="dxa"/>
            <w:tcBorders/>
            <w:shd w:fill="auto" w:val="clear"/>
          </w:tcPr>
          <w:p>
            <w:pPr>
              <w:pStyle w:val="TableContents"/>
              <w:spacing w:before="0" w:after="283"/>
              <w:jc w:val="left"/>
              <w:rPr/>
            </w:pPr>
            <w:r>
              <w:rPr/>
              <w:t xml:space="preserve">The Company, the Released Party and the Pledgee have agreed to terminate the Deed of Pledge and release the Released Assets (as defined below) from the pledge created thereunder on the terms and subject to the conditions set out herein.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(D)</w:t>
            </w:r>
          </w:p>
        </w:tc>
        <w:tc>
          <w:tcPr>
            <w:tcW w:w="9696" w:type="dxa"/>
            <w:tcBorders/>
            <w:shd w:fill="auto" w:val="clear"/>
          </w:tcPr>
          <w:p>
            <w:pPr>
              <w:pStyle w:val="TableContents"/>
              <w:spacing w:before="0" w:after="283"/>
              <w:jc w:val="left"/>
              <w:rPr/>
            </w:pPr>
            <w:r>
              <w:rPr/>
              <w:t xml:space="preserve">It is intended that this document takes effect as a deed. </w:t>
            </w:r>
          </w:p>
        </w:tc>
      </w:tr>
    </w:tbl>
    <w:p>
      <w:pPr>
        <w:pStyle w:val="TextBody"/>
        <w:spacing w:before="24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1.</w:t>
            </w:r>
          </w:p>
        </w:tc>
        <w:tc>
          <w:tcPr>
            <w:tcW w:w="9695" w:type="dxa"/>
            <w:tcBorders/>
            <w:shd w:fill="auto" w:val="clear"/>
          </w:tcPr>
          <w:p>
            <w:pPr>
              <w:pStyle w:val="TableContents"/>
              <w:spacing w:before="0" w:after="283"/>
              <w:jc w:val="left"/>
              <w:rPr>
                <w:b/>
              </w:rPr>
            </w:pPr>
            <w:r>
              <w:rPr>
                <w:b/>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1.1</w:t>
            </w:r>
          </w:p>
        </w:tc>
        <w:tc>
          <w:tcPr>
            <w:tcW w:w="9695" w:type="dxa"/>
            <w:tcBorders/>
            <w:shd w:fill="auto" w:val="clear"/>
          </w:tcPr>
          <w:p>
            <w:pPr>
              <w:pStyle w:val="TableContents"/>
              <w:spacing w:before="0" w:after="283"/>
              <w:jc w:val="left"/>
              <w:rPr>
                <w:b/>
              </w:rPr>
            </w:pPr>
            <w:r>
              <w:rPr>
                <w:b/>
              </w:rPr>
              <w:t xml:space="preserve">Definitions </w:t>
            </w:r>
          </w:p>
        </w:tc>
      </w:tr>
    </w:tbl>
    <w:p>
      <w:pPr>
        <w:pStyle w:val="TextBody"/>
        <w:spacing w:before="120" w:after="0"/>
        <w:rPr>
          <w:rFonts w:ascii="Times New Roman" w:hAnsi="Times New Roman"/>
          <w:sz w:val="20"/>
        </w:rPr>
      </w:pPr>
      <w:r>
        <w:rPr>
          <w:rFonts w:ascii="Times New Roman" w:hAnsi="Times New Roman"/>
          <w:sz w:val="20"/>
        </w:rPr>
        <w:t xml:space="preserve">In this Deed of Release: </w:t>
      </w:r>
    </w:p>
    <w:p>
      <w:pPr>
        <w:pStyle w:val="TextBody"/>
        <w:spacing w:before="120" w:after="0"/>
        <w:rPr>
          <w:rFonts w:ascii="Times New Roman" w:hAnsi="Times New Roman"/>
          <w:sz w:val="20"/>
        </w:rPr>
      </w:pPr>
      <w:r>
        <w:rPr>
          <w:rFonts w:ascii="Times New Roman" w:hAnsi="Times New Roman"/>
          <w:b/>
          <w:sz w:val="20"/>
        </w:rPr>
        <w:t xml:space="preserve">Released Assets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40,000 ordinary shares of €1.00 (one euro) each, held by the Released Party in the Company, which in aggregate represent 40% of the issued shares in the Company, and any further shares in the capital of the Company at or after the date of the Deed of Pledge legally and/or beneficially owned by the Released Party or in which the Released Party has an interest (the “</w:t>
            </w:r>
            <w:r>
              <w:rPr>
                <w:b/>
              </w:rPr>
              <w:t>Shares</w:t>
            </w:r>
            <w:r>
              <w:rPr/>
              <w:t xml:space="preserve">”);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all the share certificates representing the Shares and any substitute share certificate or share certificates representing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in relation to any Shares, all dividends and other distributions paid or payable as at or after the date of the Deed of Pledge on all or any of such Shares and all stocks, shares, securities (and the dividends or interest thereon), rights, money or property accruing or offered at any time by way of issue, redemption, bonus, preference, option rights or otherwise to or in respect of any of such Shares or in substitution or exchange for any such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b/>
              </w:rPr>
            </w:pPr>
            <w:r>
              <w:rPr>
                <w:b/>
              </w:rPr>
              <w:t>1.2</w:t>
            </w:r>
          </w:p>
        </w:tc>
        <w:tc>
          <w:tcPr>
            <w:tcW w:w="9694" w:type="dxa"/>
            <w:tcBorders/>
            <w:shd w:fill="auto" w:val="clear"/>
          </w:tcPr>
          <w:p>
            <w:pPr>
              <w:pStyle w:val="TableContents"/>
              <w:spacing w:before="0" w:after="283"/>
              <w:jc w:val="left"/>
              <w:rPr>
                <w:b/>
              </w:rPr>
            </w:pPr>
            <w:r>
              <w:rPr>
                <w:b/>
              </w:rPr>
              <w:t xml:space="preserve">Construction </w:t>
            </w:r>
          </w:p>
        </w:tc>
      </w:tr>
    </w:tbl>
    <w:p>
      <w:pPr>
        <w:pStyle w:val="TextBody"/>
        <w:spacing w:before="120" w:after="0"/>
        <w:rPr>
          <w:rFonts w:ascii="Times New Roman" w:hAnsi="Times New Roman"/>
          <w:sz w:val="20"/>
        </w:rPr>
      </w:pPr>
      <w:r>
        <w:rPr>
          <w:rFonts w:ascii="Times New Roman" w:hAnsi="Times New Roman"/>
          <w:sz w:val="20"/>
        </w:rPr>
        <w:t xml:space="preserve">Unless given a different meaning in this Deed of Release, terms defined in the Deed of Pledge have the same meaning when used in this Deed of Release (including when used in the preamble hereto).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2.</w:t>
            </w:r>
          </w:p>
        </w:tc>
        <w:tc>
          <w:tcPr>
            <w:tcW w:w="9697" w:type="dxa"/>
            <w:tcBorders/>
            <w:shd w:fill="auto" w:val="clear"/>
          </w:tcPr>
          <w:p>
            <w:pPr>
              <w:pStyle w:val="TableContents"/>
              <w:spacing w:before="0" w:after="283"/>
              <w:jc w:val="left"/>
              <w:rPr>
                <w:b/>
              </w:rPr>
            </w:pPr>
            <w:r>
              <w:rPr>
                <w:b/>
              </w:rPr>
              <w:t xml:space="preserve">RELEASE </w:t>
            </w:r>
          </w:p>
        </w:tc>
      </w:tr>
    </w:tbl>
    <w:p>
      <w:pPr>
        <w:pStyle w:val="TextBody"/>
        <w:spacing w:before="120" w:after="0"/>
        <w:rPr>
          <w:rFonts w:ascii="Times New Roman" w:hAnsi="Times New Roman"/>
          <w:sz w:val="20"/>
        </w:rPr>
      </w:pPr>
      <w:r>
        <w:rPr>
          <w:rFonts w:ascii="Times New Roman" w:hAnsi="Times New Roman"/>
          <w:sz w:val="20"/>
        </w:rPr>
        <w:t xml:space="preserve">With effect from the date of this Deed of Release the Pledgee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releases and discharges the Released Assets from all security interests created under or evidenced by the Deed of Pledge and surrenders, reassigns, releases and retransfers to the Released Party all right, interest, asset and title, pledged, mortgaged, charged, assigned, transferred, deposited, set over and confirmed in favour of the Pledgee in and to the Released Assets;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releases and discharges the Released Party from all of its covenants, guarantees, undertakings, claims, demands and all present and future obligations and liabilities (both actual and contingent) under the Deed of Pledge.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3.</w:t>
            </w:r>
          </w:p>
        </w:tc>
        <w:tc>
          <w:tcPr>
            <w:tcW w:w="9697" w:type="dxa"/>
            <w:tcBorders/>
            <w:shd w:fill="auto" w:val="clear"/>
          </w:tcPr>
          <w:p>
            <w:pPr>
              <w:pStyle w:val="TableContents"/>
              <w:spacing w:before="0" w:after="283"/>
              <w:jc w:val="left"/>
              <w:rPr>
                <w:b/>
              </w:rPr>
            </w:pPr>
            <w:r>
              <w:rPr>
                <w:b/>
              </w:rPr>
              <w:t xml:space="preserve">TERMINATION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w:t>
            </w:r>
          </w:p>
        </w:tc>
        <w:tc>
          <w:tcPr>
            <w:tcW w:w="9695" w:type="dxa"/>
            <w:tcBorders/>
            <w:shd w:fill="auto" w:val="clear"/>
          </w:tcPr>
          <w:p>
            <w:pPr>
              <w:pStyle w:val="TableContents"/>
              <w:spacing w:before="0" w:after="283"/>
              <w:jc w:val="left"/>
              <w:rPr/>
            </w:pPr>
            <w:r>
              <w:rPr/>
              <w:t xml:space="preserve">The Released Party and the Pledgee agree that on the date of this Deed of Release, the security created over the Released Assets pursuant to the Deed of Pledge shall be terminated and cancelled and no party thereto shall have or be entitled to exercise any rights it may have under the Deed of Pledge.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3.2</w:t>
            </w:r>
          </w:p>
        </w:tc>
        <w:tc>
          <w:tcPr>
            <w:tcW w:w="9694" w:type="dxa"/>
            <w:tcBorders/>
            <w:shd w:fill="auto" w:val="clear"/>
          </w:tcPr>
          <w:p>
            <w:pPr>
              <w:pStyle w:val="TableContents"/>
              <w:spacing w:before="0" w:after="283"/>
              <w:jc w:val="left"/>
              <w:rPr/>
            </w:pPr>
            <w:r>
              <w:rPr/>
              <w:t xml:space="preserve">The memorandum of pledge made in the register of members of the Company against the Shares and the secretary’s certificate issued by the secretary of the Company and delivered to the Pledgee pursuant to the Deed of Pledge and the provisions of section 138 of the Cyprus Contract Law, Cap. 149, as amended, as well as any other document that has been submitted to the Pledgee pursuant to the terms of the Deed of Pledge shall, as from the date hereof, be of no legal effect or validity whatsoever.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4.</w:t>
            </w:r>
          </w:p>
        </w:tc>
        <w:tc>
          <w:tcPr>
            <w:tcW w:w="9695" w:type="dxa"/>
            <w:tcBorders/>
            <w:shd w:fill="auto" w:val="clear"/>
          </w:tcPr>
          <w:p>
            <w:pPr>
              <w:pStyle w:val="TableContents"/>
              <w:spacing w:before="0" w:after="283"/>
              <w:jc w:val="left"/>
              <w:rPr>
                <w:b/>
              </w:rPr>
            </w:pPr>
            <w:r>
              <w:rPr>
                <w:b/>
              </w:rPr>
              <w:t xml:space="preserve">FURTHER ASSURANCE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4.1</w:t>
            </w:r>
          </w:p>
        </w:tc>
        <w:tc>
          <w:tcPr>
            <w:tcW w:w="9695" w:type="dxa"/>
            <w:tcBorders/>
            <w:shd w:fill="auto" w:val="clear"/>
          </w:tcPr>
          <w:p>
            <w:pPr>
              <w:pStyle w:val="TableContents"/>
              <w:spacing w:before="0" w:after="283"/>
              <w:jc w:val="left"/>
              <w:rPr/>
            </w:pPr>
            <w:r>
              <w:rPr/>
              <w:t xml:space="preserve">Unless otherwise agreed by the parties on the date of this Deed of Release, the Pledgee shall deliver to the secretary of the Company the share certificates representing the Shares and destroy all other original documents or instruments provided to the Pledgee by the Released Party pursuant to the Deed of Pledge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the blank instrument of transfer with respect to the Shares signed by the Released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4" w:type="dxa"/>
            <w:tcBorders/>
            <w:shd w:fill="auto" w:val="clear"/>
          </w:tcPr>
          <w:p>
            <w:pPr>
              <w:pStyle w:val="TableContents"/>
              <w:spacing w:before="0" w:after="283"/>
              <w:jc w:val="left"/>
              <w:rPr/>
            </w:pPr>
            <w:r>
              <w:rPr/>
              <w:t xml:space="preserve">the irrevocable proxy and power of attorney dated 27 December 2016 signed by the Released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the undated letters of resignation signed by each of the directors and secretary of the Company;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3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the letters of authority and undertaking signed by each of the directors and secretary of the Company;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4" w:type="dxa"/>
            <w:tcBorders/>
            <w:shd w:fill="auto" w:val="clear"/>
          </w:tcPr>
          <w:p>
            <w:pPr>
              <w:pStyle w:val="TableContents"/>
              <w:spacing w:before="0" w:after="283"/>
              <w:jc w:val="left"/>
              <w:rPr/>
            </w:pPr>
            <w:r>
              <w:rPr/>
              <w:t xml:space="preserve">the undated board resolution of the Company signed by the directors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4.2</w:t>
            </w:r>
          </w:p>
        </w:tc>
        <w:tc>
          <w:tcPr>
            <w:tcW w:w="9695" w:type="dxa"/>
            <w:tcBorders/>
            <w:shd w:fill="auto" w:val="clear"/>
          </w:tcPr>
          <w:p>
            <w:pPr>
              <w:pStyle w:val="TableContents"/>
              <w:spacing w:before="0" w:after="283"/>
              <w:jc w:val="left"/>
              <w:rPr/>
            </w:pPr>
            <w:r>
              <w:rPr/>
              <w:t xml:space="preserve">The appointment of the Pledgee as the attorney-in-fact as set forth in the Deed of Pledge and the appointment of any other person nominated by the Pledgee as attorney of the Released Party pursuant to the Deed of Pledge and/or pursuant to the irrevocable proxy and power of attorney dated 27 December 2016 signed by the Released Party is hereby immediately terminated as of the date of this Deed of Release.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4.3</w:t>
            </w:r>
          </w:p>
        </w:tc>
        <w:tc>
          <w:tcPr>
            <w:tcW w:w="9694" w:type="dxa"/>
            <w:tcBorders/>
            <w:shd w:fill="auto" w:val="clear"/>
          </w:tcPr>
          <w:p>
            <w:pPr>
              <w:pStyle w:val="TableContents"/>
              <w:spacing w:before="0" w:after="283"/>
              <w:jc w:val="left"/>
              <w:rPr/>
            </w:pPr>
            <w:r>
              <w:rPr/>
              <w:t xml:space="preserve">By virtue of the execution of this Deed of Release, the Company takes notice of the release effected by this Deed of Release and the Company shall take all steps necessary to ensure that the memorandum of pledge made in the register of members of the Company pursuant to section 138(2) of the Cyprus Contract Law, Cap 149, as amended, is removed with respect to the Released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4.4</w:t>
            </w:r>
          </w:p>
        </w:tc>
        <w:tc>
          <w:tcPr>
            <w:tcW w:w="9695" w:type="dxa"/>
            <w:tcBorders/>
            <w:shd w:fill="auto" w:val="clear"/>
          </w:tcPr>
          <w:p>
            <w:pPr>
              <w:pStyle w:val="TableContents"/>
              <w:spacing w:before="0" w:after="283"/>
              <w:jc w:val="left"/>
              <w:rPr/>
            </w:pPr>
            <w:r>
              <w:rPr/>
              <w:t>The Pledgee will, at the request and cost of the Company, take whatever action is reasonably necessary to give effect to Clause 2 (</w:t>
            </w:r>
            <w:r>
              <w:rPr>
                <w:i/>
              </w:rPr>
              <w:t>Release</w:t>
            </w:r>
            <w:r>
              <w:rPr/>
              <w:t xml:space="preserve">) of this Deed of Release.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5.</w:t>
            </w:r>
          </w:p>
        </w:tc>
        <w:tc>
          <w:tcPr>
            <w:tcW w:w="9697" w:type="dxa"/>
            <w:tcBorders/>
            <w:shd w:fill="auto" w:val="clear"/>
          </w:tcPr>
          <w:p>
            <w:pPr>
              <w:pStyle w:val="TableContents"/>
              <w:spacing w:before="0" w:after="283"/>
              <w:jc w:val="left"/>
              <w:rPr>
                <w:b/>
              </w:rPr>
            </w:pPr>
            <w:r>
              <w:rPr>
                <w:b/>
              </w:rPr>
              <w:t xml:space="preserve">EXPENSES </w:t>
            </w:r>
          </w:p>
        </w:tc>
      </w:tr>
    </w:tbl>
    <w:p>
      <w:pPr>
        <w:pStyle w:val="TextBody"/>
        <w:spacing w:before="120" w:after="0"/>
        <w:rPr>
          <w:rFonts w:ascii="Times New Roman" w:hAnsi="Times New Roman"/>
          <w:sz w:val="20"/>
        </w:rPr>
      </w:pPr>
      <w:r>
        <w:rPr>
          <w:rFonts w:ascii="Times New Roman" w:hAnsi="Times New Roman"/>
          <w:sz w:val="20"/>
        </w:rPr>
        <w:t xml:space="preserve">The Released Party must immediately on demand pay all documented costs and expenses (including legal fees) incurred in connection with this Deed of Release by the Pledgee or any person appointed by the Pledgee under the Deed of Pledge.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b/>
              </w:rPr>
            </w:pPr>
            <w:r>
              <w:rPr>
                <w:b/>
              </w:rPr>
              <w:t>6.</w:t>
            </w:r>
          </w:p>
        </w:tc>
        <w:tc>
          <w:tcPr>
            <w:tcW w:w="9696"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Deed of Release may be executed in any number of counterparts and all of those counterparts taken together will be deemed to constitute one and the same instrument.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7.</w:t>
            </w:r>
          </w:p>
        </w:tc>
        <w:tc>
          <w:tcPr>
            <w:tcW w:w="9695" w:type="dxa"/>
            <w:tcBorders/>
            <w:shd w:fill="auto" w:val="clear"/>
          </w:tcPr>
          <w:p>
            <w:pPr>
              <w:pStyle w:val="TableContents"/>
              <w:spacing w:before="0" w:after="283"/>
              <w:jc w:val="left"/>
              <w:rPr>
                <w:b/>
              </w:rPr>
            </w:pPr>
            <w:r>
              <w:rPr>
                <w:b/>
              </w:rPr>
              <w:t xml:space="preserve">ASSIGNMENT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7.1</w:t>
            </w:r>
          </w:p>
        </w:tc>
        <w:tc>
          <w:tcPr>
            <w:tcW w:w="9696" w:type="dxa"/>
            <w:tcBorders/>
            <w:shd w:fill="auto" w:val="clear"/>
          </w:tcPr>
          <w:p>
            <w:pPr>
              <w:pStyle w:val="TableContents"/>
              <w:spacing w:before="0" w:after="283"/>
              <w:jc w:val="left"/>
              <w:rPr/>
            </w:pPr>
            <w:r>
              <w:rPr/>
              <w:t xml:space="preserve">This Deed of Release shall be binding and be enforceable by and against the respective successors and assignees of the Pledgee and the Released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7.2</w:t>
            </w:r>
          </w:p>
        </w:tc>
        <w:tc>
          <w:tcPr>
            <w:tcW w:w="9694" w:type="dxa"/>
            <w:tcBorders/>
            <w:shd w:fill="auto" w:val="clear"/>
          </w:tcPr>
          <w:p>
            <w:pPr>
              <w:pStyle w:val="TableContents"/>
              <w:spacing w:before="0" w:after="283"/>
              <w:jc w:val="left"/>
              <w:rPr/>
            </w:pPr>
            <w:r>
              <w:rPr/>
              <w:t xml:space="preserve">The Parties may not assign or transfer any of their rights or obligations under this Deed without the prior written consent of the other Party either at law or in equity.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8.</w:t>
            </w:r>
          </w:p>
        </w:tc>
        <w:tc>
          <w:tcPr>
            <w:tcW w:w="9695" w:type="dxa"/>
            <w:tcBorders/>
            <w:shd w:fill="auto" w:val="clear"/>
          </w:tcPr>
          <w:p>
            <w:pPr>
              <w:pStyle w:val="TableContents"/>
              <w:spacing w:before="0" w:after="283"/>
              <w:jc w:val="left"/>
              <w:rPr>
                <w:b/>
              </w:rPr>
            </w:pPr>
            <w:r>
              <w:rPr>
                <w:b/>
              </w:rPr>
              <w:t xml:space="preserve">MISCELLANEOUS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8.1</w:t>
            </w:r>
          </w:p>
        </w:tc>
        <w:tc>
          <w:tcPr>
            <w:tcW w:w="9694" w:type="dxa"/>
            <w:tcBorders/>
            <w:shd w:fill="auto" w:val="clear"/>
          </w:tcPr>
          <w:p>
            <w:pPr>
              <w:pStyle w:val="TableContents"/>
              <w:spacing w:before="0" w:after="283"/>
              <w:jc w:val="left"/>
              <w:rPr/>
            </w:pPr>
            <w:r>
              <w:rPr/>
              <w:t xml:space="preserve">Any provision of this Deed of Release prohibited by or unlawful or unenforceable under any applicable law shall (to the extent required by such law) be ineffective without modifying the remaining provisions of this Deed of Release but where the provisions of any such applicable law may be waived, they are hereby waived to the full extent permitted by such law to the end that this Deed of Release shall be valid, binding and enforceable in accordance with its terms.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8.2</w:t>
            </w:r>
          </w:p>
        </w:tc>
        <w:tc>
          <w:tcPr>
            <w:tcW w:w="9695" w:type="dxa"/>
            <w:tcBorders/>
            <w:shd w:fill="auto" w:val="clear"/>
          </w:tcPr>
          <w:p>
            <w:pPr>
              <w:pStyle w:val="TableContents"/>
              <w:spacing w:before="0" w:after="283"/>
              <w:jc w:val="left"/>
              <w:rPr/>
            </w:pPr>
            <w:r>
              <w:rPr/>
              <w:t xml:space="preserve">No failure to exercise and no delay in exercising any right, power or privilege hereunder and no course of dealing between the Pledgee and the Released Party shall operate as a waiver thereof, nor shall any single or partial exercise of any right, power or privilege preclude any other or further exercise thereof, or the exercise of any other right, power or privilege. The rights and remedies herein provided are cumulative and not exclusive of any rights or remedies provided by law.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4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9.</w:t>
            </w:r>
          </w:p>
        </w:tc>
        <w:tc>
          <w:tcPr>
            <w:tcW w:w="9697" w:type="dxa"/>
            <w:tcBorders/>
            <w:shd w:fill="auto" w:val="clear"/>
          </w:tcPr>
          <w:p>
            <w:pPr>
              <w:pStyle w:val="TableContents"/>
              <w:spacing w:before="0" w:after="283"/>
              <w:jc w:val="left"/>
              <w:rPr>
                <w:b/>
              </w:rPr>
            </w:pPr>
            <w:r>
              <w:rPr>
                <w:b/>
              </w:rPr>
              <w:t xml:space="preserve">GOVERNING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9.1</w:t>
            </w:r>
          </w:p>
        </w:tc>
        <w:tc>
          <w:tcPr>
            <w:tcW w:w="9694" w:type="dxa"/>
            <w:tcBorders/>
            <w:shd w:fill="auto" w:val="clear"/>
          </w:tcPr>
          <w:p>
            <w:pPr>
              <w:pStyle w:val="TableContents"/>
              <w:spacing w:before="0" w:after="283"/>
              <w:jc w:val="left"/>
              <w:rPr/>
            </w:pPr>
            <w:r>
              <w:rPr/>
              <w:t xml:space="preserve">This Deed of Release and any non-contractual obligations arising out of or in connection with it shall be governed by and construed in accordance with Cyprus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9.2</w:t>
            </w:r>
          </w:p>
        </w:tc>
        <w:tc>
          <w:tcPr>
            <w:tcW w:w="9694" w:type="dxa"/>
            <w:tcBorders/>
            <w:shd w:fill="auto" w:val="clear"/>
          </w:tcPr>
          <w:p>
            <w:pPr>
              <w:pStyle w:val="TableContents"/>
              <w:spacing w:before="0" w:after="283"/>
              <w:jc w:val="left"/>
              <w:rPr/>
            </w:pPr>
            <w:r>
              <w:rPr/>
              <w:t xml:space="preserve">The Courts of Cyprus shall have exclusive jurisdiction to settle any dispute arising out of or in connection with this Deed of Release, including any question regarding its existence, validity or termination or the consequences of its nullity or any non-contractual obligation arising out of or in connection with this Deed of Release. </w:t>
            </w:r>
          </w:p>
        </w:tc>
      </w:tr>
    </w:tbl>
    <w:p>
      <w:pPr>
        <w:pStyle w:val="TextBody"/>
        <w:spacing w:before="120" w:after="0"/>
        <w:rPr>
          <w:rFonts w:ascii="Times New Roman" w:hAnsi="Times New Roman"/>
          <w:sz w:val="20"/>
        </w:rPr>
      </w:pPr>
      <w:r>
        <w:rPr>
          <w:rFonts w:ascii="Times New Roman" w:hAnsi="Times New Roman"/>
          <w:b/>
          <w:sz w:val="20"/>
        </w:rPr>
        <w:t>IN WITNESS WHEREOF</w:t>
      </w:r>
      <w:r>
        <w:rPr>
          <w:rFonts w:ascii="Times New Roman" w:hAnsi="Times New Roman"/>
          <w:sz w:val="20"/>
        </w:rPr>
        <w:t xml:space="preserve"> </w:t>
      </w:r>
      <w:r>
        <w:rPr>
          <w:rFonts w:ascii="Times New Roman" w:hAnsi="Times New Roman"/>
          <w:b/>
          <w:sz w:val="20"/>
        </w:rPr>
        <w:t>THIS DEED</w:t>
      </w:r>
      <w:r>
        <w:rPr>
          <w:rFonts w:ascii="Times New Roman" w:hAnsi="Times New Roman"/>
          <w:sz w:val="20"/>
        </w:rPr>
        <w:t xml:space="preserve"> has been executed and delivered as a deed on the date stated at the beginning of this Deed of Release.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5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7"/>
        <w:gridCol w:w="203"/>
        <w:gridCol w:w="6124"/>
      </w:tblGrid>
      <w:tr>
        <w:trPr/>
        <w:tc>
          <w:tcPr>
            <w:tcW w:w="3877"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6124" w:type="dxa"/>
            <w:tcBorders/>
            <w:shd w:fill="auto" w:val="clear"/>
            <w:vAlign w:val="cente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b/>
              </w:rPr>
            </w:pPr>
            <w:r>
              <w:rPr>
                <w:b/>
              </w:rPr>
              <w:t>The Released Party</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pPr>
            <w:r>
              <w:rPr/>
              <w:t>EXECUTED AND DELIVERED AS A</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 xml:space="preserve">DEED for and on behalf of </w:t>
            </w:r>
            <w:r>
              <w:rPr>
                <w:b/>
              </w:rPr>
              <w:t>ELQ</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b/>
              </w:rPr>
            </w:pPr>
            <w:r>
              <w:rPr>
                <w:b/>
              </w:rPr>
              <w:t>INVESTORS VIII LTD</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7"/>
        <w:gridCol w:w="203"/>
        <w:gridCol w:w="6124"/>
      </w:tblGrid>
      <w:tr>
        <w:trPr/>
        <w:tc>
          <w:tcPr>
            <w:tcW w:w="3877"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6124" w:type="dxa"/>
            <w:tcBorders/>
            <w:shd w:fill="auto" w:val="clear"/>
            <w:vAlign w:val="cente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b/>
              </w:rPr>
            </w:pPr>
            <w:r>
              <w:rPr>
                <w:b/>
              </w:rPr>
              <w:t>The Company</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pPr>
            <w:r>
              <w:rPr/>
              <w:t>EXECUTED AND DELIVERED AS A</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 xml:space="preserve">DEED for and on behalf of </w:t>
            </w:r>
            <w:r>
              <w:rPr>
                <w:b/>
              </w:rPr>
              <w:t>ZEMENIK</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b/>
              </w:rPr>
            </w:pPr>
            <w:r>
              <w:rPr>
                <w:b/>
              </w:rPr>
              <w:t>TRADING LIMITED</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6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7"/>
        <w:gridCol w:w="203"/>
        <w:gridCol w:w="6124"/>
      </w:tblGrid>
      <w:tr>
        <w:trPr/>
        <w:tc>
          <w:tcPr>
            <w:tcW w:w="3877"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6124" w:type="dxa"/>
            <w:tcBorders/>
            <w:shd w:fill="auto" w:val="clear"/>
            <w:vAlign w:val="cente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b/>
              </w:rPr>
            </w:pPr>
            <w:r>
              <w:rPr>
                <w:b/>
              </w:rPr>
              <w:t>The Released Party</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pPr>
            <w:r>
              <w:rPr/>
              <w:t>EXECUTED AND DELIVERED AS A</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 xml:space="preserve">DEED for and on behalf of </w:t>
            </w:r>
            <w:r>
              <w:rPr>
                <w:b/>
              </w:rPr>
              <w:t>ELQ</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b/>
              </w:rPr>
            </w:pPr>
            <w:r>
              <w:rPr>
                <w:b/>
              </w:rPr>
              <w:t>INVESTORS VIII LTD</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7"/>
        <w:gridCol w:w="203"/>
        <w:gridCol w:w="6124"/>
      </w:tblGrid>
      <w:tr>
        <w:trPr/>
        <w:tc>
          <w:tcPr>
            <w:tcW w:w="3877"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6124" w:type="dxa"/>
            <w:tcBorders/>
            <w:shd w:fill="auto" w:val="clear"/>
            <w:vAlign w:val="cente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b/>
              </w:rPr>
            </w:pPr>
            <w:r>
              <w:rPr>
                <w:b/>
              </w:rPr>
              <w:t>The Company</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pPr>
            <w:r>
              <w:rPr/>
              <w:t>EXECUTED AND DELIVERED AS A</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 xml:space="preserve">DEED for and on behalf of </w:t>
            </w:r>
            <w:r>
              <w:rPr>
                <w:b/>
              </w:rPr>
              <w:t>ZEMENIK</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b/>
              </w:rPr>
            </w:pPr>
            <w:r>
              <w:rPr>
                <w:b/>
              </w:rPr>
              <w:t>TRADING LIMITED</w:t>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        </w:t>
            </w:r>
            <w:r>
              <w:rPr>
                <w:u w:val="single"/>
              </w:rPr>
              <w:t>                                                                     </w:t>
            </w:r>
          </w:p>
        </w:tc>
      </w:tr>
      <w:tr>
        <w:trPr/>
        <w:tc>
          <w:tcPr>
            <w:tcW w:w="3877"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6124"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6 </w:t>
      </w:r>
      <w:r>
        <w:br w:type="page"/>
      </w:r>
    </w:p>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4082"/>
        <w:gridCol w:w="203"/>
        <w:gridCol w:w="5919"/>
      </w:tblGrid>
      <w:tr>
        <w:trPr/>
        <w:tc>
          <w:tcPr>
            <w:tcW w:w="4082"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5919"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b/>
              </w:rPr>
            </w:pPr>
            <w:r>
              <w:rPr>
                <w:b/>
              </w:rPr>
              <w:t>The Pledgee</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pPr>
            <w:r>
              <w:rPr/>
              <w:t>EXECUTED AND DELIVERED AS A</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pPr>
            <w:r>
              <w:rPr/>
              <w:t xml:space="preserve">DEED for and on behalf of </w:t>
            </w:r>
            <w:r>
              <w:rPr>
                <w:b/>
              </w:rPr>
              <w:t>VTB BANK</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b/>
              </w:rPr>
            </w:pPr>
            <w:r>
              <w:rPr>
                <w:b/>
              </w:rPr>
              <w:t>(PJSC)</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7 </w:t>
      </w:r>
      <w:r>
        <w:br w:type="page"/>
      </w:r>
    </w:p>
    <w:p>
      <w:pPr>
        <w:pStyle w:val="HorizontalLine"/>
        <w:pBdr>
          <w:bottom w:val="double" w:sz="6" w:space="0" w:color="808080"/>
        </w:pBdr>
        <w:rPr/>
      </w:pPr>
      <w:r>
        <w:rPr/>
      </w:r>
    </w:p>
    <w:p>
      <w:pPr>
        <w:pStyle w:val="TextBody"/>
        <w:spacing w:before="0" w:after="0"/>
        <w:jc w:val="right"/>
        <w:rPr>
          <w:rFonts w:ascii="Times New Roman" w:hAnsi="Times New Roman"/>
          <w:sz w:val="20"/>
        </w:rPr>
      </w:pPr>
      <w:r>
        <w:rPr>
          <w:rFonts w:ascii="Times New Roman" w:hAnsi="Times New Roman"/>
          <w:sz w:val="20"/>
        </w:rPr>
        <w:t xml:space="preserve">EXECUTION VERSION </w:t>
      </w:r>
    </w:p>
    <w:p>
      <w:pPr>
        <w:pStyle w:val="TextBody"/>
        <w:spacing w:before="240" w:after="0"/>
        <w:jc w:val="center"/>
        <w:rPr>
          <w:rFonts w:ascii="Times New Roman" w:hAnsi="Times New Roman"/>
          <w:b/>
          <w:sz w:val="20"/>
        </w:rPr>
      </w:pPr>
      <w:r>
        <w:rPr>
          <w:rFonts w:ascii="Times New Roman" w:hAnsi="Times New Roman"/>
          <w:b/>
          <w:sz w:val="20"/>
        </w:rPr>
        <w:t xml:space="preserve">DEED OF PLEDGE </w:t>
      </w:r>
    </w:p>
    <w:p>
      <w:pPr>
        <w:pStyle w:val="TextBody"/>
        <w:spacing w:before="240" w:after="0"/>
        <w:jc w:val="center"/>
        <w:rPr>
          <w:rFonts w:ascii="Times New Roman" w:hAnsi="Times New Roman"/>
          <w:b/>
          <w:sz w:val="20"/>
        </w:rPr>
      </w:pPr>
      <w:r>
        <w:rPr>
          <w:rFonts w:ascii="Times New Roman" w:hAnsi="Times New Roman"/>
          <w:b/>
          <w:sz w:val="20"/>
        </w:rPr>
        <w:t xml:space="preserve">DATED </w:t>
      </w:r>
      <w:r>
        <w:rPr>
          <w:rFonts w:ascii="Times New Roman" w:hAnsi="Times New Roman"/>
          <w:b/>
          <w:sz w:val="20"/>
          <w:u w:val="single"/>
        </w:rPr>
        <w:t>19 May</w:t>
      </w:r>
      <w:r>
        <w:rPr>
          <w:rFonts w:ascii="Times New Roman" w:hAnsi="Times New Roman"/>
          <w:b/>
          <w:sz w:val="20"/>
        </w:rPr>
        <w:t xml:space="preserve"> 2016 </w:t>
      </w:r>
    </w:p>
    <w:p>
      <w:pPr>
        <w:pStyle w:val="TextBody"/>
        <w:spacing w:before="240" w:after="0"/>
        <w:jc w:val="center"/>
        <w:rPr>
          <w:rFonts w:ascii="Times New Roman" w:hAnsi="Times New Roman"/>
          <w:b/>
          <w:sz w:val="20"/>
        </w:rPr>
      </w:pPr>
      <w:r>
        <w:rPr>
          <w:rFonts w:ascii="Times New Roman" w:hAnsi="Times New Roman"/>
          <w:b/>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HIGHWORLD INVESTMENTS LIMITED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JSC VTB BANK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ALEXANDRO§ ECONOMOU </w:t>
      </w:r>
    </w:p>
    <w:p>
      <w:pPr>
        <w:pStyle w:val="TextBody"/>
        <w:spacing w:before="0" w:after="0"/>
        <w:jc w:val="center"/>
        <w:rPr>
          <w:rFonts w:ascii="Times New Roman" w:hAnsi="Times New Roman"/>
          <w:b/>
          <w:sz w:val="20"/>
        </w:rPr>
      </w:pPr>
      <w:r>
        <w:rPr>
          <w:rFonts w:ascii="Times New Roman" w:hAnsi="Times New Roman"/>
          <w:b/>
          <w:sz w:val="20"/>
        </w:rPr>
        <w:t xml:space="preserve">LLC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0" w:after="0"/>
        <w:rPr/>
      </w:pPr>
      <w:r>
        <w:rPr/>
        <w: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09"/>
        <w:gridCol w:w="192"/>
        <w:gridCol w:w="8502"/>
        <w:gridCol w:w="225"/>
        <w:gridCol w:w="96"/>
        <w:gridCol w:w="419"/>
        <w:gridCol w:w="62"/>
      </w:tblGrid>
      <w:tr>
        <w:trPr/>
        <w:tc>
          <w:tcPr>
            <w:tcW w:w="709" w:type="dxa"/>
            <w:tcBorders/>
            <w:shd w:fill="auto" w:val="clear"/>
            <w:vAlign w:val="center"/>
          </w:tcPr>
          <w:p>
            <w:pPr>
              <w:pStyle w:val="TableContents"/>
              <w:spacing w:before="0" w:after="283"/>
              <w:rPr>
                <w:sz w:val="4"/>
                <w:szCs w:val="4"/>
              </w:rPr>
            </w:pPr>
            <w:r>
              <w:rPr>
                <w:sz w:val="4"/>
                <w:szCs w:val="4"/>
              </w:rPr>
            </w:r>
          </w:p>
        </w:tc>
        <w:tc>
          <w:tcPr>
            <w:tcW w:w="192" w:type="dxa"/>
            <w:tcBorders/>
            <w:shd w:fill="auto" w:val="clear"/>
            <w:vAlign w:val="bottom"/>
          </w:tcPr>
          <w:p>
            <w:pPr>
              <w:pStyle w:val="TableContents"/>
              <w:spacing w:before="0" w:after="283"/>
              <w:rPr>
                <w:sz w:val="4"/>
                <w:szCs w:val="4"/>
              </w:rPr>
            </w:pPr>
            <w:r>
              <w:rPr>
                <w:sz w:val="4"/>
                <w:szCs w:val="4"/>
              </w:rPr>
            </w:r>
          </w:p>
        </w:tc>
        <w:tc>
          <w:tcPr>
            <w:tcW w:w="8502"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bottom"/>
          </w:tcPr>
          <w:p>
            <w:pPr>
              <w:pStyle w:val="TableContents"/>
              <w:spacing w:before="0" w:after="283"/>
              <w:rPr>
                <w:sz w:val="4"/>
                <w:szCs w:val="4"/>
              </w:rPr>
            </w:pPr>
            <w:r>
              <w:rPr>
                <w:sz w:val="4"/>
                <w:szCs w:val="4"/>
              </w:rPr>
            </w:r>
          </w:p>
        </w:tc>
        <w:tc>
          <w:tcPr>
            <w:tcW w:w="96" w:type="dxa"/>
            <w:tcBorders/>
            <w:shd w:fill="auto" w:val="clear"/>
            <w:vAlign w:val="center"/>
          </w:tcPr>
          <w:p>
            <w:pPr>
              <w:pStyle w:val="TableContents"/>
              <w:spacing w:before="0" w:after="283"/>
              <w:rPr>
                <w:sz w:val="4"/>
                <w:szCs w:val="4"/>
              </w:rPr>
            </w:pPr>
            <w:r>
              <w:rPr>
                <w:sz w:val="4"/>
                <w:szCs w:val="4"/>
              </w:rPr>
            </w:r>
          </w:p>
        </w:tc>
        <w:tc>
          <w:tcPr>
            <w:tcW w:w="419" w:type="dxa"/>
            <w:tcBorders/>
            <w:shd w:fill="auto" w:val="clear"/>
            <w:vAlign w:val="center"/>
          </w:tcPr>
          <w:p>
            <w:pPr>
              <w:pStyle w:val="TableContents"/>
              <w:spacing w:before="0" w:after="283"/>
              <w:rPr>
                <w:sz w:val="4"/>
                <w:szCs w:val="4"/>
              </w:rPr>
            </w:pPr>
            <w:r>
              <w:rPr>
                <w:sz w:val="4"/>
                <w:szCs w:val="4"/>
              </w:rPr>
            </w:r>
          </w:p>
        </w:tc>
        <w:tc>
          <w:tcPr>
            <w:tcW w:w="62" w:type="dxa"/>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283"/>
              <w:rPr>
                <w:b/>
              </w:rPr>
            </w:pPr>
            <w:r>
              <w:rPr>
                <w:b/>
              </w:rPr>
              <w:t>Clause</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pPr>
            <w:r>
              <w:rPr/>
              <w:t> </w:t>
            </w:r>
          </w:p>
        </w:tc>
        <w:tc>
          <w:tcPr>
            <w:tcW w:w="225" w:type="dxa"/>
            <w:tcBorders/>
            <w:shd w:fill="auto" w:val="clear"/>
            <w:vAlign w:val="bottom"/>
          </w:tcPr>
          <w:p>
            <w:pPr>
              <w:pStyle w:val="TableContents"/>
              <w:spacing w:before="0" w:after="283"/>
              <w:rPr/>
            </w:pPr>
            <w:r>
              <w:rPr/>
              <w:t>  </w:t>
            </w:r>
          </w:p>
        </w:tc>
        <w:tc>
          <w:tcPr>
            <w:tcW w:w="515" w:type="dxa"/>
            <w:gridSpan w:val="2"/>
            <w:tcBorders/>
            <w:shd w:fill="auto" w:val="clear"/>
            <w:vAlign w:val="bottom"/>
          </w:tcPr>
          <w:p>
            <w:pPr>
              <w:pStyle w:val="TableContents"/>
              <w:spacing w:before="0" w:after="283"/>
              <w:jc w:val="center"/>
              <w:rPr>
                <w:b/>
              </w:rPr>
            </w:pPr>
            <w:r>
              <w:rPr>
                <w:b/>
              </w:rPr>
              <w:t>Page</w:t>
            </w:r>
          </w:p>
        </w:tc>
        <w:tc>
          <w:tcPr>
            <w:tcW w:w="62" w:type="dxa"/>
            <w:tcBorders/>
            <w:shd w:fill="auto" w:val="clear"/>
            <w:vAlign w:val="bottom"/>
          </w:tcPr>
          <w:p>
            <w:pPr>
              <w:pStyle w:val="TableContents"/>
              <w:spacing w:before="0" w:after="283"/>
              <w:rPr/>
            </w:pPr>
            <w:r>
              <w:rPr/>
              <w:t> </w:t>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INTERPRETATION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CREATION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4</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REPRESENTATIONS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4</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RESTRICTIONS ON DEALINGS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SHARES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6.</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PRESERVATION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9</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7.</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WHEN SECURITY BECOMES ENFORCEABLE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8.</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ENFORCEMENT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9.</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RECEIVER</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14</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10.</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POWERS OF RECEIVER</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15</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APPLICATION OF PROCEEDS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16</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EXPENSES AND INDEMNITY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DELEGATION</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FURTHER ASSURANCES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17</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POWER OF ATTORNEY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16.</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REGISTRATION OF SECURITY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18</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17.</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MISCELLANEOUS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19</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18.</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RELEASE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19</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19.</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CHANGES TO THE PARTIES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20.</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EVIDENCE AND CALCULATIONS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21.</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NOTICES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20</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22.</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LANGUAGE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23.</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SEVERABILITY</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21</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24.</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WAIVERS AND REMEDIES CUMULATIVE</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22</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25.</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COUNTERPARTS</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22</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26.</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GOVERNING LAW</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22</w:t>
            </w:r>
          </w:p>
        </w:tc>
        <w:tc>
          <w:tcPr>
            <w:tcW w:w="62"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4" w:type="dxa"/>
            <w:gridSpan w:val="2"/>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27.</w:t>
            </w:r>
          </w:p>
        </w:tc>
        <w:tc>
          <w:tcPr>
            <w:tcW w:w="192" w:type="dxa"/>
            <w:tcBorders/>
            <w:shd w:fill="auto" w:val="clear"/>
            <w:vAlign w:val="bottom"/>
          </w:tcPr>
          <w:p>
            <w:pPr>
              <w:pStyle w:val="TableContents"/>
              <w:spacing w:before="0" w:after="283"/>
              <w:rPr/>
            </w:pPr>
            <w:r>
              <w:rPr/>
              <w:t> </w:t>
            </w:r>
          </w:p>
        </w:tc>
        <w:tc>
          <w:tcPr>
            <w:tcW w:w="8502" w:type="dxa"/>
            <w:tcBorders/>
            <w:shd w:fill="auto" w:val="clear"/>
            <w:vAlign w:val="bottom"/>
          </w:tcPr>
          <w:p>
            <w:pPr>
              <w:pStyle w:val="TableContents"/>
              <w:spacing w:before="0" w:after="283"/>
              <w:rPr>
                <w:b/>
              </w:rPr>
            </w:pPr>
            <w:r>
              <w:rPr>
                <w:b/>
              </w:rPr>
              <w:t>ENFORCEMENT</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22</w:t>
            </w:r>
          </w:p>
        </w:tc>
        <w:tc>
          <w:tcPr>
            <w:tcW w:w="62" w:type="dxa"/>
            <w:tcBorders/>
            <w:shd w:fill="auto" w:val="clear"/>
            <w:vAlign w:val="bottom"/>
          </w:tcPr>
          <w:p>
            <w:pPr>
              <w:pStyle w:val="TableContents"/>
              <w:spacing w:before="0" w:after="283"/>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1</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23</w:t>
            </w:r>
          </w:p>
        </w:tc>
        <w:tc>
          <w:tcPr>
            <w:tcW w:w="62" w:type="dxa"/>
            <w:tcBorders/>
            <w:shd w:fill="auto" w:val="clear"/>
            <w:vAlign w:val="bottom"/>
          </w:tcPr>
          <w:p>
            <w:pPr>
              <w:pStyle w:val="TableContents"/>
              <w:spacing w:before="0" w:after="283"/>
              <w:rPr/>
            </w:pPr>
            <w:r>
              <w:rPr/>
              <w:t> </w:t>
            </w:r>
          </w:p>
        </w:tc>
      </w:tr>
      <w:tr>
        <w:trPr>
          <w:trHeight w:val="120" w:hRule="atLeast"/>
        </w:trPr>
        <w:tc>
          <w:tcPr>
            <w:tcW w:w="10205" w:type="dxa"/>
            <w:gridSpan w:val="7"/>
            <w:tcBorders/>
            <w:shd w:fill="auto" w:val="clear"/>
            <w:vAlign w:val="center"/>
          </w:tcPr>
          <w:p>
            <w:pPr>
              <w:pStyle w:val="TableContents"/>
              <w:spacing w:before="0" w:after="283"/>
              <w:rPr>
                <w:sz w:val="4"/>
                <w:szCs w:val="4"/>
              </w:rPr>
            </w:pPr>
            <w:r>
              <w:rPr>
                <w:sz w:val="4"/>
                <w:szCs w:val="4"/>
              </w:rPr>
            </w:r>
          </w:p>
        </w:tc>
      </w:tr>
      <w:tr>
        <w:trPr/>
        <w:tc>
          <w:tcPr>
            <w:tcW w:w="10143" w:type="dxa"/>
            <w:gridSpan w:val="6"/>
            <w:tcBorders/>
            <w:shd w:fill="auto" w:val="clear"/>
          </w:tcPr>
          <w:p>
            <w:pPr>
              <w:pStyle w:val="TableContents"/>
              <w:spacing w:before="0" w:after="0"/>
              <w:rPr>
                <w:rFonts w:ascii="Times New Roman" w:hAnsi="Times New Roman"/>
                <w:b/>
                <w:sz w:val="20"/>
              </w:rPr>
            </w:pPr>
            <w:r>
              <w:rPr>
                <w:rFonts w:ascii="Times New Roman" w:hAnsi="Times New Roman"/>
                <w:b/>
                <w:sz w:val="20"/>
              </w:rPr>
              <w:t>INSTRUMENT OF TRANSFER</w:t>
            </w:r>
          </w:p>
        </w:tc>
        <w:tc>
          <w:tcPr>
            <w:tcW w:w="62" w:type="dxa"/>
            <w:tcBorders/>
            <w:shd w:fill="auto" w:val="clear"/>
          </w:tcPr>
          <w:p>
            <w:pPr>
              <w:pStyle w:val="TableContents"/>
              <w:spacing w:before="0" w:after="0"/>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2</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24</w:t>
            </w:r>
          </w:p>
        </w:tc>
        <w:tc>
          <w:tcPr>
            <w:tcW w:w="62" w:type="dxa"/>
            <w:tcBorders/>
            <w:shd w:fill="auto" w:val="clear"/>
            <w:vAlign w:val="bottom"/>
          </w:tcPr>
          <w:p>
            <w:pPr>
              <w:pStyle w:val="TableContents"/>
              <w:spacing w:before="0" w:after="283"/>
              <w:rPr/>
            </w:pPr>
            <w:r>
              <w:rPr/>
              <w:t> </w:t>
            </w:r>
          </w:p>
        </w:tc>
      </w:tr>
      <w:tr>
        <w:trPr>
          <w:trHeight w:val="120" w:hRule="atLeast"/>
        </w:trPr>
        <w:tc>
          <w:tcPr>
            <w:tcW w:w="10205" w:type="dxa"/>
            <w:gridSpan w:val="7"/>
            <w:tcBorders/>
            <w:shd w:fill="auto" w:val="clear"/>
            <w:vAlign w:val="center"/>
          </w:tcPr>
          <w:p>
            <w:pPr>
              <w:pStyle w:val="TableContents"/>
              <w:spacing w:before="0" w:after="283"/>
              <w:rPr>
                <w:sz w:val="4"/>
                <w:szCs w:val="4"/>
              </w:rPr>
            </w:pPr>
            <w:r>
              <w:rPr>
                <w:sz w:val="4"/>
                <w:szCs w:val="4"/>
              </w:rPr>
            </w:r>
          </w:p>
        </w:tc>
      </w:tr>
      <w:tr>
        <w:trPr/>
        <w:tc>
          <w:tcPr>
            <w:tcW w:w="10143" w:type="dxa"/>
            <w:gridSpan w:val="6"/>
            <w:tcBorders/>
            <w:shd w:fill="auto" w:val="clear"/>
          </w:tcPr>
          <w:p>
            <w:pPr>
              <w:pStyle w:val="TableContents"/>
              <w:spacing w:before="0" w:after="0"/>
              <w:rPr>
                <w:rFonts w:ascii="Times New Roman" w:hAnsi="Times New Roman"/>
                <w:b/>
                <w:sz w:val="20"/>
              </w:rPr>
            </w:pPr>
            <w:r>
              <w:rPr>
                <w:rFonts w:ascii="Times New Roman" w:hAnsi="Times New Roman"/>
                <w:b/>
                <w:sz w:val="20"/>
              </w:rPr>
              <w:t>IRREVOCABLE PROXY AND POWER OF ATTORNEY</w:t>
            </w:r>
          </w:p>
        </w:tc>
        <w:tc>
          <w:tcPr>
            <w:tcW w:w="62" w:type="dxa"/>
            <w:tcBorders/>
            <w:shd w:fill="auto" w:val="clear"/>
          </w:tcPr>
          <w:p>
            <w:pPr>
              <w:pStyle w:val="TableContents"/>
              <w:spacing w:before="0" w:after="0"/>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3</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26</w:t>
            </w:r>
          </w:p>
        </w:tc>
        <w:tc>
          <w:tcPr>
            <w:tcW w:w="62" w:type="dxa"/>
            <w:tcBorders/>
            <w:shd w:fill="auto" w:val="clear"/>
            <w:vAlign w:val="bottom"/>
          </w:tcPr>
          <w:p>
            <w:pPr>
              <w:pStyle w:val="TableContents"/>
              <w:spacing w:before="0" w:after="283"/>
              <w:rPr/>
            </w:pPr>
            <w:r>
              <w:rPr/>
              <w:t> </w:t>
            </w:r>
          </w:p>
        </w:tc>
      </w:tr>
      <w:tr>
        <w:trPr>
          <w:trHeight w:val="120" w:hRule="atLeast"/>
        </w:trPr>
        <w:tc>
          <w:tcPr>
            <w:tcW w:w="10205" w:type="dxa"/>
            <w:gridSpan w:val="7"/>
            <w:tcBorders/>
            <w:shd w:fill="auto" w:val="clear"/>
            <w:vAlign w:val="center"/>
          </w:tcPr>
          <w:p>
            <w:pPr>
              <w:pStyle w:val="TableContents"/>
              <w:spacing w:before="0" w:after="283"/>
              <w:rPr>
                <w:sz w:val="4"/>
                <w:szCs w:val="4"/>
              </w:rPr>
            </w:pPr>
            <w:r>
              <w:rPr>
                <w:sz w:val="4"/>
                <w:szCs w:val="4"/>
              </w:rPr>
            </w:r>
          </w:p>
        </w:tc>
      </w:tr>
      <w:tr>
        <w:trPr/>
        <w:tc>
          <w:tcPr>
            <w:tcW w:w="10143" w:type="dxa"/>
            <w:gridSpan w:val="6"/>
            <w:tcBorders/>
            <w:shd w:fill="auto" w:val="clear"/>
          </w:tcPr>
          <w:p>
            <w:pPr>
              <w:pStyle w:val="TableContents"/>
              <w:spacing w:before="0" w:after="0"/>
              <w:rPr>
                <w:rFonts w:ascii="Times New Roman" w:hAnsi="Times New Roman"/>
                <w:b/>
                <w:sz w:val="20"/>
              </w:rPr>
            </w:pPr>
            <w:r>
              <w:rPr>
                <w:rFonts w:ascii="Times New Roman" w:hAnsi="Times New Roman"/>
                <w:b/>
                <w:sz w:val="20"/>
              </w:rPr>
              <w:t>LETTER OF RESIGNATION</w:t>
            </w:r>
          </w:p>
        </w:tc>
        <w:tc>
          <w:tcPr>
            <w:tcW w:w="62" w:type="dxa"/>
            <w:tcBorders/>
            <w:shd w:fill="auto" w:val="clear"/>
          </w:tcPr>
          <w:p>
            <w:pPr>
              <w:pStyle w:val="TableContents"/>
              <w:spacing w:before="0" w:after="0"/>
              <w:rPr/>
            </w:pPr>
            <w:r>
              <w:rPr/>
              <w:t> </w:t>
            </w:r>
          </w:p>
        </w:tc>
      </w:tr>
      <w:tr>
        <w:trPr>
          <w:trHeight w:val="120" w:hRule="atLeast"/>
        </w:trPr>
        <w:tc>
          <w:tcPr>
            <w:tcW w:w="9403" w:type="dxa"/>
            <w:gridSpan w:val="3"/>
            <w:tcBorders/>
            <w:shd w:fill="auto" w:val="clear"/>
            <w:vAlign w:val="center"/>
          </w:tcPr>
          <w:p>
            <w:pPr>
              <w:pStyle w:val="TableContents"/>
              <w:spacing w:before="0" w:after="283"/>
              <w:rPr>
                <w:sz w:val="4"/>
                <w:szCs w:val="4"/>
              </w:rPr>
            </w:pPr>
            <w:r>
              <w:rPr>
                <w:sz w:val="4"/>
                <w:szCs w:val="4"/>
              </w:rPr>
            </w:r>
          </w:p>
        </w:tc>
        <w:tc>
          <w:tcPr>
            <w:tcW w:w="802" w:type="dxa"/>
            <w:gridSpan w:val="4"/>
            <w:tcBorders/>
            <w:shd w:fill="auto" w:val="clear"/>
            <w:vAlign w:val="center"/>
          </w:tcPr>
          <w:p>
            <w:pPr>
              <w:pStyle w:val="TableContents"/>
              <w:spacing w:before="0" w:after="283"/>
              <w:rPr>
                <w:sz w:val="4"/>
                <w:szCs w:val="4"/>
              </w:rPr>
            </w:pPr>
            <w:r>
              <w:rPr>
                <w:sz w:val="4"/>
                <w:szCs w:val="4"/>
              </w:rPr>
            </w:r>
          </w:p>
        </w:tc>
      </w:tr>
      <w:tr>
        <w:trPr/>
        <w:tc>
          <w:tcPr>
            <w:tcW w:w="9403"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4</w:t>
            </w:r>
          </w:p>
        </w:tc>
        <w:tc>
          <w:tcPr>
            <w:tcW w:w="225"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27</w:t>
            </w:r>
          </w:p>
        </w:tc>
        <w:tc>
          <w:tcPr>
            <w:tcW w:w="62" w:type="dxa"/>
            <w:tcBorders/>
            <w:shd w:fill="auto" w:val="clear"/>
            <w:vAlign w:val="bottom"/>
          </w:tcPr>
          <w:p>
            <w:pPr>
              <w:pStyle w:val="TableContents"/>
              <w:spacing w:before="0" w:after="283"/>
              <w:rPr/>
            </w:pPr>
            <w:r>
              <w:rPr/>
              <w:t> </w:t>
            </w:r>
          </w:p>
        </w:tc>
      </w:tr>
      <w:tr>
        <w:trPr>
          <w:trHeight w:val="120" w:hRule="atLeast"/>
        </w:trPr>
        <w:tc>
          <w:tcPr>
            <w:tcW w:w="10205" w:type="dxa"/>
            <w:gridSpan w:val="7"/>
            <w:tcBorders/>
            <w:shd w:fill="auto" w:val="clear"/>
            <w:vAlign w:val="center"/>
          </w:tcPr>
          <w:p>
            <w:pPr>
              <w:pStyle w:val="TableContents"/>
              <w:spacing w:before="0" w:after="283"/>
              <w:rPr>
                <w:sz w:val="4"/>
                <w:szCs w:val="4"/>
              </w:rPr>
            </w:pPr>
            <w:r>
              <w:rPr>
                <w:sz w:val="4"/>
                <w:szCs w:val="4"/>
              </w:rPr>
            </w:r>
          </w:p>
        </w:tc>
      </w:tr>
      <w:tr>
        <w:trPr/>
        <w:tc>
          <w:tcPr>
            <w:tcW w:w="10143" w:type="dxa"/>
            <w:gridSpan w:val="6"/>
            <w:tcBorders/>
            <w:shd w:fill="auto" w:val="clear"/>
          </w:tcPr>
          <w:p>
            <w:pPr>
              <w:pStyle w:val="TableContents"/>
              <w:spacing w:before="0" w:after="0"/>
              <w:rPr>
                <w:rFonts w:ascii="Times New Roman" w:hAnsi="Times New Roman"/>
                <w:b/>
                <w:sz w:val="20"/>
              </w:rPr>
            </w:pPr>
            <w:r>
              <w:rPr>
                <w:rFonts w:ascii="Times New Roman" w:hAnsi="Times New Roman"/>
                <w:b/>
                <w:sz w:val="20"/>
              </w:rPr>
              <w:t>LETTER OF AUTHORITY AND UNDERTAKING</w:t>
            </w:r>
          </w:p>
        </w:tc>
        <w:tc>
          <w:tcPr>
            <w:tcW w:w="62" w:type="dxa"/>
            <w:tcBorders/>
            <w:shd w:fill="auto" w:val="clear"/>
          </w:tcPr>
          <w:p>
            <w:pPr>
              <w:pStyle w:val="TableContents"/>
              <w:spacing w:before="0" w:after="0"/>
              <w:rPr/>
            </w:pPr>
            <w:r>
              <w:rPr/>
              <w:t> </w:t>
            </w:r>
          </w:p>
        </w:tc>
      </w:tr>
    </w:tbl>
    <w:r>
      <w:br w:type="page"/>
    </w:r>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609"/>
        <w:gridCol w:w="353"/>
        <w:gridCol w:w="8683"/>
        <w:gridCol w:w="177"/>
        <w:gridCol w:w="60"/>
        <w:gridCol w:w="260"/>
        <w:gridCol w:w="63"/>
      </w:tblGrid>
      <w:tr>
        <w:trPr/>
        <w:tc>
          <w:tcPr>
            <w:tcW w:w="609" w:type="dxa"/>
            <w:tcBorders/>
            <w:shd w:fill="auto" w:val="clear"/>
            <w:vAlign w:val="center"/>
          </w:tcPr>
          <w:p>
            <w:pPr>
              <w:pStyle w:val="TableContents"/>
              <w:spacing w:before="0" w:after="283"/>
              <w:rPr>
                <w:sz w:val="4"/>
                <w:szCs w:val="4"/>
              </w:rPr>
            </w:pPr>
            <w:r>
              <w:rPr>
                <w:sz w:val="4"/>
                <w:szCs w:val="4"/>
              </w:rPr>
            </w:r>
          </w:p>
        </w:tc>
        <w:tc>
          <w:tcPr>
            <w:tcW w:w="353" w:type="dxa"/>
            <w:tcBorders/>
            <w:shd w:fill="auto" w:val="clear"/>
            <w:vAlign w:val="bottom"/>
          </w:tcPr>
          <w:p>
            <w:pPr>
              <w:pStyle w:val="TableContents"/>
              <w:spacing w:before="0" w:after="283"/>
              <w:rPr>
                <w:sz w:val="4"/>
                <w:szCs w:val="4"/>
              </w:rPr>
            </w:pPr>
            <w:r>
              <w:rPr>
                <w:sz w:val="4"/>
                <w:szCs w:val="4"/>
              </w:rPr>
            </w:r>
          </w:p>
        </w:tc>
        <w:tc>
          <w:tcPr>
            <w:tcW w:w="8683"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260"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5</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28</w:t>
            </w:r>
          </w:p>
        </w:tc>
        <w:tc>
          <w:tcPr>
            <w:tcW w:w="63" w:type="dxa"/>
            <w:tcBorders/>
            <w:shd w:fill="auto" w:val="clear"/>
            <w:vAlign w:val="bottom"/>
          </w:tcPr>
          <w:p>
            <w:pPr>
              <w:pStyle w:val="TableContents"/>
              <w:spacing w:before="0" w:after="283"/>
              <w:rPr/>
            </w:pPr>
            <w:r>
              <w:rPr/>
              <w:t> </w:t>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NOTICE OF PLEDGE</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sz w:val="4"/>
                <w:szCs w:val="4"/>
              </w:rPr>
            </w:pPr>
            <w:r>
              <w:rPr>
                <w:sz w:val="4"/>
                <w:szCs w:val="4"/>
              </w:rPr>
            </w:r>
          </w:p>
        </w:tc>
        <w:tc>
          <w:tcPr>
            <w:tcW w:w="260" w:type="dxa"/>
            <w:tcBorders/>
            <w:shd w:fill="auto" w:val="clear"/>
            <w:vAlign w:val="bottom"/>
          </w:tcPr>
          <w:p>
            <w:pPr>
              <w:pStyle w:val="TableContents"/>
              <w:spacing w:before="0" w:after="283"/>
              <w:rPr>
                <w:sz w:val="4"/>
                <w:szCs w:val="4"/>
              </w:rPr>
            </w:pPr>
            <w:r>
              <w:rPr>
                <w:sz w:val="4"/>
                <w:szCs w:val="4"/>
              </w:rPr>
            </w:r>
          </w:p>
        </w:tc>
        <w:tc>
          <w:tcPr>
            <w:tcW w:w="63"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6</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29</w:t>
            </w:r>
          </w:p>
        </w:tc>
        <w:tc>
          <w:tcPr>
            <w:tcW w:w="63" w:type="dxa"/>
            <w:tcBorders/>
            <w:shd w:fill="auto" w:val="clear"/>
            <w:vAlign w:val="bottom"/>
          </w:tcPr>
          <w:p>
            <w:pPr>
              <w:pStyle w:val="TableContents"/>
              <w:spacing w:before="0" w:after="283"/>
              <w:rPr/>
            </w:pPr>
            <w:r>
              <w:rPr/>
              <w:t> </w:t>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SECRETARY’S CERTIFICATE</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sz w:val="4"/>
                <w:szCs w:val="4"/>
              </w:rPr>
            </w:pPr>
            <w:r>
              <w:rPr>
                <w:sz w:val="4"/>
                <w:szCs w:val="4"/>
              </w:rPr>
            </w:r>
          </w:p>
        </w:tc>
        <w:tc>
          <w:tcPr>
            <w:tcW w:w="260" w:type="dxa"/>
            <w:tcBorders/>
            <w:shd w:fill="auto" w:val="clear"/>
            <w:vAlign w:val="bottom"/>
          </w:tcPr>
          <w:p>
            <w:pPr>
              <w:pStyle w:val="TableContents"/>
              <w:spacing w:before="0" w:after="283"/>
              <w:rPr>
                <w:sz w:val="4"/>
                <w:szCs w:val="4"/>
              </w:rPr>
            </w:pPr>
            <w:r>
              <w:rPr>
                <w:sz w:val="4"/>
                <w:szCs w:val="4"/>
              </w:rPr>
            </w:r>
          </w:p>
        </w:tc>
        <w:tc>
          <w:tcPr>
            <w:tcW w:w="63"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7</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31</w:t>
            </w:r>
          </w:p>
        </w:tc>
        <w:tc>
          <w:tcPr>
            <w:tcW w:w="63" w:type="dxa"/>
            <w:tcBorders/>
            <w:shd w:fill="auto" w:val="clear"/>
            <w:vAlign w:val="bottom"/>
          </w:tcPr>
          <w:p>
            <w:pPr>
              <w:pStyle w:val="TableContents"/>
              <w:spacing w:before="0" w:after="283"/>
              <w:rPr/>
            </w:pPr>
            <w:r>
              <w:rPr/>
              <w:t> </w:t>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BOARD RESOLUTION</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sz w:val="4"/>
                <w:szCs w:val="4"/>
              </w:rPr>
            </w:pPr>
            <w:r>
              <w:rPr>
                <w:sz w:val="4"/>
                <w:szCs w:val="4"/>
              </w:rPr>
            </w:r>
          </w:p>
        </w:tc>
        <w:tc>
          <w:tcPr>
            <w:tcW w:w="260" w:type="dxa"/>
            <w:tcBorders/>
            <w:shd w:fill="auto" w:val="clear"/>
            <w:vAlign w:val="bottom"/>
          </w:tcPr>
          <w:p>
            <w:pPr>
              <w:pStyle w:val="TableContents"/>
              <w:spacing w:before="0" w:after="283"/>
              <w:rPr>
                <w:sz w:val="4"/>
                <w:szCs w:val="4"/>
              </w:rPr>
            </w:pPr>
            <w:r>
              <w:rPr>
                <w:sz w:val="4"/>
                <w:szCs w:val="4"/>
              </w:rPr>
            </w:r>
          </w:p>
        </w:tc>
        <w:tc>
          <w:tcPr>
            <w:tcW w:w="63" w:type="dxa"/>
            <w:tcBorders/>
            <w:shd w:fill="auto" w:val="clear"/>
            <w:vAlign w:val="bottom"/>
          </w:tcPr>
          <w:p>
            <w:pPr>
              <w:pStyle w:val="TableContents"/>
              <w:spacing w:before="0" w:after="283"/>
              <w:rPr>
                <w:sz w:val="4"/>
                <w:szCs w:val="4"/>
              </w:rPr>
            </w:pPr>
            <w:r>
              <w:rPr>
                <w:sz w:val="4"/>
                <w:szCs w:val="4"/>
              </w:rPr>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8</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32</w:t>
            </w:r>
          </w:p>
        </w:tc>
        <w:tc>
          <w:tcPr>
            <w:tcW w:w="63" w:type="dxa"/>
            <w:tcBorders/>
            <w:shd w:fill="auto" w:val="clear"/>
            <w:vAlign w:val="bottom"/>
          </w:tcPr>
          <w:p>
            <w:pPr>
              <w:pStyle w:val="TableContents"/>
              <w:spacing w:before="0" w:after="283"/>
              <w:rPr/>
            </w:pPr>
            <w:r>
              <w:rPr/>
              <w:t> </w:t>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SCHEDULE 9</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260" w:type="dxa"/>
            <w:tcBorders/>
            <w:shd w:fill="auto" w:val="clear"/>
            <w:vAlign w:val="bottom"/>
          </w:tcPr>
          <w:p>
            <w:pPr>
              <w:pStyle w:val="TableContents"/>
              <w:spacing w:before="0" w:after="283"/>
              <w:jc w:val="right"/>
              <w:rPr>
                <w:b/>
              </w:rPr>
            </w:pPr>
            <w:r>
              <w:rPr>
                <w:b/>
              </w:rPr>
              <w:t>33</w:t>
            </w:r>
          </w:p>
        </w:tc>
        <w:tc>
          <w:tcPr>
            <w:tcW w:w="63" w:type="dxa"/>
            <w:tcBorders/>
            <w:shd w:fill="auto" w:val="clear"/>
            <w:vAlign w:val="bottom"/>
          </w:tcPr>
          <w:p>
            <w:pPr>
              <w:pStyle w:val="TableContents"/>
              <w:spacing w:before="0" w:after="283"/>
              <w:rPr/>
            </w:pPr>
            <w:r>
              <w:rPr/>
              <w:t> </w:t>
            </w:r>
          </w:p>
        </w:tc>
      </w:tr>
      <w:tr>
        <w:trPr>
          <w:trHeight w:val="120" w:hRule="atLeast"/>
        </w:trPr>
        <w:tc>
          <w:tcPr>
            <w:tcW w:w="9645" w:type="dxa"/>
            <w:gridSpan w:val="3"/>
            <w:tcBorders/>
            <w:shd w:fill="auto" w:val="clear"/>
            <w:vAlign w:val="center"/>
          </w:tcPr>
          <w:p>
            <w:pPr>
              <w:pStyle w:val="TableContents"/>
              <w:spacing w:before="0" w:after="283"/>
              <w:rPr>
                <w:sz w:val="4"/>
                <w:szCs w:val="4"/>
              </w:rPr>
            </w:pPr>
            <w:r>
              <w:rPr>
                <w:sz w:val="4"/>
                <w:szCs w:val="4"/>
              </w:rPr>
            </w:r>
          </w:p>
        </w:tc>
        <w:tc>
          <w:tcPr>
            <w:tcW w:w="560" w:type="dxa"/>
            <w:gridSpan w:val="4"/>
            <w:tcBorders/>
            <w:shd w:fill="auto" w:val="clear"/>
            <w:vAlign w:val="center"/>
          </w:tcPr>
          <w:p>
            <w:pPr>
              <w:pStyle w:val="TableContents"/>
              <w:spacing w:before="0" w:after="283"/>
              <w:rPr>
                <w:sz w:val="4"/>
                <w:szCs w:val="4"/>
              </w:rPr>
            </w:pPr>
            <w:r>
              <w:rPr>
                <w:sz w:val="4"/>
                <w:szCs w:val="4"/>
              </w:rPr>
            </w:r>
          </w:p>
        </w:tc>
      </w:tr>
      <w:tr>
        <w:trPr/>
        <w:tc>
          <w:tcPr>
            <w:tcW w:w="9645"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WAIVER OF PRE-EMPTION RIGHTS</w:t>
            </w:r>
          </w:p>
        </w:tc>
        <w:tc>
          <w:tcPr>
            <w:tcW w:w="177"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sz w:val="4"/>
                <w:szCs w:val="4"/>
              </w:rPr>
            </w:pPr>
            <w:r>
              <w:rPr>
                <w:sz w:val="4"/>
                <w:szCs w:val="4"/>
              </w:rPr>
            </w:r>
          </w:p>
        </w:tc>
        <w:tc>
          <w:tcPr>
            <w:tcW w:w="260" w:type="dxa"/>
            <w:tcBorders/>
            <w:shd w:fill="auto" w:val="clear"/>
            <w:vAlign w:val="bottom"/>
          </w:tcPr>
          <w:p>
            <w:pPr>
              <w:pStyle w:val="TableContents"/>
              <w:spacing w:before="0" w:after="283"/>
              <w:rPr>
                <w:sz w:val="4"/>
                <w:szCs w:val="4"/>
              </w:rPr>
            </w:pPr>
            <w:r>
              <w:rPr>
                <w:sz w:val="4"/>
                <w:szCs w:val="4"/>
              </w:rPr>
            </w:r>
          </w:p>
        </w:tc>
        <w:tc>
          <w:tcPr>
            <w:tcW w:w="63" w:type="dxa"/>
            <w:tcBorders/>
            <w:shd w:fill="auto" w:val="clear"/>
            <w:vAlign w:val="bottom"/>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DEED</w:t>
      </w:r>
      <w:r>
        <w:rPr>
          <w:rFonts w:ascii="Times New Roman" w:hAnsi="Times New Roman"/>
          <w:sz w:val="20"/>
        </w:rPr>
        <w:t xml:space="preserve"> is dated </w:t>
      </w:r>
      <w:r>
        <w:rPr>
          <w:rFonts w:ascii="Times New Roman" w:hAnsi="Times New Roman"/>
          <w:sz w:val="20"/>
          <w:u w:val="single"/>
        </w:rPr>
        <w:t>19 May</w:t>
      </w:r>
      <w:r>
        <w:rPr>
          <w:rFonts w:ascii="Times New Roman" w:hAnsi="Times New Roman"/>
          <w:sz w:val="20"/>
        </w:rPr>
        <w:t xml:space="preserve"> 2016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(1)</w:t>
            </w:r>
          </w:p>
        </w:tc>
        <w:tc>
          <w:tcPr>
            <w:tcW w:w="9391" w:type="dxa"/>
            <w:tcBorders/>
            <w:shd w:fill="auto" w:val="clear"/>
          </w:tcPr>
          <w:p>
            <w:pPr>
              <w:pStyle w:val="TableContents"/>
              <w:spacing w:before="0" w:after="283"/>
              <w:jc w:val="left"/>
              <w:rPr/>
            </w:pPr>
            <w:r>
              <w:rPr>
                <w:b/>
              </w:rPr>
              <w:t>HIGHWORLD INVESTMENTS LIMITED</w:t>
            </w:r>
            <w:r>
              <w:rPr/>
              <w:t>, a company incorporated tinder the laws of British Virgin Islands, whose registered office is at Trident Chambers, Road Town, P.O. Box 146, Tortola, British Virgin Islands (the “</w:t>
            </w:r>
            <w:r>
              <w:rPr>
                <w:b/>
              </w:rPr>
              <w:t>Pledgor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b/>
              </w:rPr>
              <w:t>JSC VTB BANK</w:t>
            </w:r>
            <w:r>
              <w:rPr/>
              <w:t>, a bank organised under the laws of the Russian Federation under primary state registration number 1027739609391, whose registered office is at Ul. Bolshaya Morskaya, 29, St. Petersburg 190000, Russian Federation (the “</w:t>
            </w:r>
            <w:r>
              <w:rPr>
                <w:b/>
              </w:rPr>
              <w:t>Pledgee</w:t>
            </w:r>
            <w:r>
              <w:rPr/>
              <w:t xml:space="preserve">”). </w:t>
            </w:r>
          </w:p>
        </w:tc>
      </w:tr>
    </w:tbl>
    <w:p>
      <w:pPr>
        <w:pStyle w:val="TextBody"/>
        <w:spacing w:before="24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(A)</w:t>
            </w:r>
          </w:p>
        </w:tc>
        <w:tc>
          <w:tcPr>
            <w:tcW w:w="9389" w:type="dxa"/>
            <w:tcBorders/>
            <w:shd w:fill="auto" w:val="clear"/>
          </w:tcPr>
          <w:p>
            <w:pPr>
              <w:pStyle w:val="TableContents"/>
              <w:spacing w:before="0" w:after="283"/>
              <w:jc w:val="left"/>
              <w:rPr/>
            </w:pPr>
            <w:r>
              <w:rPr/>
              <w:t xml:space="preserve">The Pledgor is the owner of 60% of the issued share capital of the Company (as defined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The Pledgor enters into this Deed in connection with the Facility Agreement (as defined below). </w:t>
            </w:r>
          </w:p>
        </w:tc>
      </w:tr>
    </w:tbl>
    <w:p>
      <w:pPr>
        <w:pStyle w:val="TextBody"/>
        <w:spacing w:before="24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w:t>
            </w:r>
          </w:p>
        </w:tc>
        <w:tc>
          <w:tcPr>
            <w:tcW w:w="9388" w:type="dxa"/>
            <w:tcBorders/>
            <w:shd w:fill="auto" w:val="clear"/>
          </w:tcPr>
          <w:p>
            <w:pPr>
              <w:pStyle w:val="TableContents"/>
              <w:spacing w:before="0" w:after="283"/>
              <w:jc w:val="left"/>
              <w:rPr>
                <w:b/>
              </w:rPr>
            </w:pPr>
            <w:r>
              <w:rPr>
                <w:b/>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1.1</w:t>
            </w:r>
          </w:p>
        </w:tc>
        <w:tc>
          <w:tcPr>
            <w:tcW w:w="9388" w:type="dxa"/>
            <w:tcBorders/>
            <w:shd w:fill="auto" w:val="clear"/>
          </w:tcPr>
          <w:p>
            <w:pPr>
              <w:pStyle w:val="TableContents"/>
              <w:spacing w:before="0" w:after="283"/>
              <w:jc w:val="left"/>
              <w:rPr/>
            </w:pPr>
            <w:r>
              <w:rPr>
                <w:b/>
              </w:rPr>
              <w:t>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Deed: </w:t>
      </w:r>
    </w:p>
    <w:p>
      <w:pPr>
        <w:pStyle w:val="TextBody"/>
        <w:spacing w:before="120" w:after="0"/>
        <w:rPr/>
      </w:pPr>
      <w:r>
        <w:rPr/>
        <w:t>“</w:t>
      </w:r>
      <w:r>
        <w:rPr>
          <w:rFonts w:ascii="Times New Roman" w:hAnsi="Times New Roman"/>
          <w:b/>
          <w:sz w:val="20"/>
        </w:rPr>
        <w:t>BVI</w:t>
      </w:r>
      <w:r>
        <w:rPr>
          <w:rFonts w:ascii="Times New Roman" w:hAnsi="Times New Roman"/>
          <w:sz w:val="20"/>
        </w:rPr>
        <w:t xml:space="preserve">” means the British Virgin Islands. </w:t>
      </w:r>
    </w:p>
    <w:p>
      <w:pPr>
        <w:pStyle w:val="TextBody"/>
        <w:spacing w:before="120" w:after="0"/>
        <w:rPr/>
      </w:pPr>
      <w:r>
        <w:rPr/>
        <w:t>“</w:t>
      </w:r>
      <w:r>
        <w:rPr>
          <w:rFonts w:ascii="Times New Roman" w:hAnsi="Times New Roman"/>
          <w:b/>
          <w:sz w:val="20"/>
        </w:rPr>
        <w:t>BVI</w:t>
      </w:r>
      <w:r>
        <w:rPr>
          <w:rFonts w:ascii="Times New Roman" w:hAnsi="Times New Roman"/>
          <w:sz w:val="20"/>
        </w:rPr>
        <w:t xml:space="preserve">” Insolvency Event 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5"/>
        <w:gridCol w:w="8473"/>
      </w:tblGrid>
      <w:tr>
        <w:trPr/>
        <w:tc>
          <w:tcPr>
            <w:tcW w:w="816"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it is unable to pay its debts as they fall due;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the value of its liabilities (including its contingent and prospective liabilities) exceeds the value of its assets;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it fails to comply with the requirements of a statutory demand that has not been set aside under Section 157 of the Insolvency Act, 2003 (as amended) of the BVI (the “</w:t>
            </w:r>
            <w:r>
              <w:rPr>
                <w:b/>
              </w:rPr>
              <w:t>BVI Insolvency Act</w:t>
            </w:r>
            <w:r>
              <w:rPr/>
              <w:t xml:space="preserv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execution or other process issued on a judgment, decree or order of a court in favour of a creditor of it is returned wholly or partly unsatisfied;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 compromise or arrangement has been proposed, agreed to or sanctioned under any of Sections 177, 178 and 179A of the BVI Business Companies Act, 2004 (as amended) of the British Virgin Islands (the BVI Companies Act) in respect of it, or an application has been made to, or filed with, a court for permission to convene a meeting to vote on a proposal for any such compromise or arrangement;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(f)</w:t>
            </w:r>
          </w:p>
        </w:tc>
        <w:tc>
          <w:tcPr>
            <w:tcW w:w="8472" w:type="dxa"/>
            <w:tcBorders/>
            <w:shd w:fill="auto" w:val="clear"/>
          </w:tcPr>
          <w:p>
            <w:pPr>
              <w:pStyle w:val="TableContents"/>
              <w:spacing w:before="0" w:after="283"/>
              <w:jc w:val="left"/>
              <w:rPr/>
            </w:pPr>
            <w:r>
              <w:rPr/>
              <w:t>action is being taken by the BVI Registrar of Corporate Affairs (the “</w:t>
            </w:r>
            <w:r>
              <w:rPr>
                <w:b/>
              </w:rPr>
              <w:t>BVI Registrar</w:t>
            </w:r>
            <w:r>
              <w:rPr/>
              <w:t xml:space="preserve">”) pursuant to Section 213 of the BVI Companies Act to dissolve or strike it off the BVI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(g)</w:t>
            </w:r>
          </w:p>
        </w:tc>
        <w:tc>
          <w:tcPr>
            <w:tcW w:w="8472"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 xml:space="preserve">it has taken any action or steps have been taken or legal proceedings have been started against it in any jurisdiction (except when such proceedings are dismissed by the competent court within 30 days) for (i) its winding up, liquidation, administration, dissolution, amalgamation, reconstruction, reorganisation, arrangement, adjustment, consolidation or protection or relief of creditors (whether by way of voluntary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3"/>
        <w:gridCol w:w="8471"/>
      </w:tblGrid>
      <w:tr>
        <w:trPr/>
        <w:tc>
          <w:tcPr>
            <w:tcW w:w="1733" w:type="dxa"/>
            <w:tcBorders/>
            <w:shd w:fill="auto" w:val="clear"/>
            <w:vAlign w:val="center"/>
          </w:tcPr>
          <w:p>
            <w:pPr>
              <w:pStyle w:val="TableContents"/>
              <w:spacing w:before="0" w:after="283"/>
              <w:rPr/>
            </w:pPr>
            <w:r>
              <w:rPr/>
              <w:t> </w:t>
            </w:r>
          </w:p>
        </w:tc>
        <w:tc>
          <w:tcPr>
            <w:tcW w:w="8471" w:type="dxa"/>
            <w:tcBorders/>
            <w:shd w:fill="auto" w:val="clear"/>
          </w:tcPr>
          <w:p>
            <w:pPr>
              <w:pStyle w:val="TableContents"/>
              <w:spacing w:before="0" w:after="283"/>
              <w:jc w:val="left"/>
              <w:rPr/>
            </w:pPr>
            <w:r>
              <w:rPr/>
              <w:t xml:space="preserve">arrangement, scheme of arrangement or otherwise), or (ii) the enforcement of any security interest all or substantially all of its assets; or (iii) the appointment of a liquidator, receiver, controller, inspector, manager, supervisor, administrative receiver, administrator, trustee or similar officer or official of it or of any or all of its assets. </w:t>
            </w:r>
          </w:p>
        </w:tc>
      </w:tr>
    </w:tbl>
    <w:p>
      <w:pPr>
        <w:pStyle w:val="TextBody"/>
        <w:spacing w:before="120" w:after="0"/>
        <w:rPr/>
      </w:pPr>
      <w:r>
        <w:rPr/>
        <w:t>“</w:t>
      </w:r>
      <w:r>
        <w:rPr>
          <w:rFonts w:ascii="Times New Roman" w:hAnsi="Times New Roman"/>
          <w:b/>
          <w:sz w:val="20"/>
        </w:rPr>
        <w:t>Companies Law</w:t>
      </w:r>
      <w:r>
        <w:rPr>
          <w:rFonts w:ascii="Times New Roman" w:hAnsi="Times New Roman"/>
          <w:sz w:val="20"/>
        </w:rPr>
        <w:t xml:space="preserve">” means Cyprus Companies Law, Cap. 113.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ZEMENIK TRADING LIMITED, a company incorporated in Cyprus with registration number HE 332806, whose registered office is at 42 Dositheou, Strovolos 2028, Nicosia, Cyprus. </w:t>
      </w:r>
    </w:p>
    <w:p>
      <w:pPr>
        <w:pStyle w:val="TextBody"/>
        <w:spacing w:before="120" w:after="0"/>
        <w:rPr/>
      </w:pPr>
      <w:r>
        <w:rPr/>
        <w:t>“</w:t>
      </w:r>
      <w:r>
        <w:rPr>
          <w:rFonts w:ascii="Times New Roman" w:hAnsi="Times New Roman"/>
          <w:b/>
          <w:sz w:val="20"/>
        </w:rPr>
        <w:t>Event of Default</w:t>
      </w:r>
      <w:r>
        <w:rPr>
          <w:rFonts w:ascii="Times New Roman" w:hAnsi="Times New Roman"/>
          <w:sz w:val="20"/>
        </w:rPr>
        <w:t xml:space="preserve">” means any of the events or circumstances specified as such in clause 19 of the Facility Agreement, and/or any BVI Insolvency Event. </w:t>
      </w:r>
    </w:p>
    <w:p>
      <w:pPr>
        <w:pStyle w:val="TextBody"/>
        <w:spacing w:before="120" w:after="0"/>
        <w:rPr/>
      </w:pPr>
      <w:r>
        <w:rPr/>
        <w:t>“</w:t>
      </w:r>
      <w:r>
        <w:rPr>
          <w:rFonts w:ascii="Times New Roman" w:hAnsi="Times New Roman"/>
          <w:b/>
          <w:sz w:val="20"/>
        </w:rPr>
        <w:t>Facility Agreement</w:t>
      </w:r>
      <w:r>
        <w:rPr>
          <w:rFonts w:ascii="Times New Roman" w:hAnsi="Times New Roman"/>
          <w:sz w:val="20"/>
        </w:rPr>
        <w:t xml:space="preserve">” means the facility agreement dated on or about the date of this Deed between LLC Zemenik as Borrower and the Pledgee as Agent and Original Lender (as the same may be amended, supplemented or novated from time to time). </w:t>
      </w:r>
    </w:p>
    <w:p>
      <w:pPr>
        <w:pStyle w:val="TextBody"/>
        <w:spacing w:before="120" w:after="0"/>
        <w:rPr/>
      </w:pPr>
      <w:r>
        <w:rPr/>
        <w:t>“</w:t>
      </w:r>
      <w:r>
        <w:rPr>
          <w:rFonts w:ascii="Times New Roman" w:hAnsi="Times New Roman"/>
          <w:b/>
          <w:sz w:val="20"/>
        </w:rPr>
        <w:t>Finance Documents</w:t>
      </w:r>
      <w:r>
        <w:rPr>
          <w:rFonts w:ascii="Times New Roman" w:hAnsi="Times New Roman"/>
          <w:sz w:val="20"/>
        </w:rPr>
        <w:t xml:space="preserve">” means the Facility Agreement and any other “Finance Document” </w:t>
      </w:r>
      <w:r>
        <w:rPr>
          <w:rFonts w:ascii="Times New Roman" w:hAnsi="Times New Roman"/>
          <w:sz w:val="20"/>
        </w:rPr>
        <w:drawing>
          <wp:inline distT="0" distB="0" distL="0" distR="0">
            <wp:extent cx="718820" cy="359410"/>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link="rId58"/>
                    <a:stretch>
                      <a:fillRect/>
                    </a:stretch>
                  </pic:blipFill>
                  <pic:spPr bwMode="auto">
                    <a:xfrm>
                      <a:off x="0" y="0"/>
                      <a:ext cx="718820" cy="359410"/>
                    </a:xfrm>
                    <a:prstGeom prst="rect">
                      <a:avLst/>
                    </a:prstGeom>
                    <a:noFill/>
                    <a:ln w="9525">
                      <a:noFill/>
                      <a:miter lim="800000"/>
                      <a:headEnd/>
                      <a:tailEnd/>
                    </a:ln>
                  </pic:spPr>
                </pic:pic>
              </a:graphicData>
            </a:graphic>
          </wp:inline>
        </w:drawing>
      </w:r>
      <w:r>
        <w:rPr>
          <w:rFonts w:ascii="Times New Roman" w:hAnsi="Times New Roman"/>
          <w:sz w:val="20"/>
        </w:rPr>
        <w:t xml:space="preserve"> defined as such in the Facility Agreement. </w:t>
      </w:r>
    </w:p>
    <w:p>
      <w:pPr>
        <w:pStyle w:val="TextBody"/>
        <w:spacing w:before="120" w:after="0"/>
        <w:rPr/>
      </w:pPr>
      <w:r>
        <w:rPr/>
        <w:t>“</w:t>
      </w:r>
      <w:r>
        <w:rPr>
          <w:rFonts w:ascii="Times New Roman" w:hAnsi="Times New Roman"/>
          <w:b/>
          <w:sz w:val="20"/>
        </w:rPr>
        <w:t>Independent Appraiser</w:t>
      </w:r>
      <w:r>
        <w:rPr>
          <w:rFonts w:ascii="Times New Roman" w:hAnsi="Times New Roman"/>
          <w:sz w:val="20"/>
        </w:rPr>
        <w:t xml:space="preserve">” means any of Delloite CIS Holdings Limited, PricewaterhouseCoopers and Ernst &amp; Young Global Limited, or any of their affiliates, to be appointed by the Pledgee. </w:t>
      </w:r>
    </w:p>
    <w:p>
      <w:pPr>
        <w:pStyle w:val="TextBody"/>
        <w:spacing w:before="120" w:after="0"/>
        <w:rPr/>
      </w:pPr>
      <w:r>
        <w:rPr/>
        <w:t>“</w:t>
      </w:r>
      <w:r>
        <w:rPr>
          <w:rFonts w:ascii="Times New Roman" w:hAnsi="Times New Roman"/>
          <w:b/>
          <w:sz w:val="20"/>
        </w:rPr>
        <w:t>LLC ZEMENIK</w:t>
      </w:r>
      <w:r>
        <w:rPr>
          <w:rFonts w:ascii="Times New Roman" w:hAnsi="Times New Roman"/>
          <w:sz w:val="20"/>
        </w:rPr>
        <w:t xml:space="preserve">” means LLC Zemenik, a company incorporated in the Russian Federation with registration number 1167746153860, whose registered address is at office 54, Akademika Iljushina Street 4, block 1, Moscow, Russian Federation. </w:t>
      </w:r>
    </w:p>
    <w:p>
      <w:pPr>
        <w:pStyle w:val="TextBody"/>
        <w:spacing w:before="120" w:after="0"/>
        <w:rPr/>
      </w:pPr>
      <w:r>
        <w:rPr/>
        <w:t>“</w:t>
      </w:r>
      <w:r>
        <w:rPr>
          <w:rFonts w:ascii="Times New Roman" w:hAnsi="Times New Roman"/>
          <w:b/>
          <w:sz w:val="20"/>
        </w:rPr>
        <w:t>Party</w:t>
      </w:r>
      <w:r>
        <w:rPr>
          <w:rFonts w:ascii="Times New Roman" w:hAnsi="Times New Roman"/>
          <w:sz w:val="20"/>
        </w:rPr>
        <w:t xml:space="preserve">” means a party to this Deed. </w:t>
      </w:r>
    </w:p>
    <w:p>
      <w:pPr>
        <w:pStyle w:val="TextBody"/>
        <w:spacing w:before="120" w:after="0"/>
        <w:rPr/>
      </w:pPr>
      <w:r>
        <w:rPr/>
        <w:t>“</w:t>
      </w:r>
      <w:r>
        <w:rPr>
          <w:rFonts w:ascii="Times New Roman" w:hAnsi="Times New Roman"/>
          <w:b/>
          <w:sz w:val="20"/>
        </w:rPr>
        <w:t>Receiver</w:t>
      </w:r>
      <w:r>
        <w:rPr>
          <w:rFonts w:ascii="Times New Roman" w:hAnsi="Times New Roman"/>
          <w:sz w:val="20"/>
        </w:rPr>
        <w:t xml:space="preserve">” means a receiver or a receiver and manager, in each case, appointed under this Deed. </w:t>
      </w:r>
    </w:p>
    <w:p>
      <w:pPr>
        <w:pStyle w:val="TextBody"/>
        <w:spacing w:before="120" w:after="0"/>
        <w:rPr/>
      </w:pPr>
      <w:r>
        <w:rPr/>
        <w:t>“</w:t>
      </w:r>
      <w:r>
        <w:rPr>
          <w:rFonts w:ascii="Times New Roman" w:hAnsi="Times New Roman"/>
          <w:b/>
          <w:sz w:val="20"/>
        </w:rPr>
        <w:t>Related Rights</w:t>
      </w:r>
      <w:r>
        <w:rPr>
          <w:rFonts w:ascii="Times New Roman" w:hAnsi="Times New Roman"/>
          <w:sz w:val="20"/>
        </w:rPr>
        <w:t xml:space="preserve">” means, in relation to any Shares, all dividends and other distributions paid or payable after the date hereof on all or any of such Shares and all stocks, shares, securities (and the dividends or interest thereon), rights, money or property accruing or offered at any time by way of issue, redemption, bonus, preference, option rights or otherwise to or in respect of any of such Shares or in substitution or exchange for any such Shares. </w:t>
      </w:r>
    </w:p>
    <w:p>
      <w:pPr>
        <w:pStyle w:val="TextBody"/>
        <w:spacing w:before="120" w:after="0"/>
        <w:rPr/>
      </w:pPr>
      <w:r>
        <w:rPr/>
        <w:t>“</w:t>
      </w:r>
      <w:r>
        <w:rPr>
          <w:rFonts w:ascii="Times New Roman" w:hAnsi="Times New Roman"/>
          <w:b/>
          <w:sz w:val="20"/>
        </w:rPr>
        <w:t>Secured Liabilities</w:t>
      </w:r>
      <w:r>
        <w:rPr>
          <w:rFonts w:ascii="Times New Roman" w:hAnsi="Times New Roman"/>
          <w:sz w:val="20"/>
        </w:rPr>
        <w:t xml:space="preserve">” means all present and future debts, obligations and liabilities (whether actual or contingent, and whether owed as principal or surety, jointly or severally or in any other capacity whatsoever) of the Pledgor to the Pledgee under this Deed and of the Borrower to the Pledgee under the Facility Agreement, except for any obligation which, if it were so included, would result in this Deed contravening Section 53 of the Companies Law. </w:t>
      </w:r>
    </w:p>
    <w:p>
      <w:pPr>
        <w:pStyle w:val="TextBody"/>
        <w:spacing w:before="120" w:after="0"/>
        <w:rPr/>
      </w:pPr>
      <w:r>
        <w:rPr/>
        <w:t>“</w:t>
      </w:r>
      <w:r>
        <w:rPr>
          <w:rFonts w:ascii="Times New Roman" w:hAnsi="Times New Roman"/>
          <w:b/>
          <w:sz w:val="20"/>
        </w:rPr>
        <w:t>Security Assets</w:t>
      </w:r>
      <w:r>
        <w:rPr>
          <w:rFonts w:ascii="Times New Roman" w:hAnsi="Times New Roman"/>
          <w:sz w:val="20"/>
        </w:rPr>
        <w:t xml:space="preserve">” means the Shares, the Share Certificates and the Related Rights. </w:t>
      </w:r>
    </w:p>
    <w:p>
      <w:pPr>
        <w:pStyle w:val="TextBody"/>
        <w:spacing w:before="120" w:after="0"/>
        <w:rPr/>
      </w:pPr>
      <w:r>
        <w:rPr/>
        <w:t>“</w:t>
      </w:r>
      <w:r>
        <w:rPr>
          <w:rFonts w:ascii="Times New Roman" w:hAnsi="Times New Roman"/>
          <w:b/>
          <w:sz w:val="20"/>
        </w:rPr>
        <w:t>Security Document</w:t>
      </w:r>
      <w:r>
        <w:rPr>
          <w:rFonts w:ascii="Times New Roman" w:hAnsi="Times New Roman"/>
          <w:sz w:val="20"/>
        </w:rPr>
        <w:t xml:space="preserve">” means this Agreement, the Facility Agreement, any other Finance Document or any other document designated as such by the Pledgee and the Borrower in writing. </w:t>
      </w:r>
    </w:p>
    <w:p>
      <w:pPr>
        <w:pStyle w:val="TextBody"/>
        <w:spacing w:before="120" w:after="0"/>
        <w:rPr/>
      </w:pPr>
      <w:r>
        <w:rPr/>
        <w:t>“</w:t>
      </w:r>
      <w:r>
        <w:rPr>
          <w:rFonts w:ascii="Times New Roman" w:hAnsi="Times New Roman"/>
          <w:b/>
          <w:sz w:val="20"/>
        </w:rPr>
        <w:t>Security Interest</w:t>
      </w:r>
      <w:r>
        <w:rPr>
          <w:rFonts w:ascii="Times New Roman" w:hAnsi="Times New Roman"/>
          <w:sz w:val="20"/>
        </w:rPr>
        <w:t xml:space="preserve">” means any mortgage, pledge, lien, charge, assignment, hypothecation or security interest or any other agreement or arrangement having a similar effect. </w:t>
      </w:r>
      <w:r>
        <w:br w:type="page"/>
      </w:r>
    </w:p>
    <w:p>
      <w:pPr>
        <w:pStyle w:val="HorizontalLine"/>
        <w:pBdr>
          <w:bottom w:val="double" w:sz="6" w:space="0" w:color="808080"/>
        </w:pBdr>
        <w:rPr/>
      </w:pPr>
      <w:r>
        <w:rPr/>
      </w:r>
    </w:p>
    <w:p>
      <w:pPr>
        <w:pStyle w:val="TextBody"/>
        <w:spacing w:before="0" w:after="0"/>
        <w:rPr/>
      </w:pPr>
      <w:r>
        <w:rPr/>
        <w:t>“</w:t>
      </w:r>
      <w:r>
        <w:rPr>
          <w:rFonts w:ascii="Times New Roman" w:hAnsi="Times New Roman"/>
          <w:b/>
          <w:sz w:val="20"/>
        </w:rPr>
        <w:t>Security Period</w:t>
      </w:r>
      <w:r>
        <w:rPr>
          <w:rFonts w:ascii="Times New Roman" w:hAnsi="Times New Roman"/>
          <w:sz w:val="20"/>
        </w:rPr>
        <w:t xml:space="preserve">” means the period beginning on the date of this Deed and ending on the date on which all the Secured Liabilities have been unconditionally and irrevocably discharged in full. </w:t>
      </w:r>
    </w:p>
    <w:p>
      <w:pPr>
        <w:pStyle w:val="TextBody"/>
        <w:spacing w:before="120" w:after="0"/>
        <w:rPr/>
      </w:pPr>
      <w:r>
        <w:rPr/>
        <w:t>“</w:t>
      </w:r>
      <w:r>
        <w:rPr>
          <w:rFonts w:ascii="Times New Roman" w:hAnsi="Times New Roman"/>
          <w:b/>
          <w:sz w:val="20"/>
        </w:rPr>
        <w:t>Share Certificates</w:t>
      </w:r>
      <w:r>
        <w:rPr>
          <w:rFonts w:ascii="Times New Roman" w:hAnsi="Times New Roman"/>
          <w:sz w:val="20"/>
        </w:rPr>
        <w:t xml:space="preserve">” means all the share certificates representing the Shares and any substitute share certificate or share certificates representing the Shares. </w:t>
      </w:r>
    </w:p>
    <w:p>
      <w:pPr>
        <w:pStyle w:val="TextBody"/>
        <w:spacing w:before="120" w:after="0"/>
        <w:rPr/>
      </w:pPr>
      <w:r>
        <w:rPr/>
        <w:t>“</w:t>
      </w:r>
      <w:r>
        <w:rPr>
          <w:rFonts w:ascii="Times New Roman" w:hAnsi="Times New Roman"/>
          <w:b/>
          <w:sz w:val="20"/>
        </w:rPr>
        <w:t>Shares</w:t>
      </w:r>
      <w:r>
        <w:rPr>
          <w:rFonts w:ascii="Times New Roman" w:hAnsi="Times New Roman"/>
          <w:sz w:val="20"/>
        </w:rPr>
        <w:t>” means 60,000 ordinary shares of 1.00 (one) EUR each, held by the Pledgor in the Company (“</w:t>
      </w:r>
      <w:r>
        <w:rPr>
          <w:rFonts w:ascii="Times New Roman" w:hAnsi="Times New Roman"/>
          <w:b/>
          <w:sz w:val="20"/>
        </w:rPr>
        <w:t>Security Assets</w:t>
      </w:r>
      <w:r>
        <w:rPr>
          <w:rFonts w:ascii="Times New Roman" w:hAnsi="Times New Roman"/>
          <w:sz w:val="20"/>
        </w:rPr>
        <w:t xml:space="preserve">”), which in aggregate represent 60% of the issued shares in the Company, and any further shares in the capital of the Company now or at any time hereafter legally and/or beneficially owned by the Pledgor or in which the Pledgor has an interest.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Construction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this Deed and any certificate or other document delivered pursuant hereto, unless otherwise expressly provided herein or therein or unless the context requires another meaning, capitalized terms used herein shall have the meanings specified in the Facility Agreement, by reference or otherwise (and each such term is thereby incorporated by reference herein for such use). To the extent such terms are defined by reference to another agreement or document, such terms shall continue to have their original definitions despite any termination, expiration or amendment of such agreement or document, unless the parties agree otherwise in writing.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In this Deed, unless the contrary intention appears, a reference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8"/>
        <w:gridCol w:w="7551"/>
      </w:tblGrid>
      <w:tr>
        <w:trPr/>
        <w:tc>
          <w:tcPr>
            <w:tcW w:w="173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1" w:type="dxa"/>
            <w:tcBorders/>
            <w:shd w:fill="auto" w:val="clear"/>
          </w:tcPr>
          <w:p>
            <w:pPr>
              <w:pStyle w:val="TableContents"/>
              <w:spacing w:before="0" w:after="283"/>
              <w:jc w:val="left"/>
              <w:rPr/>
            </w:pPr>
            <w:r>
              <w:rPr/>
              <w:t>an “</w:t>
            </w:r>
            <w:r>
              <w:rPr>
                <w:b/>
              </w:rPr>
              <w:t>amendment</w:t>
            </w:r>
            <w:r>
              <w:rPr/>
              <w:t>” includes a supplement, novation, restatement or re-enactment and “</w:t>
            </w:r>
            <w:r>
              <w:rPr>
                <w:b/>
              </w:rPr>
              <w:t>amended</w:t>
            </w:r>
            <w:r>
              <w:rPr/>
              <w:t xml:space="preserve">” will be construed accordingly;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w:t>
            </w:r>
            <w:r>
              <w:rPr>
                <w:b/>
              </w:rPr>
              <w:t>assets</w:t>
            </w:r>
            <w:r>
              <w:rPr/>
              <w:t xml:space="preserve">” includes present and future properties, revenues and rights of every description;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an “</w:t>
            </w:r>
            <w:r>
              <w:rPr>
                <w:b/>
              </w:rPr>
              <w:t>authorisation</w:t>
            </w:r>
            <w:r>
              <w:rPr/>
              <w:t xml:space="preserve">” includes an authorisation, consent, approval, resolution, licence, exemption, filing, registration or notarisation;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(iv)</w:t>
            </w:r>
          </w:p>
        </w:tc>
        <w:tc>
          <w:tcPr>
            <w:tcW w:w="7555" w:type="dxa"/>
            <w:tcBorders/>
            <w:shd w:fill="auto" w:val="clear"/>
          </w:tcPr>
          <w:p>
            <w:pPr>
              <w:pStyle w:val="TableContents"/>
              <w:spacing w:before="0" w:after="283"/>
              <w:jc w:val="left"/>
              <w:rPr/>
            </w:pPr>
            <w:r>
              <w:rPr/>
              <w:t>“</w:t>
            </w:r>
            <w:r>
              <w:rPr>
                <w:b/>
              </w:rPr>
              <w:t>disposal</w:t>
            </w:r>
            <w:r>
              <w:rPr/>
              <w:t>” means a sale, transfer, grant, lease or other disposal, whether voluntary or involuntary, and “</w:t>
            </w:r>
            <w:r>
              <w:rPr>
                <w:b/>
              </w:rPr>
              <w:t>dispose</w:t>
            </w:r>
            <w:r>
              <w:rPr/>
              <w:t xml:space="preserve">” will be construed accordingly;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(v)</w:t>
            </w:r>
          </w:p>
        </w:tc>
        <w:tc>
          <w:tcPr>
            <w:tcW w:w="7554" w:type="dxa"/>
            <w:tcBorders/>
            <w:shd w:fill="auto" w:val="clear"/>
          </w:tcPr>
          <w:p>
            <w:pPr>
              <w:pStyle w:val="TableContents"/>
              <w:spacing w:before="0" w:after="283"/>
              <w:jc w:val="left"/>
              <w:rPr/>
            </w:pPr>
            <w:r>
              <w:rPr/>
              <w:t>a “</w:t>
            </w:r>
            <w:r>
              <w:rPr>
                <w:b/>
              </w:rPr>
              <w:t>person</w:t>
            </w:r>
            <w:r>
              <w:rPr/>
              <w:t xml:space="preserve">” includes any individual, company, corporation, unincorporated association or body (including a partnership, trust, joint venture or consortium), government, state, agency, organisation or other entity whether or not having separate legal personality;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w:t>
            </w:r>
          </w:p>
        </w:tc>
        <w:tc>
          <w:tcPr>
            <w:tcW w:w="7554" w:type="dxa"/>
            <w:tcBorders/>
            <w:shd w:fill="auto" w:val="clear"/>
          </w:tcPr>
          <w:p>
            <w:pPr>
              <w:pStyle w:val="TableContents"/>
              <w:spacing w:before="0" w:after="283"/>
              <w:jc w:val="left"/>
              <w:rPr/>
            </w:pPr>
            <w:r>
              <w:rPr/>
              <w:t xml:space="preserve">a provision of law is a reference to that provision as extended, applied, amended or re-enacted and includes any subordinate legislation;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(vii)</w:t>
            </w:r>
          </w:p>
        </w:tc>
        <w:tc>
          <w:tcPr>
            <w:tcW w:w="7554" w:type="dxa"/>
            <w:tcBorders/>
            <w:shd w:fill="auto" w:val="clear"/>
          </w:tcPr>
          <w:p>
            <w:pPr>
              <w:pStyle w:val="TableContents"/>
              <w:spacing w:before="0" w:after="283"/>
              <w:jc w:val="left"/>
              <w:rPr/>
            </w:pPr>
            <w:r>
              <w:rPr/>
              <w:t xml:space="preserve">a Clause, a Subclause or a Schedule is a reference to a clause or subclause of, or a schedule to, this Agreement; and (viii) a Party or any other person includes its successors in title, permitted assigns and permitted transferees.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Where the context so admits, the singular includes die plural and vice versa.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3" w:type="dxa"/>
            <w:tcBorders/>
            <w:shd w:fill="auto" w:val="clear"/>
          </w:tcPr>
          <w:p>
            <w:pPr>
              <w:pStyle w:val="TableContents"/>
              <w:spacing w:before="0" w:after="283"/>
              <w:jc w:val="left"/>
              <w:rPr/>
            </w:pPr>
            <w:r>
              <w:rPr/>
              <w:t xml:space="preserve">A reference to a Security Document or other document or security includes (without prejudice to any prohibition on amendments) any amendment however fundamental to that Security Document or other document or security, including any change in the purpose of, any extension or any increase in the amount of a facility or any additional facility.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(e)</w:t>
            </w:r>
          </w:p>
        </w:tc>
        <w:tc>
          <w:tcPr>
            <w:tcW w:w="8472" w:type="dxa"/>
            <w:tcBorders/>
            <w:shd w:fill="auto" w:val="clear"/>
          </w:tcPr>
          <w:p>
            <w:pPr>
              <w:pStyle w:val="TableContents"/>
              <w:spacing w:before="0" w:after="283"/>
              <w:jc w:val="left"/>
              <w:rPr/>
            </w:pPr>
            <w:r>
              <w:rPr/>
              <w:t xml:space="preserve">Any covenant of the Pledgor under this Deed (other than a payment obligation) remains in force during the Security Period.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4" w:type="dxa"/>
            <w:tcBorders/>
            <w:shd w:fill="auto" w:val="clear"/>
          </w:tcPr>
          <w:p>
            <w:pPr>
              <w:pStyle w:val="TableContents"/>
              <w:spacing w:before="0" w:after="283"/>
              <w:jc w:val="left"/>
              <w:rPr/>
            </w:pPr>
            <w:r>
              <w:rPr/>
              <w:t xml:space="preserve">If the Pledgee reasonably considers that an amount paid to it under this Deed is capable of being avoided or otherwise set aside on the liquidation or administration of the payer or otherwise, then that amount will not be considered to have been irrevocably paid for the purposes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t xml:space="preserve">Unless the context otherwise requires, a reference to a Security Asset includes the proceeds of sale of that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2.</w:t>
            </w:r>
          </w:p>
        </w:tc>
        <w:tc>
          <w:tcPr>
            <w:tcW w:w="9392" w:type="dxa"/>
            <w:tcBorders/>
            <w:shd w:fill="auto" w:val="clear"/>
          </w:tcPr>
          <w:p>
            <w:pPr>
              <w:pStyle w:val="TableContents"/>
              <w:spacing w:before="0" w:after="283"/>
              <w:jc w:val="left"/>
              <w:rPr>
                <w:b/>
              </w:rPr>
            </w:pPr>
            <w:r>
              <w:rPr>
                <w:b/>
              </w:rPr>
              <w:t xml:space="preserve">CREATION OF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the security created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5"/>
        <w:gridCol w:w="7557"/>
      </w:tblGrid>
      <w:tr>
        <w:trPr/>
        <w:tc>
          <w:tcPr>
            <w:tcW w:w="1732"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is created in favour of the Pledgee;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is continuing security for the payment, discharge and performance of all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2.2</w:t>
            </w:r>
          </w:p>
        </w:tc>
        <w:tc>
          <w:tcPr>
            <w:tcW w:w="9389" w:type="dxa"/>
            <w:tcBorders/>
            <w:shd w:fill="auto" w:val="clear"/>
          </w:tcPr>
          <w:p>
            <w:pPr>
              <w:pStyle w:val="TableContents"/>
              <w:spacing w:before="0" w:after="283"/>
              <w:jc w:val="left"/>
              <w:rPr/>
            </w:pPr>
            <w:r>
              <w:rPr>
                <w:b/>
              </w:rPr>
              <w:t>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As collateral security for the due and punctual payment to the Pledgee of the Secured Liabilities and the performance and observance of and compliance with the other covenants, terms and conditions of the Security Document,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as a registered holder of the Shares, pledges to the Pledgee the Share Certificates;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mortgages (by way of equitable mortgage), charges, transfers, assigns, deposits and sets over to the Pledgee all the Shares and all Related Rights.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b/>
              </w:rPr>
            </w:pPr>
            <w:r>
              <w:rPr>
                <w:b/>
              </w:rPr>
              <w:t xml:space="preserve">REPRESENTATIONS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w:t>
            </w:r>
          </w:p>
        </w:tc>
        <w:tc>
          <w:tcPr>
            <w:tcW w:w="9389" w:type="dxa"/>
            <w:tcBorders/>
            <w:shd w:fill="auto" w:val="clear"/>
          </w:tcPr>
          <w:p>
            <w:pPr>
              <w:pStyle w:val="TableContents"/>
              <w:spacing w:before="0" w:after="283"/>
              <w:jc w:val="left"/>
              <w:rPr/>
            </w:pPr>
            <w:r>
              <w:rPr>
                <w:b/>
              </w:rPr>
              <w:t>Representations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makes the representations and warranties set out in this Clause to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w:t>
            </w:r>
          </w:p>
        </w:tc>
        <w:tc>
          <w:tcPr>
            <w:tcW w:w="9389" w:type="dxa"/>
            <w:tcBorders/>
            <w:shd w:fill="auto" w:val="clear"/>
          </w:tcPr>
          <w:p>
            <w:pPr>
              <w:pStyle w:val="TableContents"/>
              <w:spacing w:before="0" w:after="283"/>
              <w:jc w:val="left"/>
              <w:rPr/>
            </w:pPr>
            <w:r>
              <w:rPr>
                <w:b/>
              </w:rPr>
              <w:t>Status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 xml:space="preserve">It is a company, duly incorporated, validly existing and in good standing under the laws of the jurisdiction of its incorporation.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It is not in liquidation and no winding-up, liquidation or similar proceedings are current, pending or threatened against 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w:t>
            </w:r>
          </w:p>
        </w:tc>
        <w:tc>
          <w:tcPr>
            <w:tcW w:w="9389" w:type="dxa"/>
            <w:tcBorders/>
            <w:shd w:fill="auto" w:val="clear"/>
          </w:tcPr>
          <w:p>
            <w:pPr>
              <w:pStyle w:val="TableContents"/>
              <w:spacing w:before="0" w:after="283"/>
              <w:jc w:val="left"/>
              <w:rPr/>
            </w:pPr>
            <w:r>
              <w:rPr>
                <w:b/>
              </w:rPr>
              <w:t>Powers and authorities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It has the power to enter into and perform, and has taken all necessary actions to authorise the entry into and performance of, this Deed and the transactions contemplated by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3.4</w:t>
            </w:r>
          </w:p>
        </w:tc>
        <w:tc>
          <w:tcPr>
            <w:tcW w:w="9390" w:type="dxa"/>
            <w:tcBorders/>
            <w:shd w:fill="auto" w:val="clear"/>
          </w:tcPr>
          <w:p>
            <w:pPr>
              <w:pStyle w:val="TableContents"/>
              <w:spacing w:before="0" w:after="283"/>
              <w:jc w:val="left"/>
              <w:rPr/>
            </w:pPr>
            <w:r>
              <w:rPr>
                <w:b/>
              </w:rPr>
              <w:t>Legal validity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constitutes its legally valid, binding and enforceable obligation.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3.5</w:t>
            </w:r>
          </w:p>
        </w:tc>
        <w:tc>
          <w:tcPr>
            <w:tcW w:w="9389" w:type="dxa"/>
            <w:tcBorders/>
            <w:shd w:fill="auto" w:val="clear"/>
          </w:tcPr>
          <w:p>
            <w:pPr>
              <w:pStyle w:val="TableContents"/>
              <w:spacing w:before="0" w:after="283"/>
              <w:jc w:val="left"/>
              <w:rPr/>
            </w:pPr>
            <w:r>
              <w:rPr>
                <w:b/>
              </w:rPr>
              <w:t>Non-conflict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entry into and performance by it of, and the transactions contemplated by, this Deed, or the exercise by the Pledgee of its rights under this Deed, do not and will not conflict with: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law or regulation applicable to it;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its constitutional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any document which is binding upon it or any of its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3.6</w:t>
            </w:r>
          </w:p>
        </w:tc>
        <w:tc>
          <w:tcPr>
            <w:tcW w:w="9389" w:type="dxa"/>
            <w:tcBorders/>
            <w:shd w:fill="auto" w:val="clear"/>
          </w:tcPr>
          <w:p>
            <w:pPr>
              <w:pStyle w:val="TableContents"/>
              <w:spacing w:before="0" w:after="283"/>
              <w:jc w:val="left"/>
              <w:rPr/>
            </w:pPr>
            <w:r>
              <w:rPr>
                <w:b/>
              </w:rPr>
              <w:t>Authorisations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All authorisations required by it in connection with the entry into, performance, validity and enforceability of, and the transactions contemplated by, this Deed have been obtained or effected (as appropriate) and are in full force and effect.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3.7</w:t>
            </w:r>
          </w:p>
        </w:tc>
        <w:tc>
          <w:tcPr>
            <w:tcW w:w="9389" w:type="dxa"/>
            <w:tcBorders/>
            <w:shd w:fill="auto" w:val="clear"/>
          </w:tcPr>
          <w:p>
            <w:pPr>
              <w:pStyle w:val="TableContents"/>
              <w:spacing w:before="0" w:after="283"/>
              <w:jc w:val="left"/>
              <w:rPr/>
            </w:pPr>
            <w:r>
              <w:rPr>
                <w:b/>
              </w:rPr>
              <w:t>Nature of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Deed creates those Security Interests it purports to create and is not liable to be avoided or otherwise set aside on the liquidation of the Pledgor or otherwise.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3.8</w:t>
            </w:r>
          </w:p>
        </w:tc>
        <w:tc>
          <w:tcPr>
            <w:tcW w:w="9390" w:type="dxa"/>
            <w:tcBorders/>
            <w:shd w:fill="auto" w:val="clear"/>
          </w:tcPr>
          <w:p>
            <w:pPr>
              <w:pStyle w:val="TableContents"/>
              <w:spacing w:before="0" w:after="283"/>
              <w:jc w:val="left"/>
              <w:rPr/>
            </w:pPr>
            <w:r>
              <w:rPr>
                <w:b/>
              </w:rPr>
              <w:t>Shares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The Shares have been duly authorised, validly issued and are fully paid;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Shares and the Related Rights are free and clear of any Security Interests and are not subject to any charging pursuant to the Charging Order Law 1992 (Law 31 (I)/92);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the Shares represent 60% of the issued share capital of the Company and other than the remaining 40%, there are no other equity or ownership interests in the Company, options or rights to acquire or subscribe for any such interests or securities convertible into or exchangeable or exercisable for any such interests;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(d)</w:t>
            </w:r>
          </w:p>
        </w:tc>
        <w:tc>
          <w:tcPr>
            <w:tcW w:w="8475" w:type="dxa"/>
            <w:tcBorders/>
            <w:shd w:fill="auto" w:val="clear"/>
          </w:tcPr>
          <w:p>
            <w:pPr>
              <w:pStyle w:val="TableContents"/>
              <w:spacing w:before="0" w:after="283"/>
              <w:jc w:val="left"/>
              <w:rPr/>
            </w:pPr>
            <w:r>
              <w:rPr/>
              <w:t xml:space="preserve">no litigation, arbitration or administrative proceedings are current or pending or, to its knowledge, threatened, involving or affecting the Security Assets, and none of the Security Assets are subject to any order, writ, injunction, execution or attachment;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(e)</w:t>
            </w:r>
          </w:p>
        </w:tc>
        <w:tc>
          <w:tcPr>
            <w:tcW w:w="8473" w:type="dxa"/>
            <w:tcBorders/>
            <w:shd w:fill="auto" w:val="clear"/>
          </w:tcPr>
          <w:p>
            <w:pPr>
              <w:pStyle w:val="TableContents"/>
              <w:spacing w:before="0" w:after="283"/>
              <w:jc w:val="left"/>
              <w:rPr/>
            </w:pPr>
            <w:r>
              <w:rPr/>
              <w:t xml:space="preserve">the Pledgor is the sole registered legal and beneficial owner of, and has the power to transfer and grant a security interest in, the Shares and the Related Rights and the lawful holder of the Share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3.9</w:t>
            </w:r>
          </w:p>
        </w:tc>
        <w:tc>
          <w:tcPr>
            <w:tcW w:w="9389" w:type="dxa"/>
            <w:tcBorders/>
            <w:shd w:fill="auto" w:val="clear"/>
          </w:tcPr>
          <w:p>
            <w:pPr>
              <w:pStyle w:val="TableContents"/>
              <w:spacing w:before="0" w:after="283"/>
              <w:jc w:val="left"/>
              <w:rPr/>
            </w:pPr>
            <w:r>
              <w:rPr>
                <w:b/>
              </w:rPr>
              <w:t>Immunity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execution by it of this Deed constitutes, and the exercise by it of its rights and performance of its obligations under this Deed will constitute, private and commercial acts performed for private and commercial purposes.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It will not be entitled to claim immunity from suit, execution, attachment or other legal process in any proceedings taken in its jurisdiction of incorporation in relation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3.10</w:t>
            </w:r>
          </w:p>
        </w:tc>
        <w:tc>
          <w:tcPr>
            <w:tcW w:w="9388" w:type="dxa"/>
            <w:tcBorders/>
            <w:shd w:fill="auto" w:val="clear"/>
          </w:tcPr>
          <w:p>
            <w:pPr>
              <w:pStyle w:val="TableContents"/>
              <w:spacing w:before="0" w:after="283"/>
              <w:jc w:val="left"/>
              <w:rPr/>
            </w:pPr>
            <w:r>
              <w:rPr>
                <w:b/>
              </w:rPr>
              <w:t>No adverse consequences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It is not necessary under the laws of the jurisdiction of incorporation of the Pledgor or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2" w:type="dxa"/>
            <w:tcBorders/>
            <w:shd w:fill="auto" w:val="clear"/>
          </w:tcPr>
          <w:p>
            <w:pPr>
              <w:pStyle w:val="TableContents"/>
              <w:spacing w:before="0" w:after="283"/>
              <w:jc w:val="left"/>
              <w:rPr/>
            </w:pPr>
            <w:r>
              <w:rPr/>
              <w:t xml:space="preserve">in order to enable the Pledgee to enforce its rights under this Deed; 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by reason of the execution of any Security Document or the performance by it of its obligations under this Deed, that the Pledgee should be licensed, qualified or otherwise entitled to carry on business in the jurisdiction of incorporation of the Pledgor or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Pledgee is not and will not be deemed to be resident, domiciled or carrying on business in the jurisdiction of incorporation of the Pledgor or the Company by reason only of the execution, performance and/or enforcement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3.11</w:t>
            </w:r>
          </w:p>
        </w:tc>
        <w:tc>
          <w:tcPr>
            <w:tcW w:w="9389" w:type="dxa"/>
            <w:tcBorders/>
            <w:shd w:fill="auto" w:val="clear"/>
          </w:tcPr>
          <w:p>
            <w:pPr>
              <w:pStyle w:val="TableContents"/>
              <w:spacing w:before="0" w:after="283"/>
              <w:jc w:val="left"/>
              <w:rPr/>
            </w:pPr>
            <w:r>
              <w:rPr>
                <w:b/>
              </w:rPr>
              <w:t>Jurisdiction/governing law</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7"/>
        <w:gridCol w:w="8474"/>
      </w:tblGrid>
      <w:tr>
        <w:trPr/>
        <w:tc>
          <w:tcPr>
            <w:tcW w:w="81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irrevocable submission under this Deed to the jurisdiction of the courts of the Republic of Cyprus;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agreement that this Deed is governed by Cyprus 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agreement not to claim any immunity to which it or its assets may be entitled, are legal, valid and binding under the laws of its jurisdiction of incorporation;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judgment obtained in Cyprus in connection with this Deed will be recognised and be enforceable by the courts of its jurisdiction of incorporation.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3.12</w:t>
            </w:r>
          </w:p>
        </w:tc>
        <w:tc>
          <w:tcPr>
            <w:tcW w:w="9389" w:type="dxa"/>
            <w:tcBorders/>
            <w:shd w:fill="auto" w:val="clear"/>
          </w:tcPr>
          <w:p>
            <w:pPr>
              <w:pStyle w:val="TableContents"/>
              <w:spacing w:before="0" w:after="283"/>
              <w:jc w:val="left"/>
              <w:rPr/>
            </w:pPr>
            <w:r>
              <w:rPr>
                <w:b/>
              </w:rPr>
              <w:t>Times for making 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The representations set out in this Deed (including in this Clause) are made on the date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Unless a representation is expressed to be given at a specific date, each representation under this Deed is deemed to be repeated by the Pledgor during the Security Period on the date of each drawdown, each drawdown request and the first day of each interest period as provided by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When a representation is repeated, it is applied to the circumstances existing at the time of repetition.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4.</w:t>
            </w:r>
          </w:p>
        </w:tc>
        <w:tc>
          <w:tcPr>
            <w:tcW w:w="9389" w:type="dxa"/>
            <w:tcBorders/>
            <w:shd w:fill="auto" w:val="clear"/>
          </w:tcPr>
          <w:p>
            <w:pPr>
              <w:pStyle w:val="TableContents"/>
              <w:spacing w:before="0" w:after="283"/>
              <w:jc w:val="left"/>
              <w:rPr>
                <w:b/>
              </w:rPr>
            </w:pPr>
            <w:r>
              <w:rPr>
                <w:b/>
              </w:rPr>
              <w:t xml:space="preserve">RESTRICTIONS ON DEALINGS </w:t>
            </w:r>
          </w:p>
        </w:tc>
      </w:tr>
    </w:tbl>
    <w:p>
      <w:pPr>
        <w:pStyle w:val="TextBody"/>
        <w:spacing w:before="120" w:after="0"/>
        <w:rPr>
          <w:rFonts w:ascii="Times New Roman" w:hAnsi="Times New Roman"/>
          <w:sz w:val="20"/>
        </w:rPr>
      </w:pPr>
      <w:r>
        <w:rPr>
          <w:rFonts w:ascii="Times New Roman" w:hAnsi="Times New Roman"/>
          <w:sz w:val="20"/>
        </w:rPr>
        <w:t xml:space="preserve">During the Security Period, the Pledgor must not: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create or allow to subsist any Security Interest (other than pursuant to this Deed or the Facility Agreement) on any Security Asset and must at all times warrant and defend the Pledgee’s security interest in the Security Assets against all other Security Interests and claimants;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sell, transfer, licence, lease, assign or otherwise encumber or dispose of any Security Asset;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do, or permit to be done, any act or thing which would or might depreciate, jeopardise or otherwise prejudice the Security Asset or materially diminish the value of any Security Asset or the effectiveness of this Security.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5.</w:t>
            </w:r>
          </w:p>
        </w:tc>
        <w:tc>
          <w:tcPr>
            <w:tcW w:w="9697" w:type="dxa"/>
            <w:tcBorders/>
            <w:shd w:fill="auto" w:val="clear"/>
          </w:tcPr>
          <w:p>
            <w:pPr>
              <w:pStyle w:val="TableContents"/>
              <w:spacing w:before="0" w:after="283"/>
              <w:jc w:val="left"/>
              <w:rPr>
                <w:b/>
              </w:rPr>
            </w:pPr>
            <w:r>
              <w:rPr>
                <w:b/>
              </w:rPr>
              <w:t xml:space="preserve">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5.1</w:t>
            </w:r>
          </w:p>
        </w:tc>
        <w:tc>
          <w:tcPr>
            <w:tcW w:w="9388" w:type="dxa"/>
            <w:tcBorders/>
            <w:shd w:fill="auto" w:val="clear"/>
          </w:tcPr>
          <w:p>
            <w:pPr>
              <w:pStyle w:val="TableContents"/>
              <w:spacing w:before="0" w:after="283"/>
              <w:jc w:val="left"/>
              <w:rPr/>
            </w:pPr>
            <w:r>
              <w:rPr>
                <w:b/>
              </w:rPr>
              <w:t>Deposit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as security for its obligations under this Deed has concurrently with the execution of this Deed delivered or arranged or procured to be delivered to, and deposited with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Share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i/>
              </w:rPr>
              <w:t>undated</w:t>
            </w:r>
            <w:r>
              <w:rPr/>
              <w:t xml:space="preserve"> instrument of transfer of the Shares in the form set out in Schedule 1 (</w:t>
            </w:r>
            <w:r>
              <w:rPr>
                <w:i/>
              </w:rPr>
              <w:t>Instrument of Transfer</w:t>
            </w:r>
            <w:r>
              <w:rPr/>
              <w:t xml:space="preserve">), duly executed by the Pledgor as transferor in the presence of one witness, with the details of the transferee to be left blank;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irrevocable proxy and power of attorney in the form set out in Schedule 2 (</w:t>
            </w:r>
            <w:r>
              <w:rPr>
                <w:i/>
              </w:rPr>
              <w:t>Irrevocable Proxy and Power of Attorney</w:t>
            </w:r>
            <w:r>
              <w:rPr/>
              <w:t xml:space="preserve">), duly executed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(d)</w:t>
            </w:r>
          </w:p>
        </w:tc>
        <w:tc>
          <w:tcPr>
            <w:tcW w:w="8473" w:type="dxa"/>
            <w:tcBorders/>
            <w:shd w:fill="auto" w:val="clear"/>
          </w:tcPr>
          <w:p>
            <w:pPr>
              <w:pStyle w:val="TableContents"/>
              <w:spacing w:before="0" w:after="283"/>
              <w:jc w:val="left"/>
              <w:rPr/>
            </w:pPr>
            <w:r>
              <w:rPr>
                <w:i/>
              </w:rPr>
              <w:t>undated</w:t>
            </w:r>
            <w:r>
              <w:rPr/>
              <w:t xml:space="preserve"> letters of resignation, in the form set out in Schedule 3 (</w:t>
            </w:r>
            <w:r>
              <w:rPr>
                <w:i/>
              </w:rPr>
              <w:t>Letter of Resignation</w:t>
            </w:r>
            <w:r>
              <w:rPr/>
              <w:t xml:space="preserve">), duly signed by the Directors and the Secretary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5" w:type="dxa"/>
            <w:tcBorders/>
            <w:shd w:fill="auto" w:val="clear"/>
          </w:tcPr>
          <w:p>
            <w:pPr>
              <w:pStyle w:val="TableContents"/>
              <w:spacing w:before="0" w:after="283"/>
              <w:jc w:val="left"/>
              <w:rPr/>
            </w:pPr>
            <w:r>
              <w:rPr/>
              <w:t>a letter of authority and undertaking, in the form set out in Schedule 4 (</w:t>
            </w:r>
            <w:r>
              <w:rPr>
                <w:i/>
              </w:rPr>
              <w:t>Letter of Authority and Undertaking</w:t>
            </w:r>
            <w:r>
              <w:rPr/>
              <w:t xml:space="preserve">), duly signed by the Directors and the Secretary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(f)</w:t>
            </w:r>
          </w:p>
        </w:tc>
        <w:tc>
          <w:tcPr>
            <w:tcW w:w="8475" w:type="dxa"/>
            <w:tcBorders/>
            <w:shd w:fill="auto" w:val="clear"/>
          </w:tcPr>
          <w:p>
            <w:pPr>
              <w:pStyle w:val="TableContents"/>
              <w:spacing w:before="0" w:after="283"/>
              <w:jc w:val="left"/>
              <w:rPr/>
            </w:pPr>
            <w:r>
              <w:rPr/>
              <w:t>a written board resolution of the Company, in the form set out in Schedule 7 (</w:t>
            </w:r>
            <w:r>
              <w:rPr>
                <w:i/>
              </w:rPr>
              <w:t>Board Resolution</w:t>
            </w:r>
            <w:r>
              <w:rPr/>
              <w:t xml:space="preserve">), duly passed by the Directors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4" w:type="dxa"/>
            <w:tcBorders/>
            <w:shd w:fill="auto" w:val="clear"/>
          </w:tcPr>
          <w:p>
            <w:pPr>
              <w:pStyle w:val="TableContents"/>
              <w:spacing w:before="0" w:after="283"/>
              <w:jc w:val="left"/>
              <w:rPr/>
            </w:pPr>
            <w:r>
              <w:rPr/>
              <w:t xml:space="preserve">an </w:t>
            </w:r>
            <w:r>
              <w:rPr>
                <w:i/>
              </w:rPr>
              <w:t>undated</w:t>
            </w:r>
            <w:r>
              <w:rPr/>
              <w:t xml:space="preserve"> confirmation of the Secretary of the Company in the form set out in Schedule 8 (</w:t>
            </w:r>
            <w:r>
              <w:rPr>
                <w:i/>
              </w:rPr>
              <w:t>Secretary</w:t>
            </w:r>
            <w:r>
              <w:rPr/>
              <w:t>’</w:t>
            </w:r>
            <w:r>
              <w:rPr>
                <w:i/>
              </w:rPr>
              <w:t>s Confirmation</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(h)</w:t>
            </w:r>
          </w:p>
        </w:tc>
        <w:tc>
          <w:tcPr>
            <w:tcW w:w="8474" w:type="dxa"/>
            <w:tcBorders/>
            <w:shd w:fill="auto" w:val="clear"/>
          </w:tcPr>
          <w:p>
            <w:pPr>
              <w:pStyle w:val="TableContents"/>
              <w:spacing w:before="0" w:after="283"/>
              <w:jc w:val="left"/>
              <w:rPr/>
            </w:pPr>
            <w:r>
              <w:rPr/>
              <w:t>waivers of pre-emption rights in the form set out in Schedule 9 (</w:t>
            </w:r>
            <w:r>
              <w:rPr>
                <w:i/>
              </w:rPr>
              <w:t>Waiver of Pre-emption Rights</w:t>
            </w:r>
            <w:r>
              <w:rPr/>
              <w:t xml:space="preserve">) duly signed by all the shareholders of the Company other than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5.2</w:t>
            </w:r>
          </w:p>
        </w:tc>
        <w:tc>
          <w:tcPr>
            <w:tcW w:w="9389" w:type="dxa"/>
            <w:tcBorders/>
            <w:shd w:fill="auto" w:val="clear"/>
          </w:tcPr>
          <w:p>
            <w:pPr>
              <w:pStyle w:val="TableContents"/>
              <w:spacing w:before="0" w:after="283"/>
              <w:jc w:val="left"/>
              <w:rPr/>
            </w:pPr>
            <w:r>
              <w:rPr>
                <w:b/>
              </w:rPr>
              <w:t>Memorandum of Pledge</w:t>
            </w:r>
            <w:r>
              <w:rPr/>
              <w:t xml:space="preserve"> </w:t>
            </w:r>
          </w:p>
        </w:tc>
      </w:tr>
    </w:tbl>
    <w:p>
      <w:pPr>
        <w:pStyle w:val="TextBody"/>
        <w:spacing w:before="120" w:after="0"/>
        <w:rPr>
          <w:rFonts w:ascii="Times New Roman" w:hAnsi="Times New Roman"/>
          <w:sz w:val="20"/>
        </w:rPr>
      </w:pPr>
      <w:r>
        <w:rPr>
          <w:rFonts w:ascii="Times New Roman" w:hAnsi="Times New Roman"/>
          <w:sz w:val="20"/>
        </w:rPr>
        <w:t>The Pledgee must execute and deliver to the Company a notice of the pledge evidenced by this Deed in the form set out in Schedule 5 (</w:t>
      </w:r>
      <w:r>
        <w:rPr>
          <w:rFonts w:ascii="Times New Roman" w:hAnsi="Times New Roman"/>
          <w:i/>
          <w:sz w:val="20"/>
        </w:rPr>
        <w:t>Notice of Pledge</w:t>
      </w:r>
      <w:r>
        <w:rPr>
          <w:rFonts w:ascii="Times New Roman" w:hAnsi="Times New Roman"/>
          <w:sz w:val="20"/>
        </w:rPr>
        <w:t xml:space="preserve">), attaching a certified copy of this Deed and the Pledgor must procure: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that a memorandum of pledge is made in the Register of Members of the Company against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that the Secretary of the Company delivers to the Pledgee a certificate in the form set out in Schedule 6 (</w:t>
            </w:r>
            <w:r>
              <w:rPr>
                <w:i/>
              </w:rPr>
              <w:t>Secretary</w:t>
            </w:r>
            <w:r>
              <w:rPr/>
              <w:t>’</w:t>
            </w:r>
            <w:r>
              <w:rPr>
                <w:i/>
              </w:rPr>
              <w:t>s Certificate</w:t>
            </w:r>
            <w:r>
              <w:rPr/>
              <w:t xml:space="preserve">) together with an updated copy of the Register of Members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5.3</w:t>
            </w:r>
          </w:p>
        </w:tc>
        <w:tc>
          <w:tcPr>
            <w:tcW w:w="9390" w:type="dxa"/>
            <w:tcBorders/>
            <w:shd w:fill="auto" w:val="clear"/>
          </w:tcPr>
          <w:p>
            <w:pPr>
              <w:pStyle w:val="TableContents"/>
              <w:spacing w:before="0" w:after="283"/>
              <w:jc w:val="left"/>
              <w:rPr/>
            </w:pPr>
            <w:r>
              <w:rPr>
                <w:b/>
              </w:rPr>
              <w:t>Changes to rights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During the Security Period, the Pledgor must not take or allow the taking of any action on its behalf (except as permitted under the Facility Agreement) which may result: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in the name of the Company being changed;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in the rights attaching to any Security Asset being altered;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further shares in the Company being issued, without the prior written consent of the Pledgee. In the event that such consent is given, the Pledgor must: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execute and deliver to the Pledgee such further or additional security documents in relation to such further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deliver or procure the delivery to the Pledgee of such other documents (including, those documents referred to in Subclauses 5.1 and 5.2) in relation to those further shares, </w:t>
            </w:r>
          </w:p>
        </w:tc>
      </w:tr>
    </w:tbl>
    <w:p>
      <w:pPr>
        <w:pStyle w:val="TextBody"/>
        <w:spacing w:before="120" w:after="0"/>
        <w:rPr>
          <w:rFonts w:ascii="Times New Roman" w:hAnsi="Times New Roman"/>
          <w:sz w:val="20"/>
        </w:rPr>
      </w:pPr>
      <w:r>
        <w:rPr>
          <w:rFonts w:ascii="Times New Roman" w:hAnsi="Times New Roman"/>
          <w:sz w:val="20"/>
        </w:rPr>
        <w:t xml:space="preserve">in each case, as the Pledgee may reasonably require and in form and substance satisfactory to it; and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in new Directors, Secretary or other officers of the Company being appointed, without the prior written consent of the Pledgee. In the event that such consent is given, the Pledgor must promptly upon any new Director, Secretary or other officer of the Company being appointed deliver or procure the delivery to the Pledgee of the documents referred to under Subclauses 5.1(d) and (e) for each new Director. Secretary or other officer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5.4</w:t>
            </w:r>
          </w:p>
        </w:tc>
        <w:tc>
          <w:tcPr>
            <w:tcW w:w="9390" w:type="dxa"/>
            <w:tcBorders/>
            <w:shd w:fill="auto" w:val="clear"/>
          </w:tcPr>
          <w:p>
            <w:pPr>
              <w:pStyle w:val="TableContents"/>
              <w:spacing w:before="0" w:after="283"/>
              <w:jc w:val="left"/>
              <w:rPr/>
            </w:pPr>
            <w:r>
              <w:rPr>
                <w:b/>
              </w:rPr>
              <w:t>Calls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Pledgor must pay when due all calls, taxes, charges or other payments due and payable in respect of any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If the Pledgor fails to do so, the Pledgee may pay the calls, taxes, charges or other payments on behalf of the Pledgor. The Pledgor must promptly on request reimburse the Pledgee for any payment made by the Pledgee under this Subclause.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5.5</w:t>
            </w:r>
          </w:p>
        </w:tc>
        <w:tc>
          <w:tcPr>
            <w:tcW w:w="9389" w:type="dxa"/>
            <w:tcBorders/>
            <w:shd w:fill="auto" w:val="clear"/>
          </w:tcPr>
          <w:p>
            <w:pPr>
              <w:pStyle w:val="TableContents"/>
              <w:spacing w:before="0" w:after="283"/>
              <w:jc w:val="left"/>
              <w:rPr/>
            </w:pPr>
            <w:r>
              <w:rPr>
                <w:b/>
              </w:rPr>
              <w:t>Other obligations in respect of Security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(i)The Pledgor must comply with all requests for information relating to any Security Asset which is within its knowledge and which it is required to comply with by any law or its constitutional documents. If the Pledgor fails to do so, the Pledgee may elect to provide any information which it may have on behalf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The Pledgor must promptly supply a copy to the Pledgee of any information referred to in sub-paragraph (i)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The Pledgor must comply with all other conditions and obligations assumed by it in respect of any Security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The Pledgee is not obliged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perform any obligation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7"/>
        <w:gridCol w:w="7553"/>
      </w:tblGrid>
      <w:tr>
        <w:trPr/>
        <w:tc>
          <w:tcPr>
            <w:tcW w:w="1734"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make any payment;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make any enquiry as to the nature or sufficiency of any payment received by it or the Pledgor;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8"/>
        <w:gridCol w:w="7552"/>
      </w:tblGrid>
      <w:tr>
        <w:trPr/>
        <w:tc>
          <w:tcPr>
            <w:tcW w:w="1734"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(iv)</w:t>
            </w:r>
          </w:p>
        </w:tc>
        <w:tc>
          <w:tcPr>
            <w:tcW w:w="7552" w:type="dxa"/>
            <w:tcBorders/>
            <w:shd w:fill="auto" w:val="clear"/>
          </w:tcPr>
          <w:p>
            <w:pPr>
              <w:pStyle w:val="TableContents"/>
              <w:spacing w:before="0" w:after="283"/>
              <w:jc w:val="left"/>
              <w:rPr/>
            </w:pPr>
            <w:r>
              <w:rPr/>
              <w:t xml:space="preserve">present or file any claim or take any other action to collect or enforce the payment of any amount to which it may be entitled under this Deed, </w:t>
            </w:r>
          </w:p>
        </w:tc>
      </w:tr>
    </w:tbl>
    <w:p>
      <w:pPr>
        <w:pStyle w:val="TextBody"/>
        <w:spacing w:before="120" w:after="0"/>
        <w:rPr>
          <w:rFonts w:ascii="Times New Roman" w:hAnsi="Times New Roman"/>
          <w:sz w:val="20"/>
        </w:rPr>
      </w:pPr>
      <w:r>
        <w:rPr>
          <w:rFonts w:ascii="Times New Roman" w:hAnsi="Times New Roman"/>
          <w:sz w:val="20"/>
        </w:rPr>
        <w:t xml:space="preserve">in respect of any Security Asset.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5.6</w:t>
            </w:r>
          </w:p>
        </w:tc>
        <w:tc>
          <w:tcPr>
            <w:tcW w:w="9389" w:type="dxa"/>
            <w:tcBorders/>
            <w:shd w:fill="auto" w:val="clear"/>
          </w:tcPr>
          <w:p>
            <w:pPr>
              <w:pStyle w:val="TableContents"/>
              <w:spacing w:before="0" w:after="283"/>
              <w:jc w:val="left"/>
              <w:rPr/>
            </w:pPr>
            <w:r>
              <w:rPr>
                <w:b/>
              </w:rPr>
              <w:t>Voting rights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Before this Security becomes enforceable, the Pledgor may continue to exercise and benefit from the voting rights, right to receive dividends and any other distributions in respect of the Security Assets in accordance with the terms provided by the Facility Agreement, powers and other rights in respect of and attaching to the Security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After this Security has become enforceable: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all rights of the Pledgor to exercise voting and other consensual rights with respect to the Security Assets and to receive dividends and other payments in respect of the Security Assets will cease, and all these rights will immediately become vested solely in the Pledgee or its nominees, and the Pledgor grants the Pledgee or its nominees the Pledgor’s irrevocable and unconditional proxy for this purpose;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6" w:type="dxa"/>
            <w:tcBorders/>
            <w:shd w:fill="auto" w:val="clear"/>
          </w:tcPr>
          <w:p>
            <w:pPr>
              <w:pStyle w:val="TableContents"/>
              <w:spacing w:before="0" w:after="283"/>
              <w:jc w:val="left"/>
              <w:rPr/>
            </w:pPr>
            <w:r>
              <w:rPr/>
              <w:t xml:space="preserve">any dividends and other payments in respect of the Security Assets received by the Pledgor will be held in trust for the Pledgee, and the Pledgor will keep all such amounts separate and apart from all other funds and property so as to be capable of identification as the property of the Pledgee and will deliver these amounts at such time as the Pledgee may request to the Pledgee in the identical form received;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(iii)</w:t>
            </w:r>
          </w:p>
        </w:tc>
        <w:tc>
          <w:tcPr>
            <w:tcW w:w="7553" w:type="dxa"/>
            <w:tcBorders/>
            <w:shd w:fill="auto" w:val="clear"/>
          </w:tcPr>
          <w:p>
            <w:pPr>
              <w:pStyle w:val="TableContents"/>
              <w:spacing w:before="0" w:after="283"/>
              <w:jc w:val="left"/>
              <w:rPr/>
            </w:pPr>
            <w:r>
              <w:rPr/>
              <w:t xml:space="preserve">the Pledgee may exercise (in the name of the Pledgor and without any further consent or authority on the part of the Pledgor) any voting rights and any powers or rights which may be exercised by the legal or beneficial owner of the Shares, any person who is the holder of any Shares or otherwise;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6"/>
        <w:gridCol w:w="7554"/>
      </w:tblGrid>
      <w:tr>
        <w:trPr/>
        <w:tc>
          <w:tcPr>
            <w:tcW w:w="173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the Pledgee may receive, collect, recover, sue for and if necessary use the name of the Pledgor for the recovery of all dividends or other distributions on all or any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b/>
              </w:rPr>
            </w:pPr>
            <w:r>
              <w:rPr>
                <w:b/>
              </w:rPr>
              <w:t>6.</w:t>
            </w:r>
          </w:p>
        </w:tc>
        <w:tc>
          <w:tcPr>
            <w:tcW w:w="9393" w:type="dxa"/>
            <w:tcBorders/>
            <w:shd w:fill="auto" w:val="clear"/>
          </w:tcPr>
          <w:p>
            <w:pPr>
              <w:pStyle w:val="TableContents"/>
              <w:spacing w:before="0" w:after="283"/>
              <w:jc w:val="left"/>
              <w:rPr>
                <w:b/>
              </w:rPr>
            </w:pPr>
            <w:r>
              <w:rPr>
                <w:b/>
              </w:rPr>
              <w:t xml:space="preserve">PRESERVATION OF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w:t>
            </w:r>
          </w:p>
        </w:tc>
        <w:tc>
          <w:tcPr>
            <w:tcW w:w="9389" w:type="dxa"/>
            <w:tcBorders/>
            <w:shd w:fill="auto" w:val="clear"/>
          </w:tcPr>
          <w:p>
            <w:pPr>
              <w:pStyle w:val="TableContents"/>
              <w:spacing w:before="0" w:after="283"/>
              <w:jc w:val="left"/>
              <w:rPr/>
            </w:pPr>
            <w:r>
              <w:rPr>
                <w:b/>
              </w:rPr>
              <w:t>Continuing security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Security is a continuing security and will extend to the ultimate balance of the Secured Liabilities, regardless of any intermediate payment or discharge in whole or in part.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6.2</w:t>
            </w:r>
          </w:p>
        </w:tc>
        <w:tc>
          <w:tcPr>
            <w:tcW w:w="9390" w:type="dxa"/>
            <w:tcBorders/>
            <w:shd w:fill="auto" w:val="clear"/>
          </w:tcPr>
          <w:p>
            <w:pPr>
              <w:pStyle w:val="TableContents"/>
              <w:spacing w:before="0" w:after="283"/>
              <w:jc w:val="left"/>
              <w:rPr/>
            </w:pPr>
            <w:r>
              <w:rPr>
                <w:b/>
              </w:rPr>
              <w:t>Reinstatement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If any discharge (whether in respect of the obligations of the Pledgor or any security for those obligations or otherwise) or arrangement is made in whole or in part on the faith of any payment, security or other disposition which is avoided or must be restored on insolvency, winding-up. liquidation, administration or otherwise without limitation, the liability of the Pledgor under this Deed will continue or be reinstated as if the discharge or arrangement had not occurred.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Pledgee may concede or compromise any claim that any payment, security or other disposition is liable to avoidance or restoration.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6.3</w:t>
            </w:r>
          </w:p>
        </w:tc>
        <w:tc>
          <w:tcPr>
            <w:tcW w:w="9390" w:type="dxa"/>
            <w:tcBorders/>
            <w:shd w:fill="auto" w:val="clear"/>
          </w:tcPr>
          <w:p>
            <w:pPr>
              <w:pStyle w:val="TableContents"/>
              <w:spacing w:before="0" w:after="283"/>
              <w:jc w:val="left"/>
              <w:rPr/>
            </w:pPr>
            <w:r>
              <w:rPr>
                <w:b/>
              </w:rPr>
              <w:t>Waiver of defences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obligations of the Pledgor under this Deed will not be affected by, and the Pledgor irrevocably waives any defence it might have by virtue of, any act, omission or event which, but for this provision, would reduce, release or prejudice any of its obligations under this Deed (whether or not known to it or to the Pledgee). This includes: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any time, forbearance, extension or waiver granted to, or composition or compromise with,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release of any person under the terms of any composition or arrangement;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9"/>
        <w:gridCol w:w="8471"/>
      </w:tblGrid>
      <w:tr>
        <w:trPr/>
        <w:tc>
          <w:tcPr>
            <w:tcW w:w="81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1" w:type="dxa"/>
            <w:tcBorders/>
            <w:shd w:fill="auto" w:val="clear"/>
          </w:tcPr>
          <w:p>
            <w:pPr>
              <w:pStyle w:val="TableContents"/>
              <w:spacing w:before="0" w:after="283"/>
              <w:jc w:val="left"/>
              <w:rPr/>
            </w:pPr>
            <w:r>
              <w:rPr/>
              <w:t xml:space="preserve">the taking, variation, compromise, exchange, renewal or release of, or refusal or neglect to perfect, take up or enforce, any rights against, or security over assets of,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(d)</w:t>
            </w:r>
          </w:p>
        </w:tc>
        <w:tc>
          <w:tcPr>
            <w:tcW w:w="8471" w:type="dxa"/>
            <w:tcBorders/>
            <w:shd w:fill="auto" w:val="clear"/>
          </w:tcPr>
          <w:p>
            <w:pPr>
              <w:pStyle w:val="TableContents"/>
              <w:spacing w:before="0" w:after="283"/>
              <w:jc w:val="left"/>
              <w:rPr/>
            </w:pPr>
            <w:r>
              <w:rPr/>
              <w:t xml:space="preserve">any non-presentation or non-observance of any formality or other requirement in respect of any instrument or any failure to realise the full value of any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any incapacity or lack of power, authority or legal personality of or dissolution or change in the members or status of any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(f)</w:t>
            </w:r>
          </w:p>
        </w:tc>
        <w:tc>
          <w:tcPr>
            <w:tcW w:w="8472" w:type="dxa"/>
            <w:tcBorders/>
            <w:shd w:fill="auto" w:val="clear"/>
          </w:tcPr>
          <w:p>
            <w:pPr>
              <w:pStyle w:val="TableContents"/>
              <w:spacing w:before="0" w:after="283"/>
              <w:jc w:val="left"/>
              <w:rPr/>
            </w:pPr>
            <w:r>
              <w:rPr/>
              <w:t xml:space="preserve">any amendment (however fundamental), restatement or novation of a Security Document or any other document, guarantee or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(g)</w:t>
            </w:r>
          </w:p>
        </w:tc>
        <w:tc>
          <w:tcPr>
            <w:tcW w:w="8475" w:type="dxa"/>
            <w:tcBorders/>
            <w:shd w:fill="auto" w:val="clear"/>
          </w:tcPr>
          <w:p>
            <w:pPr>
              <w:pStyle w:val="TableContents"/>
              <w:spacing w:before="0" w:after="283"/>
              <w:jc w:val="left"/>
              <w:rPr/>
            </w:pPr>
            <w:r>
              <w:rPr/>
              <w:t xml:space="preserve">any unenforceability, illegality, invalidity or non-provability of any obligation of any person under any Security Document or any other document, guarantee or security or the failure by any member of the Group to enter into or be bound by any Security Document;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(h)</w:t>
            </w:r>
          </w:p>
        </w:tc>
        <w:tc>
          <w:tcPr>
            <w:tcW w:w="8474" w:type="dxa"/>
            <w:tcBorders/>
            <w:shd w:fill="auto" w:val="clear"/>
          </w:tcPr>
          <w:p>
            <w:pPr>
              <w:pStyle w:val="TableContents"/>
              <w:spacing w:before="0" w:after="283"/>
              <w:jc w:val="left"/>
              <w:rPr/>
            </w:pPr>
            <w:r>
              <w:rPr/>
              <w:t xml:space="preserve">the acceptance or taking of other guaranties or security for the Secured Liabilities, or the settlement, release or substitution of any guaranty or security or of any endorser or guarantor in respect of the Secured Liabilities;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7"/>
        <w:gridCol w:w="915"/>
        <w:gridCol w:w="8472"/>
      </w:tblGrid>
      <w:tr>
        <w:trPr/>
        <w:tc>
          <w:tcPr>
            <w:tcW w:w="817"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8472" w:type="dxa"/>
            <w:tcBorders/>
            <w:shd w:fill="auto" w:val="clear"/>
          </w:tcPr>
          <w:p>
            <w:pPr>
              <w:pStyle w:val="TableContents"/>
              <w:spacing w:before="0" w:after="283"/>
              <w:jc w:val="left"/>
              <w:rPr/>
            </w:pPr>
            <w:r>
              <w:rPr/>
              <w:t xml:space="preserve">any insolvency or similar proceedings, including any BVI Insolvency Event.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6.4</w:t>
            </w:r>
          </w:p>
        </w:tc>
        <w:tc>
          <w:tcPr>
            <w:tcW w:w="9389" w:type="dxa"/>
            <w:tcBorders/>
            <w:shd w:fill="auto" w:val="clear"/>
          </w:tcPr>
          <w:p>
            <w:pPr>
              <w:pStyle w:val="TableContents"/>
              <w:spacing w:before="0" w:after="283"/>
              <w:jc w:val="left"/>
              <w:rPr/>
            </w:pPr>
            <w:r>
              <w:rPr>
                <w:b/>
              </w:rPr>
              <w:t>Immediate recourse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Pledgor waives any right it may have of first requiring the Pledgee (or any trustee or agent on its behalf) to proceed against or enforce any other right or security or claim payment from any person or file any proof or claim m any insolvency, administration, winding-up or liquidation proceedings relative to any Obligor or any other person before claiming from the Pledgor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This waiver applies irrespective of any law or any provision of a Security Document to the contrary.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6.5</w:t>
            </w:r>
          </w:p>
        </w:tc>
        <w:tc>
          <w:tcPr>
            <w:tcW w:w="9390" w:type="dxa"/>
            <w:tcBorders/>
            <w:shd w:fill="auto" w:val="clear"/>
          </w:tcPr>
          <w:p>
            <w:pPr>
              <w:pStyle w:val="TableContents"/>
              <w:spacing w:before="0" w:after="283"/>
              <w:jc w:val="left"/>
              <w:rPr/>
            </w:pPr>
            <w:r>
              <w:rPr>
                <w:b/>
              </w:rPr>
              <w:t>Appropriations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At any time during the Security Period, the Pledgee (or any trustee or agent on its behalf) may without affecting the liability of the Pledgor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 refrain from applying or enforcing any other moneys, security, guarantees or rights held or received by the Pledgee (or any trustee or agent on its behalf) against those amounts;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6"/>
        <w:gridCol w:w="7555"/>
      </w:tblGrid>
      <w:tr>
        <w:trPr/>
        <w:tc>
          <w:tcPr>
            <w:tcW w:w="173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apply and enforce them in such manner and order as it sees fit (whether against those amounts or otherwise);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hold in an interest-bearing suspense account any moneys received from the Pledgor or on account of the Pledgor’s liability under this Deed or any other Security Document, without liability to pay interest on those monies.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6.6</w:t>
            </w:r>
          </w:p>
        </w:tc>
        <w:tc>
          <w:tcPr>
            <w:tcW w:w="9390" w:type="dxa"/>
            <w:tcBorders/>
            <w:shd w:fill="auto" w:val="clear"/>
          </w:tcPr>
          <w:p>
            <w:pPr>
              <w:pStyle w:val="TableContents"/>
              <w:spacing w:before="0" w:after="283"/>
              <w:jc w:val="left"/>
              <w:rPr/>
            </w:pPr>
            <w:r>
              <w:rPr>
                <w:b/>
              </w:rPr>
              <w:t>Non-competition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9"/>
        <w:gridCol w:w="8471"/>
      </w:tblGrid>
      <w:tr>
        <w:trPr/>
        <w:tc>
          <w:tcPr>
            <w:tcW w:w="81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Security Period has expired;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Pledgee otherwise directs, </w:t>
            </w:r>
          </w:p>
        </w:tc>
      </w:tr>
    </w:tbl>
    <w:p>
      <w:pPr>
        <w:pStyle w:val="TextBody"/>
        <w:spacing w:before="120" w:after="0"/>
        <w:rPr>
          <w:rFonts w:ascii="Times New Roman" w:hAnsi="Times New Roman"/>
          <w:sz w:val="20"/>
        </w:rPr>
      </w:pPr>
      <w:r>
        <w:rPr>
          <w:rFonts w:ascii="Times New Roman" w:hAnsi="Times New Roman"/>
          <w:sz w:val="20"/>
        </w:rPr>
        <w:t xml:space="preserve">the Pledgor will not, after a claim has been made or by virtue of any payment or performance by it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0"/>
        <w:gridCol w:w="917"/>
        <w:gridCol w:w="7557"/>
      </w:tblGrid>
      <w:tr>
        <w:trPr/>
        <w:tc>
          <w:tcPr>
            <w:tcW w:w="1730"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w:t>
            </w:r>
          </w:p>
        </w:tc>
        <w:tc>
          <w:tcPr>
            <w:tcW w:w="7557" w:type="dxa"/>
            <w:tcBorders/>
            <w:shd w:fill="auto" w:val="clear"/>
          </w:tcPr>
          <w:p>
            <w:pPr>
              <w:pStyle w:val="TableContents"/>
              <w:spacing w:before="0" w:after="283"/>
              <w:jc w:val="left"/>
              <w:rPr/>
            </w:pPr>
            <w:r>
              <w:rPr/>
              <w:t xml:space="preserve">be subrogated to any rights, security or moneys held, received or receivable by the Pledgee (or any trustee or agent on its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4"/>
        <w:gridCol w:w="919"/>
        <w:gridCol w:w="7551"/>
      </w:tblGrid>
      <w:tr>
        <w:trPr/>
        <w:tc>
          <w:tcPr>
            <w:tcW w:w="1734"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1" w:type="dxa"/>
            <w:tcBorders/>
            <w:shd w:fill="auto" w:val="clear"/>
          </w:tcPr>
          <w:p>
            <w:pPr>
              <w:pStyle w:val="TableContents"/>
              <w:spacing w:before="0" w:after="283"/>
              <w:jc w:val="left"/>
              <w:rPr/>
            </w:pPr>
            <w:r>
              <w:rPr/>
              <w:t xml:space="preserve">be entitled to any right of contribution or indemnity in respect of any payment made or moneys received on account of the Pledgor’s liability under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5"/>
        <w:gridCol w:w="7554"/>
      </w:tblGrid>
      <w:tr>
        <w:trPr/>
        <w:tc>
          <w:tcPr>
            <w:tcW w:w="173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claim, rank, prove or vote as a creditor of any Obligor or its estate in competition with the Pledgee (or any trustee or agent on its behalf);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(iv)</w:t>
            </w:r>
          </w:p>
        </w:tc>
        <w:tc>
          <w:tcPr>
            <w:tcW w:w="7554" w:type="dxa"/>
            <w:tcBorders/>
            <w:shd w:fill="auto" w:val="clear"/>
          </w:tcPr>
          <w:p>
            <w:pPr>
              <w:pStyle w:val="TableContents"/>
              <w:spacing w:before="0" w:after="283"/>
              <w:jc w:val="left"/>
              <w:rPr/>
            </w:pPr>
            <w:r>
              <w:rPr/>
              <w:t xml:space="preserve">receive, claim or have the benefit of any payment, distribution or security from or on account of any Obligor, or exercise any right of set-off as against any Obligor. </w:t>
            </w:r>
          </w:p>
        </w:tc>
      </w:tr>
    </w:tbl>
    <w:p>
      <w:pPr>
        <w:pStyle w:val="TextBody"/>
        <w:spacing w:before="120" w:after="0"/>
        <w:rPr>
          <w:rFonts w:ascii="Times New Roman" w:hAnsi="Times New Roman"/>
          <w:sz w:val="20"/>
        </w:rPr>
      </w:pPr>
      <w:r>
        <w:rPr>
          <w:rFonts w:ascii="Times New Roman" w:hAnsi="Times New Roman"/>
          <w:sz w:val="20"/>
        </w:rPr>
        <w:t xml:space="preserve">The Pledgor must hold in trust for and must promptly pay or transfer to the Pledgee (or as directed by the Pledgee) any payment or distribution or benefit of security received by it contrary to this Clause or in accordance with any directions given by the Pledgee under this Deed or any other Security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6.7</w:t>
            </w:r>
          </w:p>
        </w:tc>
        <w:tc>
          <w:tcPr>
            <w:tcW w:w="9388" w:type="dxa"/>
            <w:tcBorders/>
            <w:shd w:fill="auto" w:val="clear"/>
          </w:tcPr>
          <w:p>
            <w:pPr>
              <w:pStyle w:val="TableContents"/>
              <w:spacing w:before="0" w:after="283"/>
              <w:jc w:val="left"/>
              <w:rPr/>
            </w:pPr>
            <w:r>
              <w:rPr>
                <w:b/>
              </w:rPr>
              <w:t>Additional security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This Deed is in addition to and is not in any way prejudiced by any other security now or subsequently held by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6"/>
        <w:gridCol w:w="8475"/>
      </w:tblGrid>
      <w:tr>
        <w:trPr/>
        <w:tc>
          <w:tcPr>
            <w:tcW w:w="813"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No prior security held by the Pledgee over any Security Asset will merge into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6.8</w:t>
            </w:r>
          </w:p>
        </w:tc>
        <w:tc>
          <w:tcPr>
            <w:tcW w:w="9389" w:type="dxa"/>
            <w:tcBorders/>
            <w:shd w:fill="auto" w:val="clear"/>
          </w:tcPr>
          <w:p>
            <w:pPr>
              <w:pStyle w:val="TableContents"/>
              <w:spacing w:before="0" w:after="283"/>
              <w:jc w:val="left"/>
              <w:rPr/>
            </w:pPr>
            <w:r>
              <w:rPr>
                <w:b/>
              </w:rPr>
              <w:t>Security held by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may not. without the prior consent of the Pledgee, hold any security from any other Obligor in respect of the Pledgor’s liability under this Deed. The Pledgor will hold any security held by it in breach of this provision on trust for the Pledgee.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1"/>
        <w:gridCol w:w="9393"/>
      </w:tblGrid>
      <w:tr>
        <w:trPr/>
        <w:tc>
          <w:tcPr>
            <w:tcW w:w="811" w:type="dxa"/>
            <w:tcBorders/>
            <w:shd w:fill="auto" w:val="clear"/>
          </w:tcPr>
          <w:p>
            <w:pPr>
              <w:pStyle w:val="TableContents"/>
              <w:spacing w:before="0" w:after="283"/>
              <w:jc w:val="left"/>
              <w:rPr>
                <w:b/>
              </w:rPr>
            </w:pPr>
            <w:r>
              <w:rPr>
                <w:b/>
              </w:rPr>
              <w:t>7.</w:t>
            </w:r>
          </w:p>
        </w:tc>
        <w:tc>
          <w:tcPr>
            <w:tcW w:w="9393" w:type="dxa"/>
            <w:tcBorders/>
            <w:shd w:fill="auto" w:val="clear"/>
          </w:tcPr>
          <w:p>
            <w:pPr>
              <w:pStyle w:val="TableContents"/>
              <w:spacing w:before="0" w:after="283"/>
              <w:jc w:val="left"/>
              <w:rPr>
                <w:b/>
              </w:rPr>
            </w:pPr>
            <w:r>
              <w:rPr>
                <w:b/>
              </w:rPr>
              <w:t xml:space="preserve">WHEN SECURITY BECOMES ENFORCEABLE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7.1</w:t>
            </w:r>
          </w:p>
        </w:tc>
        <w:tc>
          <w:tcPr>
            <w:tcW w:w="9390" w:type="dxa"/>
            <w:tcBorders/>
            <w:shd w:fill="auto" w:val="clear"/>
          </w:tcPr>
          <w:p>
            <w:pPr>
              <w:pStyle w:val="TableContents"/>
              <w:spacing w:before="0" w:after="283"/>
              <w:jc w:val="left"/>
              <w:rPr/>
            </w:pPr>
            <w:r>
              <w:rPr>
                <w:b/>
              </w:rPr>
              <w:t>Event of Default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Security will become immediately enforceable if an Event of Default occurs.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7.2</w:t>
            </w:r>
          </w:p>
        </w:tc>
        <w:tc>
          <w:tcPr>
            <w:tcW w:w="9388" w:type="dxa"/>
            <w:tcBorders/>
            <w:shd w:fill="auto" w:val="clear"/>
          </w:tcPr>
          <w:p>
            <w:pPr>
              <w:pStyle w:val="TableContents"/>
              <w:spacing w:before="0" w:after="283"/>
              <w:jc w:val="left"/>
              <w:rPr/>
            </w:pPr>
            <w:r>
              <w:rPr>
                <w:b/>
              </w:rPr>
              <w:t>Enforcement</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After this Security has become enforceable, the Pledgee may in its absolute discretion enforce all or any part of this Security at the times, in the manner and on the terms it sees fit, and take possession of and hold or dispose of any Security Asset.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8.</w:t>
            </w:r>
          </w:p>
        </w:tc>
        <w:tc>
          <w:tcPr>
            <w:tcW w:w="9392" w:type="dxa"/>
            <w:tcBorders/>
            <w:shd w:fill="auto" w:val="clear"/>
          </w:tcPr>
          <w:p>
            <w:pPr>
              <w:pStyle w:val="TableContents"/>
              <w:spacing w:before="0" w:after="283"/>
              <w:jc w:val="left"/>
              <w:rPr>
                <w:b/>
              </w:rPr>
            </w:pPr>
            <w:r>
              <w:rPr>
                <w:b/>
              </w:rPr>
              <w:t xml:space="preserve">ENFORCEMENT OF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5" w:type="dxa"/>
            <w:tcBorders/>
            <w:shd w:fill="auto" w:val="clear"/>
          </w:tcPr>
          <w:p>
            <w:pPr>
              <w:pStyle w:val="TableContents"/>
              <w:spacing w:before="0" w:after="283"/>
              <w:jc w:val="left"/>
              <w:rPr/>
            </w:pPr>
            <w:r>
              <w:rPr/>
              <w:t>The power of sale and any other power conferred by law will be immediately exercisable at any time after this Security has become enforceable and the Pledgee has given prior written notice to the Pledgor of its intention to exercise its power of sale or any other power conferred by law (the “</w:t>
            </w:r>
            <w:r>
              <w:rPr>
                <w:b/>
              </w:rPr>
              <w:t>Enforcement Notice</w:t>
            </w:r>
            <w:r>
              <w:rPr/>
              <w:t xml:space="preserve">”). The Pledgee may start enforcement not earlier than following eight Business Days upon receipt of the Enforcement Notice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Pledgee may sell all or any part of the Shares (whether by public offer or private contract) to any person, including (but not limited to) to itself or any person affiliated, associated or otherwise connected to the Pledgee, subject to Clauses 8.1(i) - (k) below (whether comprising cash, debentures or other obligations, shares or other valuable consideration of any kind and whether payable or deliverable in a lump sum or by instalments) as the Pledgee may in its sole and absolute discretion determine.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If any of the Shares are sold by the Pledgee upon credit, for future delivery or for deferred consideration, the Pledgee may retain such Shares until the selling price is paid in full by the purchaser. The Pledgee shall not be liable for any failure by the purchaser to pay for any Shares and, in the event of such failure, the Pledgee may resell such Shares to another person.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Nothing in this Deed shall restrict the Pledgee from proceeding by suit at law or in equity to foreclose this Deed and sell all or any part of the Shares under a judgment or decree of a court of competent jurisdiction, provided the Pledgor has been given due notice of any such action.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(e)</w:t>
            </w:r>
          </w:p>
        </w:tc>
        <w:tc>
          <w:tcPr>
            <w:tcW w:w="8474" w:type="dxa"/>
            <w:tcBorders/>
            <w:shd w:fill="auto" w:val="clear"/>
          </w:tcPr>
          <w:p>
            <w:pPr>
              <w:pStyle w:val="TableContents"/>
              <w:spacing w:before="0" w:after="283"/>
              <w:jc w:val="left"/>
              <w:rPr/>
            </w:pPr>
            <w:r>
              <w:rPr/>
              <w:t xml:space="preserve">Upon the Pledgee exercising all or any of its rights and powers under this Deed, the Pledgor must promptly procure that the Company registers as owners of the Shares the Pledgee and/or any nominees of the Pledgee or the purchasers of the Shares or otherwise any and all persons entitled to own the Shares as owners of the Shares pursuant to the exercise by the Pledgee of its said rights and powers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(f)</w:t>
            </w:r>
          </w:p>
        </w:tc>
        <w:tc>
          <w:tcPr>
            <w:tcW w:w="8473" w:type="dxa"/>
            <w:tcBorders/>
            <w:shd w:fill="auto" w:val="clear"/>
          </w:tcPr>
          <w:p>
            <w:pPr>
              <w:pStyle w:val="TableContents"/>
              <w:spacing w:before="0" w:after="283"/>
              <w:jc w:val="left"/>
              <w:rPr/>
            </w:pPr>
            <w:r>
              <w:rPr/>
              <w:t xml:space="preserve">Without limitation to the foregoing provisions of this Clause, the Pledgee shall be entitled but not obliged, in its sole discretion, to use and put into effect all or any of the documents deposited with the Pledgee under Clauses 5.1 and 5.3(c) and (d) in the exercise of any of its rights and powers under this Clause and to register as owners of the Shares the Pledgee and/or any nominees of the Pledgee or the purchasers of the Shares or otherwise any and all persons entitled to own the Shares as owners of the Shares pursuant to the exercise by the Pledgee of its said rights and powers under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(g)</w:t>
            </w:r>
          </w:p>
        </w:tc>
        <w:tc>
          <w:tcPr>
            <w:tcW w:w="8473" w:type="dxa"/>
            <w:tcBorders/>
            <w:shd w:fill="auto" w:val="clear"/>
          </w:tcPr>
          <w:p>
            <w:pPr>
              <w:pStyle w:val="TableContents"/>
              <w:spacing w:before="0" w:after="283"/>
              <w:jc w:val="left"/>
              <w:rPr/>
            </w:pPr>
            <w:r>
              <w:rPr/>
              <w:t xml:space="preserve">The Pledgor hereby waives all rights of redemption, stay or appraisal which the Pledgor has or may have under any rule of law or equity now existing or hereafter adopted.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(h)</w:t>
            </w:r>
          </w:p>
        </w:tc>
        <w:tc>
          <w:tcPr>
            <w:tcW w:w="8473" w:type="dxa"/>
            <w:tcBorders/>
            <w:shd w:fill="auto" w:val="clear"/>
          </w:tcPr>
          <w:p>
            <w:pPr>
              <w:pStyle w:val="TableContents"/>
              <w:spacing w:before="0" w:after="283"/>
              <w:jc w:val="left"/>
              <w:rPr/>
            </w:pPr>
            <w:r>
              <w:rPr/>
              <w:t xml:space="preserve">Any restriction on the power of sale conferred by law does not apply to this Security.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5"/>
        <w:gridCol w:w="8473"/>
      </w:tblGrid>
      <w:tr>
        <w:trPr/>
        <w:tc>
          <w:tcPr>
            <w:tcW w:w="816"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(i)</w:t>
            </w:r>
          </w:p>
        </w:tc>
        <w:tc>
          <w:tcPr>
            <w:tcW w:w="8473" w:type="dxa"/>
            <w:tcBorders/>
            <w:shd w:fill="auto" w:val="clear"/>
          </w:tcPr>
          <w:p>
            <w:pPr>
              <w:pStyle w:val="TableContents"/>
              <w:spacing w:before="0" w:after="283"/>
              <w:jc w:val="left"/>
              <w:rPr/>
            </w:pPr>
            <w:r>
              <w:rPr/>
              <w:t>The Parties further agree that concurrently with the issuance of the Enforcement Notice, the Pledgee shall engage the Independent Appraiser in order to determine the market value of the Shares (the “</w:t>
            </w:r>
            <w:r>
              <w:rPr>
                <w:b/>
              </w:rPr>
              <w:t>Market Value</w:t>
            </w:r>
            <w:r>
              <w:rPr/>
              <w:t xml:space="preserve">”). The Pledgee shall provide the Pledgor with a copy of the appraisal report stating the Market Value of the Shares prepared by the Independent Appraiser.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(j)</w:t>
            </w:r>
          </w:p>
        </w:tc>
        <w:tc>
          <w:tcPr>
            <w:tcW w:w="8473"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 xml:space="preserve">Where the Pledgor has elected to sell the Shares at a public sale, the initial sale price of the Shares at a first public sale shall not be less 80% of the Market Value. If the first public sale is declared not to have been successfully completed due to one of the following reasons: (i) fewer than two potential buyers have participated in the public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2"/>
        <w:gridCol w:w="8472"/>
      </w:tblGrid>
      <w:tr>
        <w:trPr/>
        <w:tc>
          <w:tcPr>
            <w:tcW w:w="1732" w:type="dxa"/>
            <w:tcBorders/>
            <w:shd w:fill="auto" w:val="clear"/>
            <w:vAlign w:val="center"/>
          </w:tcPr>
          <w:p>
            <w:pPr>
              <w:pStyle w:val="TableContents"/>
              <w:spacing w:before="0" w:after="283"/>
              <w:rPr/>
            </w:pPr>
            <w:r>
              <w:rPr/>
              <w:t> </w:t>
            </w:r>
          </w:p>
        </w:tc>
        <w:tc>
          <w:tcPr>
            <w:tcW w:w="8472" w:type="dxa"/>
            <w:tcBorders/>
            <w:shd w:fill="auto" w:val="clear"/>
          </w:tcPr>
          <w:p>
            <w:pPr>
              <w:pStyle w:val="TableContents"/>
              <w:spacing w:before="0" w:after="283"/>
              <w:jc w:val="left"/>
              <w:rPr/>
            </w:pPr>
            <w:r>
              <w:rPr/>
              <w:t xml:space="preserve">sale or (ii) none of the potential buyers offered a bid exceeding the initial sale price of the Shares, the Pledgee shall call a second public sale. The second public sale shall be conducted by successively lowering of the initial sale price. At the second public sale the Pledgee will be entitled to reduce the initial sale price of the Shares each time by 5%. If the reduction of the initial sale price equals or exceeds 30%, the sale price may be further reduced each time by 3%. The sale price (the price of realisation of the Shares) at the second public sale shall not be lower than 50% of the initial sale price.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(k)</w:t>
            </w:r>
          </w:p>
        </w:tc>
        <w:tc>
          <w:tcPr>
            <w:tcW w:w="8472" w:type="dxa"/>
            <w:tcBorders/>
            <w:shd w:fill="auto" w:val="clear"/>
          </w:tcPr>
          <w:p>
            <w:pPr>
              <w:pStyle w:val="TableContents"/>
              <w:spacing w:before="0" w:after="283"/>
              <w:jc w:val="left"/>
              <w:rPr/>
            </w:pPr>
            <w:r>
              <w:rPr/>
              <w:t xml:space="preserve">Where the Pledgor has elected to sell the Shares to a third party by way of private sale, the Shares shall be sold to such third party at a price not less than the Market Value.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4"/>
        <w:gridCol w:w="8474"/>
      </w:tblGrid>
      <w:tr>
        <w:trPr/>
        <w:tc>
          <w:tcPr>
            <w:tcW w:w="81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(l)</w:t>
            </w:r>
          </w:p>
        </w:tc>
        <w:tc>
          <w:tcPr>
            <w:tcW w:w="8474" w:type="dxa"/>
            <w:tcBorders/>
            <w:shd w:fill="auto" w:val="clear"/>
          </w:tcPr>
          <w:p>
            <w:pPr>
              <w:pStyle w:val="TableContents"/>
              <w:spacing w:before="0" w:after="283"/>
              <w:jc w:val="left"/>
              <w:rPr/>
            </w:pPr>
            <w:r>
              <w:rPr/>
              <w:t xml:space="preserve">During the time period before the Shares are sold (that cannot be shorter than the time period provided by Clause 8.1(a) above) the Pledgor may discharge the Secured Liabilities that are overdue and stop enforcement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8"/>
        <w:gridCol w:w="8470"/>
      </w:tblGrid>
      <w:tr>
        <w:trPr/>
        <w:tc>
          <w:tcPr>
            <w:tcW w:w="816"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(m)</w:t>
            </w:r>
          </w:p>
        </w:tc>
        <w:tc>
          <w:tcPr>
            <w:tcW w:w="8470" w:type="dxa"/>
            <w:tcBorders/>
            <w:shd w:fill="auto" w:val="clear"/>
          </w:tcPr>
          <w:p>
            <w:pPr>
              <w:pStyle w:val="TableContents"/>
              <w:spacing w:before="0" w:after="283"/>
              <w:jc w:val="left"/>
              <w:rPr/>
            </w:pPr>
            <w:r>
              <w:rPr/>
              <w:t xml:space="preserve">The Pledgee shall stop enforcement of the Shares if the Company or any Guarantor discharges the Secured Liabilities that are overdue during the time period before the Shares are sold (that cannot be shorter than the time period provided by Clause 8.1(a) above).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8.2</w:t>
            </w:r>
          </w:p>
        </w:tc>
        <w:tc>
          <w:tcPr>
            <w:tcW w:w="9390" w:type="dxa"/>
            <w:tcBorders/>
            <w:shd w:fill="auto" w:val="clear"/>
          </w:tcPr>
          <w:p>
            <w:pPr>
              <w:pStyle w:val="TableContents"/>
              <w:spacing w:before="0" w:after="283"/>
              <w:jc w:val="left"/>
              <w:rPr/>
            </w:pPr>
            <w:r>
              <w:rPr>
                <w:b/>
              </w:rPr>
              <w:t>No liability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Neither the Pledgee nor any Receiver will be liable for any loss arising by reason of taking any action permitted by this Deed or for any neglect, default or omission in connection with the Security Asset (save for wilful misconduct and gross negligence) or for taking possession of or realising all or any part of the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8.3</w:t>
            </w:r>
          </w:p>
        </w:tc>
        <w:tc>
          <w:tcPr>
            <w:tcW w:w="9389" w:type="dxa"/>
            <w:tcBorders/>
            <w:shd w:fill="auto" w:val="clear"/>
          </w:tcPr>
          <w:p>
            <w:pPr>
              <w:pStyle w:val="TableContents"/>
              <w:spacing w:before="0" w:after="283"/>
              <w:jc w:val="left"/>
              <w:rPr/>
            </w:pPr>
            <w:r>
              <w:rPr>
                <w:b/>
              </w:rPr>
              <w:t>Privileges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Each Receiver and the Pledgee is entitled to all the rights, powers, privileges and immunities conferred by law (including the Companies Law) on pledgees, mortgagees, charges, encumbrancers and duly appointed receivers under any law (including the Companies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8.4</w:t>
            </w:r>
          </w:p>
        </w:tc>
        <w:tc>
          <w:tcPr>
            <w:tcW w:w="9388" w:type="dxa"/>
            <w:tcBorders/>
            <w:shd w:fill="auto" w:val="clear"/>
          </w:tcPr>
          <w:p>
            <w:pPr>
              <w:pStyle w:val="TableContents"/>
              <w:spacing w:before="0" w:after="283"/>
              <w:jc w:val="left"/>
              <w:rPr/>
            </w:pPr>
            <w:r>
              <w:rPr>
                <w:b/>
              </w:rPr>
              <w:t>Protection of third parties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 person (including a purchaser) dealing with the Pledgee or a Receiver or its or his agents will be concerned to enquire: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whether the Secured Liabilities have become payable;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whether any power which the Pledgee is purporting to exercise has become exercisable or is being properly exercised;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whether any money remains due under the Security Documents;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(d)</w:t>
            </w:r>
          </w:p>
        </w:tc>
        <w:tc>
          <w:tcPr>
            <w:tcW w:w="8472" w:type="dxa"/>
            <w:tcBorders/>
            <w:shd w:fill="auto" w:val="clear"/>
          </w:tcPr>
          <w:p>
            <w:pPr>
              <w:pStyle w:val="TableContents"/>
              <w:spacing w:before="0" w:after="283"/>
              <w:jc w:val="left"/>
              <w:rPr/>
            </w:pPr>
            <w:r>
              <w:rPr/>
              <w:t xml:space="preserve">how any money paid to the Pledgee or to that Receiver is to be applied.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8.5</w:t>
            </w:r>
          </w:p>
        </w:tc>
        <w:tc>
          <w:tcPr>
            <w:tcW w:w="9389" w:type="dxa"/>
            <w:tcBorders/>
            <w:shd w:fill="auto" w:val="clear"/>
          </w:tcPr>
          <w:p>
            <w:pPr>
              <w:pStyle w:val="TableContents"/>
              <w:spacing w:before="0" w:after="283"/>
              <w:jc w:val="left"/>
              <w:rPr/>
            </w:pPr>
            <w:r>
              <w:rPr>
                <w:b/>
              </w:rPr>
              <w:t>Redemption of prior Security Interests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At any time after this Security has become enforceable, the Pledgee may: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3"/>
        <w:gridCol w:w="7556"/>
      </w:tblGrid>
      <w:tr>
        <w:trPr/>
        <w:tc>
          <w:tcPr>
            <w:tcW w:w="1735" w:type="dxa"/>
            <w:tcBorders/>
            <w:shd w:fill="auto" w:val="clear"/>
            <w:vAlign w:val="center"/>
          </w:tcPr>
          <w:p>
            <w:pPr>
              <w:pStyle w:val="TableContents"/>
              <w:spacing w:before="0" w:after="283"/>
              <w:rPr/>
            </w:pPr>
            <w:r>
              <w:rPr/>
              <w:t> </w:t>
            </w:r>
          </w:p>
        </w:tc>
        <w:tc>
          <w:tcPr>
            <w:tcW w:w="913"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redeem any prior Security Interest against any Security Asset; and/or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(ii)</w:t>
            </w:r>
          </w:p>
        </w:tc>
        <w:tc>
          <w:tcPr>
            <w:tcW w:w="7553" w:type="dxa"/>
            <w:tcBorders/>
            <w:shd w:fill="auto" w:val="clear"/>
          </w:tcPr>
          <w:p>
            <w:pPr>
              <w:pStyle w:val="TableContents"/>
              <w:spacing w:before="0" w:after="283"/>
              <w:jc w:val="left"/>
              <w:rPr/>
            </w:pPr>
            <w:r>
              <w:rPr/>
              <w:t xml:space="preserve">procure the transfer of that Security Interest to itself; and/or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(iii)</w:t>
            </w:r>
          </w:p>
        </w:tc>
        <w:tc>
          <w:tcPr>
            <w:tcW w:w="7555" w:type="dxa"/>
            <w:tcBorders/>
            <w:shd w:fill="auto" w:val="clear"/>
          </w:tcPr>
          <w:p>
            <w:pPr>
              <w:pStyle w:val="TableContents"/>
              <w:spacing w:before="0" w:after="283"/>
              <w:jc w:val="left"/>
              <w:rPr/>
            </w:pPr>
            <w:r>
              <w:rPr/>
              <w:t xml:space="preserve">settle and pass the accounts of the prior pledgee, mortgagee, chargee or encumbrancer; any accounts so settled and passed will be, in the absence of manifest error, conclusive and binding on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The Pledgor must pay to the Pledgee, promptly on demand, the costs and expenses incurred by the Pledgee in connection with any such redemption and/or transfer, including the payment of any principal or interest.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8.6</w:t>
            </w:r>
          </w:p>
        </w:tc>
        <w:tc>
          <w:tcPr>
            <w:tcW w:w="9389" w:type="dxa"/>
            <w:tcBorders/>
            <w:shd w:fill="auto" w:val="clear"/>
          </w:tcPr>
          <w:p>
            <w:pPr>
              <w:pStyle w:val="TableContents"/>
              <w:spacing w:before="0" w:after="283"/>
              <w:jc w:val="left"/>
              <w:rPr/>
            </w:pPr>
            <w:r>
              <w:rPr>
                <w:b/>
              </w:rPr>
              <w:t>Contingencies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If this Security is enforced at a time when no amount is due under the Security Documents but at a time when amounts may or will become due, the Pledgee (or the Receiver) may pay the proceeds of any recoveries effected by it into a suspense account.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9.</w:t>
            </w:r>
          </w:p>
        </w:tc>
        <w:tc>
          <w:tcPr>
            <w:tcW w:w="9392" w:type="dxa"/>
            <w:tcBorders/>
            <w:shd w:fill="auto" w:val="clear"/>
          </w:tcPr>
          <w:p>
            <w:pPr>
              <w:pStyle w:val="TableContents"/>
              <w:spacing w:before="0" w:after="283"/>
              <w:jc w:val="left"/>
              <w:rPr>
                <w:b/>
              </w:rPr>
            </w:pPr>
            <w:r>
              <w:rPr>
                <w:b/>
              </w:rPr>
              <w:t xml:space="preserve">RECEIVER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9.1</w:t>
            </w:r>
          </w:p>
        </w:tc>
        <w:tc>
          <w:tcPr>
            <w:tcW w:w="9388" w:type="dxa"/>
            <w:tcBorders/>
            <w:shd w:fill="auto" w:val="clear"/>
          </w:tcPr>
          <w:p>
            <w:pPr>
              <w:pStyle w:val="TableContents"/>
              <w:spacing w:before="0" w:after="283"/>
              <w:jc w:val="left"/>
              <w:rPr/>
            </w:pPr>
            <w:r>
              <w:rPr>
                <w:b/>
              </w:rPr>
              <w:t>Appointment of Receiver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Except as provided below, the Pledgee may appoint any one or more persons to be a Receiver of all or any part of the Security Assets if: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6"/>
        <w:gridCol w:w="914"/>
        <w:gridCol w:w="7554"/>
      </w:tblGrid>
      <w:tr>
        <w:trPr/>
        <w:tc>
          <w:tcPr>
            <w:tcW w:w="173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this Security has become enforceable;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7"/>
        <w:gridCol w:w="7552"/>
      </w:tblGrid>
      <w:tr>
        <w:trPr/>
        <w:tc>
          <w:tcPr>
            <w:tcW w:w="173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2" w:type="dxa"/>
            <w:tcBorders/>
            <w:shd w:fill="auto" w:val="clear"/>
          </w:tcPr>
          <w:p>
            <w:pPr>
              <w:pStyle w:val="TableContents"/>
              <w:spacing w:before="0" w:after="283"/>
              <w:jc w:val="left"/>
              <w:rPr/>
            </w:pPr>
            <w:r>
              <w:rPr/>
              <w:t xml:space="preserve">the Pledgor so requests the Pledgee in writing at any time.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Any appointment under paragraph (a) above may be by deed, under seal or in writing under its hand.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Except as provided below, any restriction imposed by law on the right to appoint a Receiver does not apply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9.2</w:t>
            </w:r>
          </w:p>
        </w:tc>
        <w:tc>
          <w:tcPr>
            <w:tcW w:w="9388" w:type="dxa"/>
            <w:tcBorders/>
            <w:shd w:fill="auto" w:val="clear"/>
          </w:tcPr>
          <w:p>
            <w:pPr>
              <w:pStyle w:val="TableContents"/>
              <w:spacing w:before="0" w:after="283"/>
              <w:jc w:val="left"/>
              <w:rPr/>
            </w:pPr>
            <w:r>
              <w:rPr>
                <w:b/>
              </w:rPr>
              <w:t>Removal</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by writing under its hand (subject to any requirement for an order of the court in the case of an administrative receiver) remove any Receiver appointed by it and may, whenever it thinks fit, appoint a new Receiver in the place of any Receiver whose appointment may for any reason have terminated.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9.3</w:t>
            </w:r>
          </w:p>
        </w:tc>
        <w:tc>
          <w:tcPr>
            <w:tcW w:w="9390" w:type="dxa"/>
            <w:tcBorders/>
            <w:shd w:fill="auto" w:val="clear"/>
          </w:tcPr>
          <w:p>
            <w:pPr>
              <w:pStyle w:val="TableContents"/>
              <w:spacing w:before="0" w:after="283"/>
              <w:jc w:val="left"/>
              <w:rPr/>
            </w:pPr>
            <w:r>
              <w:rPr>
                <w:b/>
              </w:rPr>
              <w:t>Remuneration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fix the remuneration of any Receiver appointed by it and any maximum rate imposed by any law will not apply.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9.4</w:t>
            </w:r>
          </w:p>
        </w:tc>
        <w:tc>
          <w:tcPr>
            <w:tcW w:w="9389" w:type="dxa"/>
            <w:tcBorders/>
            <w:shd w:fill="auto" w:val="clear"/>
          </w:tcPr>
          <w:p>
            <w:pPr>
              <w:pStyle w:val="TableContents"/>
              <w:spacing w:before="0" w:after="283"/>
              <w:jc w:val="left"/>
              <w:rPr/>
            </w:pPr>
            <w:r>
              <w:rPr>
                <w:b/>
              </w:rPr>
              <w:t>Agent of the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will be deemed to be the agent of the Pledgor for all purposes and accordingly will be deemed to be in the same position as a Receiver. The Pledgor is solely responsible for the contracts, engagements, acts, omissions, defaults and losses of a Receiver and for liabilities incurred by a Receiver.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9.5</w:t>
            </w:r>
          </w:p>
        </w:tc>
        <w:tc>
          <w:tcPr>
            <w:tcW w:w="9388" w:type="dxa"/>
            <w:tcBorders/>
            <w:shd w:fill="auto" w:val="clear"/>
          </w:tcPr>
          <w:p>
            <w:pPr>
              <w:pStyle w:val="TableContents"/>
              <w:spacing w:before="0" w:after="283"/>
              <w:jc w:val="left"/>
              <w:rPr/>
            </w:pPr>
            <w:r>
              <w:rPr>
                <w:b/>
              </w:rPr>
              <w:t>Relationship with Pledgee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To the fullest extent allowed by law, any right, power or discretion conferred by this Deed (either expressly or impliedly) or by law on a Receiver may after this Security becomes enforceable be exercised by the Pledgee in relation to any Security Asset without first appointing a Receiver or notwithstanding the appointment of a Receiver.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10.</w:t>
            </w:r>
          </w:p>
        </w:tc>
        <w:tc>
          <w:tcPr>
            <w:tcW w:w="9390" w:type="dxa"/>
            <w:tcBorders/>
            <w:shd w:fill="auto" w:val="clear"/>
          </w:tcPr>
          <w:p>
            <w:pPr>
              <w:pStyle w:val="TableContents"/>
              <w:spacing w:before="0" w:after="283"/>
              <w:jc w:val="left"/>
              <w:rPr>
                <w:b/>
              </w:rPr>
            </w:pPr>
            <w:r>
              <w:rPr>
                <w:b/>
              </w:rPr>
              <w:t xml:space="preserve">POWERS OF RECEIVER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10.1</w:t>
            </w:r>
          </w:p>
        </w:tc>
        <w:tc>
          <w:tcPr>
            <w:tcW w:w="9389" w:type="dxa"/>
            <w:tcBorders/>
            <w:shd w:fill="auto" w:val="clear"/>
          </w:tcPr>
          <w:p>
            <w:pPr>
              <w:pStyle w:val="TableContents"/>
              <w:spacing w:before="0" w:after="283"/>
              <w:jc w:val="left"/>
              <w:rPr/>
            </w:pPr>
            <w:r>
              <w:rPr>
                <w:b/>
              </w:rPr>
              <w:t>General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 Receiver has all the rights, powers and discretions set out below in this Clause in addition to those conferred on it by any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8"/>
        <w:gridCol w:w="8474"/>
      </w:tblGrid>
      <w:tr>
        <w:trPr/>
        <w:tc>
          <w:tcPr>
            <w:tcW w:w="81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If there is more than one Receiver holding office at the same time, each Receiver may (unless the document appointing him states otherwise) exercise all the powers conferred on a Receiver under this Deed individually and to the exclusion of any other Receiver.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10.2</w:t>
            </w:r>
          </w:p>
        </w:tc>
        <w:tc>
          <w:tcPr>
            <w:tcW w:w="9389" w:type="dxa"/>
            <w:tcBorders/>
            <w:shd w:fill="auto" w:val="clear"/>
          </w:tcPr>
          <w:p>
            <w:pPr>
              <w:pStyle w:val="TableContents"/>
              <w:spacing w:before="0" w:after="283"/>
              <w:jc w:val="left"/>
              <w:rPr/>
            </w:pPr>
            <w:r>
              <w:rPr>
                <w:b/>
              </w:rPr>
              <w:t>Possession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take immediate possession of, get in and collect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10.3</w:t>
            </w:r>
          </w:p>
        </w:tc>
        <w:tc>
          <w:tcPr>
            <w:tcW w:w="9389" w:type="dxa"/>
            <w:tcBorders/>
            <w:shd w:fill="auto" w:val="clear"/>
          </w:tcPr>
          <w:p>
            <w:pPr>
              <w:pStyle w:val="TableContents"/>
              <w:spacing w:before="0" w:after="283"/>
              <w:jc w:val="left"/>
              <w:rPr/>
            </w:pPr>
            <w:r>
              <w:rPr>
                <w:b/>
              </w:rPr>
              <w:t>Carry on business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carry on any business of the Pledgor in relation to the Secured Assets in any manner it thinks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10.4</w:t>
            </w:r>
          </w:p>
        </w:tc>
        <w:tc>
          <w:tcPr>
            <w:tcW w:w="9389" w:type="dxa"/>
            <w:tcBorders/>
            <w:shd w:fill="auto" w:val="clear"/>
          </w:tcPr>
          <w:p>
            <w:pPr>
              <w:pStyle w:val="TableContents"/>
              <w:spacing w:before="0" w:after="283"/>
              <w:jc w:val="left"/>
              <w:rPr/>
            </w:pPr>
            <w:r>
              <w:rPr>
                <w:b/>
              </w:rPr>
              <w:t>Employees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 Receiver may appoint and discharge managers, officers, agents, accountants, servants, workmen and others for the purposes of this Deed upon such terms as to remuneration or otherwise as he thinks fit.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A Receiver may discharge any person appointed by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10.5</w:t>
            </w:r>
          </w:p>
        </w:tc>
        <w:tc>
          <w:tcPr>
            <w:tcW w:w="9389" w:type="dxa"/>
            <w:tcBorders/>
            <w:shd w:fill="auto" w:val="clear"/>
          </w:tcPr>
          <w:p>
            <w:pPr>
              <w:pStyle w:val="TableContents"/>
              <w:spacing w:before="0" w:after="283"/>
              <w:jc w:val="left"/>
              <w:rPr/>
            </w:pPr>
            <w:r>
              <w:rPr>
                <w:b/>
              </w:rPr>
              <w:t>Borrow money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raise and borrow money either unsecured or on the security of any Security Asset either in priority to this Security or otherwise and generally on any terms and for whatever purpose which he thinks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10.6</w:t>
            </w:r>
          </w:p>
        </w:tc>
        <w:tc>
          <w:tcPr>
            <w:tcW w:w="9390" w:type="dxa"/>
            <w:tcBorders/>
            <w:shd w:fill="auto" w:val="clear"/>
          </w:tcPr>
          <w:p>
            <w:pPr>
              <w:pStyle w:val="TableContents"/>
              <w:spacing w:before="0" w:after="283"/>
              <w:jc w:val="left"/>
              <w:rPr/>
            </w:pPr>
            <w:r>
              <w:rPr>
                <w:b/>
              </w:rPr>
              <w:t>Sale of assets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A Receiver may sell, exchange, convert into money and realise any Security Asset by public auction or private contract and generally in any manner and on any terms which he thinks fit.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The consideration for any such transaction may consist of cash, debentures or other obligations, shares, stock or other valuable consideration and any such consideration may be payable in a lump sum or by instalments spread over any period which it thinks fit.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Fixtures may be severed and sold separately from the property containing them without the consent of the Pledgor.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10.7</w:t>
            </w:r>
          </w:p>
        </w:tc>
        <w:tc>
          <w:tcPr>
            <w:tcW w:w="9389" w:type="dxa"/>
            <w:tcBorders/>
            <w:shd w:fill="auto" w:val="clear"/>
          </w:tcPr>
          <w:p>
            <w:pPr>
              <w:pStyle w:val="TableContents"/>
              <w:spacing w:before="0" w:after="283"/>
              <w:jc w:val="left"/>
              <w:rPr/>
            </w:pPr>
            <w:r>
              <w:rPr>
                <w:b/>
              </w:rPr>
              <w:t>Leases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let any Security Asset for any term and at any rent (with or without a premium) which it thinks fit and may accept a surrender of any lease or tenancy of any Security Asset on any terms which he thinks fit (including the payment of money to a lessee or tenant on a surrender).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10.8</w:t>
            </w:r>
          </w:p>
        </w:tc>
        <w:tc>
          <w:tcPr>
            <w:tcW w:w="9388" w:type="dxa"/>
            <w:tcBorders/>
            <w:shd w:fill="auto" w:val="clear"/>
          </w:tcPr>
          <w:p>
            <w:pPr>
              <w:pStyle w:val="TableContents"/>
              <w:spacing w:before="0" w:after="283"/>
              <w:jc w:val="left"/>
              <w:rPr/>
            </w:pPr>
            <w:r>
              <w:rPr>
                <w:b/>
              </w:rPr>
              <w:t>Compromise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settle, adjust, refer to arbitration, compromise and arrange any claim, account, dispute, question or demand with or by any person who is or claims to be a creditor of the Pledgor or relating in any way to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10.9</w:t>
            </w:r>
          </w:p>
        </w:tc>
        <w:tc>
          <w:tcPr>
            <w:tcW w:w="9389" w:type="dxa"/>
            <w:tcBorders/>
            <w:shd w:fill="auto" w:val="clear"/>
          </w:tcPr>
          <w:p>
            <w:pPr>
              <w:pStyle w:val="TableContents"/>
              <w:spacing w:before="0" w:after="283"/>
              <w:jc w:val="left"/>
              <w:rPr/>
            </w:pPr>
            <w:r>
              <w:rPr>
                <w:b/>
              </w:rPr>
              <w:t>Legal actions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bring, prosecute, enforce, defend and abandon any action, suit or proceedings in relation to any Security Asset which it thinks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10.10</w:t>
            </w:r>
          </w:p>
        </w:tc>
        <w:tc>
          <w:tcPr>
            <w:tcW w:w="9388" w:type="dxa"/>
            <w:tcBorders/>
            <w:shd w:fill="auto" w:val="clear"/>
          </w:tcPr>
          <w:p>
            <w:pPr>
              <w:pStyle w:val="TableContents"/>
              <w:spacing w:before="0" w:after="283"/>
              <w:jc w:val="left"/>
              <w:rPr/>
            </w:pPr>
            <w:r>
              <w:rPr>
                <w:b/>
              </w:rPr>
              <w:t>Receipts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give a valid receipt for any moneys and execute any assurance or thing which may be proper or desirable for realising any Security Asset.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10.11</w:t>
            </w:r>
          </w:p>
        </w:tc>
        <w:tc>
          <w:tcPr>
            <w:tcW w:w="9389" w:type="dxa"/>
            <w:tcBorders/>
            <w:shd w:fill="auto" w:val="clear"/>
          </w:tcPr>
          <w:p>
            <w:pPr>
              <w:pStyle w:val="TableContents"/>
              <w:spacing w:before="0" w:after="283"/>
              <w:jc w:val="left"/>
              <w:rPr/>
            </w:pPr>
            <w:r>
              <w:rPr>
                <w:b/>
              </w:rPr>
              <w:t>Delegation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delegate his powers in accordance with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10.12</w:t>
            </w:r>
          </w:p>
        </w:tc>
        <w:tc>
          <w:tcPr>
            <w:tcW w:w="9388" w:type="dxa"/>
            <w:tcBorders/>
            <w:shd w:fill="auto" w:val="clear"/>
          </w:tcPr>
          <w:p>
            <w:pPr>
              <w:pStyle w:val="TableContents"/>
              <w:spacing w:before="0" w:after="283"/>
              <w:jc w:val="left"/>
              <w:rPr/>
            </w:pPr>
            <w:r>
              <w:rPr>
                <w:b/>
              </w:rPr>
              <w:t>Lending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lend money or advance credit to any customer of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10.13</w:t>
            </w:r>
          </w:p>
        </w:tc>
        <w:tc>
          <w:tcPr>
            <w:tcW w:w="9389" w:type="dxa"/>
            <w:tcBorders/>
            <w:shd w:fill="auto" w:val="clear"/>
          </w:tcPr>
          <w:p>
            <w:pPr>
              <w:pStyle w:val="TableContents"/>
              <w:spacing w:before="0" w:after="283"/>
              <w:jc w:val="left"/>
              <w:rPr/>
            </w:pPr>
            <w:r>
              <w:rPr>
                <w:b/>
              </w:rPr>
              <w:t>Protection of assets A Receiver may</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effect any repair or insurance and do any other act which the Pledgor might do in the ordinary conduct of its business to protect or improve any Security Asset;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commence and/or complete any building operation;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apply for and maintain any planning permission, building regulation approval or any other authorisation, </w:t>
            </w:r>
          </w:p>
        </w:tc>
      </w:tr>
    </w:tbl>
    <w:p>
      <w:pPr>
        <w:pStyle w:val="TextBody"/>
        <w:spacing w:before="120" w:after="0"/>
        <w:rPr>
          <w:rFonts w:ascii="Times New Roman" w:hAnsi="Times New Roman"/>
          <w:sz w:val="20"/>
        </w:rPr>
      </w:pPr>
      <w:r>
        <w:rPr>
          <w:rFonts w:ascii="Times New Roman" w:hAnsi="Times New Roman"/>
          <w:sz w:val="20"/>
        </w:rPr>
        <w:t xml:space="preserve">in each case as he thinks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10.14</w:t>
            </w:r>
          </w:p>
        </w:tc>
        <w:tc>
          <w:tcPr>
            <w:tcW w:w="9388" w:type="dxa"/>
            <w:tcBorders/>
            <w:shd w:fill="auto" w:val="clear"/>
          </w:tcPr>
          <w:p>
            <w:pPr>
              <w:pStyle w:val="TableContents"/>
              <w:spacing w:before="0" w:after="283"/>
              <w:jc w:val="left"/>
              <w:rPr/>
            </w:pPr>
            <w:r>
              <w:rPr>
                <w:b/>
              </w:rPr>
              <w:t>Other powers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 Receiver may: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do all other acts and things which he may consider desirable or necessary for realising any Security Asset or incidental or conducive to any of the rights, powers or discretions conferred on a Receiver under or by virtue of this Deed or by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exercise in relation to any Security Asset all the powers, authorities and things which he would be capable of exercising if he were the absolute beneficial owner of that Security Asset;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use the name of the Pledgor for any of the above purposes.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11.</w:t>
            </w:r>
          </w:p>
        </w:tc>
        <w:tc>
          <w:tcPr>
            <w:tcW w:w="9389" w:type="dxa"/>
            <w:tcBorders/>
            <w:shd w:fill="auto" w:val="clear"/>
          </w:tcPr>
          <w:p>
            <w:pPr>
              <w:pStyle w:val="TableContents"/>
              <w:spacing w:before="0" w:after="283"/>
              <w:jc w:val="left"/>
              <w:rPr>
                <w:b/>
              </w:rPr>
            </w:pPr>
            <w:r>
              <w:rPr>
                <w:b/>
              </w:rPr>
              <w:t xml:space="preserve">APPLICATION OF PROCEEDS </w:t>
            </w:r>
          </w:p>
        </w:tc>
      </w:tr>
    </w:tbl>
    <w:p>
      <w:pPr>
        <w:pStyle w:val="TextBody"/>
        <w:spacing w:before="120" w:after="0"/>
        <w:rPr>
          <w:rFonts w:ascii="Times New Roman" w:hAnsi="Times New Roman"/>
          <w:sz w:val="20"/>
        </w:rPr>
      </w:pPr>
      <w:r>
        <w:rPr>
          <w:rFonts w:ascii="Times New Roman" w:hAnsi="Times New Roman"/>
          <w:sz w:val="20"/>
        </w:rPr>
        <w:t xml:space="preserve">Unless otherwise determined by the Pledgee or a Receiver, any moneys received by the Pledgee or that Receiver after this Security has become enforceable must be applied in accordance with the Facility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in or towards payment of or provision for all costs and expenses incurred by the Pledgee or any Receiver under or in connection with this Deed and of all remuneration due to any Receiver under or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in or towards payment of or provision for the Secured Liabilities;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19"/>
        <w:gridCol w:w="8473"/>
      </w:tblGrid>
      <w:tr>
        <w:trPr/>
        <w:tc>
          <w:tcPr>
            <w:tcW w:w="81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in payment of the surplus (if any) to the Pledgor or other person entitled to it. </w:t>
            </w:r>
          </w:p>
        </w:tc>
      </w:tr>
    </w:tbl>
    <w:p>
      <w:pPr>
        <w:pStyle w:val="TextBody"/>
        <w:spacing w:before="120" w:after="0"/>
        <w:rPr>
          <w:rFonts w:ascii="Times New Roman" w:hAnsi="Times New Roman"/>
          <w:sz w:val="20"/>
        </w:rPr>
      </w:pPr>
      <w:r>
        <w:rPr>
          <w:rFonts w:ascii="Times New Roman" w:hAnsi="Times New Roman"/>
          <w:sz w:val="20"/>
        </w:rPr>
        <w:t xml:space="preserve">This Clause is subject to the payment of any claims having priority over this Security. Subject to Clause 17.3, this Clause does not prejudice the right of the Pledgee to recover any shortfall from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12.</w:t>
            </w:r>
          </w:p>
        </w:tc>
        <w:tc>
          <w:tcPr>
            <w:tcW w:w="9388" w:type="dxa"/>
            <w:tcBorders/>
            <w:shd w:fill="auto" w:val="clear"/>
          </w:tcPr>
          <w:p>
            <w:pPr>
              <w:pStyle w:val="TableContents"/>
              <w:spacing w:before="0" w:after="283"/>
              <w:jc w:val="left"/>
              <w:rPr>
                <w:b/>
              </w:rPr>
            </w:pPr>
            <w:r>
              <w:rPr>
                <w:b/>
              </w:rPr>
              <w:t xml:space="preserve">EXPENSES AND INDEMNITY </w:t>
            </w:r>
          </w:p>
        </w:tc>
      </w:tr>
    </w:tbl>
    <w:p>
      <w:pPr>
        <w:pStyle w:val="TextBody"/>
        <w:spacing w:before="120" w:after="0"/>
        <w:rPr>
          <w:rFonts w:ascii="Times New Roman" w:hAnsi="Times New Roman"/>
          <w:sz w:val="20"/>
        </w:rPr>
      </w:pPr>
      <w:r>
        <w:rPr>
          <w:rFonts w:ascii="Times New Roman" w:hAnsi="Times New Roman"/>
          <w:sz w:val="20"/>
        </w:rPr>
        <w:t xml:space="preserve">The Pledgor must procure that the Borrower or any other member of the Group: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promptly on demand pays all costs and expenses (including stamp duty and legal fees) incurred in connection with this Deed (provided that the costs for its preparation and negotiations are subject to the prior agreed cap) or any amendment of or waiver or consent under this Deed by the Pledgee, attorney-in-fact, Receiver, manager, agent or other person appointed by the Pledgee under this Deed;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keep each of them indemnified against any failure or delay in paying those costs or expenses and any loss or liability incurred by it in connection with any litigation, arbitration or administrative proceedings concerning this Security; this includes any loss or liability arising from any actual or alleged breach by any person of any law or regulation.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13.</w:t>
            </w:r>
          </w:p>
        </w:tc>
        <w:tc>
          <w:tcPr>
            <w:tcW w:w="9390" w:type="dxa"/>
            <w:tcBorders/>
            <w:shd w:fill="auto" w:val="clear"/>
          </w:tcPr>
          <w:p>
            <w:pPr>
              <w:pStyle w:val="TableContents"/>
              <w:spacing w:before="0" w:after="283"/>
              <w:jc w:val="left"/>
              <w:rPr>
                <w:b/>
              </w:rPr>
            </w:pPr>
            <w:r>
              <w:rPr>
                <w:b/>
              </w:rPr>
              <w:t xml:space="preserve">DELEGATION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13.1</w:t>
            </w:r>
          </w:p>
        </w:tc>
        <w:tc>
          <w:tcPr>
            <w:tcW w:w="9389" w:type="dxa"/>
            <w:tcBorders/>
            <w:shd w:fill="auto" w:val="clear"/>
          </w:tcPr>
          <w:p>
            <w:pPr>
              <w:pStyle w:val="TableContents"/>
              <w:spacing w:before="0" w:after="283"/>
              <w:jc w:val="left"/>
              <w:rPr/>
            </w:pPr>
            <w:r>
              <w:rPr>
                <w:b/>
              </w:rPr>
              <w:t>Power of Attorney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or any Receiver may delegate by power of attorney or in any other manner to any person any right, power or discretion exercisable by it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13.2</w:t>
            </w:r>
          </w:p>
        </w:tc>
        <w:tc>
          <w:tcPr>
            <w:tcW w:w="9389"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such delegation may be made upon any terms (including power to sub-delegate) which the Pledgee or any Receiver may think fit.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13.3</w:t>
            </w:r>
          </w:p>
        </w:tc>
        <w:tc>
          <w:tcPr>
            <w:tcW w:w="9390" w:type="dxa"/>
            <w:tcBorders/>
            <w:shd w:fill="auto" w:val="clear"/>
          </w:tcPr>
          <w:p>
            <w:pPr>
              <w:pStyle w:val="TableContents"/>
              <w:spacing w:before="0" w:after="283"/>
              <w:jc w:val="left"/>
              <w:rPr/>
            </w:pPr>
            <w:r>
              <w:rPr>
                <w:b/>
              </w:rPr>
              <w:t>Liability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Neither the Pledgee nor any Receiver will be in any way liable or responsible to the Pledgor for any loss or liability arising from any act, default, omission or misconduct on the part of any delegate or sub-delegate.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14.</w:t>
            </w:r>
          </w:p>
        </w:tc>
        <w:tc>
          <w:tcPr>
            <w:tcW w:w="9389" w:type="dxa"/>
            <w:tcBorders/>
            <w:shd w:fill="auto" w:val="clear"/>
          </w:tcPr>
          <w:p>
            <w:pPr>
              <w:pStyle w:val="TableContents"/>
              <w:spacing w:before="0" w:after="283"/>
              <w:jc w:val="left"/>
              <w:rPr>
                <w:b/>
              </w:rPr>
            </w:pPr>
            <w:r>
              <w:rPr>
                <w:b/>
              </w:rPr>
              <w:t xml:space="preserve">FURTHER ASSURANCES </w:t>
            </w:r>
          </w:p>
        </w:tc>
      </w:tr>
    </w:tbl>
    <w:p>
      <w:pPr>
        <w:pStyle w:val="TextBody"/>
        <w:spacing w:before="120" w:after="0"/>
        <w:rPr>
          <w:rFonts w:ascii="Times New Roman" w:hAnsi="Times New Roman"/>
          <w:sz w:val="20"/>
        </w:rPr>
      </w:pPr>
      <w:r>
        <w:rPr>
          <w:rFonts w:ascii="Times New Roman" w:hAnsi="Times New Roman"/>
          <w:sz w:val="20"/>
        </w:rPr>
        <w:t xml:space="preserve">The Pledgor must, at its own expense, take whatever action the Pledgee or a Receiver may require for: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creating, attaching, perfecting or protecting and maintaining the priority of any security intended to be created by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facilitating the realisation of any Security Asset, or the exercise of any right, power or discretion exercisable, by the Pledgee or any Receiver or any of their respective delegates or sub-delegates in respect of any Security Asset;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obtaining possession and control of any Security Asset;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facilitating the assignment or transfer of any rights and/or obligations of the Pledgee under this Deed. </w:t>
            </w:r>
          </w:p>
        </w:tc>
      </w:tr>
    </w:tbl>
    <w:p>
      <w:pPr>
        <w:pStyle w:val="TextBody"/>
        <w:spacing w:before="120" w:after="0"/>
        <w:rPr>
          <w:rFonts w:ascii="Times New Roman" w:hAnsi="Times New Roman"/>
          <w:sz w:val="20"/>
        </w:rPr>
      </w:pPr>
      <w:r>
        <w:rPr>
          <w:rFonts w:ascii="Times New Roman" w:hAnsi="Times New Roman"/>
          <w:sz w:val="20"/>
        </w:rPr>
        <w:t xml:space="preserve">This includes: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the execution of any mortgage, charge, transfer, conveyance, assignment or assurance of any property, whether to the Pledgee or to its nominee;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the giving of any notice, order or direction and the making of any registration, </w:t>
            </w:r>
          </w:p>
        </w:tc>
      </w:tr>
    </w:tbl>
    <w:p>
      <w:pPr>
        <w:pStyle w:val="TextBody"/>
        <w:spacing w:before="120" w:after="0"/>
        <w:rPr>
          <w:rFonts w:ascii="Times New Roman" w:hAnsi="Times New Roman"/>
          <w:sz w:val="20"/>
        </w:rPr>
      </w:pPr>
      <w:r>
        <w:rPr>
          <w:rFonts w:ascii="Times New Roman" w:hAnsi="Times New Roman"/>
          <w:sz w:val="20"/>
        </w:rPr>
        <w:t xml:space="preserve">which, in any such case, the Pledgee may think necessary, desirable, or expedient.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15.</w:t>
            </w:r>
          </w:p>
        </w:tc>
        <w:tc>
          <w:tcPr>
            <w:tcW w:w="9388" w:type="dxa"/>
            <w:tcBorders/>
            <w:shd w:fill="auto" w:val="clear"/>
          </w:tcPr>
          <w:p>
            <w:pPr>
              <w:pStyle w:val="TableContents"/>
              <w:spacing w:before="0" w:after="283"/>
              <w:jc w:val="left"/>
              <w:rPr>
                <w:b/>
              </w:rPr>
            </w:pPr>
            <w:r>
              <w:rPr>
                <w:b/>
              </w:rPr>
              <w:t xml:space="preserve">POWER OF ATTORNEY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15.1</w:t>
            </w:r>
          </w:p>
        </w:tc>
        <w:tc>
          <w:tcPr>
            <w:tcW w:w="9389" w:type="dxa"/>
            <w:tcBorders/>
            <w:shd w:fill="auto" w:val="clear"/>
          </w:tcPr>
          <w:p>
            <w:pPr>
              <w:pStyle w:val="TableContents"/>
              <w:spacing w:before="0" w:after="283"/>
              <w:jc w:val="left"/>
              <w:rPr/>
            </w:pPr>
            <w:r>
              <w:rPr/>
              <w:t xml:space="preserve">The Pledgor, by way of security and for good and valuable consideration (the receipt and sufficiency of which is hereby acknowledged), irrevocably and severally coupled with an interest in this Deed appoints the Pledgee, each Receiver and each of their respective delegates and sub-delegates to be its attorney-in-fact to take any action which the Pledgor is obliged to take under this Deed. The Pledgor ratifies and confirms whatever any attorney-in- fact does or purports to do under its appointment under this Clause.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15.2</w:t>
            </w:r>
          </w:p>
        </w:tc>
        <w:tc>
          <w:tcPr>
            <w:tcW w:w="9388" w:type="dxa"/>
            <w:tcBorders/>
            <w:shd w:fill="auto" w:val="clear"/>
          </w:tcPr>
          <w:p>
            <w:pPr>
              <w:pStyle w:val="TableContents"/>
              <w:spacing w:before="0" w:after="283"/>
              <w:jc w:val="left"/>
              <w:rPr/>
            </w:pPr>
            <w:r>
              <w:rPr/>
              <w:t xml:space="preserve">The power of attorney granted or otherwise made pursuant to this Deed is given by the Pledgor by way of further security for the Secured Liabilities and in order to more fully secure the performance of its obligations under this Deed and in consideration of the mutual covenants in this Deed and for other good and valuable consideration received by the Pledgor from the Pledgee (the receipt, sufficiency and adequacy of which consideration is hereby acknowledged and confirmed).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16.</w:t>
            </w:r>
          </w:p>
        </w:tc>
        <w:tc>
          <w:tcPr>
            <w:tcW w:w="9388" w:type="dxa"/>
            <w:tcBorders/>
            <w:shd w:fill="auto" w:val="clear"/>
          </w:tcPr>
          <w:p>
            <w:pPr>
              <w:pStyle w:val="TableContents"/>
              <w:spacing w:before="0" w:after="283"/>
              <w:jc w:val="left"/>
              <w:rPr>
                <w:b/>
              </w:rPr>
            </w:pPr>
            <w:r>
              <w:rPr>
                <w:b/>
              </w:rPr>
              <w:t xml:space="preserve">REGISTRATION OF SECURITY </w:t>
            </w:r>
          </w:p>
        </w:tc>
      </w:tr>
    </w:tbl>
    <w:p>
      <w:pPr>
        <w:pStyle w:val="TextBody"/>
        <w:spacing w:before="120" w:after="0"/>
        <w:rPr>
          <w:rFonts w:ascii="Times New Roman" w:hAnsi="Times New Roman"/>
          <w:sz w:val="20"/>
        </w:rPr>
      </w:pPr>
      <w:r>
        <w:rPr>
          <w:rFonts w:ascii="Times New Roman" w:hAnsi="Times New Roman"/>
          <w:sz w:val="20"/>
        </w:rPr>
        <w:t xml:space="preserve">Forthwith following execution of this Deed of Pledge, Pledgor shall: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until the full and final unconditional discharge and release of the security granted or otherwise constituted pursuant to this Deed of Pledge (the “</w:t>
            </w:r>
            <w:r>
              <w:rPr>
                <w:b/>
              </w:rPr>
              <w:t>Discharge Date</w:t>
            </w:r>
            <w:r>
              <w:rPr/>
              <w:t>”), keep and maintain a register of charges (the “</w:t>
            </w:r>
            <w:r>
              <w:rPr>
                <w:b/>
              </w:rPr>
              <w:t>Register of Charges</w:t>
            </w:r>
            <w:r>
              <w:rPr/>
              <w:t xml:space="preserve">”), at the Pledgor ‘s registered office in the BVI, in accordance with Section 162(1) of the BVI Companies Act;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until the Discharge Date, enter into the Register of Charges (and maintain therein) appropriate particulars of the security granted or otherwise constituted by this Deed of Pledge and any other security granted or otherwise constituted by Pledgor in favour of the Pledgee (collectively the “</w:t>
            </w:r>
            <w:r>
              <w:rPr>
                <w:b/>
              </w:rPr>
              <w:t>BVI Security</w:t>
            </w:r>
            <w:r>
              <w:rPr/>
              <w:t xml:space="preserve">”) (which particulars shall include all particulars required to be kept in such Register of Charges pursuant to the provisions of Section 162(1) of the BVI Companies Act), such particulars to be in a form and substance being satisfactory to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provide a copy of the Register of Charges (containing all such particulars as referred to foregoing) to the Pledgee (such copy of the Register of Charges being certified, by a Director of Pledgor, as a “true, accurate and complete copy of the original”);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0"/>
              <w:jc w:val="left"/>
              <w:rPr>
                <w:rFonts w:ascii="Times New Roman" w:hAnsi="Times New Roman"/>
                <w:sz w:val="20"/>
              </w:rPr>
            </w:pPr>
            <w:r>
              <w:rPr>
                <w:rFonts w:ascii="Times New Roman" w:hAnsi="Times New Roman"/>
                <w:sz w:val="20"/>
              </w:rPr>
              <w:t xml:space="preserve">register, or cause to be registered, in accordance with Section 163 of the BVI Companies Act, appropriate particulars of the BVI Security with the BVI Registrar (such particulars to be in a form and substance being satisfactory to the Pledgee), and the Pledgor shall cause such registration to be maintained until the Discharge Date,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733"/>
        <w:gridCol w:w="8471"/>
      </w:tblGrid>
      <w:tr>
        <w:trPr/>
        <w:tc>
          <w:tcPr>
            <w:tcW w:w="1733" w:type="dxa"/>
            <w:tcBorders/>
            <w:shd w:fill="auto" w:val="clear"/>
            <w:vAlign w:val="center"/>
          </w:tcPr>
          <w:p>
            <w:pPr>
              <w:pStyle w:val="TableContents"/>
              <w:spacing w:before="0" w:after="283"/>
              <w:rPr/>
            </w:pPr>
            <w:r>
              <w:rPr/>
              <w:t> </w:t>
            </w:r>
          </w:p>
        </w:tc>
        <w:tc>
          <w:tcPr>
            <w:tcW w:w="8471" w:type="dxa"/>
            <w:tcBorders/>
            <w:shd w:fill="auto" w:val="clear"/>
          </w:tcPr>
          <w:p>
            <w:pPr>
              <w:pStyle w:val="TableContents"/>
              <w:spacing w:before="0" w:after="283"/>
              <w:jc w:val="left"/>
              <w:rPr/>
            </w:pPr>
            <w:r>
              <w:rPr/>
              <w:t xml:space="preserve">and the Pledgor shall forthwith, following such registration in accordance with Section 163 of the BVI Companies Act as referred to foregoing, provide a copy of the certificate of registration (as issued by the BVI Registrar pursuant to Section 163(4)(b) of the BVI Companies Act) for the BVI Security to the Pledgee (such copy of the certificate of registration being certified, by a Director of the Pledgor, as a “true, accurate and complete copy of the original”).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17.</w:t>
            </w:r>
          </w:p>
        </w:tc>
        <w:tc>
          <w:tcPr>
            <w:tcW w:w="9388" w:type="dxa"/>
            <w:tcBorders/>
            <w:shd w:fill="auto" w:val="clear"/>
          </w:tcPr>
          <w:p>
            <w:pPr>
              <w:pStyle w:val="TableContents"/>
              <w:spacing w:before="0" w:after="283"/>
              <w:jc w:val="left"/>
              <w:rPr>
                <w:b/>
              </w:rPr>
            </w:pPr>
            <w:r>
              <w:rPr>
                <w:b/>
              </w:rPr>
              <w:t xml:space="preserve">MISCELLANEOUS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17.1</w:t>
            </w:r>
          </w:p>
        </w:tc>
        <w:tc>
          <w:tcPr>
            <w:tcW w:w="9389" w:type="dxa"/>
            <w:tcBorders/>
            <w:shd w:fill="auto" w:val="clear"/>
          </w:tcPr>
          <w:p>
            <w:pPr>
              <w:pStyle w:val="TableContents"/>
              <w:spacing w:before="0" w:after="283"/>
              <w:jc w:val="left"/>
              <w:rPr/>
            </w:pPr>
            <w:r>
              <w:rPr>
                <w:b/>
              </w:rPr>
              <w:t>Covenant to pay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Subject to Clause 17.3 below, the Pledgor covenants with the Pledgee that whenever the Borrower does not pay the Secured Liabilities or any amount thereof when the same falls due for payment, performance or discharge in accordance with the terms of the Facility Agreement, it shall on demand by the Pledgee pay, perform and discharge the Secured Liabilities.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17.2</w:t>
            </w:r>
          </w:p>
        </w:tc>
        <w:tc>
          <w:tcPr>
            <w:tcW w:w="9389" w:type="dxa"/>
            <w:tcBorders/>
            <w:shd w:fill="auto" w:val="clear"/>
          </w:tcPr>
          <w:p>
            <w:pPr>
              <w:pStyle w:val="TableContents"/>
              <w:spacing w:before="0" w:after="283"/>
              <w:jc w:val="left"/>
              <w:rPr/>
            </w:pPr>
            <w:r>
              <w:rPr>
                <w:b/>
              </w:rPr>
              <w:t>financial collateral</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To the extent that the assets mortgaged or charged under this Deed constitute “financial collateral” and this Deed and the obligations of the Pledgor under this Deed constitute a “security financial collateral arrangement” (in each case for the purpose of and as defined in the Financial Collateral Law 2004 (Law 43(1)/ 2004) the Pledgee shall have the right after this Security has become enforceable to appropriate all or any part of that financial collateral in or towards the satisfaction of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For the purpose of paragraph (a) above, the value of the financial collateral appropriated shall be the Market Value.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17.3</w:t>
            </w:r>
          </w:p>
        </w:tc>
        <w:tc>
          <w:tcPr>
            <w:tcW w:w="9389" w:type="dxa"/>
            <w:tcBorders/>
            <w:shd w:fill="auto" w:val="clear"/>
          </w:tcPr>
          <w:p>
            <w:pPr>
              <w:pStyle w:val="TableContents"/>
              <w:spacing w:before="0" w:after="283"/>
              <w:jc w:val="left"/>
              <w:rPr/>
            </w:pPr>
            <w:r>
              <w:rPr>
                <w:b/>
              </w:rPr>
              <w:t>Limited recourse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Notwithstanding any other provision of this Deed and any other Security Document, it is expressly agreed and understood that: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7"/>
        <w:gridCol w:w="8471"/>
      </w:tblGrid>
      <w:tr>
        <w:trPr/>
        <w:tc>
          <w:tcPr>
            <w:tcW w:w="816"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1" w:type="dxa"/>
            <w:tcBorders/>
            <w:shd w:fill="auto" w:val="clear"/>
          </w:tcPr>
          <w:p>
            <w:pPr>
              <w:pStyle w:val="TableContents"/>
              <w:spacing w:before="0" w:after="283"/>
              <w:jc w:val="left"/>
              <w:rPr/>
            </w:pPr>
            <w:r>
              <w:rPr/>
              <w:t xml:space="preserve">the sole recourse of the Pledgee to the Pledgor under this Deed is to the Pledgor’s interest in the Security Assets;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liability of the Pledgor to the Pledgee pursuant to or otherwise in connection with this Deed shall be: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6"/>
        <w:gridCol w:w="914"/>
        <w:gridCol w:w="7554"/>
      </w:tblGrid>
      <w:tr>
        <w:trPr/>
        <w:tc>
          <w:tcPr>
            <w:tcW w:w="1736"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(i)</w:t>
            </w:r>
          </w:p>
        </w:tc>
        <w:tc>
          <w:tcPr>
            <w:tcW w:w="7554" w:type="dxa"/>
            <w:tcBorders/>
            <w:shd w:fill="auto" w:val="clear"/>
          </w:tcPr>
          <w:p>
            <w:pPr>
              <w:pStyle w:val="TableContents"/>
              <w:spacing w:before="0" w:after="283"/>
              <w:jc w:val="left"/>
              <w:rPr/>
            </w:pPr>
            <w:r>
              <w:rPr/>
              <w:t xml:space="preserve">limited in aggregate to an amount equal to that recovered as a result of enforcement of this Deed with respect to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8"/>
        <w:gridCol w:w="7554"/>
      </w:tblGrid>
      <w:tr>
        <w:trPr/>
        <w:tc>
          <w:tcPr>
            <w:tcW w:w="1732"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(ii)</w:t>
            </w:r>
          </w:p>
        </w:tc>
        <w:tc>
          <w:tcPr>
            <w:tcW w:w="7554" w:type="dxa"/>
            <w:tcBorders/>
            <w:shd w:fill="auto" w:val="clear"/>
          </w:tcPr>
          <w:p>
            <w:pPr>
              <w:pStyle w:val="TableContents"/>
              <w:spacing w:before="0" w:after="283"/>
              <w:jc w:val="left"/>
              <w:rPr/>
            </w:pPr>
            <w:r>
              <w:rPr/>
              <w:t xml:space="preserve">satisfied only from the proceeds of sale or other disposal or realisation of the Shares pursuant to this Deed. </w:t>
            </w:r>
          </w:p>
        </w:tc>
      </w:tr>
    </w:tbl>
    <w:p>
      <w:pPr>
        <w:pStyle w:val="TextBody"/>
        <w:spacing w:before="120" w:after="0"/>
        <w:rPr>
          <w:rFonts w:ascii="Times New Roman" w:hAnsi="Times New Roman"/>
          <w:sz w:val="20"/>
        </w:rPr>
      </w:pPr>
      <w:r>
        <w:rPr>
          <w:rFonts w:ascii="Times New Roman" w:hAnsi="Times New Roman"/>
          <w:sz w:val="20"/>
        </w:rPr>
        <w:t xml:space="preserve">If on enforcement over the Security Assets, the net proceeds are insufficient to discharge the liabilities and obligations that the Pledgor has towards the Pledgee under this Deed, then the Pledgor shall be under no further obligations under this Deed.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18.</w:t>
            </w:r>
          </w:p>
        </w:tc>
        <w:tc>
          <w:tcPr>
            <w:tcW w:w="9389" w:type="dxa"/>
            <w:tcBorders/>
            <w:shd w:fill="auto" w:val="clear"/>
          </w:tcPr>
          <w:p>
            <w:pPr>
              <w:pStyle w:val="TableContents"/>
              <w:spacing w:before="0" w:after="283"/>
              <w:jc w:val="left"/>
              <w:rPr>
                <w:b/>
              </w:rPr>
            </w:pPr>
            <w:r>
              <w:rPr>
                <w:b/>
              </w:rPr>
              <w:t xml:space="preserve">RELEASE </w:t>
            </w:r>
          </w:p>
        </w:tc>
      </w:tr>
    </w:tbl>
    <w:p>
      <w:pPr>
        <w:pStyle w:val="TextBody"/>
        <w:spacing w:before="120" w:after="0"/>
        <w:rPr>
          <w:rFonts w:ascii="Times New Roman" w:hAnsi="Times New Roman"/>
          <w:sz w:val="20"/>
        </w:rPr>
      </w:pPr>
      <w:r>
        <w:rPr>
          <w:rFonts w:ascii="Times New Roman" w:hAnsi="Times New Roman"/>
          <w:sz w:val="20"/>
        </w:rPr>
        <w:t xml:space="preserve">At the end of the Security Period , the Pledgee shall promptly, at the request and cost of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deliver or caused to be delivered to the Pledgor or such other person, as the Pledgor may direct, the documents referred in Clause 5.1 hereof and any other documents delivered to the Pledgee pursuant to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(b)</w:t>
            </w:r>
          </w:p>
        </w:tc>
        <w:tc>
          <w:tcPr>
            <w:tcW w:w="8475" w:type="dxa"/>
            <w:tcBorders/>
            <w:shd w:fill="auto" w:val="clear"/>
          </w:tcPr>
          <w:p>
            <w:pPr>
              <w:pStyle w:val="TableContents"/>
              <w:spacing w:before="0" w:after="283"/>
              <w:jc w:val="left"/>
              <w:rPr/>
            </w:pPr>
            <w:r>
              <w:rPr/>
              <w:t xml:space="preserve">give notice of discharge of the pledge to the Company for the purpose of cancelling the memorandum of pledge made in its register of members pursuant to section 138(2) of the Contract Law, Cap. 149 (as amended);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5"/>
        <w:gridCol w:w="8475"/>
      </w:tblGrid>
      <w:tr>
        <w:trPr/>
        <w:tc>
          <w:tcPr>
            <w:tcW w:w="814"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5" w:type="dxa"/>
            <w:tcBorders/>
            <w:shd w:fill="auto" w:val="clear"/>
          </w:tcPr>
          <w:p>
            <w:pPr>
              <w:pStyle w:val="TableContents"/>
              <w:spacing w:before="0" w:after="283"/>
              <w:jc w:val="left"/>
              <w:rPr/>
            </w:pPr>
            <w:r>
              <w:rPr/>
              <w:t xml:space="preserve">execute whatever documents and take whatever action is reasonably required to release the Security Assets from this Security and terminate any powers of attorney or other like appointments.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19.</w:t>
            </w:r>
          </w:p>
        </w:tc>
        <w:tc>
          <w:tcPr>
            <w:tcW w:w="9391" w:type="dxa"/>
            <w:tcBorders/>
            <w:shd w:fill="auto" w:val="clear"/>
          </w:tcPr>
          <w:p>
            <w:pPr>
              <w:pStyle w:val="TableContents"/>
              <w:spacing w:before="0" w:after="283"/>
              <w:jc w:val="left"/>
              <w:rPr>
                <w:b/>
              </w:rPr>
            </w:pPr>
            <w:r>
              <w:rPr>
                <w:b/>
              </w:rPr>
              <w:t xml:space="preserve">CHANGES TO THE PARTIES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19.1</w:t>
            </w:r>
          </w:p>
        </w:tc>
        <w:tc>
          <w:tcPr>
            <w:tcW w:w="9389" w:type="dxa"/>
            <w:tcBorders/>
            <w:shd w:fill="auto" w:val="clear"/>
          </w:tcPr>
          <w:p>
            <w:pPr>
              <w:pStyle w:val="TableContents"/>
              <w:spacing w:before="0" w:after="283"/>
              <w:jc w:val="left"/>
              <w:rPr/>
            </w:pPr>
            <w:r>
              <w:rPr>
                <w:b/>
              </w:rPr>
              <w:t>The Pledgor</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may not assign or transfer any of its rights or obligations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19.2</w:t>
            </w:r>
          </w:p>
        </w:tc>
        <w:tc>
          <w:tcPr>
            <w:tcW w:w="9389" w:type="dxa"/>
            <w:tcBorders/>
            <w:shd w:fill="auto" w:val="clear"/>
          </w:tcPr>
          <w:p>
            <w:pPr>
              <w:pStyle w:val="TableContents"/>
              <w:spacing w:before="0" w:after="283"/>
              <w:jc w:val="left"/>
              <w:rPr/>
            </w:pPr>
            <w:r>
              <w:rPr>
                <w:b/>
              </w:rPr>
              <w:t>The Pledgee</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Pledgee may assign or otherwise dispose of all or any of its rights under this Deed to any person to whom it assigns or transfers its rights and obligations under the Facility Agreement, in accordance with the terms of the Security Documents to which it is a party and may disclose any information in its possession relating to the Pledgor to any actual or prospective assignee, transferee or participant.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19.3</w:t>
            </w:r>
          </w:p>
        </w:tc>
        <w:tc>
          <w:tcPr>
            <w:tcW w:w="9389" w:type="dxa"/>
            <w:tcBorders/>
            <w:shd w:fill="auto" w:val="clear"/>
          </w:tcPr>
          <w:p>
            <w:pPr>
              <w:pStyle w:val="TableContents"/>
              <w:spacing w:before="0" w:after="283"/>
              <w:jc w:val="left"/>
              <w:rPr>
                <w:b/>
              </w:rPr>
            </w:pPr>
            <w:r>
              <w:rPr>
                <w:b/>
              </w:rPr>
              <w:t xml:space="preserve">Successors and Assigns </w:t>
            </w:r>
          </w:p>
        </w:tc>
      </w:tr>
    </w:tbl>
    <w:p>
      <w:pPr>
        <w:pStyle w:val="TextBody"/>
        <w:spacing w:before="120" w:after="0"/>
        <w:rPr>
          <w:rFonts w:ascii="Times New Roman" w:hAnsi="Times New Roman"/>
          <w:sz w:val="20"/>
        </w:rPr>
      </w:pPr>
      <w:r>
        <w:rPr>
          <w:rFonts w:ascii="Times New Roman" w:hAnsi="Times New Roman"/>
          <w:sz w:val="20"/>
        </w:rPr>
        <w:t xml:space="preserve">This Deed shall be binding upon and shall inure to the benefit of and be enforceable by and against the Parties and their respective heirs, executors, legal representatives, successors, assigns and permitted transferees.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20.</w:t>
            </w:r>
          </w:p>
        </w:tc>
        <w:tc>
          <w:tcPr>
            <w:tcW w:w="9390" w:type="dxa"/>
            <w:tcBorders/>
            <w:shd w:fill="auto" w:val="clear"/>
          </w:tcPr>
          <w:p>
            <w:pPr>
              <w:pStyle w:val="TableContents"/>
              <w:spacing w:before="0" w:after="283"/>
              <w:jc w:val="left"/>
              <w:rPr>
                <w:b/>
              </w:rPr>
            </w:pPr>
            <w:r>
              <w:rPr>
                <w:b/>
              </w:rPr>
              <w:t xml:space="preserve">EVIDENCE AND CALCULATIONS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20.1</w:t>
            </w:r>
          </w:p>
        </w:tc>
        <w:tc>
          <w:tcPr>
            <w:tcW w:w="9388" w:type="dxa"/>
            <w:tcBorders/>
            <w:shd w:fill="auto" w:val="clear"/>
          </w:tcPr>
          <w:p>
            <w:pPr>
              <w:pStyle w:val="TableContents"/>
              <w:spacing w:before="0" w:after="283"/>
              <w:jc w:val="left"/>
              <w:rPr/>
            </w:pPr>
            <w:r>
              <w:rPr>
                <w:b/>
              </w:rPr>
              <w:t>Accounts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Accounts maintained by the Pledgee in connection with this Deed are, in the absence of a manifest error, prima facie evidence of the matters to which they relate for the purpose of any litigation or arbitration proceedings.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20.2</w:t>
            </w:r>
          </w:p>
        </w:tc>
        <w:tc>
          <w:tcPr>
            <w:tcW w:w="9389" w:type="dxa"/>
            <w:tcBorders/>
            <w:shd w:fill="auto" w:val="clear"/>
          </w:tcPr>
          <w:p>
            <w:pPr>
              <w:pStyle w:val="TableContents"/>
              <w:spacing w:before="0" w:after="283"/>
              <w:jc w:val="left"/>
              <w:rPr/>
            </w:pPr>
            <w:r>
              <w:rPr>
                <w:b/>
              </w:rPr>
              <w:t>Certificates and determinations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Any certification or determination by the Pledgee of a rate or amount under the Security Documents will be, in the absence of manifest error, conclusive evidence of the matters to which it relates.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21.</w:t>
            </w:r>
          </w:p>
        </w:tc>
        <w:tc>
          <w:tcPr>
            <w:tcW w:w="9388" w:type="dxa"/>
            <w:tcBorders/>
            <w:shd w:fill="auto" w:val="clear"/>
          </w:tcPr>
          <w:p>
            <w:pPr>
              <w:pStyle w:val="TableContents"/>
              <w:spacing w:before="0" w:after="283"/>
              <w:jc w:val="left"/>
              <w:rPr>
                <w:b/>
              </w:rPr>
            </w:pPr>
            <w:r>
              <w:rPr>
                <w:b/>
              </w:rPr>
              <w:t xml:space="preserve">NOTICES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21.1</w:t>
            </w:r>
          </w:p>
        </w:tc>
        <w:tc>
          <w:tcPr>
            <w:tcW w:w="9388" w:type="dxa"/>
            <w:tcBorders/>
            <w:shd w:fill="auto" w:val="clear"/>
          </w:tcPr>
          <w:p>
            <w:pPr>
              <w:pStyle w:val="TableContents"/>
              <w:spacing w:before="0" w:after="283"/>
              <w:jc w:val="left"/>
              <w:rPr/>
            </w:pPr>
            <w:r>
              <w:rPr>
                <w:b/>
              </w:rPr>
              <w:t>In writing</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(a)</w:t>
            </w:r>
          </w:p>
        </w:tc>
        <w:tc>
          <w:tcPr>
            <w:tcW w:w="8476" w:type="dxa"/>
            <w:tcBorders/>
            <w:shd w:fill="auto" w:val="clear"/>
          </w:tcPr>
          <w:p>
            <w:pPr>
              <w:pStyle w:val="TableContents"/>
              <w:spacing w:before="0" w:after="283"/>
              <w:jc w:val="left"/>
              <w:rPr/>
            </w:pPr>
            <w:r>
              <w:rPr/>
              <w:t xml:space="preserve">Any communication in connection with this Deed must be in writing and, unless otherwise stated, may be given in person, by international courier service, by fax or e- mail.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Unless it is agreed to the contrary, any consent or agreement required under this Deed must be given in writing.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21.2</w:t>
            </w:r>
          </w:p>
        </w:tc>
        <w:tc>
          <w:tcPr>
            <w:tcW w:w="9390" w:type="dxa"/>
            <w:tcBorders/>
            <w:shd w:fill="auto" w:val="clear"/>
          </w:tcPr>
          <w:p>
            <w:pPr>
              <w:pStyle w:val="TableContents"/>
              <w:spacing w:before="0" w:after="283"/>
              <w:jc w:val="left"/>
              <w:rPr/>
            </w:pPr>
            <w:r>
              <w:rPr>
                <w:b/>
              </w:rPr>
              <w:t>Contact details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contact details of the Pledgor for all notices in connection with this Deed are: </w:t>
            </w:r>
          </w:p>
        </w:tc>
      </w:tr>
    </w:tbl>
    <w:p>
      <w:pPr>
        <w:pStyle w:val="TextBody"/>
        <w:spacing w:before="120" w:after="0"/>
        <w:rPr>
          <w:rFonts w:ascii="Times New Roman" w:hAnsi="Times New Roman"/>
          <w:sz w:val="20"/>
        </w:rPr>
      </w:pPr>
      <w:r>
        <w:rPr>
          <w:rFonts w:ascii="Times New Roman" w:hAnsi="Times New Roman"/>
          <w:sz w:val="20"/>
        </w:rPr>
        <w:t xml:space="preserve">Address: Trident Chambers. P.O., Box 146, Road Town, Tortola, Virgin Islands (British) </w:t>
      </w:r>
    </w:p>
    <w:p>
      <w:pPr>
        <w:pStyle w:val="TextBody"/>
        <w:spacing w:before="120" w:after="0"/>
        <w:rPr>
          <w:rFonts w:ascii="Times New Roman" w:hAnsi="Times New Roman"/>
          <w:sz w:val="20"/>
        </w:rPr>
      </w:pPr>
      <w:r>
        <w:rPr>
          <w:rFonts w:ascii="Times New Roman" w:hAnsi="Times New Roman"/>
          <w:sz w:val="20"/>
        </w:rPr>
        <w:t xml:space="preserve">Email: </w:t>
      </w:r>
      <w:r>
        <w:rPr>
          <w:rFonts w:ascii="Times New Roman" w:hAnsi="Times New Roman"/>
          <w:sz w:val="20"/>
          <w:u w:val="single"/>
        </w:rPr>
        <w:t>info@fidnserve.com</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sz w:val="20"/>
        </w:rPr>
        <w:t xml:space="preserve">Tax:+357 22 679096 </w:t>
      </w:r>
    </w:p>
    <w:p>
      <w:pPr>
        <w:pStyle w:val="TextBody"/>
        <w:spacing w:before="120" w:after="0"/>
        <w:rPr>
          <w:rFonts w:ascii="Times New Roman" w:hAnsi="Times New Roman"/>
          <w:sz w:val="20"/>
        </w:rPr>
      </w:pPr>
      <w:r>
        <w:rPr>
          <w:rFonts w:ascii="Times New Roman" w:hAnsi="Times New Roman"/>
          <w:sz w:val="20"/>
        </w:rPr>
        <w:t xml:space="preserve">Attention: Stelios Haralambous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contact details of the Pledgee for all notices in connection with this Deed are: </w:t>
            </w:r>
          </w:p>
        </w:tc>
      </w:tr>
    </w:tbl>
    <w:p>
      <w:pPr>
        <w:pStyle w:val="TextBody"/>
        <w:spacing w:before="120" w:after="0"/>
        <w:rPr>
          <w:rFonts w:ascii="Times New Roman" w:hAnsi="Times New Roman"/>
          <w:sz w:val="20"/>
        </w:rPr>
      </w:pPr>
      <w:r>
        <w:rPr>
          <w:rFonts w:ascii="Times New Roman" w:hAnsi="Times New Roman"/>
          <w:sz w:val="20"/>
        </w:rPr>
        <w:t xml:space="preserve">Address: Ul. Bolshaya Tvlorskaya, 29, St. Petersburg 190000, Russia </w:t>
      </w:r>
    </w:p>
    <w:p>
      <w:pPr>
        <w:pStyle w:val="TextBody"/>
        <w:spacing w:before="120" w:after="0"/>
        <w:rPr>
          <w:rFonts w:ascii="Times New Roman" w:hAnsi="Times New Roman"/>
          <w:sz w:val="20"/>
        </w:rPr>
      </w:pPr>
      <w:r>
        <w:rPr>
          <w:rFonts w:ascii="Times New Roman" w:hAnsi="Times New Roman"/>
          <w:sz w:val="20"/>
        </w:rPr>
        <w:t xml:space="preserve">Email: loanadmin@msk.vtb.ru, </w:t>
      </w:r>
      <w:r>
        <w:rPr>
          <w:rFonts w:ascii="Times New Roman" w:hAnsi="Times New Roman"/>
          <w:sz w:val="20"/>
          <w:u w:val="single"/>
        </w:rPr>
        <w:t xml:space="preserve">TM21@msk.vtb.ru </w:t>
      </w:r>
    </w:p>
    <w:p>
      <w:pPr>
        <w:pStyle w:val="TextBody"/>
        <w:spacing w:before="120" w:after="0"/>
        <w:rPr>
          <w:rFonts w:ascii="Times New Roman" w:hAnsi="Times New Roman"/>
          <w:sz w:val="20"/>
        </w:rPr>
      </w:pPr>
      <w:r>
        <w:rPr>
          <w:rFonts w:ascii="Times New Roman" w:hAnsi="Times New Roman"/>
          <w:sz w:val="20"/>
        </w:rPr>
        <w:t xml:space="preserve">Fax: +7 (495) 775-54-54 </w:t>
      </w:r>
    </w:p>
    <w:p>
      <w:pPr>
        <w:pStyle w:val="TextBody"/>
        <w:spacing w:before="120" w:after="0"/>
        <w:rPr>
          <w:rFonts w:ascii="Times New Roman" w:hAnsi="Times New Roman"/>
          <w:sz w:val="20"/>
        </w:rPr>
      </w:pPr>
      <w:r>
        <w:rPr>
          <w:rFonts w:ascii="Times New Roman" w:hAnsi="Times New Roman"/>
          <w:sz w:val="20"/>
        </w:rPr>
        <w:t xml:space="preserve">Attention: Loan administration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Any Party may change its contact details by giving five Business Days’ notice to the other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21.3</w:t>
            </w:r>
          </w:p>
        </w:tc>
        <w:tc>
          <w:tcPr>
            <w:tcW w:w="9389" w:type="dxa"/>
            <w:tcBorders/>
            <w:shd w:fill="auto" w:val="clear"/>
          </w:tcPr>
          <w:p>
            <w:pPr>
              <w:pStyle w:val="TableContents"/>
              <w:spacing w:before="0" w:after="283"/>
              <w:jc w:val="left"/>
              <w:rPr/>
            </w:pPr>
            <w:r>
              <w:rPr>
                <w:b/>
              </w:rPr>
              <w:t>Effectiveness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4"/>
        <w:gridCol w:w="8476"/>
      </w:tblGrid>
      <w:tr>
        <w:trPr/>
        <w:tc>
          <w:tcPr>
            <w:tcW w:w="814" w:type="dxa"/>
            <w:tcBorders/>
            <w:shd w:fill="auto" w:val="clear"/>
            <w:vAlign w:val="center"/>
          </w:tcPr>
          <w:p>
            <w:pPr>
              <w:pStyle w:val="TableContents"/>
              <w:spacing w:before="0" w:after="283"/>
              <w:rPr/>
            </w:pPr>
            <w:r>
              <w:rPr/>
              <w:t> </w:t>
            </w:r>
          </w:p>
        </w:tc>
        <w:tc>
          <w:tcPr>
            <w:tcW w:w="914" w:type="dxa"/>
            <w:tcBorders/>
            <w:shd w:fill="auto" w:val="clear"/>
          </w:tcPr>
          <w:p>
            <w:pPr>
              <w:pStyle w:val="TableContents"/>
              <w:spacing w:before="0" w:after="283"/>
              <w:jc w:val="left"/>
              <w:rPr/>
            </w:pPr>
            <w:r>
              <w:rPr/>
              <w:t>(a)</w:t>
            </w:r>
          </w:p>
        </w:tc>
        <w:tc>
          <w:tcPr>
            <w:tcW w:w="8476" w:type="dxa"/>
            <w:tcBorders/>
            <w:shd w:fill="auto" w:val="clear"/>
          </w:tcPr>
          <w:p>
            <w:pPr>
              <w:pStyle w:val="TableContents"/>
              <w:spacing w:before="0" w:after="283"/>
              <w:jc w:val="left"/>
              <w:rPr/>
            </w:pPr>
            <w:r>
              <w:rPr/>
              <w:t xml:space="preserve">Any communication in connection with this Deed will be deemed to be given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if sent by fax or by other means allowing to determine that the message is sent by the Party to this Deed — upon receipt in eligible form;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if delivered in person or sent by an international courier service, at the time of delivery.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 communication given under paragraph (a) above but received on a non-working day or after business hours in the place of receipt will only be deemed to be given on the next working day in that place.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22.</w:t>
            </w:r>
          </w:p>
        </w:tc>
        <w:tc>
          <w:tcPr>
            <w:tcW w:w="9390" w:type="dxa"/>
            <w:tcBorders/>
            <w:shd w:fill="auto" w:val="clear"/>
          </w:tcPr>
          <w:p>
            <w:pPr>
              <w:pStyle w:val="TableContents"/>
              <w:spacing w:before="0" w:after="283"/>
              <w:jc w:val="left"/>
              <w:rPr>
                <w:b/>
              </w:rPr>
            </w:pPr>
            <w:r>
              <w:rPr>
                <w:b/>
              </w:rPr>
              <w:t xml:space="preserve">LANGUAGE </w:t>
            </w:r>
          </w:p>
        </w:tc>
      </w:tr>
    </w:tbl>
    <w:p>
      <w:pPr>
        <w:pStyle w:val="TextBody"/>
        <w:spacing w:before="120" w:after="0"/>
        <w:rPr>
          <w:rFonts w:ascii="Times New Roman" w:hAnsi="Times New Roman"/>
          <w:sz w:val="20"/>
        </w:rPr>
      </w:pPr>
      <w:r>
        <w:rPr>
          <w:rFonts w:ascii="Times New Roman" w:hAnsi="Times New Roman"/>
          <w:sz w:val="20"/>
        </w:rPr>
        <w:t xml:space="preserve">Any notice given in connection with this Deed must be in English.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23.</w:t>
            </w:r>
          </w:p>
        </w:tc>
        <w:tc>
          <w:tcPr>
            <w:tcW w:w="9390" w:type="dxa"/>
            <w:tcBorders/>
            <w:shd w:fill="auto" w:val="clear"/>
          </w:tcPr>
          <w:p>
            <w:pPr>
              <w:pStyle w:val="TableContents"/>
              <w:spacing w:before="0" w:after="283"/>
              <w:jc w:val="left"/>
              <w:rPr>
                <w:b/>
              </w:rPr>
            </w:pPr>
            <w:r>
              <w:rPr>
                <w:b/>
              </w:rPr>
              <w:t xml:space="preserve">SEVERABILITY </w:t>
            </w:r>
          </w:p>
        </w:tc>
      </w:tr>
    </w:tbl>
    <w:p>
      <w:pPr>
        <w:pStyle w:val="TextBody"/>
        <w:spacing w:before="120" w:after="0"/>
        <w:rPr>
          <w:rFonts w:ascii="Times New Roman" w:hAnsi="Times New Roman"/>
          <w:sz w:val="20"/>
        </w:rPr>
      </w:pPr>
      <w:r>
        <w:rPr>
          <w:rFonts w:ascii="Times New Roman" w:hAnsi="Times New Roman"/>
          <w:sz w:val="20"/>
        </w:rPr>
        <w:t xml:space="preserve">If a term of this Deed is or becomes illegal, invalid or unenforceable in any respect under any jurisdiction, that will not affect: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legality, validity or enforceability in that jurisdiction of any other term of this Deed; 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8"/>
        <w:gridCol w:w="8473"/>
      </w:tblGrid>
      <w:tr>
        <w:trPr/>
        <w:tc>
          <w:tcPr>
            <w:tcW w:w="813"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3" w:type="dxa"/>
            <w:tcBorders/>
            <w:shd w:fill="auto" w:val="clear"/>
          </w:tcPr>
          <w:p>
            <w:pPr>
              <w:pStyle w:val="TableContents"/>
              <w:spacing w:before="0" w:after="283"/>
              <w:jc w:val="left"/>
              <w:rPr/>
            </w:pPr>
            <w:r>
              <w:rPr/>
              <w:t xml:space="preserve">legality, validity or enforceability in any other jurisdiction of that or any other term of this Deed.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24.</w:t>
            </w:r>
          </w:p>
        </w:tc>
        <w:tc>
          <w:tcPr>
            <w:tcW w:w="9389" w:type="dxa"/>
            <w:tcBorders/>
            <w:shd w:fill="auto" w:val="clear"/>
          </w:tcPr>
          <w:p>
            <w:pPr>
              <w:pStyle w:val="TableContents"/>
              <w:spacing w:before="0" w:after="283"/>
              <w:jc w:val="left"/>
              <w:rPr>
                <w:b/>
              </w:rPr>
            </w:pPr>
            <w:r>
              <w:rPr>
                <w:b/>
              </w:rPr>
              <w:t xml:space="preserve">WAIVERS AND REMEDIES CUMULATIVE </w:t>
            </w:r>
          </w:p>
        </w:tc>
      </w:tr>
    </w:tbl>
    <w:p>
      <w:pPr>
        <w:pStyle w:val="TextBody"/>
        <w:spacing w:before="120" w:after="0"/>
        <w:rPr>
          <w:rFonts w:ascii="Times New Roman" w:hAnsi="Times New Roman"/>
          <w:sz w:val="20"/>
        </w:rPr>
      </w:pPr>
      <w:r>
        <w:rPr>
          <w:rFonts w:ascii="Times New Roman" w:hAnsi="Times New Roman"/>
          <w:sz w:val="20"/>
        </w:rPr>
        <w:t xml:space="preserve">The rights of the Pledgee under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3" w:type="dxa"/>
            <w:tcBorders/>
            <w:shd w:fill="auto" w:val="clear"/>
          </w:tcPr>
          <w:p>
            <w:pPr>
              <w:pStyle w:val="TableContents"/>
              <w:spacing w:before="0" w:after="283"/>
              <w:jc w:val="left"/>
              <w:rPr/>
            </w:pPr>
            <w:r>
              <w:rPr/>
              <w:t xml:space="preserve">may be exercised as often as necessary;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8"/>
        <w:gridCol w:w="8471"/>
      </w:tblGrid>
      <w:tr>
        <w:trPr/>
        <w:tc>
          <w:tcPr>
            <w:tcW w:w="815"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(b)</w:t>
            </w:r>
          </w:p>
        </w:tc>
        <w:tc>
          <w:tcPr>
            <w:tcW w:w="8471" w:type="dxa"/>
            <w:tcBorders/>
            <w:shd w:fill="auto" w:val="clear"/>
          </w:tcPr>
          <w:p>
            <w:pPr>
              <w:pStyle w:val="TableContents"/>
              <w:spacing w:before="0" w:after="283"/>
              <w:jc w:val="left"/>
              <w:rPr/>
            </w:pPr>
            <w:r>
              <w:rPr/>
              <w:t xml:space="preserve">are cumulative and not exclusive of its rights under the generallaw;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may be waived only in writing and specifically. </w:t>
            </w:r>
          </w:p>
        </w:tc>
      </w:tr>
    </w:tbl>
    <w:p>
      <w:pPr>
        <w:pStyle w:val="TextBody"/>
        <w:spacing w:before="120" w:after="0"/>
        <w:rPr>
          <w:rFonts w:ascii="Times New Roman" w:hAnsi="Times New Roman"/>
          <w:sz w:val="20"/>
        </w:rPr>
      </w:pPr>
      <w:r>
        <w:rPr>
          <w:rFonts w:ascii="Times New Roman" w:hAnsi="Times New Roman"/>
          <w:sz w:val="20"/>
        </w:rPr>
        <w:t xml:space="preserve">Delay in exercising or non-exercise of any right is not a waiver of that right.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25.</w:t>
            </w:r>
          </w:p>
        </w:tc>
        <w:tc>
          <w:tcPr>
            <w:tcW w:w="9388"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Deed may be executed In any number of counterparts. Tins has the same effect as if the signatures on the counterparts were on a single copy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26.</w:t>
            </w:r>
          </w:p>
        </w:tc>
        <w:tc>
          <w:tcPr>
            <w:tcW w:w="9390" w:type="dxa"/>
            <w:tcBorders/>
            <w:shd w:fill="auto" w:val="clear"/>
          </w:tcPr>
          <w:p>
            <w:pPr>
              <w:pStyle w:val="TableContents"/>
              <w:spacing w:before="0" w:after="283"/>
              <w:jc w:val="left"/>
              <w:rPr>
                <w:b/>
              </w:rPr>
            </w:pPr>
            <w:r>
              <w:rPr>
                <w:b/>
              </w:rPr>
              <w:t xml:space="preserve">GOVERNING LAW </w:t>
            </w:r>
          </w:p>
        </w:tc>
      </w:tr>
    </w:tbl>
    <w:p>
      <w:pPr>
        <w:pStyle w:val="TextBody"/>
        <w:spacing w:before="120" w:after="0"/>
        <w:rPr>
          <w:rFonts w:ascii="Times New Roman" w:hAnsi="Times New Roman"/>
          <w:sz w:val="20"/>
        </w:rPr>
      </w:pPr>
      <w:r>
        <w:rPr>
          <w:rFonts w:ascii="Times New Roman" w:hAnsi="Times New Roman"/>
          <w:sz w:val="20"/>
        </w:rPr>
        <w:t xml:space="preserve">This Deed is governed by Cyprus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27.</w:t>
            </w:r>
          </w:p>
        </w:tc>
        <w:tc>
          <w:tcPr>
            <w:tcW w:w="9389" w:type="dxa"/>
            <w:tcBorders/>
            <w:shd w:fill="auto" w:val="clear"/>
          </w:tcPr>
          <w:p>
            <w:pPr>
              <w:pStyle w:val="TableContents"/>
              <w:spacing w:before="0" w:after="283"/>
              <w:jc w:val="left"/>
              <w:rPr>
                <w:b/>
              </w:rPr>
            </w:pPr>
            <w:r>
              <w:rPr>
                <w:b/>
              </w:rPr>
              <w:t xml:space="preserve">ENFORCEMENT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27.1</w:t>
            </w:r>
          </w:p>
        </w:tc>
        <w:tc>
          <w:tcPr>
            <w:tcW w:w="9389" w:type="dxa"/>
            <w:tcBorders/>
            <w:shd w:fill="auto" w:val="clear"/>
          </w:tcPr>
          <w:p>
            <w:pPr>
              <w:pStyle w:val="TableContents"/>
              <w:spacing w:before="0" w:after="283"/>
              <w:jc w:val="left"/>
              <w:rPr/>
            </w:pPr>
            <w:r>
              <w:rPr>
                <w:b/>
              </w:rPr>
              <w:t>Jurisdiction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courts of the Republic of Cyprus have exclusive jurisdiction to settle any dispute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courts of the Republic of Cyprus are the most appropriate and convenient courts to settle any such dispute in connection with this Deed. The Pledgor agrees not to argue to the contrary and waives objection to those courts on the grounds of inconvenient forum or otherwise in relation to proceedings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References in this Clause to a dispute in connection with this Deed includes any dispute as to the existence, validity or termination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27.2</w:t>
            </w:r>
          </w:p>
        </w:tc>
        <w:tc>
          <w:tcPr>
            <w:tcW w:w="9388" w:type="dxa"/>
            <w:tcBorders/>
            <w:shd w:fill="auto" w:val="clear"/>
          </w:tcPr>
          <w:p>
            <w:pPr>
              <w:pStyle w:val="TableContents"/>
              <w:spacing w:before="0" w:after="283"/>
              <w:jc w:val="left"/>
              <w:rPr/>
            </w:pPr>
            <w:r>
              <w:rPr>
                <w:b/>
              </w:rPr>
              <w:t>Waiver of immunity</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The Pledgor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agrees not to claim any immunity from proceedings brought by the Pledgee against it in relation to this Deed and to ensure that no such claim is made on its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consents generally to the giving of any relief or the issue of any process in connection with those proceedings;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waives all rights of immunity in respect of it or its assets. </w:t>
            </w:r>
          </w:p>
        </w:tc>
      </w:tr>
    </w:tbl>
    <w:p>
      <w:pPr>
        <w:pStyle w:val="TextBody"/>
        <w:spacing w:before="240" w:after="0"/>
        <w:rPr>
          <w:rFonts w:ascii="Times New Roman" w:hAnsi="Times New Roman"/>
          <w:sz w:val="20"/>
        </w:rPr>
      </w:pPr>
      <w:r>
        <w:rPr>
          <w:rFonts w:ascii="Times New Roman" w:hAnsi="Times New Roman"/>
          <w:b/>
          <w:sz w:val="20"/>
        </w:rPr>
        <w:t xml:space="preserve">IN WITNESS WHEREOF </w:t>
      </w:r>
      <w:r>
        <w:rPr>
          <w:rFonts w:ascii="Times New Roman" w:hAnsi="Times New Roman"/>
          <w:sz w:val="20"/>
        </w:rPr>
        <w:t xml:space="preserve">this Deed has been executed and delivered on the date stated at the beginning of this Deed.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1 </w:t>
      </w:r>
    </w:p>
    <w:p>
      <w:pPr>
        <w:pStyle w:val="TextBody"/>
        <w:spacing w:before="0" w:after="0"/>
        <w:jc w:val="center"/>
        <w:rPr>
          <w:rFonts w:ascii="Times New Roman" w:hAnsi="Times New Roman"/>
          <w:b/>
          <w:sz w:val="20"/>
        </w:rPr>
      </w:pPr>
      <w:r>
        <w:rPr>
          <w:rFonts w:ascii="Times New Roman" w:hAnsi="Times New Roman"/>
          <w:b/>
          <w:sz w:val="20"/>
        </w:rPr>
        <w:t xml:space="preserve">INSTRUMENT OF TRANSFER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55"/>
        <w:gridCol w:w="203"/>
        <w:gridCol w:w="7246"/>
      </w:tblGrid>
      <w:tr>
        <w:trPr/>
        <w:tc>
          <w:tcPr>
            <w:tcW w:w="2755"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7246" w:type="dxa"/>
            <w:tcBorders/>
            <w:shd w:fill="auto" w:val="clear"/>
            <w:vAlign w:val="center"/>
          </w:tcPr>
          <w:p>
            <w:pPr>
              <w:pStyle w:val="TableContents"/>
              <w:spacing w:before="0" w:after="283"/>
              <w:rPr>
                <w:sz w:val="4"/>
                <w:szCs w:val="4"/>
              </w:rPr>
            </w:pPr>
            <w:r>
              <w:rPr>
                <w:sz w:val="4"/>
                <w:szCs w:val="4"/>
              </w:rPr>
            </w:r>
          </w:p>
        </w:tc>
      </w:tr>
      <w:tr>
        <w:trPr/>
        <w:tc>
          <w:tcPr>
            <w:tcW w:w="2755" w:type="dxa"/>
            <w:tcBorders/>
            <w:shd w:fill="auto" w:val="clear"/>
          </w:tcPr>
          <w:p>
            <w:pPr>
              <w:pStyle w:val="TableContents"/>
              <w:spacing w:before="0" w:after="283"/>
              <w:rPr/>
            </w:pPr>
            <w:r>
              <w:rPr/>
              <w:t>Name of the Company</w:t>
            </w:r>
          </w:p>
        </w:tc>
        <w:tc>
          <w:tcPr>
            <w:tcW w:w="203" w:type="dxa"/>
            <w:tcBorders/>
            <w:shd w:fill="auto" w:val="clear"/>
            <w:vAlign w:val="bottom"/>
          </w:tcPr>
          <w:p>
            <w:pPr>
              <w:pStyle w:val="TableContents"/>
              <w:spacing w:before="0" w:after="283"/>
              <w:rPr/>
            </w:pPr>
            <w:r>
              <w:rPr/>
              <w:t>  </w:t>
            </w:r>
          </w:p>
        </w:tc>
        <w:tc>
          <w:tcPr>
            <w:tcW w:w="7246" w:type="dxa"/>
            <w:tcBorders/>
            <w:shd w:fill="auto" w:val="clear"/>
          </w:tcPr>
          <w:p>
            <w:pPr>
              <w:pStyle w:val="TableContents"/>
              <w:spacing w:before="0" w:after="283"/>
              <w:rPr/>
            </w:pPr>
            <w:r>
              <w:rPr>
                <w:b/>
              </w:rPr>
              <w:t xml:space="preserve">ZEMENIK TRADING LIMITED </w:t>
            </w:r>
            <w:r>
              <w:rPr/>
              <w:t>(registered number: HE 332806) (the “</w:t>
            </w:r>
            <w:r>
              <w:rPr>
                <w:b/>
              </w:rPr>
              <w:t>Company)</w:t>
            </w:r>
          </w:p>
        </w:tc>
      </w:tr>
      <w:tr>
        <w:trPr>
          <w:trHeight w:val="120" w:hRule="atLeast"/>
        </w:trPr>
        <w:tc>
          <w:tcPr>
            <w:tcW w:w="2755" w:type="dxa"/>
            <w:tcBorders/>
            <w:shd w:fill="auto" w:val="clear"/>
            <w:vAlign w:val="center"/>
          </w:tcPr>
          <w:p>
            <w:pPr>
              <w:pStyle w:val="TableContents"/>
              <w:spacing w:before="0" w:after="283"/>
              <w:rPr>
                <w:sz w:val="4"/>
                <w:szCs w:val="4"/>
              </w:rPr>
            </w:pPr>
            <w:r>
              <w:rPr>
                <w:sz w:val="4"/>
                <w:szCs w:val="4"/>
              </w:rPr>
            </w:r>
          </w:p>
        </w:tc>
        <w:tc>
          <w:tcPr>
            <w:tcW w:w="7449" w:type="dxa"/>
            <w:gridSpan w:val="2"/>
            <w:tcBorders/>
            <w:shd w:fill="auto" w:val="clear"/>
            <w:vAlign w:val="center"/>
          </w:tcPr>
          <w:p>
            <w:pPr>
              <w:pStyle w:val="TableContents"/>
              <w:spacing w:before="0" w:after="283"/>
              <w:rPr>
                <w:sz w:val="4"/>
                <w:szCs w:val="4"/>
              </w:rPr>
            </w:pPr>
            <w:r>
              <w:rPr>
                <w:sz w:val="4"/>
                <w:szCs w:val="4"/>
              </w:rPr>
            </w:r>
          </w:p>
        </w:tc>
      </w:tr>
      <w:tr>
        <w:trPr/>
        <w:tc>
          <w:tcPr>
            <w:tcW w:w="2755" w:type="dxa"/>
            <w:tcBorders/>
            <w:shd w:fill="auto" w:val="clear"/>
          </w:tcPr>
          <w:p>
            <w:pPr>
              <w:pStyle w:val="TableContents"/>
              <w:spacing w:before="0" w:after="283"/>
              <w:rPr/>
            </w:pPr>
            <w:r>
              <w:rPr/>
              <w:t>Name and address of Transferor</w:t>
            </w:r>
          </w:p>
        </w:tc>
        <w:tc>
          <w:tcPr>
            <w:tcW w:w="203" w:type="dxa"/>
            <w:tcBorders/>
            <w:shd w:fill="auto" w:val="clear"/>
            <w:vAlign w:val="bottom"/>
          </w:tcPr>
          <w:p>
            <w:pPr>
              <w:pStyle w:val="TableContents"/>
              <w:spacing w:before="0" w:after="283"/>
              <w:rPr/>
            </w:pPr>
            <w:r>
              <w:rPr/>
              <w:t>  </w:t>
            </w:r>
          </w:p>
        </w:tc>
        <w:tc>
          <w:tcPr>
            <w:tcW w:w="7246" w:type="dxa"/>
            <w:tcBorders/>
            <w:shd w:fill="auto" w:val="clear"/>
          </w:tcPr>
          <w:p>
            <w:pPr>
              <w:pStyle w:val="TableContents"/>
              <w:spacing w:before="0" w:after="283"/>
              <w:rPr/>
            </w:pPr>
            <w:r>
              <w:rPr/>
              <w:t>[NAME OF PLEDGOR] of [ADDRESS] (the “</w:t>
            </w:r>
            <w:r>
              <w:rPr>
                <w:b/>
              </w:rPr>
              <w:t>Transferor</w:t>
            </w:r>
            <w:r>
              <w:rPr/>
              <w:t>”)</w:t>
            </w:r>
          </w:p>
        </w:tc>
      </w:tr>
      <w:tr>
        <w:trPr>
          <w:trHeight w:val="120" w:hRule="atLeast"/>
        </w:trPr>
        <w:tc>
          <w:tcPr>
            <w:tcW w:w="2755" w:type="dxa"/>
            <w:tcBorders/>
            <w:shd w:fill="auto" w:val="clear"/>
            <w:vAlign w:val="center"/>
          </w:tcPr>
          <w:p>
            <w:pPr>
              <w:pStyle w:val="TableContents"/>
              <w:spacing w:before="0" w:after="283"/>
              <w:rPr>
                <w:sz w:val="4"/>
                <w:szCs w:val="4"/>
              </w:rPr>
            </w:pPr>
            <w:r>
              <w:rPr>
                <w:sz w:val="4"/>
                <w:szCs w:val="4"/>
              </w:rPr>
            </w:r>
          </w:p>
        </w:tc>
        <w:tc>
          <w:tcPr>
            <w:tcW w:w="7449" w:type="dxa"/>
            <w:gridSpan w:val="2"/>
            <w:tcBorders/>
            <w:shd w:fill="auto" w:val="clear"/>
            <w:vAlign w:val="center"/>
          </w:tcPr>
          <w:p>
            <w:pPr>
              <w:pStyle w:val="TableContents"/>
              <w:spacing w:before="0" w:after="283"/>
              <w:rPr>
                <w:sz w:val="4"/>
                <w:szCs w:val="4"/>
              </w:rPr>
            </w:pPr>
            <w:r>
              <w:rPr>
                <w:sz w:val="4"/>
                <w:szCs w:val="4"/>
              </w:rPr>
            </w:r>
          </w:p>
        </w:tc>
      </w:tr>
      <w:tr>
        <w:trPr/>
        <w:tc>
          <w:tcPr>
            <w:tcW w:w="2755" w:type="dxa"/>
            <w:tcBorders/>
            <w:shd w:fill="auto" w:val="clear"/>
          </w:tcPr>
          <w:p>
            <w:pPr>
              <w:pStyle w:val="TableContents"/>
              <w:spacing w:before="0" w:after="283"/>
              <w:rPr/>
            </w:pPr>
            <w:r>
              <w:rPr/>
              <w:t>Name and address of Transferee</w:t>
            </w:r>
          </w:p>
        </w:tc>
        <w:tc>
          <w:tcPr>
            <w:tcW w:w="203" w:type="dxa"/>
            <w:tcBorders/>
            <w:shd w:fill="auto" w:val="clear"/>
            <w:vAlign w:val="bottom"/>
          </w:tcPr>
          <w:p>
            <w:pPr>
              <w:pStyle w:val="TableContents"/>
              <w:spacing w:before="0" w:after="283"/>
              <w:rPr/>
            </w:pPr>
            <w:r>
              <w:rPr/>
              <w:t>  </w:t>
            </w:r>
          </w:p>
        </w:tc>
        <w:tc>
          <w:tcPr>
            <w:tcW w:w="7246" w:type="dxa"/>
            <w:tcBorders/>
            <w:shd w:fill="auto" w:val="clear"/>
          </w:tcPr>
          <w:p>
            <w:pPr>
              <w:pStyle w:val="TableContents"/>
              <w:spacing w:before="0" w:after="283"/>
              <w:rPr/>
            </w:pPr>
            <w:r>
              <w:rPr/>
              <w:t>(the “</w:t>
            </w:r>
            <w:r>
              <w:rPr>
                <w:b/>
              </w:rPr>
              <w:t>Transferee</w:t>
            </w:r>
            <w:r>
              <w:rPr/>
              <w:t>)</w:t>
            </w:r>
          </w:p>
        </w:tc>
      </w:tr>
      <w:tr>
        <w:trPr>
          <w:trHeight w:val="120" w:hRule="atLeast"/>
        </w:trPr>
        <w:tc>
          <w:tcPr>
            <w:tcW w:w="2755" w:type="dxa"/>
            <w:tcBorders/>
            <w:shd w:fill="auto" w:val="clear"/>
            <w:vAlign w:val="center"/>
          </w:tcPr>
          <w:p>
            <w:pPr>
              <w:pStyle w:val="TableContents"/>
              <w:spacing w:before="0" w:after="283"/>
              <w:rPr>
                <w:sz w:val="4"/>
                <w:szCs w:val="4"/>
              </w:rPr>
            </w:pPr>
            <w:r>
              <w:rPr>
                <w:sz w:val="4"/>
                <w:szCs w:val="4"/>
              </w:rPr>
            </w:r>
          </w:p>
        </w:tc>
        <w:tc>
          <w:tcPr>
            <w:tcW w:w="7449" w:type="dxa"/>
            <w:gridSpan w:val="2"/>
            <w:tcBorders/>
            <w:shd w:fill="auto" w:val="clear"/>
            <w:vAlign w:val="center"/>
          </w:tcPr>
          <w:p>
            <w:pPr>
              <w:pStyle w:val="TableContents"/>
              <w:spacing w:before="0" w:after="283"/>
              <w:rPr>
                <w:sz w:val="4"/>
                <w:szCs w:val="4"/>
              </w:rPr>
            </w:pPr>
            <w:r>
              <w:rPr>
                <w:sz w:val="4"/>
                <w:szCs w:val="4"/>
              </w:rPr>
            </w:r>
          </w:p>
        </w:tc>
      </w:tr>
      <w:tr>
        <w:trPr/>
        <w:tc>
          <w:tcPr>
            <w:tcW w:w="2755" w:type="dxa"/>
            <w:tcBorders/>
            <w:shd w:fill="auto" w:val="clear"/>
          </w:tcPr>
          <w:p>
            <w:pPr>
              <w:pStyle w:val="TableContents"/>
              <w:spacing w:before="0" w:after="0"/>
              <w:rPr>
                <w:rFonts w:ascii="Times New Roman" w:hAnsi="Times New Roman"/>
                <w:sz w:val="20"/>
              </w:rPr>
            </w:pPr>
            <w:r>
              <w:rPr>
                <w:rFonts w:ascii="Times New Roman" w:hAnsi="Times New Roman"/>
                <w:sz w:val="20"/>
              </w:rPr>
              <w:t>Number, Class and</w:t>
            </w:r>
          </w:p>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Denomination of Shares</w:t>
            </w:r>
          </w:p>
        </w:tc>
        <w:tc>
          <w:tcPr>
            <w:tcW w:w="203" w:type="dxa"/>
            <w:tcBorders/>
            <w:shd w:fill="auto" w:val="clear"/>
            <w:vAlign w:val="bottom"/>
          </w:tcPr>
          <w:p>
            <w:pPr>
              <w:pStyle w:val="TableContents"/>
              <w:spacing w:before="0" w:after="283"/>
              <w:rPr/>
            </w:pPr>
            <w:r>
              <w:rPr/>
              <w:t>  </w:t>
            </w:r>
          </w:p>
        </w:tc>
        <w:tc>
          <w:tcPr>
            <w:tcW w:w="7246" w:type="dxa"/>
            <w:tcBorders/>
            <w:shd w:fill="auto" w:val="clear"/>
          </w:tcPr>
          <w:p>
            <w:pPr>
              <w:pStyle w:val="TableContents"/>
              <w:spacing w:before="0" w:after="283"/>
              <w:rPr/>
            </w:pPr>
            <w:r>
              <w:rPr/>
              <w:t>[ ? ] [ordinary] shares of [ ? ] each (the Shares)</w:t>
            </w:r>
          </w:p>
        </w:tc>
      </w:tr>
      <w:tr>
        <w:trPr>
          <w:trHeight w:val="120" w:hRule="atLeast"/>
        </w:trPr>
        <w:tc>
          <w:tcPr>
            <w:tcW w:w="2755" w:type="dxa"/>
            <w:tcBorders/>
            <w:shd w:fill="auto" w:val="clear"/>
            <w:vAlign w:val="center"/>
          </w:tcPr>
          <w:p>
            <w:pPr>
              <w:pStyle w:val="TableContents"/>
              <w:spacing w:before="0" w:after="283"/>
              <w:rPr>
                <w:sz w:val="4"/>
                <w:szCs w:val="4"/>
              </w:rPr>
            </w:pPr>
            <w:r>
              <w:rPr>
                <w:sz w:val="4"/>
                <w:szCs w:val="4"/>
              </w:rPr>
            </w:r>
          </w:p>
        </w:tc>
        <w:tc>
          <w:tcPr>
            <w:tcW w:w="7449" w:type="dxa"/>
            <w:gridSpan w:val="2"/>
            <w:tcBorders/>
            <w:shd w:fill="auto" w:val="clear"/>
            <w:vAlign w:val="center"/>
          </w:tcPr>
          <w:p>
            <w:pPr>
              <w:pStyle w:val="TableContents"/>
              <w:spacing w:before="0" w:after="283"/>
              <w:rPr>
                <w:sz w:val="4"/>
                <w:szCs w:val="4"/>
              </w:rPr>
            </w:pPr>
            <w:r>
              <w:rPr>
                <w:sz w:val="4"/>
                <w:szCs w:val="4"/>
              </w:rPr>
            </w:r>
          </w:p>
        </w:tc>
      </w:tr>
      <w:tr>
        <w:trPr/>
        <w:tc>
          <w:tcPr>
            <w:tcW w:w="2755" w:type="dxa"/>
            <w:tcBorders/>
            <w:shd w:fill="auto" w:val="clear"/>
          </w:tcPr>
          <w:p>
            <w:pPr>
              <w:pStyle w:val="TableContents"/>
              <w:spacing w:before="0" w:after="283"/>
              <w:rPr/>
            </w:pPr>
            <w:r>
              <w:rPr/>
              <w:t>Distinctive numbers of Shares</w:t>
            </w:r>
          </w:p>
        </w:tc>
        <w:tc>
          <w:tcPr>
            <w:tcW w:w="203" w:type="dxa"/>
            <w:tcBorders/>
            <w:shd w:fill="auto" w:val="clear"/>
            <w:vAlign w:val="bottom"/>
          </w:tcPr>
          <w:p>
            <w:pPr>
              <w:pStyle w:val="TableContents"/>
              <w:spacing w:before="0" w:after="283"/>
              <w:rPr/>
            </w:pPr>
            <w:r>
              <w:rPr/>
              <w:t>  </w:t>
            </w:r>
          </w:p>
        </w:tc>
        <w:tc>
          <w:tcPr>
            <w:tcW w:w="7246" w:type="dxa"/>
            <w:tcBorders/>
            <w:shd w:fill="auto" w:val="clear"/>
          </w:tcPr>
          <w:p>
            <w:pPr>
              <w:pStyle w:val="TableContents"/>
              <w:spacing w:before="0" w:after="283"/>
              <w:rPr/>
            </w:pPr>
            <w:r>
              <w:rPr/>
              <w:t>[ ? ] to [ ? ] inclusive</w:t>
            </w:r>
          </w:p>
        </w:tc>
      </w:tr>
    </w:tbl>
    <w:p>
      <w:pPr>
        <w:pStyle w:val="TextBody"/>
        <w:spacing w:before="240" w:after="0"/>
        <w:rPr>
          <w:rFonts w:ascii="Times New Roman" w:hAnsi="Times New Roman"/>
          <w:sz w:val="20"/>
        </w:rPr>
      </w:pPr>
      <w:r>
        <w:rPr>
          <w:rFonts w:ascii="Times New Roman" w:hAnsi="Times New Roman"/>
          <w:sz w:val="20"/>
        </w:rPr>
        <w:t xml:space="preserve">We, the Transferor, in consideration of the sum of €1 (one Euro) and other good and valuable consideration paid to us by the Transferee (the sufficiency of which we hereby acknowledge), do hereby transfer to the Transferee the Shares in the Company, so that the Transferee, its executors, administrators, successor and assigns, can hold the same subject to the terms and conditions on which we held the Shares at the time of execution of this Instrument. </w:t>
      </w:r>
    </w:p>
    <w:p>
      <w:pPr>
        <w:pStyle w:val="TextBody"/>
        <w:spacing w:before="240" w:after="0"/>
        <w:rPr>
          <w:rFonts w:ascii="Times New Roman" w:hAnsi="Times New Roman"/>
          <w:sz w:val="20"/>
        </w:rPr>
      </w:pPr>
      <w:r>
        <w:rPr>
          <w:rFonts w:ascii="Times New Roman" w:hAnsi="Times New Roman"/>
          <w:sz w:val="20"/>
        </w:rPr>
        <w:t xml:space="preserve">In witness whereof we have caused this Instrument to be executed on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8"/>
        <w:gridCol w:w="305"/>
        <w:gridCol w:w="6021"/>
      </w:tblGrid>
      <w:tr>
        <w:trPr/>
        <w:tc>
          <w:tcPr>
            <w:tcW w:w="3878" w:type="dxa"/>
            <w:tcBorders/>
            <w:shd w:fill="auto" w:val="clear"/>
            <w:vAlign w:val="center"/>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sz w:val="4"/>
                <w:szCs w:val="4"/>
              </w:rPr>
            </w:pPr>
            <w:r>
              <w:rPr>
                <w:sz w:val="4"/>
                <w:szCs w:val="4"/>
              </w:rPr>
            </w:r>
          </w:p>
        </w:tc>
        <w:tc>
          <w:tcPr>
            <w:tcW w:w="6021" w:type="dxa"/>
            <w:tcBorders/>
            <w:shd w:fill="auto" w:val="clear"/>
            <w:vAlign w:val="center"/>
          </w:tcPr>
          <w:p>
            <w:pPr>
              <w:pStyle w:val="TableContents"/>
              <w:spacing w:before="0" w:after="283"/>
              <w:rPr>
                <w:sz w:val="4"/>
                <w:szCs w:val="4"/>
              </w:rPr>
            </w:pPr>
            <w:r>
              <w:rPr>
                <w:sz w:val="4"/>
                <w:szCs w:val="4"/>
              </w:rPr>
            </w:r>
          </w:p>
        </w:tc>
      </w:tr>
      <w:tr>
        <w:trPr/>
        <w:tc>
          <w:tcPr>
            <w:tcW w:w="3878" w:type="dxa"/>
            <w:tcBorders/>
            <w:shd w:fill="auto" w:val="clear"/>
          </w:tcPr>
          <w:p>
            <w:pPr>
              <w:pStyle w:val="TableContents"/>
              <w:spacing w:before="0" w:after="283"/>
              <w:rPr/>
            </w:pPr>
            <w:r>
              <w:rPr/>
              <w:t>SIGNED as a DEED</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by </w:t>
            </w:r>
            <w:r>
              <w:rPr>
                <w:b/>
              </w:rPr>
              <w:t>[NAME OF THE PLEDGOR]</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[acting by its authorised attorney/director/signatory]</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[NAME]]</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in the presence of:</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bl>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798"/>
        <w:gridCol w:w="85"/>
        <w:gridCol w:w="2199"/>
      </w:tblGrid>
      <w:tr>
        <w:trPr/>
        <w:tc>
          <w:tcPr>
            <w:tcW w:w="1798" w:type="dxa"/>
            <w:tcBorders/>
            <w:shd w:fill="auto" w:val="clear"/>
            <w:vAlign w:val="center"/>
          </w:tcPr>
          <w:p>
            <w:pPr>
              <w:pStyle w:val="TableContents"/>
              <w:spacing w:before="0" w:after="283"/>
              <w:rPr>
                <w:sz w:val="4"/>
                <w:szCs w:val="4"/>
              </w:rPr>
            </w:pPr>
            <w:r>
              <w:rPr>
                <w:sz w:val="4"/>
                <w:szCs w:val="4"/>
              </w:rPr>
            </w:r>
          </w:p>
        </w:tc>
        <w:tc>
          <w:tcPr>
            <w:tcW w:w="85" w:type="dxa"/>
            <w:tcBorders/>
            <w:shd w:fill="auto" w:val="clear"/>
            <w:vAlign w:val="bottom"/>
          </w:tcPr>
          <w:p>
            <w:pPr>
              <w:pStyle w:val="TableContents"/>
              <w:spacing w:before="0" w:after="283"/>
              <w:rPr>
                <w:sz w:val="4"/>
                <w:szCs w:val="4"/>
              </w:rPr>
            </w:pPr>
            <w:r>
              <w:rPr>
                <w:sz w:val="4"/>
                <w:szCs w:val="4"/>
              </w:rPr>
            </w:r>
          </w:p>
        </w:tc>
        <w:tc>
          <w:tcPr>
            <w:tcW w:w="2199" w:type="dxa"/>
            <w:tcBorders/>
            <w:shd w:fill="auto" w:val="clear"/>
            <w:vAlign w:val="center"/>
          </w:tcPr>
          <w:p>
            <w:pPr>
              <w:pStyle w:val="TableContents"/>
              <w:spacing w:before="0" w:after="283"/>
              <w:rPr>
                <w:sz w:val="4"/>
                <w:szCs w:val="4"/>
              </w:rPr>
            </w:pPr>
            <w:r>
              <w:rPr>
                <w:sz w:val="4"/>
                <w:szCs w:val="4"/>
              </w:rPr>
            </w:r>
          </w:p>
        </w:tc>
      </w:tr>
      <w:tr>
        <w:trPr/>
        <w:tc>
          <w:tcPr>
            <w:tcW w:w="1798" w:type="dxa"/>
            <w:tcBorders/>
            <w:shd w:fill="auto" w:val="clear"/>
          </w:tcPr>
          <w:p>
            <w:pPr>
              <w:pStyle w:val="TableContents"/>
              <w:spacing w:before="0" w:after="283"/>
              <w:rPr/>
            </w:pPr>
            <w:r>
              <w:rPr/>
              <w:t>Witness’s Signature:</w:t>
            </w:r>
          </w:p>
        </w:tc>
        <w:tc>
          <w:tcPr>
            <w:tcW w:w="85" w:type="dxa"/>
            <w:tcBorders/>
            <w:shd w:fill="auto" w:val="clear"/>
            <w:vAlign w:val="bottom"/>
          </w:tcPr>
          <w:p>
            <w:pPr>
              <w:pStyle w:val="TableContents"/>
              <w:spacing w:before="0" w:after="283"/>
              <w:rPr/>
            </w:pPr>
            <w:r>
              <w:rPr/>
              <w:t> </w:t>
            </w:r>
          </w:p>
        </w:tc>
        <w:tc>
          <w:tcPr>
            <w:tcW w:w="2199" w:type="dxa"/>
            <w:tcBorders/>
            <w:shd w:fill="auto" w:val="clear"/>
          </w:tcPr>
          <w:p>
            <w:pPr>
              <w:pStyle w:val="TableContents"/>
              <w:pBdr>
                <w:bottom w:val="single" w:sz="2" w:space="1" w:color="000000"/>
              </w:pBdr>
              <w:spacing w:before="0" w:after="20"/>
              <w:rPr/>
            </w:pPr>
            <w:r>
              <w:rPr/>
              <w:t> </w:t>
            </w:r>
          </w:p>
        </w:tc>
      </w:tr>
    </w:tbl>
    <w:tbl>
      <w:tblPr>
        <w:tblW w:w="2000" w:type="pct"/>
        <w:jc w:val="left"/>
        <w:tblInd w:w="0" w:type="dxa"/>
        <w:tblBorders/>
        <w:tblCellMar>
          <w:top w:w="0" w:type="dxa"/>
          <w:left w:w="0" w:type="dxa"/>
          <w:bottom w:w="0" w:type="dxa"/>
          <w:right w:w="0" w:type="dxa"/>
        </w:tblCellMar>
      </w:tblPr>
      <w:tblGrid>
        <w:gridCol w:w="722"/>
        <w:gridCol w:w="61"/>
        <w:gridCol w:w="3299"/>
      </w:tblGrid>
      <w:tr>
        <w:trPr/>
        <w:tc>
          <w:tcPr>
            <w:tcW w:w="722" w:type="dxa"/>
            <w:tcBorders/>
            <w:shd w:fill="auto" w:val="clear"/>
            <w:vAlign w:val="center"/>
          </w:tcPr>
          <w:p>
            <w:pPr>
              <w:pStyle w:val="TableContents"/>
              <w:spacing w:before="0" w:after="283"/>
              <w:rPr>
                <w:sz w:val="4"/>
                <w:szCs w:val="4"/>
              </w:rPr>
            </w:pPr>
            <w:r>
              <w:rPr>
                <w:sz w:val="4"/>
                <w:szCs w:val="4"/>
              </w:rPr>
            </w:r>
          </w:p>
        </w:tc>
        <w:tc>
          <w:tcPr>
            <w:tcW w:w="61" w:type="dxa"/>
            <w:tcBorders/>
            <w:shd w:fill="auto" w:val="clear"/>
            <w:vAlign w:val="bottom"/>
          </w:tcPr>
          <w:p>
            <w:pPr>
              <w:pStyle w:val="TableContents"/>
              <w:spacing w:before="0" w:after="283"/>
              <w:rPr>
                <w:sz w:val="4"/>
                <w:szCs w:val="4"/>
              </w:rPr>
            </w:pPr>
            <w:r>
              <w:rPr>
                <w:sz w:val="4"/>
                <w:szCs w:val="4"/>
              </w:rPr>
            </w:r>
          </w:p>
        </w:tc>
        <w:tc>
          <w:tcPr>
            <w:tcW w:w="3299" w:type="dxa"/>
            <w:tcBorders/>
            <w:shd w:fill="auto" w:val="clear"/>
            <w:vAlign w:val="center"/>
          </w:tcPr>
          <w:p>
            <w:pPr>
              <w:pStyle w:val="TableContents"/>
              <w:spacing w:before="0" w:after="283"/>
              <w:rPr>
                <w:sz w:val="4"/>
                <w:szCs w:val="4"/>
              </w:rPr>
            </w:pPr>
            <w:r>
              <w:rPr>
                <w:sz w:val="4"/>
                <w:szCs w:val="4"/>
              </w:rPr>
            </w:r>
          </w:p>
        </w:tc>
      </w:tr>
      <w:tr>
        <w:trPr>
          <w:trHeight w:val="240" w:hRule="atLeast"/>
        </w:trPr>
        <w:tc>
          <w:tcPr>
            <w:tcW w:w="722" w:type="dxa"/>
            <w:tcBorders/>
            <w:shd w:fill="auto" w:val="clear"/>
            <w:vAlign w:val="center"/>
          </w:tcPr>
          <w:p>
            <w:pPr>
              <w:pStyle w:val="TableContents"/>
              <w:spacing w:before="0" w:after="283"/>
              <w:rPr>
                <w:sz w:val="4"/>
                <w:szCs w:val="4"/>
              </w:rPr>
            </w:pPr>
            <w:r>
              <w:rPr>
                <w:sz w:val="4"/>
                <w:szCs w:val="4"/>
              </w:rPr>
            </w:r>
          </w:p>
        </w:tc>
        <w:tc>
          <w:tcPr>
            <w:tcW w:w="3360" w:type="dxa"/>
            <w:gridSpan w:val="2"/>
            <w:tcBorders/>
            <w:shd w:fill="auto" w:val="clear"/>
            <w:vAlign w:val="center"/>
          </w:tcPr>
          <w:p>
            <w:pPr>
              <w:pStyle w:val="TableContents"/>
              <w:spacing w:before="0" w:after="283"/>
              <w:rPr>
                <w:sz w:val="4"/>
                <w:szCs w:val="4"/>
              </w:rPr>
            </w:pPr>
            <w:r>
              <w:rPr>
                <w:sz w:val="4"/>
                <w:szCs w:val="4"/>
              </w:rPr>
            </w:r>
          </w:p>
        </w:tc>
      </w:tr>
      <w:tr>
        <w:trPr/>
        <w:tc>
          <w:tcPr>
            <w:tcW w:w="722" w:type="dxa"/>
            <w:tcBorders/>
            <w:shd w:fill="auto" w:val="clear"/>
          </w:tcPr>
          <w:p>
            <w:pPr>
              <w:pStyle w:val="TableContents"/>
              <w:spacing w:before="0" w:after="283"/>
              <w:rPr/>
            </w:pPr>
            <w:r>
              <w:rPr/>
              <w:t>Name:</w:t>
            </w:r>
          </w:p>
        </w:tc>
        <w:tc>
          <w:tcPr>
            <w:tcW w:w="61" w:type="dxa"/>
            <w:tcBorders/>
            <w:shd w:fill="auto" w:val="clear"/>
            <w:vAlign w:val="bottom"/>
          </w:tcPr>
          <w:p>
            <w:pPr>
              <w:pStyle w:val="TableContents"/>
              <w:spacing w:before="0" w:after="283"/>
              <w:rPr/>
            </w:pPr>
            <w:r>
              <w:rPr/>
              <w:t> </w:t>
            </w:r>
          </w:p>
        </w:tc>
        <w:tc>
          <w:tcPr>
            <w:tcW w:w="3299" w:type="dxa"/>
            <w:tcBorders/>
            <w:shd w:fill="auto" w:val="clear"/>
          </w:tcPr>
          <w:p>
            <w:pPr>
              <w:pStyle w:val="TableContents"/>
              <w:pBdr>
                <w:bottom w:val="single" w:sz="2" w:space="1" w:color="000000"/>
              </w:pBdr>
              <w:spacing w:before="0" w:after="20"/>
              <w:rPr/>
            </w:pPr>
            <w:r>
              <w:rPr/>
              <w:t> </w:t>
            </w:r>
          </w:p>
        </w:tc>
      </w:tr>
    </w:tbl>
    <w:p>
      <w:pPr>
        <w:pStyle w:val="TextBody"/>
        <w:spacing w:before="240" w:after="0"/>
        <w:rPr>
          <w:rFonts w:ascii="Times New Roman" w:hAnsi="Times New Roman"/>
          <w:sz w:val="20"/>
        </w:rPr>
      </w:pPr>
      <w:r>
        <w:rPr>
          <w:rFonts w:ascii="Times New Roman" w:hAnsi="Times New Roman"/>
          <w:sz w:val="20"/>
        </w:rPr>
        <w:t xml:space="preserve">AND we, the Transferee, do hereby agree to accept and take the Shares subject to the terms and conditions aforesaid and have caused this Instrument to be executed on [DATE]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7"/>
        <w:gridCol w:w="305"/>
        <w:gridCol w:w="6022"/>
      </w:tblGrid>
      <w:tr>
        <w:trPr/>
        <w:tc>
          <w:tcPr>
            <w:tcW w:w="3877" w:type="dxa"/>
            <w:tcBorders/>
            <w:shd w:fill="auto" w:val="clear"/>
            <w:vAlign w:val="center"/>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sz w:val="4"/>
                <w:szCs w:val="4"/>
              </w:rPr>
            </w:pPr>
            <w:r>
              <w:rPr>
                <w:sz w:val="4"/>
                <w:szCs w:val="4"/>
              </w:rPr>
            </w:r>
          </w:p>
        </w:tc>
        <w:tc>
          <w:tcPr>
            <w:tcW w:w="6022" w:type="dxa"/>
            <w:tcBorders/>
            <w:shd w:fill="auto" w:val="clear"/>
            <w:vAlign w:val="cente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pPr>
            <w:r>
              <w:rPr/>
              <w:t>SIGNED as a DEED</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by</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acting by its authorised</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in the presence of:</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bl>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798"/>
        <w:gridCol w:w="85"/>
        <w:gridCol w:w="2199"/>
      </w:tblGrid>
      <w:tr>
        <w:trPr/>
        <w:tc>
          <w:tcPr>
            <w:tcW w:w="1798" w:type="dxa"/>
            <w:tcBorders/>
            <w:shd w:fill="auto" w:val="clear"/>
            <w:vAlign w:val="center"/>
          </w:tcPr>
          <w:p>
            <w:pPr>
              <w:pStyle w:val="TableContents"/>
              <w:spacing w:before="0" w:after="283"/>
              <w:rPr>
                <w:sz w:val="4"/>
                <w:szCs w:val="4"/>
              </w:rPr>
            </w:pPr>
            <w:r>
              <w:rPr>
                <w:sz w:val="4"/>
                <w:szCs w:val="4"/>
              </w:rPr>
            </w:r>
          </w:p>
        </w:tc>
        <w:tc>
          <w:tcPr>
            <w:tcW w:w="85" w:type="dxa"/>
            <w:tcBorders/>
            <w:shd w:fill="auto" w:val="clear"/>
            <w:vAlign w:val="bottom"/>
          </w:tcPr>
          <w:p>
            <w:pPr>
              <w:pStyle w:val="TableContents"/>
              <w:spacing w:before="0" w:after="283"/>
              <w:rPr>
                <w:sz w:val="4"/>
                <w:szCs w:val="4"/>
              </w:rPr>
            </w:pPr>
            <w:r>
              <w:rPr>
                <w:sz w:val="4"/>
                <w:szCs w:val="4"/>
              </w:rPr>
            </w:r>
          </w:p>
        </w:tc>
        <w:tc>
          <w:tcPr>
            <w:tcW w:w="2199" w:type="dxa"/>
            <w:tcBorders/>
            <w:shd w:fill="auto" w:val="clear"/>
            <w:vAlign w:val="center"/>
          </w:tcPr>
          <w:p>
            <w:pPr>
              <w:pStyle w:val="TableContents"/>
              <w:spacing w:before="0" w:after="283"/>
              <w:rPr>
                <w:sz w:val="4"/>
                <w:szCs w:val="4"/>
              </w:rPr>
            </w:pPr>
            <w:r>
              <w:rPr>
                <w:sz w:val="4"/>
                <w:szCs w:val="4"/>
              </w:rPr>
            </w:r>
          </w:p>
        </w:tc>
      </w:tr>
      <w:tr>
        <w:trPr/>
        <w:tc>
          <w:tcPr>
            <w:tcW w:w="1798" w:type="dxa"/>
            <w:tcBorders/>
            <w:shd w:fill="auto" w:val="clear"/>
          </w:tcPr>
          <w:p>
            <w:pPr>
              <w:pStyle w:val="TableContents"/>
              <w:spacing w:before="0" w:after="283"/>
              <w:rPr/>
            </w:pPr>
            <w:r>
              <w:rPr/>
              <w:t>Witness’s Signature:</w:t>
            </w:r>
          </w:p>
        </w:tc>
        <w:tc>
          <w:tcPr>
            <w:tcW w:w="85" w:type="dxa"/>
            <w:tcBorders/>
            <w:shd w:fill="auto" w:val="clear"/>
            <w:vAlign w:val="bottom"/>
          </w:tcPr>
          <w:p>
            <w:pPr>
              <w:pStyle w:val="TableContents"/>
              <w:spacing w:before="0" w:after="283"/>
              <w:rPr/>
            </w:pPr>
            <w:r>
              <w:rPr/>
              <w:t> </w:t>
            </w:r>
          </w:p>
        </w:tc>
        <w:tc>
          <w:tcPr>
            <w:tcW w:w="2199" w:type="dxa"/>
            <w:tcBorders/>
            <w:shd w:fill="auto" w:val="clear"/>
          </w:tcPr>
          <w:p>
            <w:pPr>
              <w:pStyle w:val="TableContents"/>
              <w:pBdr>
                <w:bottom w:val="single" w:sz="2" w:space="1" w:color="000000"/>
              </w:pBdr>
              <w:spacing w:before="0" w:after="20"/>
              <w:rPr/>
            </w:pPr>
            <w:r>
              <w:rPr/>
              <w:t> </w:t>
            </w:r>
          </w:p>
        </w:tc>
      </w:tr>
    </w:tbl>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722"/>
        <w:gridCol w:w="61"/>
        <w:gridCol w:w="3299"/>
      </w:tblGrid>
      <w:tr>
        <w:trPr/>
        <w:tc>
          <w:tcPr>
            <w:tcW w:w="722" w:type="dxa"/>
            <w:tcBorders/>
            <w:shd w:fill="auto" w:val="clear"/>
            <w:vAlign w:val="center"/>
          </w:tcPr>
          <w:p>
            <w:pPr>
              <w:pStyle w:val="TableContents"/>
              <w:spacing w:before="0" w:after="283"/>
              <w:rPr>
                <w:sz w:val="4"/>
                <w:szCs w:val="4"/>
              </w:rPr>
            </w:pPr>
            <w:r>
              <w:rPr>
                <w:sz w:val="4"/>
                <w:szCs w:val="4"/>
              </w:rPr>
            </w:r>
          </w:p>
        </w:tc>
        <w:tc>
          <w:tcPr>
            <w:tcW w:w="61" w:type="dxa"/>
            <w:tcBorders/>
            <w:shd w:fill="auto" w:val="clear"/>
            <w:vAlign w:val="bottom"/>
          </w:tcPr>
          <w:p>
            <w:pPr>
              <w:pStyle w:val="TableContents"/>
              <w:spacing w:before="0" w:after="283"/>
              <w:rPr>
                <w:sz w:val="4"/>
                <w:szCs w:val="4"/>
              </w:rPr>
            </w:pPr>
            <w:r>
              <w:rPr>
                <w:sz w:val="4"/>
                <w:szCs w:val="4"/>
              </w:rPr>
            </w:r>
          </w:p>
        </w:tc>
        <w:tc>
          <w:tcPr>
            <w:tcW w:w="3299" w:type="dxa"/>
            <w:tcBorders/>
            <w:shd w:fill="auto" w:val="clear"/>
            <w:vAlign w:val="center"/>
          </w:tcPr>
          <w:p>
            <w:pPr>
              <w:pStyle w:val="TableContents"/>
              <w:spacing w:before="0" w:after="283"/>
              <w:rPr>
                <w:sz w:val="4"/>
                <w:szCs w:val="4"/>
              </w:rPr>
            </w:pPr>
            <w:r>
              <w:rPr>
                <w:sz w:val="4"/>
                <w:szCs w:val="4"/>
              </w:rPr>
            </w:r>
          </w:p>
        </w:tc>
      </w:tr>
      <w:tr>
        <w:trPr/>
        <w:tc>
          <w:tcPr>
            <w:tcW w:w="722" w:type="dxa"/>
            <w:tcBorders/>
            <w:shd w:fill="auto" w:val="clear"/>
          </w:tcPr>
          <w:p>
            <w:pPr>
              <w:pStyle w:val="TableContents"/>
              <w:spacing w:before="0" w:after="283"/>
              <w:rPr/>
            </w:pPr>
            <w:r>
              <w:rPr/>
              <w:t>Name:</w:t>
            </w:r>
          </w:p>
        </w:tc>
        <w:tc>
          <w:tcPr>
            <w:tcW w:w="61" w:type="dxa"/>
            <w:tcBorders/>
            <w:shd w:fill="auto" w:val="clear"/>
            <w:vAlign w:val="bottom"/>
          </w:tcPr>
          <w:p>
            <w:pPr>
              <w:pStyle w:val="TableContents"/>
              <w:spacing w:before="0" w:after="283"/>
              <w:rPr/>
            </w:pPr>
            <w:r>
              <w:rPr/>
              <w:t> </w:t>
            </w:r>
          </w:p>
        </w:tc>
        <w:tc>
          <w:tcPr>
            <w:tcW w:w="3299" w:type="dxa"/>
            <w:tcBorders/>
            <w:shd w:fill="auto" w:val="clear"/>
          </w:tcPr>
          <w:p>
            <w:pPr>
              <w:pStyle w:val="TableContents"/>
              <w:pBdr>
                <w:bottom w:val="single" w:sz="2" w:space="1" w:color="000000"/>
              </w:pBdr>
              <w:spacing w:before="0" w:after="20"/>
              <w:rPr/>
            </w:pPr>
            <w:r>
              <w:rPr/>
              <w: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2 </w:t>
      </w:r>
    </w:p>
    <w:p>
      <w:pPr>
        <w:pStyle w:val="TextBody"/>
        <w:spacing w:before="0" w:after="0"/>
        <w:jc w:val="center"/>
        <w:rPr>
          <w:rFonts w:ascii="Times New Roman" w:hAnsi="Times New Roman"/>
          <w:b/>
          <w:sz w:val="20"/>
        </w:rPr>
      </w:pPr>
      <w:r>
        <w:rPr>
          <w:rFonts w:ascii="Times New Roman" w:hAnsi="Times New Roman"/>
          <w:b/>
          <w:sz w:val="20"/>
        </w:rPr>
        <w:t xml:space="preserve">IRREVOCABLE PROXY AND POWER OF ATTORNEY </w:t>
      </w:r>
    </w:p>
    <w:p>
      <w:pPr>
        <w:pStyle w:val="TextBody"/>
        <w:spacing w:before="240" w:after="0"/>
        <w:rPr>
          <w:rFonts w:ascii="Times New Roman" w:hAnsi="Times New Roman"/>
          <w:sz w:val="20"/>
        </w:rPr>
      </w:pPr>
      <w:r>
        <w:rPr>
          <w:rFonts w:ascii="Times New Roman" w:hAnsi="Times New Roman"/>
          <w:sz w:val="20"/>
        </w:rPr>
        <w:t xml:space="preserve">This Power of Attorney is made by way of Deed on [DATE] by [PLEDGOR], [DETAILS] (the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w:t>
            </w:r>
          </w:p>
        </w:tc>
        <w:tc>
          <w:tcPr>
            <w:tcW w:w="9391" w:type="dxa"/>
            <w:tcBorders/>
            <w:shd w:fill="auto" w:val="clear"/>
          </w:tcPr>
          <w:p>
            <w:pPr>
              <w:pStyle w:val="TableContents"/>
              <w:spacing w:before="0" w:after="283"/>
              <w:jc w:val="left"/>
              <w:rPr>
                <w:b/>
              </w:rPr>
            </w:pPr>
            <w:r>
              <w:rPr>
                <w:b/>
              </w:rPr>
              <w:t xml:space="preserve">APPOINTMENT AND POWERS </w:t>
            </w:r>
          </w:p>
        </w:tc>
      </w:tr>
    </w:tbl>
    <w:p>
      <w:pPr>
        <w:pStyle w:val="TextBody"/>
        <w:spacing w:before="120" w:after="0"/>
        <w:rPr>
          <w:rFonts w:ascii="Times New Roman" w:hAnsi="Times New Roman"/>
          <w:sz w:val="20"/>
        </w:rPr>
      </w:pPr>
      <w:r>
        <w:rPr>
          <w:rFonts w:ascii="Times New Roman" w:hAnsi="Times New Roman"/>
          <w:sz w:val="20"/>
        </w:rPr>
        <w:t>We the Pledgor hereby make, constitute and appoint JSC VTB BANK (the “</w:t>
      </w:r>
      <w:r>
        <w:rPr>
          <w:rFonts w:ascii="Times New Roman" w:hAnsi="Times New Roman"/>
          <w:b/>
          <w:sz w:val="20"/>
        </w:rPr>
        <w:t>Pledgee</w:t>
      </w:r>
      <w:r>
        <w:rPr>
          <w:rFonts w:ascii="Times New Roman" w:hAnsi="Times New Roman"/>
          <w:sz w:val="20"/>
        </w:rPr>
        <w:t>”), acting by any of its directors or officers from time to time, to be our true and lawful proxy and attorney (the “</w:t>
      </w:r>
      <w:r>
        <w:rPr>
          <w:rFonts w:ascii="Times New Roman" w:hAnsi="Times New Roman"/>
          <w:b/>
          <w:sz w:val="20"/>
        </w:rPr>
        <w:t xml:space="preserve">Attorney) </w:t>
      </w:r>
      <w:r>
        <w:rPr>
          <w:rFonts w:ascii="Times New Roman" w:hAnsi="Times New Roman"/>
          <w:sz w:val="20"/>
        </w:rPr>
        <w:t xml:space="preserve">with full power and authority, and in our name and place or in the name of the Attorney, and on our behalf: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to exercise all rights in relation to [NUMBER] Ordinary shares of €1.00 each (the Shares) in ZEMENIK TRADING LIMITED (the “</w:t>
            </w:r>
            <w:r>
              <w:rPr>
                <w:b/>
              </w:rPr>
              <w:t>Company</w:t>
            </w:r>
            <w:r>
              <w:rPr/>
              <w:t>”) registered in the name of the Pledgor, which shares have been pledged to the Pledgee pursuant to a deed of pledge dated [DATE] between the Pledgor and the Pledgee (the “</w:t>
            </w:r>
            <w:r>
              <w:rPr>
                <w:b/>
              </w:rPr>
              <w:t>Deed of Pledge</w:t>
            </w:r>
            <w:r>
              <w:rPr/>
              <w:t xml:space="preserve">”), as the Attorney in its absolute discretion sees fit, including (but not limited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6"/>
        <w:gridCol w:w="7556"/>
      </w:tblGrid>
      <w:tr>
        <w:trPr/>
        <w:tc>
          <w:tcPr>
            <w:tcW w:w="1732"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6" w:type="dxa"/>
            <w:tcBorders/>
            <w:shd w:fill="auto" w:val="clear"/>
          </w:tcPr>
          <w:p>
            <w:pPr>
              <w:pStyle w:val="TableContents"/>
              <w:spacing w:before="0" w:after="283"/>
              <w:jc w:val="left"/>
              <w:rPr/>
            </w:pPr>
            <w:r>
              <w:rPr/>
              <w:t xml:space="preserve">receiving notice of, attending and voting at any annual or extraordinary general meeting of the shareholders of the Company, including meetings of the members of any particular class of shareholder, and all or any adjournment of such meetings, or signing any resolution as registered holder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9"/>
        <w:gridCol w:w="7552"/>
      </w:tblGrid>
      <w:tr>
        <w:trPr/>
        <w:tc>
          <w:tcPr>
            <w:tcW w:w="173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(ii)</w:t>
            </w:r>
          </w:p>
        </w:tc>
        <w:tc>
          <w:tcPr>
            <w:tcW w:w="7552" w:type="dxa"/>
            <w:tcBorders/>
            <w:shd w:fill="auto" w:val="clear"/>
          </w:tcPr>
          <w:p>
            <w:pPr>
              <w:pStyle w:val="TableContents"/>
              <w:spacing w:before="0" w:after="283"/>
              <w:jc w:val="left"/>
              <w:rPr/>
            </w:pPr>
            <w:r>
              <w:rPr/>
              <w:t xml:space="preserve">completing and returning proxy cards, consents to short notice and any other documents required to be signed by the registered holder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3"/>
        <w:gridCol w:w="917"/>
        <w:gridCol w:w="7554"/>
      </w:tblGrid>
      <w:tr>
        <w:trPr/>
        <w:tc>
          <w:tcPr>
            <w:tcW w:w="1733"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(iii)</w:t>
            </w:r>
          </w:p>
        </w:tc>
        <w:tc>
          <w:tcPr>
            <w:tcW w:w="7554" w:type="dxa"/>
            <w:tcBorders/>
            <w:shd w:fill="auto" w:val="clear"/>
          </w:tcPr>
          <w:p>
            <w:pPr>
              <w:pStyle w:val="TableContents"/>
              <w:spacing w:before="0" w:after="283"/>
              <w:jc w:val="left"/>
              <w:rPr/>
            </w:pPr>
            <w:r>
              <w:rPr/>
              <w:t xml:space="preserve">dealing with and giving directions as to any moneys, securities, benefits, documents, notices or other communications (in whatever form) arising by right of the Shares or received in connection with the Shares from the Company or any other person;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9"/>
        <w:gridCol w:w="7553"/>
      </w:tblGrid>
      <w:tr>
        <w:trPr/>
        <w:tc>
          <w:tcPr>
            <w:tcW w:w="1732"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(iv)</w:t>
            </w:r>
          </w:p>
        </w:tc>
        <w:tc>
          <w:tcPr>
            <w:tcW w:w="7553" w:type="dxa"/>
            <w:tcBorders/>
            <w:shd w:fill="auto" w:val="clear"/>
          </w:tcPr>
          <w:p>
            <w:pPr>
              <w:pStyle w:val="TableContents"/>
              <w:spacing w:before="0" w:after="283"/>
              <w:jc w:val="left"/>
              <w:rPr/>
            </w:pPr>
            <w:r>
              <w:rPr/>
              <w:t xml:space="preserve">otherwise executing, delivering and doing all deeds, instruments and acts in the Pledgor’s name insofar as may be done in the Pledgor’s capacity as registered holder of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to execute, deliver and perfect all documents and do all things which an Attorney may consider to be required or desirable for: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1"/>
        <w:gridCol w:w="918"/>
        <w:gridCol w:w="7555"/>
      </w:tblGrid>
      <w:tr>
        <w:trPr/>
        <w:tc>
          <w:tcPr>
            <w:tcW w:w="1731" w:type="dxa"/>
            <w:tcBorders/>
            <w:shd w:fill="auto" w:val="clear"/>
            <w:vAlign w:val="center"/>
          </w:tcPr>
          <w:p>
            <w:pPr>
              <w:pStyle w:val="TableContents"/>
              <w:spacing w:before="0" w:after="283"/>
              <w:rPr/>
            </w:pPr>
            <w:r>
              <w:rPr/>
              <w:t> </w:t>
            </w:r>
          </w:p>
        </w:tc>
        <w:tc>
          <w:tcPr>
            <w:tcW w:w="918" w:type="dxa"/>
            <w:tcBorders/>
            <w:shd w:fill="auto" w:val="clear"/>
          </w:tcPr>
          <w:p>
            <w:pPr>
              <w:pStyle w:val="TableContents"/>
              <w:spacing w:before="0" w:after="283"/>
              <w:jc w:val="left"/>
              <w:rPr/>
            </w:pPr>
            <w:r>
              <w:rPr/>
              <w:t>(i)</w:t>
            </w:r>
          </w:p>
        </w:tc>
        <w:tc>
          <w:tcPr>
            <w:tcW w:w="7555" w:type="dxa"/>
            <w:tcBorders/>
            <w:shd w:fill="auto" w:val="clear"/>
          </w:tcPr>
          <w:p>
            <w:pPr>
              <w:pStyle w:val="TableContents"/>
              <w:spacing w:before="0" w:after="283"/>
              <w:jc w:val="left"/>
              <w:rPr/>
            </w:pPr>
            <w:r>
              <w:rPr/>
              <w:t xml:space="preserve">carrying out any obligation imposed on the Pledgor by the Deed of Pledge (including the execution and delivery of any pledges, mortgages, charges, assignments or other security and any transfer of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enabling the Pledgee to exercise, or delegate the exercise of, any of the rights, powers and authorities conferred on them by or pursuant to the Deed of Pledge or by law (including, the exercise of any right of a legal or beneficial owner of the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2.</w:t>
            </w:r>
          </w:p>
        </w:tc>
        <w:tc>
          <w:tcPr>
            <w:tcW w:w="9391" w:type="dxa"/>
            <w:tcBorders/>
            <w:shd w:fill="auto" w:val="clear"/>
          </w:tcPr>
          <w:p>
            <w:pPr>
              <w:pStyle w:val="TableContents"/>
              <w:spacing w:before="0" w:after="283"/>
              <w:jc w:val="left"/>
              <w:rPr>
                <w:b/>
              </w:rPr>
            </w:pPr>
            <w:r>
              <w:rPr>
                <w:b/>
              </w:rPr>
              <w:t xml:space="preserve">DELEGATION </w:t>
            </w:r>
          </w:p>
        </w:tc>
      </w:tr>
    </w:tbl>
    <w:p>
      <w:pPr>
        <w:pStyle w:val="TextBody"/>
        <w:spacing w:before="120" w:after="0"/>
        <w:rPr>
          <w:rFonts w:ascii="Times New Roman" w:hAnsi="Times New Roman"/>
          <w:sz w:val="20"/>
        </w:rPr>
      </w:pPr>
      <w:r>
        <w:rPr>
          <w:rFonts w:ascii="Times New Roman" w:hAnsi="Times New Roman"/>
          <w:sz w:val="20"/>
        </w:rPr>
        <w:t xml:space="preserve">The Attorney may delegate one or more of the powers conferred on the Attorney by this power of attorney to a nominee or nominees appointed for that purpose by the board of directors of the relevant Attorney, by resolution or otherwise.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3.</w:t>
            </w:r>
          </w:p>
        </w:tc>
        <w:tc>
          <w:tcPr>
            <w:tcW w:w="9391" w:type="dxa"/>
            <w:tcBorders/>
            <w:shd w:fill="auto" w:val="clear"/>
          </w:tcPr>
          <w:p>
            <w:pPr>
              <w:pStyle w:val="TableContents"/>
              <w:spacing w:before="0" w:after="283"/>
              <w:jc w:val="left"/>
              <w:rPr>
                <w:b/>
              </w:rPr>
            </w:pPr>
            <w:r>
              <w:rPr>
                <w:b/>
              </w:rPr>
              <w:t xml:space="preserve">SUBSTITUTE ATTORNEY </w:t>
            </w:r>
          </w:p>
        </w:tc>
      </w:tr>
    </w:tbl>
    <w:p>
      <w:pPr>
        <w:pStyle w:val="TextBody"/>
        <w:spacing w:before="120" w:after="0"/>
        <w:rPr>
          <w:rFonts w:ascii="Times New Roman" w:hAnsi="Times New Roman"/>
          <w:sz w:val="20"/>
        </w:rPr>
      </w:pPr>
      <w:r>
        <w:rPr>
          <w:rFonts w:ascii="Times New Roman" w:hAnsi="Times New Roman"/>
          <w:sz w:val="20"/>
        </w:rPr>
        <w:t xml:space="preserve">The Attorney may appoint one or more persons to act as substitute attorney(s) for the Pledgor and to exercise one or more of the powers conferred on the Attorney by this power of attorney other than the power to appoint a substitute attorney and revoke any such appointment.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4.</w:t>
            </w:r>
          </w:p>
        </w:tc>
        <w:tc>
          <w:tcPr>
            <w:tcW w:w="9391" w:type="dxa"/>
            <w:tcBorders/>
            <w:shd w:fill="auto" w:val="clear"/>
          </w:tcPr>
          <w:p>
            <w:pPr>
              <w:pStyle w:val="TableContents"/>
              <w:spacing w:before="0" w:after="283"/>
              <w:jc w:val="left"/>
              <w:rPr>
                <w:b/>
              </w:rPr>
            </w:pPr>
            <w:r>
              <w:rPr>
                <w:b/>
              </w:rPr>
              <w:t xml:space="preserve">POWER BY WAY OF SECURITY </w:t>
            </w:r>
          </w:p>
        </w:tc>
      </w:tr>
    </w:tbl>
    <w:p>
      <w:pPr>
        <w:pStyle w:val="TextBody"/>
        <w:spacing w:before="120" w:after="0"/>
        <w:rPr>
          <w:rFonts w:ascii="Times New Roman" w:hAnsi="Times New Roman"/>
          <w:sz w:val="20"/>
        </w:rPr>
      </w:pPr>
      <w:r>
        <w:rPr>
          <w:rFonts w:ascii="Times New Roman" w:hAnsi="Times New Roman"/>
          <w:sz w:val="20"/>
        </w:rPr>
        <w:t xml:space="preserve">This power of attorney is given by way of security pursuant to the Deed of Pledge and shall be irrevocable until all the debts, obligations and liabilities secured by the Deed of Pledge have been unconditionally and irrevocably paid and discharged in full.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5.</w:t>
            </w:r>
          </w:p>
        </w:tc>
        <w:tc>
          <w:tcPr>
            <w:tcW w:w="9389" w:type="dxa"/>
            <w:tcBorders/>
            <w:shd w:fill="auto" w:val="clear"/>
          </w:tcPr>
          <w:p>
            <w:pPr>
              <w:pStyle w:val="TableContents"/>
              <w:spacing w:before="0" w:after="283"/>
              <w:jc w:val="left"/>
              <w:rPr>
                <w:b/>
              </w:rPr>
            </w:pPr>
            <w:r>
              <w:rPr>
                <w:b/>
              </w:rPr>
              <w:t xml:space="preserve">UNDERTAKINGS </w:t>
            </w:r>
          </w:p>
        </w:tc>
      </w:tr>
    </w:tbl>
    <w:p>
      <w:pPr>
        <w:pStyle w:val="TextBody"/>
        <w:spacing w:before="120" w:after="0"/>
        <w:rPr>
          <w:rFonts w:ascii="Times New Roman" w:hAnsi="Times New Roman"/>
          <w:sz w:val="20"/>
        </w:rPr>
      </w:pPr>
      <w:r>
        <w:rPr>
          <w:rFonts w:ascii="Times New Roman" w:hAnsi="Times New Roman"/>
          <w:sz w:val="20"/>
        </w:rPr>
        <w:t xml:space="preserve">The Pledgor: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(a)</w:t>
            </w:r>
          </w:p>
        </w:tc>
        <w:tc>
          <w:tcPr>
            <w:tcW w:w="8472" w:type="dxa"/>
            <w:tcBorders/>
            <w:shd w:fill="auto" w:val="clear"/>
          </w:tcPr>
          <w:p>
            <w:pPr>
              <w:pStyle w:val="TableContents"/>
              <w:spacing w:before="0" w:after="283"/>
              <w:jc w:val="left"/>
              <w:rPr/>
            </w:pPr>
            <w:r>
              <w:rPr/>
              <w:t xml:space="preserve">indemnifies the Attorney and its officers against any loss or liability suffered by the Attorney or its officers in acting as the Pledgor’s attorney or under this power of attorney;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agrees to ratify and confirm all things lawfully done and all documents executed by the Attorney or its officers in the proper exercise or purported exercise of all or any of its powers under this power of attorney.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6.</w:t>
            </w:r>
          </w:p>
        </w:tc>
        <w:tc>
          <w:tcPr>
            <w:tcW w:w="9389" w:type="dxa"/>
            <w:tcBorders/>
            <w:shd w:fill="auto" w:val="clear"/>
          </w:tcPr>
          <w:p>
            <w:pPr>
              <w:pStyle w:val="TableContents"/>
              <w:spacing w:before="0" w:after="283"/>
              <w:jc w:val="left"/>
              <w:rPr>
                <w:b/>
              </w:rPr>
            </w:pPr>
            <w:r>
              <w:rPr>
                <w:b/>
              </w:rPr>
              <w:t xml:space="preserve">JURISDICTION </w:t>
            </w:r>
          </w:p>
        </w:tc>
      </w:tr>
    </w:tbl>
    <w:p>
      <w:pPr>
        <w:pStyle w:val="TextBody"/>
        <w:spacing w:before="120" w:after="0"/>
        <w:rPr>
          <w:rFonts w:ascii="Times New Roman" w:hAnsi="Times New Roman"/>
          <w:sz w:val="20"/>
        </w:rPr>
      </w:pPr>
      <w:r>
        <w:rPr>
          <w:rFonts w:ascii="Times New Roman" w:hAnsi="Times New Roman"/>
          <w:sz w:val="20"/>
        </w:rPr>
        <w:t xml:space="preserve">This power of attorney (and any dispute, controversy, proceedings or claim of whatever nature arising out of or in any way relating to this power of attorney, its formation or any act performed or claimed to be performed under it) shall be governed by and construed in accordance with Cyprus law. </w:t>
      </w:r>
    </w:p>
    <w:p>
      <w:pPr>
        <w:pStyle w:val="TextBody"/>
        <w:spacing w:before="240" w:after="0"/>
        <w:rPr>
          <w:rFonts w:ascii="Times New Roman" w:hAnsi="Times New Roman"/>
          <w:sz w:val="20"/>
        </w:rPr>
      </w:pPr>
      <w:r>
        <w:rPr>
          <w:rFonts w:ascii="Times New Roman" w:hAnsi="Times New Roman"/>
          <w:sz w:val="20"/>
        </w:rPr>
        <w:t xml:space="preserve">This document has been executed as a deed and is delivered and takes effect on the date stated at the beginning of it.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7"/>
        <w:gridCol w:w="305"/>
        <w:gridCol w:w="6022"/>
      </w:tblGrid>
      <w:tr>
        <w:trPr/>
        <w:tc>
          <w:tcPr>
            <w:tcW w:w="3877" w:type="dxa"/>
            <w:tcBorders/>
            <w:shd w:fill="auto" w:val="clear"/>
            <w:vAlign w:val="center"/>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sz w:val="4"/>
                <w:szCs w:val="4"/>
              </w:rPr>
            </w:pPr>
            <w:r>
              <w:rPr>
                <w:sz w:val="4"/>
                <w:szCs w:val="4"/>
              </w:rPr>
            </w:r>
          </w:p>
        </w:tc>
        <w:tc>
          <w:tcPr>
            <w:tcW w:w="6022" w:type="dxa"/>
            <w:tcBorders/>
            <w:shd w:fill="auto" w:val="clear"/>
            <w:vAlign w:val="center"/>
          </w:tcPr>
          <w:p>
            <w:pPr>
              <w:pStyle w:val="TableContents"/>
              <w:spacing w:before="0" w:after="283"/>
              <w:rPr>
                <w:sz w:val="4"/>
                <w:szCs w:val="4"/>
              </w:rPr>
            </w:pPr>
            <w:r>
              <w:rPr>
                <w:sz w:val="4"/>
                <w:szCs w:val="4"/>
              </w:rPr>
            </w:r>
          </w:p>
        </w:tc>
      </w:tr>
      <w:tr>
        <w:trPr/>
        <w:tc>
          <w:tcPr>
            <w:tcW w:w="3877" w:type="dxa"/>
            <w:tcBorders/>
            <w:shd w:fill="auto" w:val="clear"/>
          </w:tcPr>
          <w:p>
            <w:pPr>
              <w:pStyle w:val="TableContents"/>
              <w:spacing w:before="0" w:after="283"/>
              <w:rPr/>
            </w:pPr>
            <w:r>
              <w:rPr/>
              <w:t>SIGNED as a DEED</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b/>
              </w:rPr>
            </w:pPr>
            <w:r>
              <w:rPr>
                <w:b/>
              </w:rPr>
              <w:t>by [NAME OF THE PLEDGOR]</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[acting by its authorised attorney/signatory/director]</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[NAME]</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r>
        <w:trPr/>
        <w:tc>
          <w:tcPr>
            <w:tcW w:w="3877" w:type="dxa"/>
            <w:tcBorders/>
            <w:shd w:fill="auto" w:val="clear"/>
          </w:tcPr>
          <w:p>
            <w:pPr>
              <w:pStyle w:val="TableContents"/>
              <w:spacing w:before="0" w:after="283"/>
              <w:rPr/>
            </w:pPr>
            <w:r>
              <w:rPr/>
              <w:t>in the presence of:</w:t>
            </w:r>
          </w:p>
        </w:tc>
        <w:tc>
          <w:tcPr>
            <w:tcW w:w="305" w:type="dxa"/>
            <w:tcBorders/>
            <w:shd w:fill="auto" w:val="clear"/>
            <w:vAlign w:val="bottom"/>
          </w:tcPr>
          <w:p>
            <w:pPr>
              <w:pStyle w:val="TableContents"/>
              <w:spacing w:before="0" w:after="283"/>
              <w:rPr/>
            </w:pPr>
            <w:r>
              <w:rPr/>
              <w:t>  </w:t>
            </w:r>
          </w:p>
        </w:tc>
        <w:tc>
          <w:tcPr>
            <w:tcW w:w="6022" w:type="dxa"/>
            <w:tcBorders/>
            <w:shd w:fill="auto" w:val="clear"/>
          </w:tcPr>
          <w:p>
            <w:pPr>
              <w:pStyle w:val="TableContents"/>
              <w:spacing w:before="0" w:after="283"/>
              <w:rPr/>
            </w:pPr>
            <w:r>
              <w:rPr/>
              <w:t>)</w:t>
            </w:r>
          </w:p>
        </w:tc>
      </w:tr>
    </w:tbl>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798"/>
        <w:gridCol w:w="85"/>
        <w:gridCol w:w="2199"/>
      </w:tblGrid>
      <w:tr>
        <w:trPr/>
        <w:tc>
          <w:tcPr>
            <w:tcW w:w="1798" w:type="dxa"/>
            <w:tcBorders/>
            <w:shd w:fill="auto" w:val="clear"/>
            <w:vAlign w:val="center"/>
          </w:tcPr>
          <w:p>
            <w:pPr>
              <w:pStyle w:val="TableContents"/>
              <w:spacing w:before="0" w:after="283"/>
              <w:rPr>
                <w:sz w:val="4"/>
                <w:szCs w:val="4"/>
              </w:rPr>
            </w:pPr>
            <w:r>
              <w:rPr>
                <w:sz w:val="4"/>
                <w:szCs w:val="4"/>
              </w:rPr>
            </w:r>
          </w:p>
        </w:tc>
        <w:tc>
          <w:tcPr>
            <w:tcW w:w="85" w:type="dxa"/>
            <w:tcBorders/>
            <w:shd w:fill="auto" w:val="clear"/>
            <w:vAlign w:val="bottom"/>
          </w:tcPr>
          <w:p>
            <w:pPr>
              <w:pStyle w:val="TableContents"/>
              <w:spacing w:before="0" w:after="283"/>
              <w:rPr>
                <w:sz w:val="4"/>
                <w:szCs w:val="4"/>
              </w:rPr>
            </w:pPr>
            <w:r>
              <w:rPr>
                <w:sz w:val="4"/>
                <w:szCs w:val="4"/>
              </w:rPr>
            </w:r>
          </w:p>
        </w:tc>
        <w:tc>
          <w:tcPr>
            <w:tcW w:w="2199" w:type="dxa"/>
            <w:tcBorders/>
            <w:shd w:fill="auto" w:val="clear"/>
            <w:vAlign w:val="center"/>
          </w:tcPr>
          <w:p>
            <w:pPr>
              <w:pStyle w:val="TableContents"/>
              <w:spacing w:before="0" w:after="283"/>
              <w:rPr>
                <w:sz w:val="4"/>
                <w:szCs w:val="4"/>
              </w:rPr>
            </w:pPr>
            <w:r>
              <w:rPr>
                <w:sz w:val="4"/>
                <w:szCs w:val="4"/>
              </w:rPr>
            </w:r>
          </w:p>
        </w:tc>
      </w:tr>
      <w:tr>
        <w:trPr/>
        <w:tc>
          <w:tcPr>
            <w:tcW w:w="1798" w:type="dxa"/>
            <w:tcBorders/>
            <w:shd w:fill="auto" w:val="clear"/>
          </w:tcPr>
          <w:p>
            <w:pPr>
              <w:pStyle w:val="TableContents"/>
              <w:spacing w:before="0" w:after="283"/>
              <w:rPr/>
            </w:pPr>
            <w:r>
              <w:rPr/>
              <w:t>Witness’s Signature:</w:t>
            </w:r>
          </w:p>
        </w:tc>
        <w:tc>
          <w:tcPr>
            <w:tcW w:w="85" w:type="dxa"/>
            <w:tcBorders/>
            <w:shd w:fill="auto" w:val="clear"/>
            <w:vAlign w:val="bottom"/>
          </w:tcPr>
          <w:p>
            <w:pPr>
              <w:pStyle w:val="TableContents"/>
              <w:spacing w:before="0" w:after="283"/>
              <w:rPr/>
            </w:pPr>
            <w:r>
              <w:rPr/>
              <w:t> </w:t>
            </w:r>
          </w:p>
        </w:tc>
        <w:tc>
          <w:tcPr>
            <w:tcW w:w="2199" w:type="dxa"/>
            <w:tcBorders/>
            <w:shd w:fill="auto" w:val="clear"/>
          </w:tcPr>
          <w:p>
            <w:pPr>
              <w:pStyle w:val="TableContents"/>
              <w:pBdr>
                <w:bottom w:val="single" w:sz="2" w:space="1" w:color="000000"/>
              </w:pBdr>
              <w:spacing w:before="0" w:after="20"/>
              <w:rPr/>
            </w:pPr>
            <w:r>
              <w:rPr/>
              <w:t> </w:t>
            </w:r>
          </w:p>
        </w:tc>
      </w:tr>
    </w:tbl>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722"/>
        <w:gridCol w:w="61"/>
        <w:gridCol w:w="3299"/>
      </w:tblGrid>
      <w:tr>
        <w:trPr/>
        <w:tc>
          <w:tcPr>
            <w:tcW w:w="722" w:type="dxa"/>
            <w:tcBorders/>
            <w:shd w:fill="auto" w:val="clear"/>
            <w:vAlign w:val="center"/>
          </w:tcPr>
          <w:p>
            <w:pPr>
              <w:pStyle w:val="TableContents"/>
              <w:spacing w:before="0" w:after="283"/>
              <w:rPr>
                <w:sz w:val="4"/>
                <w:szCs w:val="4"/>
              </w:rPr>
            </w:pPr>
            <w:r>
              <w:rPr>
                <w:sz w:val="4"/>
                <w:szCs w:val="4"/>
              </w:rPr>
            </w:r>
          </w:p>
        </w:tc>
        <w:tc>
          <w:tcPr>
            <w:tcW w:w="61" w:type="dxa"/>
            <w:tcBorders/>
            <w:shd w:fill="auto" w:val="clear"/>
            <w:vAlign w:val="bottom"/>
          </w:tcPr>
          <w:p>
            <w:pPr>
              <w:pStyle w:val="TableContents"/>
              <w:spacing w:before="0" w:after="283"/>
              <w:rPr>
                <w:sz w:val="4"/>
                <w:szCs w:val="4"/>
              </w:rPr>
            </w:pPr>
            <w:r>
              <w:rPr>
                <w:sz w:val="4"/>
                <w:szCs w:val="4"/>
              </w:rPr>
            </w:r>
          </w:p>
        </w:tc>
        <w:tc>
          <w:tcPr>
            <w:tcW w:w="3299" w:type="dxa"/>
            <w:tcBorders/>
            <w:shd w:fill="auto" w:val="clear"/>
            <w:vAlign w:val="center"/>
          </w:tcPr>
          <w:p>
            <w:pPr>
              <w:pStyle w:val="TableContents"/>
              <w:spacing w:before="0" w:after="283"/>
              <w:rPr>
                <w:sz w:val="4"/>
                <w:szCs w:val="4"/>
              </w:rPr>
            </w:pPr>
            <w:r>
              <w:rPr>
                <w:sz w:val="4"/>
                <w:szCs w:val="4"/>
              </w:rPr>
            </w:r>
          </w:p>
        </w:tc>
      </w:tr>
      <w:tr>
        <w:trPr/>
        <w:tc>
          <w:tcPr>
            <w:tcW w:w="722" w:type="dxa"/>
            <w:tcBorders/>
            <w:shd w:fill="auto" w:val="clear"/>
          </w:tcPr>
          <w:p>
            <w:pPr>
              <w:pStyle w:val="TableContents"/>
              <w:spacing w:before="0" w:after="283"/>
              <w:rPr/>
            </w:pPr>
            <w:r>
              <w:rPr/>
              <w:t>Name:</w:t>
            </w:r>
          </w:p>
        </w:tc>
        <w:tc>
          <w:tcPr>
            <w:tcW w:w="61" w:type="dxa"/>
            <w:tcBorders/>
            <w:shd w:fill="auto" w:val="clear"/>
            <w:vAlign w:val="bottom"/>
          </w:tcPr>
          <w:p>
            <w:pPr>
              <w:pStyle w:val="TableContents"/>
              <w:spacing w:before="0" w:after="283"/>
              <w:rPr/>
            </w:pPr>
            <w:r>
              <w:rPr/>
              <w:t> </w:t>
            </w:r>
          </w:p>
        </w:tc>
        <w:tc>
          <w:tcPr>
            <w:tcW w:w="3299" w:type="dxa"/>
            <w:tcBorders/>
            <w:shd w:fill="auto" w:val="clear"/>
          </w:tcPr>
          <w:p>
            <w:pPr>
              <w:pStyle w:val="TableContents"/>
              <w:pBdr>
                <w:bottom w:val="single" w:sz="2" w:space="1" w:color="000000"/>
              </w:pBdr>
              <w:spacing w:before="0" w:after="20"/>
              <w:rPr/>
            </w:pPr>
            <w:r>
              <w:rPr/>
              <w: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3 </w:t>
      </w:r>
    </w:p>
    <w:p>
      <w:pPr>
        <w:pStyle w:val="TextBody"/>
        <w:spacing w:before="240" w:after="0"/>
        <w:jc w:val="center"/>
        <w:rPr>
          <w:rFonts w:ascii="Times New Roman" w:hAnsi="Times New Roman"/>
          <w:b/>
          <w:sz w:val="20"/>
        </w:rPr>
      </w:pPr>
      <w:r>
        <w:rPr>
          <w:rFonts w:ascii="Times New Roman" w:hAnsi="Times New Roman"/>
          <w:b/>
          <w:sz w:val="20"/>
        </w:rPr>
        <w:t xml:space="preserve">LETTER OF RESIGNATION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To:</w:t>
            </w:r>
          </w:p>
        </w:tc>
        <w:tc>
          <w:tcPr>
            <w:tcW w:w="9389" w:type="dxa"/>
            <w:tcBorders/>
            <w:shd w:fill="auto" w:val="clear"/>
          </w:tcPr>
          <w:p>
            <w:pPr>
              <w:pStyle w:val="TableContents"/>
              <w:spacing w:before="0" w:after="283"/>
              <w:jc w:val="left"/>
              <w:rPr/>
            </w:pPr>
            <w:r>
              <w:rPr/>
              <w:t>ZEMENIK TRADING LIMITED (the “</w:t>
            </w:r>
            <w:r>
              <w:rPr>
                <w:b/>
              </w:rPr>
              <w:t>Company</w:t>
            </w:r>
            <w:r>
              <w:rPr/>
              <w:t xml:space="preserve">”) </w:t>
            </w:r>
          </w:p>
        </w:tc>
      </w:tr>
    </w:tbl>
    <w:p>
      <w:pPr>
        <w:pStyle w:val="TextBody"/>
        <w:spacing w:before="240" w:after="0"/>
        <w:rPr>
          <w:rFonts w:ascii="Times New Roman" w:hAnsi="Times New Roman"/>
          <w:sz w:val="20"/>
        </w:rPr>
      </w:pPr>
      <w:r>
        <w:rPr>
          <w:rFonts w:ascii="Times New Roman" w:hAnsi="Times New Roman"/>
          <w:sz w:val="20"/>
        </w:rPr>
        <w:t xml:space="preserve">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240" w:after="0"/>
        <w:rPr>
          <w:rFonts w:ascii="Times New Roman" w:hAnsi="Times New Roman"/>
          <w:sz w:val="20"/>
        </w:rPr>
      </w:pPr>
      <w:r>
        <w:rPr>
          <w:rFonts w:ascii="Times New Roman" w:hAnsi="Times New Roman"/>
          <w:sz w:val="20"/>
        </w:rPr>
        <w:t xml:space="preserve">[We]/[I], [NAME] hereby resign from [our]/[my] position as a [Director] [Secretary] of the Company with effect from the date of this letter. </w:t>
      </w:r>
    </w:p>
    <w:p>
      <w:pPr>
        <w:pStyle w:val="TextBody"/>
        <w:spacing w:before="240" w:after="0"/>
        <w:rPr>
          <w:rFonts w:ascii="Times New Roman" w:hAnsi="Times New Roman"/>
          <w:sz w:val="20"/>
        </w:rPr>
      </w:pPr>
      <w:r>
        <w:rPr>
          <w:rFonts w:ascii="Times New Roman" w:hAnsi="Times New Roman"/>
          <w:sz w:val="20"/>
        </w:rPr>
        <w:t xml:space="preserve">[We]/[I] hereby confirm that [we]/[I] have no claim whatsoever against the Company, other than any fees owed to [us/][me] or remaining outstanding in respect of serving the Company in [our]/[my] capacity as Director/Secretary up to and including the date of [our]/[my] resignation.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240" w:after="0"/>
        <w:rPr>
          <w:rFonts w:ascii="Times New Roman" w:hAnsi="Times New Roman"/>
          <w:sz w:val="20"/>
        </w:rPr>
      </w:pPr>
      <w:r>
        <w:rPr>
          <w:rFonts w:ascii="Times New Roman" w:hAnsi="Times New Roman"/>
          <w:sz w:val="20"/>
        </w:rPr>
        <w:t xml:space="preserve">Yours faithfully, </w:t>
      </w:r>
    </w:p>
    <w:p>
      <w:pPr>
        <w:pStyle w:val="TextBody"/>
        <w:spacing w:before="240" w:after="0"/>
        <w:rPr>
          <w:rFonts w:ascii="Times New Roman" w:hAnsi="Times New Roman"/>
          <w:sz w:val="20"/>
        </w:rPr>
      </w:pPr>
      <w:r>
        <w:rPr>
          <w:rFonts w:ascii="Times New Roman" w:hAnsi="Times New Roman"/>
          <w:sz w:val="20"/>
        </w:rPr>
        <w:t xml:space="preserve">[NAME OF DIRECTOR/SECRETARY] [Director/Secretary]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4 </w:t>
      </w:r>
    </w:p>
    <w:p>
      <w:pPr>
        <w:pStyle w:val="TextBody"/>
        <w:spacing w:before="240" w:after="0"/>
        <w:jc w:val="center"/>
        <w:rPr>
          <w:rFonts w:ascii="Times New Roman" w:hAnsi="Times New Roman"/>
          <w:b/>
          <w:sz w:val="20"/>
        </w:rPr>
      </w:pPr>
      <w:r>
        <w:rPr>
          <w:rFonts w:ascii="Times New Roman" w:hAnsi="Times New Roman"/>
          <w:b/>
          <w:sz w:val="20"/>
        </w:rPr>
        <w:t xml:space="preserve">LETTER OF AUTHORITY AND UNDERTAKING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To:</w:t>
            </w:r>
          </w:p>
        </w:tc>
        <w:tc>
          <w:tcPr>
            <w:tcW w:w="9389" w:type="dxa"/>
            <w:tcBorders/>
            <w:shd w:fill="auto" w:val="clear"/>
          </w:tcPr>
          <w:p>
            <w:pPr>
              <w:pStyle w:val="TableContents"/>
              <w:spacing w:before="0" w:after="283"/>
              <w:jc w:val="left"/>
              <w:rPr/>
            </w:pPr>
            <w:r>
              <w:rPr/>
              <w:t>JSC VTB BANK (the “</w:t>
            </w:r>
            <w:r>
              <w:rPr>
                <w:b/>
              </w:rPr>
              <w:t>Pledgee</w:t>
            </w:r>
            <w:r>
              <w:rPr/>
              <w:t xml:space="preserve">”) </w:t>
            </w:r>
          </w:p>
        </w:tc>
      </w:tr>
    </w:tbl>
    <w:p>
      <w:pPr>
        <w:pStyle w:val="TextBody"/>
        <w:spacing w:before="240" w:after="0"/>
        <w:rPr>
          <w:rFonts w:ascii="Times New Roman" w:hAnsi="Times New Roman"/>
          <w:sz w:val="20"/>
        </w:rPr>
      </w:pPr>
      <w:r>
        <w:rPr>
          <w:rFonts w:ascii="Times New Roman" w:hAnsi="Times New Roman"/>
          <w:sz w:val="20"/>
        </w:rPr>
        <w:t xml:space="preserve">Date: [DATE]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240" w:after="0"/>
        <w:rPr>
          <w:rFonts w:ascii="Times New Roman" w:hAnsi="Times New Roman"/>
          <w:sz w:val="20"/>
        </w:rPr>
      </w:pPr>
      <w:r>
        <w:rPr>
          <w:rFonts w:ascii="Times New Roman" w:hAnsi="Times New Roman"/>
          <w:b/>
          <w:sz w:val="20"/>
        </w:rPr>
        <w:t xml:space="preserve">ZEMENIK TRADING </w:t>
      </w: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We, the undersigned, holding the offices in the Company set out under our names refer to the facility agreement dated [DATE] (as amended, supplemented or novated from time to time, the “</w:t>
      </w:r>
      <w:r>
        <w:rPr>
          <w:rFonts w:ascii="Times New Roman" w:hAnsi="Times New Roman"/>
          <w:b/>
          <w:sz w:val="20"/>
        </w:rPr>
        <w:t>Facility Agreement</w:t>
      </w:r>
      <w:r>
        <w:rPr>
          <w:rFonts w:ascii="Times New Roman" w:hAnsi="Times New Roman"/>
          <w:sz w:val="20"/>
        </w:rPr>
        <w:t>”) and a deed of pledge dated [DATE] in respect of [ ? ] shares in the Company (the “</w:t>
      </w:r>
      <w:r>
        <w:rPr>
          <w:rFonts w:ascii="Times New Roman" w:hAnsi="Times New Roman"/>
          <w:b/>
          <w:sz w:val="20"/>
        </w:rPr>
        <w:t>Deed of Pledge</w:t>
      </w:r>
      <w:r>
        <w:rPr>
          <w:rFonts w:ascii="Times New Roman" w:hAnsi="Times New Roman"/>
          <w:sz w:val="20"/>
        </w:rPr>
        <w:t>”) executed by [ ? ] (the “</w:t>
      </w:r>
      <w:r>
        <w:rPr>
          <w:rFonts w:ascii="Times New Roman" w:hAnsi="Times New Roman"/>
          <w:b/>
          <w:sz w:val="20"/>
        </w:rPr>
        <w:t>Pledgor</w:t>
      </w:r>
      <w:r>
        <w:rPr>
          <w:rFonts w:ascii="Times New Roman" w:hAnsi="Times New Roman"/>
          <w:sz w:val="20"/>
        </w:rPr>
        <w:t xml:space="preserve">”) in favour of the Pledgee as security for the Secured Liabilities (as defined in the Deed of Pledge). </w:t>
      </w:r>
    </w:p>
    <w:p>
      <w:pPr>
        <w:pStyle w:val="TextBody"/>
        <w:spacing w:before="240" w:after="0"/>
        <w:rPr>
          <w:rFonts w:ascii="Times New Roman" w:hAnsi="Times New Roman"/>
          <w:sz w:val="20"/>
        </w:rPr>
      </w:pPr>
      <w:r>
        <w:rPr>
          <w:rFonts w:ascii="Times New Roman" w:hAnsi="Times New Roman"/>
          <w:sz w:val="20"/>
        </w:rPr>
        <w:t xml:space="preserve">For good and valuable consideration provided by the Pledgee (the receipt and sufficiency of which is hereby acknowledged):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pPr>
            <w:r>
              <w:rPr/>
              <w:t>1.</w:t>
            </w:r>
          </w:p>
        </w:tc>
        <w:tc>
          <w:tcPr>
            <w:tcW w:w="9392" w:type="dxa"/>
            <w:tcBorders/>
            <w:shd w:fill="auto" w:val="clear"/>
          </w:tcPr>
          <w:p>
            <w:pPr>
              <w:pStyle w:val="TableContents"/>
              <w:spacing w:before="0" w:after="283"/>
              <w:jc w:val="left"/>
              <w:rPr/>
            </w:pPr>
            <w:r>
              <w:rPr/>
              <w:t xml:space="preserve">We hereby irrevocably authorise and undertake with the Pledgee that until the date on which all the Secured Liabilities have been unconditionally and irrevocably paid and discharged in full, we will not act alone or with any other person, enter into or accept or authorise any act or omission in contravention of the terms of the Facility Agreement or the Deed of Pledge;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w:t>
            </w:r>
          </w:p>
        </w:tc>
        <w:tc>
          <w:tcPr>
            <w:tcW w:w="9390" w:type="dxa"/>
            <w:tcBorders/>
            <w:shd w:fill="auto" w:val="clear"/>
          </w:tcPr>
          <w:p>
            <w:pPr>
              <w:pStyle w:val="TableContents"/>
              <w:spacing w:before="0" w:after="283"/>
              <w:jc w:val="left"/>
              <w:rPr/>
            </w:pPr>
            <w:r>
              <w:rPr/>
              <w:t xml:space="preserve">We hereby irrevocably authorise the Pledgee at any time on or after an Event of Default occurs under and as defined in the Facility Agreement, to date, use and otherwise put into full effect the undated letter of resignation delivered by me to the Pledgee pursuant to the Deed of Pledge. </w:t>
            </w:r>
          </w:p>
        </w:tc>
      </w:tr>
    </w:tbl>
    <w:p>
      <w:pPr>
        <w:pStyle w:val="TextBody"/>
        <w:spacing w:before="240" w:after="0"/>
        <w:rPr>
          <w:rFonts w:ascii="Times New Roman" w:hAnsi="Times New Roman"/>
          <w:sz w:val="20"/>
        </w:rPr>
      </w:pPr>
      <w:r>
        <w:rPr>
          <w:rFonts w:ascii="Times New Roman" w:hAnsi="Times New Roman"/>
          <w:sz w:val="20"/>
        </w:rPr>
        <w:t xml:space="preserve">Terms defined in the Deed of Pledge have the same meaning in this letter.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240" w:after="0"/>
        <w:rPr>
          <w:rFonts w:ascii="Times New Roman" w:hAnsi="Times New Roman"/>
          <w:sz w:val="20"/>
        </w:rPr>
      </w:pPr>
      <w:r>
        <w:rPr>
          <w:rFonts w:ascii="Times New Roman" w:hAnsi="Times New Roman"/>
          <w:sz w:val="20"/>
        </w:rPr>
        <w:t xml:space="preserve">Yours faithfully,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491"/>
        <w:gridCol w:w="101"/>
        <w:gridCol w:w="917"/>
        <w:gridCol w:w="101"/>
        <w:gridCol w:w="4594"/>
      </w:tblGrid>
      <w:tr>
        <w:trPr/>
        <w:tc>
          <w:tcPr>
            <w:tcW w:w="4491" w:type="dxa"/>
            <w:tcBorders/>
            <w:shd w:fill="auto" w:val="clear"/>
            <w:vAlign w:val="center"/>
          </w:tcPr>
          <w:p>
            <w:pPr>
              <w:pStyle w:val="TableContents"/>
              <w:spacing w:before="0" w:after="283"/>
              <w:rPr>
                <w:sz w:val="4"/>
                <w:szCs w:val="4"/>
              </w:rPr>
            </w:pPr>
            <w:r>
              <w:rPr>
                <w:sz w:val="4"/>
                <w:szCs w:val="4"/>
              </w:rPr>
            </w:r>
          </w:p>
        </w:tc>
        <w:tc>
          <w:tcPr>
            <w:tcW w:w="101" w:type="dxa"/>
            <w:tcBorders/>
            <w:shd w:fill="auto" w:val="clear"/>
            <w:vAlign w:val="bottom"/>
          </w:tcPr>
          <w:p>
            <w:pPr>
              <w:pStyle w:val="TableContents"/>
              <w:spacing w:before="0" w:after="283"/>
              <w:rPr>
                <w:sz w:val="4"/>
                <w:szCs w:val="4"/>
              </w:rPr>
            </w:pPr>
            <w:r>
              <w:rPr>
                <w:sz w:val="4"/>
                <w:szCs w:val="4"/>
              </w:rPr>
            </w:r>
          </w:p>
        </w:tc>
        <w:tc>
          <w:tcPr>
            <w:tcW w:w="917" w:type="dxa"/>
            <w:tcBorders/>
            <w:shd w:fill="auto" w:val="clear"/>
            <w:vAlign w:val="center"/>
          </w:tcPr>
          <w:p>
            <w:pPr>
              <w:pStyle w:val="TableContents"/>
              <w:spacing w:before="0" w:after="283"/>
              <w:rPr>
                <w:sz w:val="4"/>
                <w:szCs w:val="4"/>
              </w:rPr>
            </w:pPr>
            <w:r>
              <w:rPr>
                <w:sz w:val="4"/>
                <w:szCs w:val="4"/>
              </w:rPr>
            </w:r>
          </w:p>
        </w:tc>
        <w:tc>
          <w:tcPr>
            <w:tcW w:w="101" w:type="dxa"/>
            <w:tcBorders/>
            <w:shd w:fill="auto" w:val="clear"/>
            <w:vAlign w:val="bottom"/>
          </w:tcPr>
          <w:p>
            <w:pPr>
              <w:pStyle w:val="TableContents"/>
              <w:spacing w:before="0" w:after="283"/>
              <w:rPr>
                <w:sz w:val="4"/>
                <w:szCs w:val="4"/>
              </w:rPr>
            </w:pPr>
            <w:r>
              <w:rPr>
                <w:sz w:val="4"/>
                <w:szCs w:val="4"/>
              </w:rPr>
            </w:r>
          </w:p>
        </w:tc>
        <w:tc>
          <w:tcPr>
            <w:tcW w:w="4594" w:type="dxa"/>
            <w:tcBorders/>
            <w:shd w:fill="auto" w:val="clear"/>
            <w:vAlign w:val="center"/>
          </w:tcPr>
          <w:p>
            <w:pPr>
              <w:pStyle w:val="TableContents"/>
              <w:spacing w:before="0" w:after="283"/>
              <w:rPr>
                <w:sz w:val="4"/>
                <w:szCs w:val="4"/>
              </w:rPr>
            </w:pPr>
            <w:r>
              <w:rPr>
                <w:sz w:val="4"/>
                <w:szCs w:val="4"/>
              </w:rPr>
            </w:r>
          </w:p>
        </w:tc>
      </w:tr>
      <w:tr>
        <w:trPr/>
        <w:tc>
          <w:tcPr>
            <w:tcW w:w="4491" w:type="dxa"/>
            <w:tcBorders/>
            <w:shd w:fill="auto" w:val="clear"/>
          </w:tcPr>
          <w:p>
            <w:pPr>
              <w:pStyle w:val="TableContents"/>
              <w:pBdr>
                <w:bottom w:val="single" w:sz="2" w:space="1" w:color="000000"/>
              </w:pBdr>
              <w:spacing w:before="0" w:after="20"/>
              <w:rPr/>
            </w:pPr>
            <w:r>
              <w:rPr/>
              <w:t> </w:t>
            </w:r>
          </w:p>
        </w:tc>
        <w:tc>
          <w:tcPr>
            <w:tcW w:w="101" w:type="dxa"/>
            <w:tcBorders/>
            <w:shd w:fill="auto" w:val="clear"/>
            <w:vAlign w:val="bottom"/>
          </w:tcPr>
          <w:p>
            <w:pPr>
              <w:pStyle w:val="TableContents"/>
              <w:spacing w:before="0" w:after="283"/>
              <w:rPr/>
            </w:pPr>
            <w:r>
              <w:rPr/>
              <w:t> </w:t>
            </w:r>
          </w:p>
        </w:tc>
        <w:tc>
          <w:tcPr>
            <w:tcW w:w="917" w:type="dxa"/>
            <w:tcBorders/>
            <w:shd w:fill="auto" w:val="clear"/>
          </w:tcPr>
          <w:p>
            <w:pPr>
              <w:pStyle w:val="TableContents"/>
              <w:spacing w:before="0" w:after="283"/>
              <w:rPr>
                <w:sz w:val="4"/>
                <w:szCs w:val="4"/>
              </w:rPr>
            </w:pPr>
            <w:r>
              <w:rPr>
                <w:sz w:val="4"/>
                <w:szCs w:val="4"/>
              </w:rPr>
            </w:r>
          </w:p>
        </w:tc>
        <w:tc>
          <w:tcPr>
            <w:tcW w:w="101" w:type="dxa"/>
            <w:tcBorders/>
            <w:shd w:fill="auto" w:val="clear"/>
            <w:vAlign w:val="bottom"/>
          </w:tcPr>
          <w:p>
            <w:pPr>
              <w:pStyle w:val="TableContents"/>
              <w:spacing w:before="0" w:after="283"/>
              <w:rPr/>
            </w:pPr>
            <w:r>
              <w:rPr/>
              <w:t> </w:t>
            </w:r>
          </w:p>
        </w:tc>
        <w:tc>
          <w:tcPr>
            <w:tcW w:w="4594" w:type="dxa"/>
            <w:tcBorders/>
            <w:shd w:fill="auto" w:val="clear"/>
          </w:tcPr>
          <w:p>
            <w:pPr>
              <w:pStyle w:val="TableContents"/>
              <w:pBdr>
                <w:bottom w:val="single" w:sz="2" w:space="1" w:color="000000"/>
              </w:pBdr>
              <w:spacing w:before="0" w:after="20"/>
              <w:rPr/>
            </w:pPr>
            <w:r>
              <w:rPr/>
              <w:t> </w:t>
            </w:r>
          </w:p>
        </w:tc>
      </w:tr>
      <w:tr>
        <w:trPr/>
        <w:tc>
          <w:tcPr>
            <w:tcW w:w="4491" w:type="dxa"/>
            <w:tcBorders/>
            <w:shd w:fill="auto" w:val="clear"/>
          </w:tcPr>
          <w:p>
            <w:pPr>
              <w:pStyle w:val="TableContents"/>
              <w:spacing w:before="0" w:after="0"/>
              <w:rPr>
                <w:rFonts w:ascii="Times New Roman" w:hAnsi="Times New Roman"/>
                <w:sz w:val="20"/>
              </w:rPr>
            </w:pPr>
            <w:r>
              <w:rPr>
                <w:rFonts w:ascii="Times New Roman" w:hAnsi="Times New Roman"/>
                <w:b/>
                <w:sz w:val="20"/>
              </w:rPr>
              <w:t>KATERINA IOSIF</w:t>
            </w:r>
            <w:r>
              <w:rPr>
                <w:rFonts w:ascii="Times New Roman" w:hAnsi="Times New Roman"/>
                <w:sz w:val="20"/>
              </w:rPr>
              <w:t xml:space="preserve"> </w:t>
            </w:r>
          </w:p>
          <w:p>
            <w:pPr>
              <w:pStyle w:val="TableContents"/>
              <w:spacing w:before="0" w:after="20"/>
              <w:rPr>
                <w:rFonts w:ascii="Times New Roman" w:hAnsi="Times New Roman"/>
                <w:sz w:val="20"/>
              </w:rPr>
            </w:pPr>
            <w:r>
              <w:rPr>
                <w:rFonts w:ascii="Times New Roman" w:hAnsi="Times New Roman"/>
                <w:sz w:val="20"/>
              </w:rPr>
              <w:t>Director</w:t>
            </w:r>
          </w:p>
        </w:tc>
        <w:tc>
          <w:tcPr>
            <w:tcW w:w="101" w:type="dxa"/>
            <w:tcBorders/>
            <w:shd w:fill="auto" w:val="clear"/>
            <w:vAlign w:val="bottom"/>
          </w:tcPr>
          <w:p>
            <w:pPr>
              <w:pStyle w:val="TableContents"/>
              <w:spacing w:before="0" w:after="283"/>
              <w:rPr/>
            </w:pPr>
            <w:r>
              <w:rPr/>
              <w:t> </w:t>
            </w:r>
          </w:p>
        </w:tc>
        <w:tc>
          <w:tcPr>
            <w:tcW w:w="917" w:type="dxa"/>
            <w:tcBorders/>
            <w:shd w:fill="auto" w:val="clear"/>
          </w:tcPr>
          <w:p>
            <w:pPr>
              <w:pStyle w:val="TableContents"/>
              <w:spacing w:before="0" w:after="283"/>
              <w:rPr>
                <w:sz w:val="4"/>
                <w:szCs w:val="4"/>
              </w:rPr>
            </w:pPr>
            <w:r>
              <w:rPr>
                <w:sz w:val="4"/>
                <w:szCs w:val="4"/>
              </w:rPr>
            </w:r>
          </w:p>
        </w:tc>
        <w:tc>
          <w:tcPr>
            <w:tcW w:w="101" w:type="dxa"/>
            <w:tcBorders/>
            <w:shd w:fill="auto" w:val="clear"/>
            <w:vAlign w:val="bottom"/>
          </w:tcPr>
          <w:p>
            <w:pPr>
              <w:pStyle w:val="TableContents"/>
              <w:spacing w:before="0" w:after="283"/>
              <w:rPr/>
            </w:pPr>
            <w:r>
              <w:rPr/>
              <w:t> </w:t>
            </w:r>
          </w:p>
        </w:tc>
        <w:tc>
          <w:tcPr>
            <w:tcW w:w="4594" w:type="dxa"/>
            <w:tcBorders/>
            <w:shd w:fill="auto" w:val="clear"/>
          </w:tcPr>
          <w:p>
            <w:pPr>
              <w:pStyle w:val="TableContents"/>
              <w:spacing w:before="0" w:after="0"/>
              <w:rPr>
                <w:rFonts w:ascii="Times New Roman" w:hAnsi="Times New Roman"/>
                <w:sz w:val="20"/>
              </w:rPr>
            </w:pPr>
            <w:r>
              <w:rPr>
                <w:rFonts w:ascii="Times New Roman" w:hAnsi="Times New Roman"/>
                <w:b/>
                <w:sz w:val="20"/>
              </w:rPr>
              <w:t>PANAYIOTA STYLIANOU</w:t>
            </w:r>
            <w:r>
              <w:rPr>
                <w:rFonts w:ascii="Times New Roman" w:hAnsi="Times New Roman"/>
                <w:sz w:val="20"/>
              </w:rPr>
              <w:t xml:space="preserve"> </w:t>
            </w:r>
          </w:p>
          <w:p>
            <w:pPr>
              <w:pStyle w:val="TableContents"/>
              <w:spacing w:before="0" w:after="20"/>
              <w:rPr>
                <w:rFonts w:ascii="Times New Roman" w:hAnsi="Times New Roman"/>
                <w:sz w:val="20"/>
              </w:rPr>
            </w:pPr>
            <w:r>
              <w:rPr>
                <w:rFonts w:ascii="Times New Roman" w:hAnsi="Times New Roman"/>
                <w:sz w:val="20"/>
              </w:rPr>
              <w:t>Director</w:t>
            </w:r>
          </w:p>
        </w:tc>
      </w:tr>
      <w:tr>
        <w:trPr>
          <w:trHeight w:val="240" w:hRule="atLeast"/>
        </w:trPr>
        <w:tc>
          <w:tcPr>
            <w:tcW w:w="4491" w:type="dxa"/>
            <w:tcBorders/>
            <w:shd w:fill="auto" w:val="clear"/>
            <w:vAlign w:val="center"/>
          </w:tcPr>
          <w:p>
            <w:pPr>
              <w:pStyle w:val="TableContents"/>
              <w:spacing w:before="0" w:after="283"/>
              <w:rPr>
                <w:sz w:val="4"/>
                <w:szCs w:val="4"/>
              </w:rPr>
            </w:pPr>
            <w:r>
              <w:rPr>
                <w:sz w:val="4"/>
                <w:szCs w:val="4"/>
              </w:rPr>
            </w:r>
          </w:p>
        </w:tc>
        <w:tc>
          <w:tcPr>
            <w:tcW w:w="1018" w:type="dxa"/>
            <w:gridSpan w:val="2"/>
            <w:tcBorders/>
            <w:shd w:fill="auto" w:val="clear"/>
            <w:vAlign w:val="center"/>
          </w:tcPr>
          <w:p>
            <w:pPr>
              <w:pStyle w:val="TableContents"/>
              <w:spacing w:before="0" w:after="283"/>
              <w:rPr>
                <w:sz w:val="4"/>
                <w:szCs w:val="4"/>
              </w:rPr>
            </w:pPr>
            <w:r>
              <w:rPr>
                <w:sz w:val="4"/>
                <w:szCs w:val="4"/>
              </w:rPr>
            </w:r>
          </w:p>
        </w:tc>
        <w:tc>
          <w:tcPr>
            <w:tcW w:w="4695" w:type="dxa"/>
            <w:gridSpan w:val="2"/>
            <w:tcBorders/>
            <w:shd w:fill="auto" w:val="clear"/>
            <w:vAlign w:val="center"/>
          </w:tcPr>
          <w:p>
            <w:pPr>
              <w:pStyle w:val="TableContents"/>
              <w:spacing w:before="0" w:after="283"/>
              <w:rPr>
                <w:sz w:val="4"/>
                <w:szCs w:val="4"/>
              </w:rPr>
            </w:pPr>
            <w:r>
              <w:rPr>
                <w:sz w:val="4"/>
                <w:szCs w:val="4"/>
              </w:rPr>
            </w:r>
          </w:p>
        </w:tc>
      </w:tr>
      <w:tr>
        <w:trPr/>
        <w:tc>
          <w:tcPr>
            <w:tcW w:w="4491" w:type="dxa"/>
            <w:tcBorders/>
            <w:shd w:fill="auto" w:val="clear"/>
          </w:tcPr>
          <w:p>
            <w:pPr>
              <w:pStyle w:val="TableContents"/>
              <w:pBdr>
                <w:bottom w:val="single" w:sz="2" w:space="1" w:color="000000"/>
              </w:pBdr>
              <w:spacing w:before="0" w:after="20"/>
              <w:rPr/>
            </w:pPr>
            <w:r>
              <w:rPr/>
              <w:t> </w:t>
            </w:r>
          </w:p>
        </w:tc>
        <w:tc>
          <w:tcPr>
            <w:tcW w:w="101" w:type="dxa"/>
            <w:tcBorders/>
            <w:shd w:fill="auto" w:val="clear"/>
            <w:vAlign w:val="bottom"/>
          </w:tcPr>
          <w:p>
            <w:pPr>
              <w:pStyle w:val="TableContents"/>
              <w:spacing w:before="0" w:after="283"/>
              <w:rPr/>
            </w:pPr>
            <w:r>
              <w:rPr/>
              <w:t> </w:t>
            </w:r>
          </w:p>
        </w:tc>
        <w:tc>
          <w:tcPr>
            <w:tcW w:w="917" w:type="dxa"/>
            <w:tcBorders/>
            <w:shd w:fill="auto" w:val="clear"/>
          </w:tcPr>
          <w:p>
            <w:pPr>
              <w:pStyle w:val="TableContents"/>
              <w:spacing w:before="0" w:after="283"/>
              <w:rPr>
                <w:sz w:val="4"/>
                <w:szCs w:val="4"/>
              </w:rPr>
            </w:pPr>
            <w:r>
              <w:rPr>
                <w:sz w:val="4"/>
                <w:szCs w:val="4"/>
              </w:rPr>
            </w:r>
          </w:p>
        </w:tc>
        <w:tc>
          <w:tcPr>
            <w:tcW w:w="101" w:type="dxa"/>
            <w:tcBorders/>
            <w:shd w:fill="auto" w:val="clear"/>
            <w:vAlign w:val="bottom"/>
          </w:tcPr>
          <w:p>
            <w:pPr>
              <w:pStyle w:val="TableContents"/>
              <w:spacing w:before="0" w:after="283"/>
              <w:rPr/>
            </w:pPr>
            <w:r>
              <w:rPr/>
              <w:t> </w:t>
            </w:r>
          </w:p>
        </w:tc>
        <w:tc>
          <w:tcPr>
            <w:tcW w:w="4594" w:type="dxa"/>
            <w:tcBorders/>
            <w:shd w:fill="auto" w:val="clear"/>
          </w:tcPr>
          <w:p>
            <w:pPr>
              <w:pStyle w:val="TableContents"/>
              <w:pBdr>
                <w:bottom w:val="single" w:sz="2" w:space="1" w:color="000000"/>
              </w:pBdr>
              <w:spacing w:before="0" w:after="20"/>
              <w:rPr/>
            </w:pPr>
            <w:r>
              <w:rPr/>
              <w:t> </w:t>
            </w:r>
          </w:p>
        </w:tc>
      </w:tr>
      <w:tr>
        <w:trPr/>
        <w:tc>
          <w:tcPr>
            <w:tcW w:w="4491" w:type="dxa"/>
            <w:tcBorders/>
            <w:shd w:fill="auto" w:val="clear"/>
          </w:tcPr>
          <w:p>
            <w:pPr>
              <w:pStyle w:val="TableContents"/>
              <w:spacing w:before="0" w:after="0"/>
              <w:rPr>
                <w:rFonts w:ascii="Times New Roman" w:hAnsi="Times New Roman"/>
                <w:sz w:val="20"/>
              </w:rPr>
            </w:pPr>
            <w:r>
              <w:rPr>
                <w:rFonts w:ascii="Times New Roman" w:hAnsi="Times New Roman"/>
                <w:b/>
                <w:sz w:val="20"/>
              </w:rPr>
              <w:t>ALEXANDER ARBUZOV</w:t>
            </w:r>
            <w:r>
              <w:rPr>
                <w:rFonts w:ascii="Times New Roman" w:hAnsi="Times New Roman"/>
                <w:sz w:val="20"/>
              </w:rPr>
              <w:t xml:space="preserve"> </w:t>
            </w:r>
          </w:p>
          <w:p>
            <w:pPr>
              <w:pStyle w:val="TableContents"/>
              <w:spacing w:before="0" w:after="20"/>
              <w:rPr>
                <w:rFonts w:ascii="Times New Roman" w:hAnsi="Times New Roman"/>
                <w:sz w:val="20"/>
              </w:rPr>
            </w:pPr>
            <w:r>
              <w:rPr>
                <w:rFonts w:ascii="Times New Roman" w:hAnsi="Times New Roman"/>
                <w:sz w:val="20"/>
              </w:rPr>
              <w:t>Director</w:t>
            </w:r>
          </w:p>
        </w:tc>
        <w:tc>
          <w:tcPr>
            <w:tcW w:w="101" w:type="dxa"/>
            <w:tcBorders/>
            <w:shd w:fill="auto" w:val="clear"/>
            <w:vAlign w:val="bottom"/>
          </w:tcPr>
          <w:p>
            <w:pPr>
              <w:pStyle w:val="TableContents"/>
              <w:spacing w:before="0" w:after="283"/>
              <w:rPr/>
            </w:pPr>
            <w:r>
              <w:rPr/>
              <w:t> </w:t>
            </w:r>
          </w:p>
        </w:tc>
        <w:tc>
          <w:tcPr>
            <w:tcW w:w="917" w:type="dxa"/>
            <w:tcBorders/>
            <w:shd w:fill="auto" w:val="clear"/>
          </w:tcPr>
          <w:p>
            <w:pPr>
              <w:pStyle w:val="TableContents"/>
              <w:spacing w:before="0" w:after="283"/>
              <w:rPr>
                <w:sz w:val="4"/>
                <w:szCs w:val="4"/>
              </w:rPr>
            </w:pPr>
            <w:r>
              <w:rPr>
                <w:sz w:val="4"/>
                <w:szCs w:val="4"/>
              </w:rPr>
            </w:r>
          </w:p>
        </w:tc>
        <w:tc>
          <w:tcPr>
            <w:tcW w:w="101" w:type="dxa"/>
            <w:tcBorders/>
            <w:shd w:fill="auto" w:val="clear"/>
            <w:vAlign w:val="bottom"/>
          </w:tcPr>
          <w:p>
            <w:pPr>
              <w:pStyle w:val="TableContents"/>
              <w:spacing w:before="0" w:after="283"/>
              <w:rPr/>
            </w:pPr>
            <w:r>
              <w:rPr/>
              <w:t> </w:t>
            </w:r>
          </w:p>
        </w:tc>
        <w:tc>
          <w:tcPr>
            <w:tcW w:w="4594" w:type="dxa"/>
            <w:tcBorders/>
            <w:shd w:fill="auto" w:val="clear"/>
          </w:tcPr>
          <w:p>
            <w:pPr>
              <w:pStyle w:val="TableContents"/>
              <w:spacing w:before="0" w:after="0"/>
              <w:rPr>
                <w:rFonts w:ascii="Times New Roman" w:hAnsi="Times New Roman"/>
                <w:sz w:val="20"/>
              </w:rPr>
            </w:pPr>
            <w:r>
              <w:rPr>
                <w:rFonts w:ascii="Times New Roman" w:hAnsi="Times New Roman"/>
                <w:b/>
                <w:sz w:val="20"/>
              </w:rPr>
              <w:t>TOP SECRETARIAL LIMITED</w:t>
            </w:r>
            <w:r>
              <w:rPr>
                <w:rFonts w:ascii="Times New Roman" w:hAnsi="Times New Roman"/>
                <w:sz w:val="20"/>
              </w:rPr>
              <w:t xml:space="preserve"> </w:t>
            </w:r>
          </w:p>
          <w:p>
            <w:pPr>
              <w:pStyle w:val="TableContents"/>
              <w:spacing w:before="0" w:after="20"/>
              <w:rPr>
                <w:rFonts w:ascii="Times New Roman" w:hAnsi="Times New Roman"/>
                <w:sz w:val="20"/>
              </w:rPr>
            </w:pPr>
            <w:r>
              <w:rPr>
                <w:rFonts w:ascii="Times New Roman" w:hAnsi="Times New Roman"/>
                <w:sz w:val="20"/>
              </w:rPr>
              <w:t>Secretary</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5 </w:t>
      </w:r>
    </w:p>
    <w:p>
      <w:pPr>
        <w:pStyle w:val="TextBody"/>
        <w:spacing w:before="240" w:after="0"/>
        <w:jc w:val="center"/>
        <w:rPr>
          <w:rFonts w:ascii="Times New Roman" w:hAnsi="Times New Roman"/>
          <w:b/>
          <w:sz w:val="20"/>
        </w:rPr>
      </w:pPr>
      <w:r>
        <w:rPr>
          <w:rFonts w:ascii="Times New Roman" w:hAnsi="Times New Roman"/>
          <w:b/>
          <w:sz w:val="20"/>
        </w:rPr>
        <w:t xml:space="preserve">NOTICE OF PLEDGE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To:</w:t>
            </w:r>
          </w:p>
        </w:tc>
        <w:tc>
          <w:tcPr>
            <w:tcW w:w="9389" w:type="dxa"/>
            <w:tcBorders/>
            <w:shd w:fill="auto" w:val="clear"/>
          </w:tcPr>
          <w:p>
            <w:pPr>
              <w:pStyle w:val="TableContents"/>
              <w:spacing w:before="0" w:after="283"/>
              <w:jc w:val="left"/>
              <w:rPr/>
            </w:pPr>
            <w:r>
              <w:rPr/>
              <w:t>ZEMENIK TRADING LIMITED (the “</w:t>
            </w:r>
            <w:r>
              <w:rPr>
                <w:b/>
              </w:rPr>
              <w:t>Company</w:t>
            </w:r>
            <w:r>
              <w:rPr/>
              <w:t xml:space="preserve">”) </w:t>
            </w:r>
          </w:p>
        </w:tc>
      </w:tr>
    </w:tbl>
    <w:p>
      <w:pPr>
        <w:pStyle w:val="TextBody"/>
        <w:spacing w:before="240" w:after="0"/>
        <w:rPr>
          <w:rFonts w:ascii="Times New Roman" w:hAnsi="Times New Roman"/>
          <w:sz w:val="20"/>
        </w:rPr>
      </w:pPr>
      <w:r>
        <w:rPr>
          <w:rFonts w:ascii="Times New Roman" w:hAnsi="Times New Roman"/>
          <w:sz w:val="20"/>
        </w:rPr>
        <w:t xml:space="preserve">Date: [DATE]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480" w:after="0"/>
        <w:jc w:val="center"/>
        <w:rPr>
          <w:rFonts w:ascii="Times New Roman" w:hAnsi="Times New Roman"/>
          <w:b/>
          <w:sz w:val="20"/>
        </w:rPr>
      </w:pPr>
      <w:r>
        <w:rPr>
          <w:rFonts w:ascii="Times New Roman" w:hAnsi="Times New Roman"/>
          <w:b/>
          <w:sz w:val="20"/>
        </w:rPr>
        <w:t xml:space="preserve">Deed of Pledge dated [DATE] between </w:t>
      </w:r>
    </w:p>
    <w:p>
      <w:pPr>
        <w:pStyle w:val="TextBody"/>
        <w:spacing w:before="0" w:after="0"/>
        <w:jc w:val="center"/>
        <w:rPr>
          <w:rFonts w:ascii="Times New Roman" w:hAnsi="Times New Roman"/>
          <w:b/>
          <w:sz w:val="20"/>
        </w:rPr>
      </w:pPr>
      <w:r>
        <w:rPr>
          <w:rFonts w:ascii="Times New Roman" w:hAnsi="Times New Roman"/>
          <w:b/>
          <w:sz w:val="20"/>
        </w:rPr>
        <w:t xml:space="preserve">[•] and JSC VTB BANK (the “Deed of Pledge) </w:t>
      </w:r>
    </w:p>
    <w:p>
      <w:pPr>
        <w:pStyle w:val="TextBody"/>
        <w:spacing w:before="240" w:after="0"/>
        <w:rPr>
          <w:rFonts w:ascii="Times New Roman" w:hAnsi="Times New Roman"/>
          <w:sz w:val="20"/>
        </w:rPr>
      </w:pPr>
      <w:r>
        <w:rPr>
          <w:rFonts w:ascii="Times New Roman" w:hAnsi="Times New Roman"/>
          <w:sz w:val="20"/>
        </w:rPr>
        <w:t>This letter constitutes notice to you that under the Deed of Pledge, [ ? ] (the “</w:t>
      </w:r>
      <w:r>
        <w:rPr>
          <w:rFonts w:ascii="Times New Roman" w:hAnsi="Times New Roman"/>
          <w:b/>
          <w:sz w:val="20"/>
        </w:rPr>
        <w:t>Pledgor</w:t>
      </w:r>
      <w:r>
        <w:rPr>
          <w:rFonts w:ascii="Times New Roman" w:hAnsi="Times New Roman"/>
          <w:sz w:val="20"/>
        </w:rPr>
        <w:t xml:space="preserve">”) have, </w:t>
      </w:r>
      <w:r>
        <w:rPr>
          <w:rFonts w:ascii="Times New Roman" w:hAnsi="Times New Roman"/>
          <w:i/>
          <w:sz w:val="20"/>
        </w:rPr>
        <w:t xml:space="preserve">inter alia, </w:t>
      </w:r>
      <w:r>
        <w:rPr>
          <w:rFonts w:ascii="Times New Roman" w:hAnsi="Times New Roman"/>
          <w:sz w:val="20"/>
        </w:rPr>
        <w:t>pledged in our favour the share certificates representing [ ? ] ordinary shares of €1.00 each in the share capital of the Company (the “</w:t>
      </w:r>
      <w:r>
        <w:rPr>
          <w:rFonts w:ascii="Times New Roman" w:hAnsi="Times New Roman"/>
          <w:b/>
          <w:sz w:val="20"/>
        </w:rPr>
        <w:t>Shares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We attach to this notice a certified copy of the Deed of Pledge duly signed by the Pledgor and us, in the presence of two competent witnesses who subscribed with their names as witnesses. </w:t>
      </w:r>
    </w:p>
    <w:p>
      <w:pPr>
        <w:pStyle w:val="TextBody"/>
        <w:spacing w:before="240" w:after="0"/>
        <w:rPr>
          <w:rFonts w:ascii="Times New Roman" w:hAnsi="Times New Roman"/>
          <w:sz w:val="20"/>
        </w:rPr>
      </w:pPr>
      <w:r>
        <w:rPr>
          <w:rFonts w:ascii="Times New Roman" w:hAnsi="Times New Roman"/>
          <w:sz w:val="20"/>
        </w:rPr>
        <w:t xml:space="preserve">In accordance with Section 138(2)(b) of the Contract Law, Cap. 149, you are instructed 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enter a Memorandum of this pledge in the Register of Members and against the Shares in respect of which this notice is given;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(d)</w:t>
            </w:r>
          </w:p>
        </w:tc>
        <w:tc>
          <w:tcPr>
            <w:tcW w:w="8474" w:type="dxa"/>
            <w:tcBorders/>
            <w:shd w:fill="auto" w:val="clear"/>
          </w:tcPr>
          <w:p>
            <w:pPr>
              <w:pStyle w:val="TableContents"/>
              <w:spacing w:before="0" w:after="283"/>
              <w:jc w:val="left"/>
              <w:rPr/>
            </w:pPr>
            <w:r>
              <w:rPr/>
              <w:t xml:space="preserve">issue to us a certificate acknowledging receipt of this notice and confirming that the aforesaid Memorandum has been made in the Register of Members. </w:t>
            </w:r>
          </w:p>
        </w:tc>
      </w:tr>
    </w:tbl>
    <w:p>
      <w:pPr>
        <w:pStyle w:val="TextBody"/>
        <w:spacing w:before="240" w:after="0"/>
        <w:rPr>
          <w:rFonts w:ascii="Times New Roman" w:hAnsi="Times New Roman"/>
          <w:sz w:val="20"/>
        </w:rPr>
      </w:pPr>
      <w:r>
        <w:rPr>
          <w:rFonts w:ascii="Times New Roman" w:hAnsi="Times New Roman"/>
          <w:sz w:val="20"/>
        </w:rPr>
        <w:t xml:space="preserve">You are instructed to disclose to us any information relation to the Shares requested by us from time to time and to comply with the terms of any written notice or instruction relating to the Shares which you may receive from us. </w:t>
      </w:r>
    </w:p>
    <w:p>
      <w:pPr>
        <w:pStyle w:val="TextBody"/>
        <w:spacing w:before="240" w:after="0"/>
        <w:rPr>
          <w:rFonts w:ascii="Times New Roman" w:hAnsi="Times New Roman"/>
          <w:sz w:val="20"/>
        </w:rPr>
      </w:pPr>
      <w:r>
        <w:rPr>
          <w:rFonts w:ascii="Times New Roman" w:hAnsi="Times New Roman"/>
          <w:sz w:val="20"/>
        </w:rPr>
        <w:t xml:space="preserve">This letter is governed by Cyprus law.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4082"/>
      </w:tblGrid>
      <w:tr>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pPr>
            <w:r>
              <w:rPr/>
              <w:t>Yours faithfully,</w:t>
            </w:r>
          </w:p>
        </w:tc>
      </w:tr>
      <w:tr>
        <w:trPr>
          <w:trHeight w:val="240" w:hRule="atLeast"/>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pBdr>
                <w:bottom w:val="single" w:sz="2" w:space="1" w:color="000000"/>
              </w:pBdr>
              <w:spacing w:before="0" w:after="20"/>
              <w:rPr/>
            </w:pPr>
            <w:r>
              <w:rPr/>
              <w:t> </w:t>
            </w:r>
          </w:p>
        </w:tc>
      </w:tr>
      <w:tr>
        <w:trPr/>
        <w:tc>
          <w:tcPr>
            <w:tcW w:w="4082" w:type="dxa"/>
            <w:tcBorders/>
            <w:shd w:fill="auto" w:val="clear"/>
          </w:tcPr>
          <w:p>
            <w:pPr>
              <w:pStyle w:val="TableContents"/>
              <w:spacing w:before="0" w:after="283"/>
              <w:rPr>
                <w:b/>
              </w:rPr>
            </w:pPr>
            <w:r>
              <w:rPr>
                <w:b/>
              </w:rPr>
              <w:t>JSC VTB BANK</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6 </w:t>
      </w:r>
    </w:p>
    <w:p>
      <w:pPr>
        <w:pStyle w:val="TextBody"/>
        <w:spacing w:before="240" w:after="0"/>
        <w:jc w:val="center"/>
        <w:rPr>
          <w:rFonts w:ascii="Times New Roman" w:hAnsi="Times New Roman"/>
          <w:b/>
          <w:sz w:val="20"/>
        </w:rPr>
      </w:pPr>
      <w:r>
        <w:rPr>
          <w:rFonts w:ascii="Times New Roman" w:hAnsi="Times New Roman"/>
          <w:b/>
          <w:sz w:val="20"/>
        </w:rPr>
        <w:t xml:space="preserve">SECRETARY’S CERTIFICATE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To:</w:t>
            </w:r>
          </w:p>
        </w:tc>
        <w:tc>
          <w:tcPr>
            <w:tcW w:w="9390" w:type="dxa"/>
            <w:tcBorders/>
            <w:shd w:fill="auto" w:val="clear"/>
          </w:tcPr>
          <w:p>
            <w:pPr>
              <w:pStyle w:val="TableContents"/>
              <w:spacing w:before="0" w:after="283"/>
              <w:jc w:val="left"/>
              <w:rPr/>
            </w:pPr>
            <w:r>
              <w:rPr/>
              <w:t xml:space="preserve">JSC VTB BANK </w:t>
            </w:r>
          </w:p>
        </w:tc>
      </w:tr>
    </w:tbl>
    <w:p>
      <w:pPr>
        <w:pStyle w:val="TextBody"/>
        <w:spacing w:before="240" w:after="0"/>
        <w:rPr>
          <w:rFonts w:ascii="Times New Roman" w:hAnsi="Times New Roman"/>
          <w:sz w:val="20"/>
        </w:rPr>
      </w:pPr>
      <w:r>
        <w:rPr>
          <w:rFonts w:ascii="Times New Roman" w:hAnsi="Times New Roman"/>
          <w:sz w:val="20"/>
        </w:rPr>
        <w:t xml:space="preserve">Date: [DATE] </w:t>
      </w:r>
    </w:p>
    <w:p>
      <w:pPr>
        <w:pStyle w:val="TextBody"/>
        <w:spacing w:before="360" w:after="0"/>
        <w:jc w:val="center"/>
        <w:rPr>
          <w:rFonts w:ascii="Times New Roman" w:hAnsi="Times New Roman"/>
          <w:b/>
          <w:sz w:val="20"/>
        </w:rPr>
      </w:pPr>
      <w:r>
        <w:rPr>
          <w:rFonts w:ascii="Times New Roman" w:hAnsi="Times New Roman"/>
          <w:b/>
          <w:sz w:val="20"/>
        </w:rPr>
        <w:t xml:space="preserve">Deed of Pledge dated [DATE] between </w:t>
      </w:r>
    </w:p>
    <w:p>
      <w:pPr>
        <w:pStyle w:val="TextBody"/>
        <w:spacing w:before="0" w:after="0"/>
        <w:jc w:val="center"/>
        <w:rPr>
          <w:rFonts w:ascii="Times New Roman" w:hAnsi="Times New Roman"/>
          <w:sz w:val="20"/>
        </w:rPr>
      </w:pPr>
      <w:r>
        <w:rPr>
          <w:rFonts w:ascii="Times New Roman" w:hAnsi="Times New Roman"/>
          <w:b/>
          <w:sz w:val="20"/>
        </w:rPr>
        <w:t>[ </w:t>
      </w:r>
      <w:r>
        <w:rPr>
          <w:rFonts w:ascii="Times New Roman" w:hAnsi="Times New Roman"/>
          <w:sz w:val="20"/>
        </w:rPr>
        <w:t>? </w:t>
      </w:r>
      <w:r>
        <w:rPr>
          <w:rFonts w:ascii="Times New Roman" w:hAnsi="Times New Roman"/>
          <w:b/>
          <w:sz w:val="20"/>
        </w:rPr>
        <w:t xml:space="preserve">] and JSC VTB BANK (the “Deed of Pledge”) </w:t>
      </w:r>
    </w:p>
    <w:p>
      <w:pPr>
        <w:pStyle w:val="TextBody"/>
        <w:spacing w:before="240" w:after="0"/>
        <w:rPr>
          <w:rFonts w:ascii="Times New Roman" w:hAnsi="Times New Roman"/>
          <w:sz w:val="20"/>
        </w:rPr>
      </w:pPr>
      <w:r>
        <w:rPr>
          <w:rFonts w:ascii="Times New Roman" w:hAnsi="Times New Roman"/>
          <w:sz w:val="20"/>
        </w:rPr>
        <w:t>We acknowledge receipt of the notice dated [DATE] notifying us that the [PLEDGOR] have, inter alia, under the Deed of Pledge pledged the share certificates representing [ ? ] ordinary shares of €1.00 each (the “</w:t>
      </w:r>
      <w:r>
        <w:rPr>
          <w:rFonts w:ascii="Times New Roman" w:hAnsi="Times New Roman"/>
          <w:b/>
          <w:sz w:val="20"/>
        </w:rPr>
        <w:t>Shares</w:t>
      </w:r>
      <w:r>
        <w:rPr>
          <w:rFonts w:ascii="Times New Roman" w:hAnsi="Times New Roman"/>
          <w:sz w:val="20"/>
        </w:rPr>
        <w:t xml:space="preserve">”) in </w:t>
      </w:r>
      <w:r>
        <w:rPr>
          <w:rFonts w:ascii="Times New Roman" w:hAnsi="Times New Roman"/>
          <w:b/>
          <w:sz w:val="20"/>
        </w:rPr>
        <w:t xml:space="preserve">ZEMENIK TRADING LIMITED </w:t>
      </w: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together with the certified copy of the Deed of Pledge. </w:t>
      </w:r>
    </w:p>
    <w:p>
      <w:pPr>
        <w:pStyle w:val="TextBody"/>
        <w:spacing w:before="240" w:after="0"/>
        <w:rPr>
          <w:rFonts w:ascii="Times New Roman" w:hAnsi="Times New Roman"/>
          <w:sz w:val="20"/>
        </w:rPr>
      </w:pPr>
      <w:r>
        <w:rPr>
          <w:rFonts w:ascii="Times New Roman" w:hAnsi="Times New Roman"/>
          <w:sz w:val="20"/>
        </w:rPr>
        <w:t xml:space="preserve">We hereby agree to comply with the notice and confirm, certify and acknowledge that we: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1.</w:t>
            </w:r>
          </w:p>
        </w:tc>
        <w:tc>
          <w:tcPr>
            <w:tcW w:w="9390" w:type="dxa"/>
            <w:tcBorders/>
            <w:shd w:fill="auto" w:val="clear"/>
          </w:tcPr>
          <w:p>
            <w:pPr>
              <w:pStyle w:val="TableContents"/>
              <w:spacing w:before="0" w:after="283"/>
              <w:jc w:val="left"/>
              <w:rPr/>
            </w:pPr>
            <w:r>
              <w:rPr/>
              <w:t xml:space="preserve">have not received notice of the interest of any third party in the Shares and are not aware of any transfer of the Shares to a third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2.</w:t>
            </w:r>
          </w:p>
        </w:tc>
        <w:tc>
          <w:tcPr>
            <w:tcW w:w="9390" w:type="dxa"/>
            <w:tcBorders/>
            <w:shd w:fill="auto" w:val="clear"/>
          </w:tcPr>
          <w:p>
            <w:pPr>
              <w:pStyle w:val="TableContents"/>
              <w:spacing w:before="0" w:after="283"/>
              <w:jc w:val="left"/>
              <w:rPr/>
            </w:pPr>
            <w:r>
              <w:rPr/>
              <w:t xml:space="preserve">have not received notice of and are not aware of the Shares, the share certificates representing the Shares, or any rights attaching to the Shares being subject to any pledge or other security interest;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3.</w:t>
            </w:r>
          </w:p>
        </w:tc>
        <w:tc>
          <w:tcPr>
            <w:tcW w:w="9388" w:type="dxa"/>
            <w:tcBorders/>
            <w:shd w:fill="auto" w:val="clear"/>
          </w:tcPr>
          <w:p>
            <w:pPr>
              <w:pStyle w:val="TableContents"/>
              <w:spacing w:before="0" w:after="283"/>
              <w:jc w:val="left"/>
              <w:rPr/>
            </w:pPr>
            <w:r>
              <w:rPr/>
              <w:t xml:space="preserve">Memoranda, substantially in the form set out in the Schedule below, have been made and registered in the Register of Members of the Company in accordance with the terms and conditions of the Deed of Pledge. </w:t>
            </w:r>
          </w:p>
        </w:tc>
      </w:tr>
    </w:tbl>
    <w:p>
      <w:pPr>
        <w:pStyle w:val="TextBody"/>
        <w:spacing w:before="240" w:after="0"/>
        <w:rPr>
          <w:rFonts w:ascii="Times New Roman" w:hAnsi="Times New Roman"/>
          <w:sz w:val="20"/>
        </w:rPr>
      </w:pPr>
      <w:r>
        <w:rPr>
          <w:rFonts w:ascii="Times New Roman" w:hAnsi="Times New Roman"/>
          <w:sz w:val="20"/>
        </w:rPr>
        <w:t xml:space="preserve">This certificate is governed by Cyprus law.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w:t>
      </w:r>
    </w:p>
    <w:p>
      <w:pPr>
        <w:pStyle w:val="TextBody"/>
        <w:spacing w:before="240" w:after="0"/>
        <w:jc w:val="center"/>
        <w:rPr>
          <w:rFonts w:ascii="Times New Roman" w:hAnsi="Times New Roman"/>
          <w:sz w:val="20"/>
        </w:rPr>
      </w:pPr>
      <w:r>
        <w:rPr>
          <w:rFonts w:ascii="Times New Roman" w:hAnsi="Times New Roman"/>
          <w:sz w:val="20"/>
        </w:rPr>
        <w:t xml:space="preserve">[NUMBER][CLASS] shares of [CURRENCY][NOMINAL VALUE] (with distinctive numbers [ ? ] </w:t>
      </w:r>
    </w:p>
    <w:p>
      <w:pPr>
        <w:pStyle w:val="TextBody"/>
        <w:spacing w:before="0" w:after="0"/>
        <w:jc w:val="center"/>
        <w:rPr>
          <w:rFonts w:ascii="Times New Roman" w:hAnsi="Times New Roman"/>
          <w:sz w:val="20"/>
        </w:rPr>
      </w:pPr>
      <w:r>
        <w:rPr>
          <w:rFonts w:ascii="Times New Roman" w:hAnsi="Times New Roman"/>
          <w:sz w:val="20"/>
        </w:rPr>
        <w:t xml:space="preserve">to [ ? ]) inclusive) registered in the name of [PLEDGOR] have been pledged in favour </w:t>
      </w:r>
    </w:p>
    <w:p>
      <w:pPr>
        <w:pStyle w:val="TextBody"/>
        <w:spacing w:before="0" w:after="0"/>
        <w:jc w:val="center"/>
        <w:rPr>
          <w:rFonts w:ascii="Times New Roman" w:hAnsi="Times New Roman"/>
          <w:sz w:val="20"/>
        </w:rPr>
      </w:pPr>
      <w:r>
        <w:rPr>
          <w:rFonts w:ascii="Times New Roman" w:hAnsi="Times New Roman"/>
          <w:sz w:val="20"/>
        </w:rPr>
        <w:t xml:space="preserve">of [PLEDGEE] under a Deed of Pledge dated [DATE] between [PLEDGOR] and [PLEDGEE]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4082"/>
      </w:tblGrid>
      <w:tr>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pPr>
            <w:r>
              <w:rPr/>
              <w:t>Yours faithfully.</w:t>
            </w:r>
          </w:p>
        </w:tc>
      </w:tr>
      <w:tr>
        <w:trPr>
          <w:trHeight w:val="240" w:hRule="atLeast"/>
        </w:trPr>
        <w:tc>
          <w:tcPr>
            <w:tcW w:w="4082"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pBdr>
                <w:bottom w:val="single" w:sz="2" w:space="1" w:color="000000"/>
              </w:pBdr>
              <w:spacing w:before="0" w:after="20"/>
              <w:rPr/>
            </w:pPr>
            <w:r>
              <w:rPr/>
              <w:t> </w:t>
            </w:r>
          </w:p>
        </w:tc>
      </w:tr>
      <w:tr>
        <w:trPr/>
        <w:tc>
          <w:tcPr>
            <w:tcW w:w="4082" w:type="dxa"/>
            <w:tcBorders/>
            <w:shd w:fill="auto" w:val="clear"/>
          </w:tcPr>
          <w:p>
            <w:pPr>
              <w:pStyle w:val="TableContents"/>
              <w:spacing w:before="0" w:after="283"/>
              <w:rPr>
                <w:b/>
              </w:rPr>
            </w:pPr>
            <w:r>
              <w:rPr>
                <w:b/>
              </w:rPr>
              <w:t>TOP SECRETARIAL LIMITED</w:t>
            </w:r>
          </w:p>
        </w:tc>
      </w:tr>
      <w:tr>
        <w:trPr/>
        <w:tc>
          <w:tcPr>
            <w:tcW w:w="4082" w:type="dxa"/>
            <w:tcBorders/>
            <w:shd w:fill="auto" w:val="clear"/>
          </w:tcPr>
          <w:p>
            <w:pPr>
              <w:pStyle w:val="TableContents"/>
              <w:spacing w:before="0" w:after="283"/>
              <w:rPr/>
            </w:pPr>
            <w:r>
              <w:rPr/>
              <w:t>Secretary of</w:t>
            </w:r>
          </w:p>
        </w:tc>
      </w:tr>
      <w:tr>
        <w:trPr/>
        <w:tc>
          <w:tcPr>
            <w:tcW w:w="4082" w:type="dxa"/>
            <w:tcBorders/>
            <w:shd w:fill="auto" w:val="clear"/>
          </w:tcPr>
          <w:p>
            <w:pPr>
              <w:pStyle w:val="TableContents"/>
              <w:spacing w:before="0" w:after="283"/>
              <w:rPr/>
            </w:pPr>
            <w:r>
              <w:rPr/>
              <w:t>ZEMENIK TRADING LIMITED</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7 </w:t>
      </w:r>
    </w:p>
    <w:p>
      <w:pPr>
        <w:pStyle w:val="TextBody"/>
        <w:spacing w:before="240" w:after="0"/>
        <w:jc w:val="center"/>
        <w:rPr>
          <w:rFonts w:ascii="Times New Roman" w:hAnsi="Times New Roman"/>
          <w:b/>
          <w:sz w:val="20"/>
        </w:rPr>
      </w:pPr>
      <w:r>
        <w:rPr>
          <w:rFonts w:ascii="Times New Roman" w:hAnsi="Times New Roman"/>
          <w:b/>
          <w:sz w:val="20"/>
        </w:rPr>
        <w:t xml:space="preserve">BOARD RESOLUTION </w:t>
      </w:r>
    </w:p>
    <w:p>
      <w:pPr>
        <w:pStyle w:val="TextBody"/>
        <w:spacing w:before="24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sz w:val="20"/>
        </w:rPr>
      </w:pP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240" w:after="0"/>
        <w:jc w:val="center"/>
        <w:rPr>
          <w:rFonts w:ascii="Times New Roman" w:hAnsi="Times New Roman"/>
          <w:sz w:val="20"/>
        </w:rPr>
      </w:pPr>
      <w:r>
        <w:rPr>
          <w:rFonts w:ascii="Times New Roman" w:hAnsi="Times New Roman"/>
          <w:sz w:val="20"/>
        </w:rPr>
        <w:t xml:space="preserve">Written Resolution of the Board of Directors of tile Company </w:t>
      </w:r>
    </w:p>
    <w:p>
      <w:pPr>
        <w:pStyle w:val="TextBody"/>
        <w:spacing w:before="0" w:after="0"/>
        <w:jc w:val="center"/>
        <w:rPr>
          <w:rFonts w:ascii="Times New Roman" w:hAnsi="Times New Roman"/>
          <w:sz w:val="20"/>
        </w:rPr>
      </w:pPr>
      <w:r>
        <w:rPr>
          <w:rFonts w:ascii="Times New Roman" w:hAnsi="Times New Roman"/>
          <w:sz w:val="20"/>
        </w:rPr>
        <w:t xml:space="preserve">passed in accordance he Company’s Articles of Association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1.</w:t>
            </w:r>
          </w:p>
        </w:tc>
        <w:tc>
          <w:tcPr>
            <w:tcW w:w="9391" w:type="dxa"/>
            <w:tcBorders/>
            <w:shd w:fill="auto" w:val="clear"/>
          </w:tcPr>
          <w:p>
            <w:pPr>
              <w:pStyle w:val="TableContents"/>
              <w:spacing w:before="0" w:after="283"/>
              <w:jc w:val="left"/>
              <w:rPr>
                <w:b/>
              </w:rPr>
            </w:pPr>
            <w:r>
              <w:rPr>
                <w:b/>
              </w:rPr>
              <w:t xml:space="preserve">BACKGROUND </w:t>
            </w:r>
          </w:p>
        </w:tc>
      </w:tr>
    </w:tbl>
    <w:p>
      <w:pPr>
        <w:pStyle w:val="TextBody"/>
        <w:spacing w:before="120" w:after="0"/>
        <w:rPr>
          <w:rFonts w:ascii="Times New Roman" w:hAnsi="Times New Roman"/>
          <w:sz w:val="20"/>
        </w:rPr>
      </w:pPr>
      <w:r>
        <w:rPr>
          <w:rFonts w:ascii="Times New Roman" w:hAnsi="Times New Roman"/>
          <w:sz w:val="20"/>
        </w:rPr>
        <w:t>[ ? ] (the “</w:t>
      </w:r>
      <w:r>
        <w:rPr>
          <w:rFonts w:ascii="Times New Roman" w:hAnsi="Times New Roman"/>
          <w:b/>
          <w:sz w:val="20"/>
        </w:rPr>
        <w:t xml:space="preserve">Pledgor) </w:t>
      </w:r>
      <w:r>
        <w:rPr>
          <w:rFonts w:ascii="Times New Roman" w:hAnsi="Times New Roman"/>
          <w:sz w:val="20"/>
        </w:rPr>
        <w:t>has entered or propose to enter into a deed of pledge (the “</w:t>
      </w:r>
      <w:r>
        <w:rPr>
          <w:rFonts w:ascii="Times New Roman" w:hAnsi="Times New Roman"/>
          <w:b/>
          <w:sz w:val="20"/>
        </w:rPr>
        <w:t>Deed of Pledge</w:t>
      </w:r>
      <w:r>
        <w:rPr>
          <w:rFonts w:ascii="Times New Roman" w:hAnsi="Times New Roman"/>
          <w:sz w:val="20"/>
        </w:rPr>
        <w:t>”) dated on or about the date of this resolution between the Pledgor and JSC VTB BANK (the “</w:t>
      </w:r>
      <w:r>
        <w:rPr>
          <w:rFonts w:ascii="Times New Roman" w:hAnsi="Times New Roman"/>
          <w:b/>
          <w:sz w:val="20"/>
        </w:rPr>
        <w:t>Pledgee</w:t>
      </w:r>
      <w:r>
        <w:rPr>
          <w:rFonts w:ascii="Times New Roman" w:hAnsi="Times New Roman"/>
          <w:sz w:val="20"/>
        </w:rPr>
        <w:t xml:space="preserve">”), pursuant to which the Pledgor shall, inter alia, pledge in favour of the Pledgee the share certificates issued in its name and representing [ ? ] ordinary shares in the Company (the Shares).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2.</w:t>
            </w:r>
          </w:p>
        </w:tc>
        <w:tc>
          <w:tcPr>
            <w:tcW w:w="9392" w:type="dxa"/>
            <w:tcBorders/>
            <w:shd w:fill="auto" w:val="clear"/>
          </w:tcPr>
          <w:p>
            <w:pPr>
              <w:pStyle w:val="TableContents"/>
              <w:spacing w:before="0" w:after="283"/>
              <w:jc w:val="left"/>
              <w:rPr>
                <w:b/>
              </w:rPr>
            </w:pPr>
            <w:r>
              <w:rPr>
                <w:b/>
              </w:rPr>
              <w:t xml:space="preserve">RESOLUTIONS </w:t>
            </w:r>
          </w:p>
        </w:tc>
      </w:tr>
    </w:tbl>
    <w:p>
      <w:pPr>
        <w:pStyle w:val="TextBody"/>
        <w:spacing w:before="120" w:after="0"/>
        <w:rPr>
          <w:rFonts w:ascii="Times New Roman" w:hAnsi="Times New Roman"/>
          <w:sz w:val="20"/>
        </w:rPr>
      </w:pPr>
      <w:r>
        <w:rPr>
          <w:rFonts w:ascii="Times New Roman" w:hAnsi="Times New Roman"/>
          <w:sz w:val="20"/>
        </w:rPr>
        <w:t xml:space="preserve">IT IS HEREBY RESOLVED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THAT that the terms of, and the transactions contemplated, by the Deed of Pledge and any related documents be and are hereby approved;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THAT any transfer of Shares made by the Pledgee on enforcement of the Deed of Pledge be and is hereby approved.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6"/>
        <w:gridCol w:w="8473"/>
      </w:tblGrid>
      <w:tr>
        <w:trPr/>
        <w:tc>
          <w:tcPr>
            <w:tcW w:w="81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3" w:type="dxa"/>
            <w:tcBorders/>
            <w:shd w:fill="auto" w:val="clear"/>
          </w:tcPr>
          <w:p>
            <w:pPr>
              <w:pStyle w:val="TableContents"/>
              <w:spacing w:before="0" w:after="283"/>
              <w:jc w:val="left"/>
              <w:rPr/>
            </w:pPr>
            <w:r>
              <w:rPr/>
              <w:t xml:space="preserve">THAT the Secretary be and is hereby authorised and instructed: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5"/>
        <w:gridCol w:w="916"/>
        <w:gridCol w:w="7553"/>
      </w:tblGrid>
      <w:tr>
        <w:trPr/>
        <w:tc>
          <w:tcPr>
            <w:tcW w:w="1735"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(i)</w:t>
            </w:r>
          </w:p>
        </w:tc>
        <w:tc>
          <w:tcPr>
            <w:tcW w:w="7553" w:type="dxa"/>
            <w:tcBorders/>
            <w:shd w:fill="auto" w:val="clear"/>
          </w:tcPr>
          <w:p>
            <w:pPr>
              <w:pStyle w:val="TableContents"/>
              <w:spacing w:before="0" w:after="283"/>
              <w:jc w:val="left"/>
              <w:rPr/>
            </w:pPr>
            <w:r>
              <w:rPr/>
              <w:t xml:space="preserve">upon receipt of a notice in respect of the Deed of Pledge, to enter a memorandum of pledge in the Company’s register of members against the Shares and to issue a certificate to the Pledgee confirming the same in accordance with the terms of the Deed of Pledge;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732"/>
        <w:gridCol w:w="917"/>
        <w:gridCol w:w="7555"/>
      </w:tblGrid>
      <w:tr>
        <w:trPr/>
        <w:tc>
          <w:tcPr>
            <w:tcW w:w="1732"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(ii)</w:t>
            </w:r>
          </w:p>
        </w:tc>
        <w:tc>
          <w:tcPr>
            <w:tcW w:w="7555" w:type="dxa"/>
            <w:tcBorders/>
            <w:shd w:fill="auto" w:val="clear"/>
          </w:tcPr>
          <w:p>
            <w:pPr>
              <w:pStyle w:val="TableContents"/>
              <w:spacing w:before="0" w:after="283"/>
              <w:jc w:val="left"/>
              <w:rPr/>
            </w:pPr>
            <w:r>
              <w:rPr/>
              <w:t xml:space="preserve">upon receipt of an instrument of transfer of any Shares, to enter the name of the relevant transferee in the register of members of the Company and file the relevant company forms with the Registrar of Companies. </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736"/>
        <w:gridCol w:w="109"/>
        <w:gridCol w:w="674"/>
        <w:gridCol w:w="123"/>
        <w:gridCol w:w="4563"/>
      </w:tblGrid>
      <w:tr>
        <w:trPr/>
        <w:tc>
          <w:tcPr>
            <w:tcW w:w="4736" w:type="dxa"/>
            <w:tcBorders/>
            <w:shd w:fill="auto" w:val="clear"/>
            <w:vAlign w:val="center"/>
          </w:tcPr>
          <w:p>
            <w:pPr>
              <w:pStyle w:val="TableContents"/>
              <w:spacing w:before="0" w:after="283"/>
              <w:rPr>
                <w:sz w:val="4"/>
                <w:szCs w:val="4"/>
              </w:rPr>
            </w:pPr>
            <w:r>
              <w:rPr>
                <w:sz w:val="4"/>
                <w:szCs w:val="4"/>
              </w:rPr>
            </w:r>
          </w:p>
        </w:tc>
        <w:tc>
          <w:tcPr>
            <w:tcW w:w="109" w:type="dxa"/>
            <w:tcBorders/>
            <w:shd w:fill="auto" w:val="clear"/>
            <w:vAlign w:val="bottom"/>
          </w:tcPr>
          <w:p>
            <w:pPr>
              <w:pStyle w:val="TableContents"/>
              <w:spacing w:before="0" w:after="283"/>
              <w:rPr>
                <w:sz w:val="4"/>
                <w:szCs w:val="4"/>
              </w:rPr>
            </w:pPr>
            <w:r>
              <w:rPr>
                <w:sz w:val="4"/>
                <w:szCs w:val="4"/>
              </w:rPr>
            </w:r>
          </w:p>
        </w:tc>
        <w:tc>
          <w:tcPr>
            <w:tcW w:w="674"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4563" w:type="dxa"/>
            <w:tcBorders/>
            <w:shd w:fill="auto" w:val="clear"/>
            <w:vAlign w:val="center"/>
          </w:tcPr>
          <w:p>
            <w:pPr>
              <w:pStyle w:val="TableContents"/>
              <w:spacing w:before="0" w:after="283"/>
              <w:rPr>
                <w:sz w:val="4"/>
                <w:szCs w:val="4"/>
              </w:rPr>
            </w:pPr>
            <w:r>
              <w:rPr>
                <w:sz w:val="4"/>
                <w:szCs w:val="4"/>
              </w:rPr>
            </w:r>
          </w:p>
        </w:tc>
      </w:tr>
      <w:tr>
        <w:trPr/>
        <w:tc>
          <w:tcPr>
            <w:tcW w:w="4736" w:type="dxa"/>
            <w:tcBorders/>
            <w:shd w:fill="auto" w:val="clear"/>
          </w:tcPr>
          <w:p>
            <w:pPr>
              <w:pStyle w:val="TableContents"/>
              <w:pBdr>
                <w:bottom w:val="single" w:sz="2" w:space="1" w:color="000000"/>
              </w:pBdr>
              <w:spacing w:before="0" w:after="20"/>
              <w:rPr/>
            </w:pPr>
            <w:r>
              <w:rPr/>
              <w:t> </w:t>
            </w:r>
          </w:p>
        </w:tc>
        <w:tc>
          <w:tcPr>
            <w:tcW w:w="109" w:type="dxa"/>
            <w:tcBorders/>
            <w:shd w:fill="auto" w:val="clear"/>
            <w:vAlign w:val="bottom"/>
          </w:tcPr>
          <w:p>
            <w:pPr>
              <w:pStyle w:val="TableContents"/>
              <w:spacing w:before="0" w:after="283"/>
              <w:rPr/>
            </w:pPr>
            <w:r>
              <w:rPr/>
              <w:t> </w:t>
            </w:r>
          </w:p>
        </w:tc>
        <w:tc>
          <w:tcPr>
            <w:tcW w:w="674"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4563" w:type="dxa"/>
            <w:tcBorders/>
            <w:shd w:fill="auto" w:val="clear"/>
          </w:tcPr>
          <w:p>
            <w:pPr>
              <w:pStyle w:val="TableContents"/>
              <w:pBdr>
                <w:bottom w:val="single" w:sz="2" w:space="1" w:color="000000"/>
              </w:pBdr>
              <w:spacing w:before="0" w:after="20"/>
              <w:rPr/>
            </w:pPr>
            <w:r>
              <w:rPr/>
              <w:t> </w:t>
            </w:r>
          </w:p>
        </w:tc>
      </w:tr>
      <w:tr>
        <w:trPr/>
        <w:tc>
          <w:tcPr>
            <w:tcW w:w="4736" w:type="dxa"/>
            <w:tcBorders/>
            <w:shd w:fill="auto" w:val="clear"/>
          </w:tcPr>
          <w:p>
            <w:pPr>
              <w:pStyle w:val="TableContents"/>
              <w:spacing w:before="0" w:after="0"/>
              <w:rPr>
                <w:rFonts w:ascii="Times New Roman" w:hAnsi="Times New Roman"/>
                <w:b/>
                <w:sz w:val="20"/>
              </w:rPr>
            </w:pPr>
            <w:r>
              <w:rPr>
                <w:rFonts w:ascii="Times New Roman" w:hAnsi="Times New Roman"/>
                <w:b/>
                <w:sz w:val="20"/>
              </w:rPr>
              <w:t xml:space="preserve">KATERINA IOSIF </w:t>
            </w:r>
          </w:p>
          <w:p>
            <w:pPr>
              <w:pStyle w:val="TableContents"/>
              <w:spacing w:before="0" w:after="20"/>
              <w:rPr>
                <w:rFonts w:ascii="Times New Roman" w:hAnsi="Times New Roman"/>
                <w:sz w:val="20"/>
              </w:rPr>
            </w:pPr>
            <w:r>
              <w:rPr>
                <w:rFonts w:ascii="Times New Roman" w:hAnsi="Times New Roman"/>
                <w:sz w:val="20"/>
              </w:rPr>
              <w:t>Director</w:t>
            </w:r>
          </w:p>
        </w:tc>
        <w:tc>
          <w:tcPr>
            <w:tcW w:w="109" w:type="dxa"/>
            <w:tcBorders/>
            <w:shd w:fill="auto" w:val="clear"/>
            <w:vAlign w:val="bottom"/>
          </w:tcPr>
          <w:p>
            <w:pPr>
              <w:pStyle w:val="TableContents"/>
              <w:spacing w:before="0" w:after="283"/>
              <w:rPr/>
            </w:pPr>
            <w:r>
              <w:rPr/>
              <w:t> </w:t>
            </w:r>
          </w:p>
        </w:tc>
        <w:tc>
          <w:tcPr>
            <w:tcW w:w="674"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4563" w:type="dxa"/>
            <w:tcBorders/>
            <w:shd w:fill="auto" w:val="clear"/>
          </w:tcPr>
          <w:p>
            <w:pPr>
              <w:pStyle w:val="TableContents"/>
              <w:spacing w:before="0" w:after="0"/>
              <w:rPr>
                <w:rFonts w:ascii="Times New Roman" w:hAnsi="Times New Roman"/>
                <w:sz w:val="20"/>
              </w:rPr>
            </w:pPr>
            <w:r>
              <w:rPr>
                <w:rFonts w:ascii="Times New Roman" w:hAnsi="Times New Roman"/>
                <w:b/>
                <w:sz w:val="20"/>
              </w:rPr>
              <w:t>PANAYIOTA STYLIANOU</w:t>
            </w:r>
            <w:r>
              <w:rPr>
                <w:rFonts w:ascii="Times New Roman" w:hAnsi="Times New Roman"/>
                <w:sz w:val="20"/>
              </w:rPr>
              <w:t xml:space="preserve"> </w:t>
            </w:r>
          </w:p>
          <w:p>
            <w:pPr>
              <w:pStyle w:val="TableContents"/>
              <w:spacing w:before="0" w:after="20"/>
              <w:rPr>
                <w:rFonts w:ascii="Times New Roman" w:hAnsi="Times New Roman"/>
                <w:sz w:val="20"/>
              </w:rPr>
            </w:pPr>
            <w:r>
              <w:rPr>
                <w:rFonts w:ascii="Times New Roman" w:hAnsi="Times New Roman"/>
                <w:sz w:val="20"/>
              </w:rPr>
              <w:t>Director</w:t>
            </w:r>
          </w:p>
        </w:tc>
      </w:tr>
      <w:tr>
        <w:trPr>
          <w:trHeight w:val="240" w:hRule="atLeast"/>
        </w:trPr>
        <w:tc>
          <w:tcPr>
            <w:tcW w:w="4736" w:type="dxa"/>
            <w:tcBorders/>
            <w:shd w:fill="auto" w:val="clear"/>
            <w:vAlign w:val="center"/>
          </w:tcPr>
          <w:p>
            <w:pPr>
              <w:pStyle w:val="TableContents"/>
              <w:spacing w:before="0" w:after="283"/>
              <w:rPr>
                <w:sz w:val="4"/>
                <w:szCs w:val="4"/>
              </w:rPr>
            </w:pPr>
            <w:r>
              <w:rPr>
                <w:sz w:val="4"/>
                <w:szCs w:val="4"/>
              </w:rPr>
            </w:r>
          </w:p>
        </w:tc>
        <w:tc>
          <w:tcPr>
            <w:tcW w:w="783" w:type="dxa"/>
            <w:gridSpan w:val="2"/>
            <w:tcBorders/>
            <w:shd w:fill="auto" w:val="clear"/>
            <w:vAlign w:val="center"/>
          </w:tcPr>
          <w:p>
            <w:pPr>
              <w:pStyle w:val="TableContents"/>
              <w:spacing w:before="0" w:after="283"/>
              <w:rPr>
                <w:sz w:val="4"/>
                <w:szCs w:val="4"/>
              </w:rPr>
            </w:pPr>
            <w:r>
              <w:rPr>
                <w:sz w:val="4"/>
                <w:szCs w:val="4"/>
              </w:rPr>
            </w:r>
          </w:p>
        </w:tc>
        <w:tc>
          <w:tcPr>
            <w:tcW w:w="4686" w:type="dxa"/>
            <w:gridSpan w:val="2"/>
            <w:tcBorders/>
            <w:shd w:fill="auto" w:val="clear"/>
            <w:vAlign w:val="center"/>
          </w:tcPr>
          <w:p>
            <w:pPr>
              <w:pStyle w:val="TableContents"/>
              <w:spacing w:before="0" w:after="283"/>
              <w:rPr>
                <w:sz w:val="4"/>
                <w:szCs w:val="4"/>
              </w:rPr>
            </w:pPr>
            <w:r>
              <w:rPr>
                <w:sz w:val="4"/>
                <w:szCs w:val="4"/>
              </w:rPr>
            </w:r>
          </w:p>
        </w:tc>
      </w:tr>
      <w:tr>
        <w:trPr/>
        <w:tc>
          <w:tcPr>
            <w:tcW w:w="4736" w:type="dxa"/>
            <w:tcBorders/>
            <w:shd w:fill="auto" w:val="clear"/>
          </w:tcPr>
          <w:p>
            <w:pPr>
              <w:pStyle w:val="TableContents"/>
              <w:pBdr>
                <w:bottom w:val="single" w:sz="2" w:space="1" w:color="000000"/>
              </w:pBdr>
              <w:spacing w:before="0" w:after="20"/>
              <w:rPr/>
            </w:pPr>
            <w:r>
              <w:rPr/>
              <w:t> </w:t>
            </w:r>
          </w:p>
        </w:tc>
        <w:tc>
          <w:tcPr>
            <w:tcW w:w="109" w:type="dxa"/>
            <w:tcBorders/>
            <w:shd w:fill="auto" w:val="clear"/>
            <w:vAlign w:val="bottom"/>
          </w:tcPr>
          <w:p>
            <w:pPr>
              <w:pStyle w:val="TableContents"/>
              <w:spacing w:before="0" w:after="283"/>
              <w:rPr/>
            </w:pPr>
            <w:r>
              <w:rPr/>
              <w:t> </w:t>
            </w:r>
          </w:p>
        </w:tc>
        <w:tc>
          <w:tcPr>
            <w:tcW w:w="674"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4563" w:type="dxa"/>
            <w:tcBorders/>
            <w:shd w:fill="auto" w:val="clear"/>
          </w:tcPr>
          <w:p>
            <w:pPr>
              <w:pStyle w:val="TableContents"/>
              <w:spacing w:before="0" w:after="283"/>
              <w:rPr>
                <w:sz w:val="4"/>
                <w:szCs w:val="4"/>
              </w:rPr>
            </w:pPr>
            <w:r>
              <w:rPr>
                <w:sz w:val="4"/>
                <w:szCs w:val="4"/>
              </w:rPr>
            </w:r>
          </w:p>
        </w:tc>
      </w:tr>
      <w:tr>
        <w:trPr/>
        <w:tc>
          <w:tcPr>
            <w:tcW w:w="4736" w:type="dxa"/>
            <w:tcBorders/>
            <w:shd w:fill="auto" w:val="clear"/>
            <w:vAlign w:val="bottom"/>
          </w:tcPr>
          <w:p>
            <w:pPr>
              <w:pStyle w:val="TableContents"/>
              <w:spacing w:before="0" w:after="283"/>
              <w:rPr>
                <w:b/>
                <w:sz w:val="22"/>
              </w:rPr>
            </w:pPr>
            <w:r>
              <w:rPr>
                <w:b/>
                <w:sz w:val="22"/>
              </w:rPr>
              <w:t>ALEXANDER ARBUZOV</w:t>
            </w:r>
          </w:p>
        </w:tc>
        <w:tc>
          <w:tcPr>
            <w:tcW w:w="109" w:type="dxa"/>
            <w:tcBorders/>
            <w:shd w:fill="auto" w:val="clear"/>
            <w:vAlign w:val="bottom"/>
          </w:tcPr>
          <w:p>
            <w:pPr>
              <w:pStyle w:val="TableContents"/>
              <w:spacing w:before="0" w:after="283"/>
              <w:rPr/>
            </w:pPr>
            <w:r>
              <w:rPr/>
              <w:t> </w:t>
            </w:r>
          </w:p>
        </w:tc>
        <w:tc>
          <w:tcPr>
            <w:tcW w:w="674" w:type="dxa"/>
            <w:tcBorders/>
            <w:shd w:fill="auto" w:val="clear"/>
            <w:vAlign w:val="bottom"/>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4563" w:type="dxa"/>
            <w:tcBorders/>
            <w:shd w:fill="auto" w:val="clear"/>
            <w:vAlign w:val="bottom"/>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8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3"/>
        <w:gridCol w:w="4797"/>
      </w:tblGrid>
      <w:tr>
        <w:trPr/>
        <w:tc>
          <w:tcPr>
            <w:tcW w:w="520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jc w:val="center"/>
              <w:rPr>
                <w:b/>
              </w:rPr>
            </w:pPr>
            <w:r>
              <w:rPr>
                <w:b/>
              </w:rPr>
              <w:t>SECRETARY’S CONFIRMATION</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0"/>
              <w:rPr>
                <w:rFonts w:ascii="Times New Roman" w:hAnsi="Times New Roman"/>
                <w:sz w:val="20"/>
              </w:rPr>
            </w:pPr>
            <w:r>
              <w:rPr>
                <w:rFonts w:ascii="Times New Roman" w:hAnsi="Times New Roman"/>
                <w:sz w:val="20"/>
              </w:rPr>
              <w:t>ZEMENIK TRADING LIMITED</w:t>
            </w:r>
          </w:p>
          <w:p>
            <w:pPr>
              <w:pStyle w:val="TableContents"/>
              <w:spacing w:before="0" w:after="0"/>
              <w:rPr/>
            </w:pPr>
            <w:r>
              <w:rPr/>
              <w:t> </w:t>
            </w:r>
          </w:p>
          <w:p>
            <w:pPr>
              <w:pStyle w:val="TableContents"/>
              <w:spacing w:before="0" w:after="20"/>
              <w:rPr>
                <w:rFonts w:ascii="Times New Roman" w:hAnsi="Times New Roman"/>
                <w:sz w:val="20"/>
              </w:rPr>
            </w:pPr>
            <w:r>
              <w:rPr>
                <w:rFonts w:ascii="Times New Roman" w:hAnsi="Times New Roman"/>
                <w:sz w:val="20"/>
              </w:rPr>
              <w:t>HE 332806 (the “</w:t>
            </w:r>
            <w:r>
              <w:rPr>
                <w:rFonts w:ascii="Times New Roman" w:hAnsi="Times New Roman"/>
                <w:b/>
                <w:sz w:val="20"/>
              </w:rPr>
              <w:t>Company</w:t>
            </w:r>
            <w:r>
              <w:rPr>
                <w:rFonts w:ascii="Times New Roman" w:hAnsi="Times New Roman"/>
                <w:sz w:val="20"/>
              </w:rPr>
              <w:t>”)</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Registrar of Companies &amp; Official Receiver Department of Registrar of Companies and Official Receiver</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Date:</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b/>
              </w:rPr>
            </w:pPr>
            <w:r>
              <w:rPr>
                <w:b/>
              </w:rPr>
              <w:t>Secretary’s Confirmation</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We the undersigned, being the Secretary of the Company hereby certify that the changes set out in the attached filing forms are true, accurate and in accordance with the corporate registers of the Company.</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[Secretary]</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sz w:val="4"/>
                <w:szCs w:val="4"/>
              </w:rPr>
            </w:pPr>
            <w:r>
              <w:rPr>
                <w:sz w:val="4"/>
                <w:szCs w:val="4"/>
              </w:rPr>
            </w:r>
          </w:p>
        </w:tc>
      </w:tr>
      <w:tr>
        <w:trPr>
          <w:trHeight w:val="240" w:hRule="atLeast"/>
        </w:trPr>
        <w:tc>
          <w:tcPr>
            <w:tcW w:w="5204" w:type="dxa"/>
            <w:tcBorders/>
            <w:shd w:fill="auto" w:val="clear"/>
            <w:vAlign w:val="center"/>
          </w:tcPr>
          <w:p>
            <w:pPr>
              <w:pStyle w:val="TableContents"/>
              <w:spacing w:before="0" w:after="283"/>
              <w:rPr>
                <w:sz w:val="4"/>
                <w:szCs w:val="4"/>
              </w:rPr>
            </w:pPr>
            <w:r>
              <w:rPr>
                <w:sz w:val="4"/>
                <w:szCs w:val="4"/>
              </w:rPr>
            </w:r>
          </w:p>
        </w:tc>
        <w:tc>
          <w:tcPr>
            <w:tcW w:w="5000" w:type="dxa"/>
            <w:gridSpan w:val="2"/>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pPr>
            <w:r>
              <w:rPr/>
              <w:t>[INTENTIONALLY LEFT BLANK FOR THE NEW SECRETARY TO SIGN]</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[INTENTIONALLY LEFT BLANK FOR THE NEW SECRETARY TO SIGN]</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SCHEDULE 9 </w:t>
      </w:r>
    </w:p>
    <w:p>
      <w:pPr>
        <w:pStyle w:val="TextBody"/>
        <w:spacing w:before="240" w:after="0"/>
        <w:jc w:val="center"/>
        <w:rPr>
          <w:rFonts w:ascii="Times New Roman" w:hAnsi="Times New Roman"/>
          <w:b/>
          <w:sz w:val="20"/>
        </w:rPr>
      </w:pPr>
      <w:r>
        <w:rPr>
          <w:rFonts w:ascii="Times New Roman" w:hAnsi="Times New Roman"/>
          <w:b/>
          <w:sz w:val="20"/>
        </w:rPr>
        <w:t xml:space="preserve">WAIVER OF PRE-EMPTION RIGHTS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To:</w:t>
            </w:r>
          </w:p>
        </w:tc>
        <w:tc>
          <w:tcPr>
            <w:tcW w:w="9389" w:type="dxa"/>
            <w:tcBorders/>
            <w:shd w:fill="auto" w:val="clear"/>
          </w:tcPr>
          <w:p>
            <w:pPr>
              <w:pStyle w:val="TableContents"/>
              <w:spacing w:before="0" w:after="283"/>
              <w:jc w:val="left"/>
              <w:rPr/>
            </w:pPr>
            <w:r>
              <w:rPr/>
              <w:t>ZEMENIK TRADING LIMITED (the “</w:t>
            </w:r>
            <w:r>
              <w:rPr>
                <w:b/>
              </w:rPr>
              <w:t>Company</w:t>
            </w:r>
            <w:r>
              <w:rPr/>
              <w:t xml:space="preserve">”) </w:t>
            </w:r>
          </w:p>
        </w:tc>
      </w:tr>
    </w:tbl>
    <w:p>
      <w:pPr>
        <w:pStyle w:val="TextBody"/>
        <w:spacing w:before="240" w:after="0"/>
        <w:rPr>
          <w:rFonts w:ascii="Times New Roman" w:hAnsi="Times New Roman"/>
          <w:sz w:val="20"/>
        </w:rPr>
      </w:pPr>
      <w:r>
        <w:rPr>
          <w:rFonts w:ascii="Times New Roman" w:hAnsi="Times New Roman"/>
          <w:sz w:val="20"/>
        </w:rPr>
        <w:t>Copy: JSC VTB BANK (the “</w:t>
      </w:r>
      <w:r>
        <w:rPr>
          <w:rFonts w:ascii="Times New Roman" w:hAnsi="Times New Roman"/>
          <w:b/>
          <w:sz w:val="20"/>
        </w:rPr>
        <w:t>Pledgee</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[DATE]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240" w:after="0"/>
        <w:rPr>
          <w:rFonts w:ascii="Times New Roman" w:hAnsi="Times New Roman"/>
          <w:b/>
          <w:sz w:val="20"/>
        </w:rPr>
      </w:pPr>
      <w:r>
        <w:rPr>
          <w:rFonts w:ascii="Times New Roman" w:hAnsi="Times New Roman"/>
          <w:b/>
          <w:sz w:val="20"/>
        </w:rPr>
        <w:t xml:space="preserve">Waiver of pre-emption rights </w:t>
      </w:r>
    </w:p>
    <w:p>
      <w:pPr>
        <w:pStyle w:val="TextBody"/>
        <w:spacing w:before="120" w:after="0"/>
        <w:rPr>
          <w:rFonts w:ascii="Times New Roman" w:hAnsi="Times New Roman"/>
          <w:sz w:val="20"/>
        </w:rPr>
      </w:pPr>
      <w:r>
        <w:rPr>
          <w:rFonts w:ascii="Times New Roman" w:hAnsi="Times New Roman"/>
          <w:sz w:val="20"/>
        </w:rPr>
        <w:t>We refer to the deed of pledge (the “</w:t>
      </w:r>
      <w:r>
        <w:rPr>
          <w:rFonts w:ascii="Times New Roman" w:hAnsi="Times New Roman"/>
          <w:b/>
          <w:sz w:val="20"/>
        </w:rPr>
        <w:t>Deed of Pledge</w:t>
      </w:r>
      <w:r>
        <w:rPr>
          <w:rFonts w:ascii="Times New Roman" w:hAnsi="Times New Roman"/>
          <w:sz w:val="20"/>
        </w:rPr>
        <w:t>”) dated [DATE] between [PLEDGOR] (the “</w:t>
      </w:r>
      <w:r>
        <w:rPr>
          <w:rFonts w:ascii="Times New Roman" w:hAnsi="Times New Roman"/>
          <w:b/>
          <w:sz w:val="20"/>
        </w:rPr>
        <w:t>Pledgor</w:t>
      </w:r>
      <w:r>
        <w:rPr>
          <w:rFonts w:ascii="Times New Roman" w:hAnsi="Times New Roman"/>
          <w:sz w:val="20"/>
        </w:rPr>
        <w:t>”) and the Pledgee, pursuant to which the Pledgor, inter alia, pledged in favour of the Pledgee the share certificates issued in its name and representing [NUMBER OF SHARES] of [CURRENCY] [NOMINAL VALUE] in the capital of the Company (the “</w:t>
      </w:r>
      <w:r>
        <w:rPr>
          <w:rFonts w:ascii="Times New Roman" w:hAnsi="Times New Roman"/>
          <w:b/>
          <w:sz w:val="20"/>
        </w:rPr>
        <w:t>Shares</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We being shareholder of the Company and being entitled to certain pre-emption rights under the Articles of Association of the Company in respect of any transfer of Shares made on enforcement of the Deed of Pledge or otherwise, hereby irrevocably and unconditionally waive all such pre-emption rights (however arising) as we may have in respect of any such transfer. </w:t>
      </w:r>
    </w:p>
    <w:p>
      <w:pPr>
        <w:pStyle w:val="TextBody"/>
        <w:spacing w:before="240" w:after="0"/>
        <w:rPr>
          <w:rFonts w:ascii="Times New Roman" w:hAnsi="Times New Roman"/>
          <w:sz w:val="20"/>
        </w:rPr>
      </w:pPr>
      <w:r>
        <w:rPr>
          <w:rFonts w:ascii="Times New Roman" w:hAnsi="Times New Roman"/>
          <w:sz w:val="20"/>
        </w:rPr>
        <w:t xml:space="preserve">If any at any time we propose to transfer any of our shares in the Company to a third party, which is not a shareholder on the date of this letter, we shall procure that that third party shall provide to the Pledgee a waiver of pre-emption rights in the form of this letter before any such transfer shall be effected.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3878"/>
        <w:gridCol w:w="305"/>
        <w:gridCol w:w="6021"/>
      </w:tblGrid>
      <w:tr>
        <w:trPr/>
        <w:tc>
          <w:tcPr>
            <w:tcW w:w="3878" w:type="dxa"/>
            <w:tcBorders/>
            <w:shd w:fill="auto" w:val="clear"/>
            <w:vAlign w:val="center"/>
          </w:tcPr>
          <w:p>
            <w:pPr>
              <w:pStyle w:val="TableContents"/>
              <w:spacing w:before="0" w:after="283"/>
              <w:rPr>
                <w:sz w:val="4"/>
                <w:szCs w:val="4"/>
              </w:rPr>
            </w:pPr>
            <w:r>
              <w:rPr>
                <w:sz w:val="4"/>
                <w:szCs w:val="4"/>
              </w:rPr>
            </w:r>
          </w:p>
        </w:tc>
        <w:tc>
          <w:tcPr>
            <w:tcW w:w="305" w:type="dxa"/>
            <w:tcBorders/>
            <w:shd w:fill="auto" w:val="clear"/>
            <w:vAlign w:val="bottom"/>
          </w:tcPr>
          <w:p>
            <w:pPr>
              <w:pStyle w:val="TableContents"/>
              <w:spacing w:before="0" w:after="283"/>
              <w:rPr>
                <w:sz w:val="4"/>
                <w:szCs w:val="4"/>
              </w:rPr>
            </w:pPr>
            <w:r>
              <w:rPr>
                <w:sz w:val="4"/>
                <w:szCs w:val="4"/>
              </w:rPr>
            </w:r>
          </w:p>
        </w:tc>
        <w:tc>
          <w:tcPr>
            <w:tcW w:w="6021" w:type="dxa"/>
            <w:tcBorders/>
            <w:shd w:fill="auto" w:val="clear"/>
            <w:vAlign w:val="center"/>
          </w:tcPr>
          <w:p>
            <w:pPr>
              <w:pStyle w:val="TableContents"/>
              <w:spacing w:before="0" w:after="283"/>
              <w:rPr>
                <w:sz w:val="4"/>
                <w:szCs w:val="4"/>
              </w:rPr>
            </w:pPr>
            <w:r>
              <w:rPr>
                <w:sz w:val="4"/>
                <w:szCs w:val="4"/>
              </w:rPr>
            </w:r>
          </w:p>
        </w:tc>
      </w:tr>
      <w:tr>
        <w:trPr/>
        <w:tc>
          <w:tcPr>
            <w:tcW w:w="3878" w:type="dxa"/>
            <w:tcBorders/>
            <w:shd w:fill="auto" w:val="clear"/>
          </w:tcPr>
          <w:p>
            <w:pPr>
              <w:pStyle w:val="TableContents"/>
              <w:spacing w:before="0" w:after="283"/>
              <w:rPr/>
            </w:pPr>
            <w:r>
              <w:rPr/>
              <w:t>SIGNED as a DEED</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by [</w:t>
            </w:r>
            <w:r>
              <w:rPr>
                <w:b/>
              </w:rPr>
              <w:t>NAME OF SHAREHOLDER</w:t>
            </w:r>
            <w:r>
              <w:rPr/>
              <w:t>]</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acting by its authorised attorney/signatory/director</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w:t>
            </w:r>
            <w:r>
              <w:rPr>
                <w:b/>
              </w:rPr>
              <w:t>NAME OF SIGNATORY</w:t>
            </w:r>
            <w:r>
              <w:rPr/>
              <w:t>]</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r>
        <w:trPr/>
        <w:tc>
          <w:tcPr>
            <w:tcW w:w="3878" w:type="dxa"/>
            <w:tcBorders/>
            <w:shd w:fill="auto" w:val="clear"/>
          </w:tcPr>
          <w:p>
            <w:pPr>
              <w:pStyle w:val="TableContents"/>
              <w:spacing w:before="0" w:after="283"/>
              <w:rPr/>
            </w:pPr>
            <w:r>
              <w:rPr/>
              <w:t>in the presence of:</w:t>
            </w:r>
          </w:p>
        </w:tc>
        <w:tc>
          <w:tcPr>
            <w:tcW w:w="305" w:type="dxa"/>
            <w:tcBorders/>
            <w:shd w:fill="auto" w:val="clear"/>
            <w:vAlign w:val="bottom"/>
          </w:tcPr>
          <w:p>
            <w:pPr>
              <w:pStyle w:val="TableContents"/>
              <w:spacing w:before="0" w:after="283"/>
              <w:rPr/>
            </w:pPr>
            <w:r>
              <w:rPr/>
              <w:t>  </w:t>
            </w:r>
          </w:p>
        </w:tc>
        <w:tc>
          <w:tcPr>
            <w:tcW w:w="6021" w:type="dxa"/>
            <w:tcBorders/>
            <w:shd w:fill="auto" w:val="clear"/>
          </w:tcPr>
          <w:p>
            <w:pPr>
              <w:pStyle w:val="TableContents"/>
              <w:spacing w:before="0" w:after="283"/>
              <w:rPr/>
            </w:pPr>
            <w:r>
              <w:rPr/>
              <w:t>)</w:t>
            </w:r>
          </w:p>
        </w:tc>
      </w:tr>
    </w:tbl>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1798"/>
        <w:gridCol w:w="85"/>
        <w:gridCol w:w="2199"/>
      </w:tblGrid>
      <w:tr>
        <w:trPr/>
        <w:tc>
          <w:tcPr>
            <w:tcW w:w="1798" w:type="dxa"/>
            <w:tcBorders/>
            <w:shd w:fill="auto" w:val="clear"/>
            <w:vAlign w:val="center"/>
          </w:tcPr>
          <w:p>
            <w:pPr>
              <w:pStyle w:val="TableContents"/>
              <w:spacing w:before="0" w:after="283"/>
              <w:rPr>
                <w:sz w:val="4"/>
                <w:szCs w:val="4"/>
              </w:rPr>
            </w:pPr>
            <w:r>
              <w:rPr>
                <w:sz w:val="4"/>
                <w:szCs w:val="4"/>
              </w:rPr>
            </w:r>
          </w:p>
        </w:tc>
        <w:tc>
          <w:tcPr>
            <w:tcW w:w="85" w:type="dxa"/>
            <w:tcBorders/>
            <w:shd w:fill="auto" w:val="clear"/>
            <w:vAlign w:val="bottom"/>
          </w:tcPr>
          <w:p>
            <w:pPr>
              <w:pStyle w:val="TableContents"/>
              <w:spacing w:before="0" w:after="283"/>
              <w:rPr>
                <w:sz w:val="4"/>
                <w:szCs w:val="4"/>
              </w:rPr>
            </w:pPr>
            <w:r>
              <w:rPr>
                <w:sz w:val="4"/>
                <w:szCs w:val="4"/>
              </w:rPr>
            </w:r>
          </w:p>
        </w:tc>
        <w:tc>
          <w:tcPr>
            <w:tcW w:w="2199" w:type="dxa"/>
            <w:tcBorders/>
            <w:shd w:fill="auto" w:val="clear"/>
            <w:vAlign w:val="center"/>
          </w:tcPr>
          <w:p>
            <w:pPr>
              <w:pStyle w:val="TableContents"/>
              <w:spacing w:before="0" w:after="283"/>
              <w:rPr>
                <w:sz w:val="4"/>
                <w:szCs w:val="4"/>
              </w:rPr>
            </w:pPr>
            <w:r>
              <w:rPr>
                <w:sz w:val="4"/>
                <w:szCs w:val="4"/>
              </w:rPr>
            </w:r>
          </w:p>
        </w:tc>
      </w:tr>
      <w:tr>
        <w:trPr/>
        <w:tc>
          <w:tcPr>
            <w:tcW w:w="1798" w:type="dxa"/>
            <w:tcBorders/>
            <w:shd w:fill="auto" w:val="clear"/>
          </w:tcPr>
          <w:p>
            <w:pPr>
              <w:pStyle w:val="TableContents"/>
              <w:spacing w:before="0" w:after="283"/>
              <w:rPr/>
            </w:pPr>
            <w:r>
              <w:rPr/>
              <w:t>Witness’s Signature:</w:t>
            </w:r>
          </w:p>
        </w:tc>
        <w:tc>
          <w:tcPr>
            <w:tcW w:w="85" w:type="dxa"/>
            <w:tcBorders/>
            <w:shd w:fill="auto" w:val="clear"/>
            <w:vAlign w:val="bottom"/>
          </w:tcPr>
          <w:p>
            <w:pPr>
              <w:pStyle w:val="TableContents"/>
              <w:spacing w:before="0" w:after="283"/>
              <w:rPr/>
            </w:pPr>
            <w:r>
              <w:rPr/>
              <w:t> </w:t>
            </w:r>
          </w:p>
        </w:tc>
        <w:tc>
          <w:tcPr>
            <w:tcW w:w="2199" w:type="dxa"/>
            <w:tcBorders/>
            <w:shd w:fill="auto" w:val="clear"/>
          </w:tcPr>
          <w:p>
            <w:pPr>
              <w:pStyle w:val="TableContents"/>
              <w:pBdr>
                <w:bottom w:val="single" w:sz="2" w:space="1" w:color="000000"/>
              </w:pBdr>
              <w:spacing w:before="0" w:after="20"/>
              <w:rPr/>
            </w:pPr>
            <w:r>
              <w:rPr/>
              <w:t> </w:t>
            </w:r>
          </w:p>
        </w:tc>
      </w:tr>
    </w:tbl>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722"/>
        <w:gridCol w:w="61"/>
        <w:gridCol w:w="3299"/>
      </w:tblGrid>
      <w:tr>
        <w:trPr/>
        <w:tc>
          <w:tcPr>
            <w:tcW w:w="722" w:type="dxa"/>
            <w:tcBorders/>
            <w:shd w:fill="auto" w:val="clear"/>
            <w:vAlign w:val="center"/>
          </w:tcPr>
          <w:p>
            <w:pPr>
              <w:pStyle w:val="TableContents"/>
              <w:spacing w:before="0" w:after="283"/>
              <w:rPr>
                <w:sz w:val="4"/>
                <w:szCs w:val="4"/>
              </w:rPr>
            </w:pPr>
            <w:r>
              <w:rPr>
                <w:sz w:val="4"/>
                <w:szCs w:val="4"/>
              </w:rPr>
            </w:r>
          </w:p>
        </w:tc>
        <w:tc>
          <w:tcPr>
            <w:tcW w:w="61" w:type="dxa"/>
            <w:tcBorders/>
            <w:shd w:fill="auto" w:val="clear"/>
            <w:vAlign w:val="bottom"/>
          </w:tcPr>
          <w:p>
            <w:pPr>
              <w:pStyle w:val="TableContents"/>
              <w:spacing w:before="0" w:after="283"/>
              <w:rPr>
                <w:sz w:val="4"/>
                <w:szCs w:val="4"/>
              </w:rPr>
            </w:pPr>
            <w:r>
              <w:rPr>
                <w:sz w:val="4"/>
                <w:szCs w:val="4"/>
              </w:rPr>
            </w:r>
          </w:p>
        </w:tc>
        <w:tc>
          <w:tcPr>
            <w:tcW w:w="3299" w:type="dxa"/>
            <w:tcBorders/>
            <w:shd w:fill="auto" w:val="clear"/>
            <w:vAlign w:val="center"/>
          </w:tcPr>
          <w:p>
            <w:pPr>
              <w:pStyle w:val="TableContents"/>
              <w:spacing w:before="0" w:after="283"/>
              <w:rPr>
                <w:sz w:val="4"/>
                <w:szCs w:val="4"/>
              </w:rPr>
            </w:pPr>
            <w:r>
              <w:rPr>
                <w:sz w:val="4"/>
                <w:szCs w:val="4"/>
              </w:rPr>
            </w:r>
          </w:p>
        </w:tc>
      </w:tr>
      <w:tr>
        <w:trPr/>
        <w:tc>
          <w:tcPr>
            <w:tcW w:w="722" w:type="dxa"/>
            <w:tcBorders/>
            <w:shd w:fill="auto" w:val="clear"/>
          </w:tcPr>
          <w:p>
            <w:pPr>
              <w:pStyle w:val="TableContents"/>
              <w:spacing w:before="0" w:after="283"/>
              <w:rPr/>
            </w:pPr>
            <w:r>
              <w:rPr/>
              <w:t>Name:</w:t>
            </w:r>
          </w:p>
        </w:tc>
        <w:tc>
          <w:tcPr>
            <w:tcW w:w="61" w:type="dxa"/>
            <w:tcBorders/>
            <w:shd w:fill="auto" w:val="clear"/>
            <w:vAlign w:val="bottom"/>
          </w:tcPr>
          <w:p>
            <w:pPr>
              <w:pStyle w:val="TableContents"/>
              <w:spacing w:before="0" w:after="283"/>
              <w:rPr/>
            </w:pPr>
            <w:r>
              <w:rPr/>
              <w:t> </w:t>
            </w:r>
          </w:p>
        </w:tc>
        <w:tc>
          <w:tcPr>
            <w:tcW w:w="3299" w:type="dxa"/>
            <w:tcBorders/>
            <w:shd w:fill="auto" w:val="clear"/>
          </w:tcPr>
          <w:p>
            <w:pPr>
              <w:pStyle w:val="TableContents"/>
              <w:pBdr>
                <w:bottom w:val="single" w:sz="2" w:space="1" w:color="000000"/>
              </w:pBdr>
              <w:spacing w:before="0" w:after="20"/>
              <w:rPr/>
            </w:pPr>
            <w:r>
              <w:rPr/>
              <w:t> </w:t>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41"/>
        <w:gridCol w:w="113"/>
        <w:gridCol w:w="5392"/>
        <w:gridCol w:w="135"/>
        <w:gridCol w:w="4424"/>
      </w:tblGrid>
      <w:tr>
        <w:trPr/>
        <w:tc>
          <w:tcPr>
            <w:tcW w:w="141" w:type="dxa"/>
            <w:tcBorders/>
            <w:shd w:fill="auto" w:val="clear"/>
            <w:vAlign w:val="center"/>
          </w:tcPr>
          <w:p>
            <w:pPr>
              <w:pStyle w:val="TableContents"/>
              <w:spacing w:before="0" w:after="283"/>
              <w:rPr>
                <w:sz w:val="4"/>
                <w:szCs w:val="4"/>
              </w:rPr>
            </w:pPr>
            <w:r>
              <w:rPr>
                <w:sz w:val="4"/>
                <w:szCs w:val="4"/>
              </w:rPr>
            </w:r>
          </w:p>
        </w:tc>
        <w:tc>
          <w:tcPr>
            <w:tcW w:w="113" w:type="dxa"/>
            <w:tcBorders/>
            <w:shd w:fill="auto" w:val="clear"/>
            <w:vAlign w:val="bottom"/>
          </w:tcPr>
          <w:p>
            <w:pPr>
              <w:pStyle w:val="TableContents"/>
              <w:spacing w:before="0" w:after="283"/>
              <w:rPr>
                <w:sz w:val="4"/>
                <w:szCs w:val="4"/>
              </w:rPr>
            </w:pPr>
            <w:r>
              <w:rPr>
                <w:sz w:val="4"/>
                <w:szCs w:val="4"/>
              </w:rPr>
            </w:r>
          </w:p>
        </w:tc>
        <w:tc>
          <w:tcPr>
            <w:tcW w:w="5392" w:type="dxa"/>
            <w:tcBorders/>
            <w:shd w:fill="auto" w:val="clear"/>
            <w:vAlign w:val="center"/>
          </w:tcPr>
          <w:p>
            <w:pPr>
              <w:pStyle w:val="TableContents"/>
              <w:spacing w:before="0" w:after="283"/>
              <w:rPr>
                <w:sz w:val="4"/>
                <w:szCs w:val="4"/>
              </w:rPr>
            </w:pPr>
            <w:r>
              <w:rPr>
                <w:sz w:val="4"/>
                <w:szCs w:val="4"/>
              </w:rPr>
            </w:r>
          </w:p>
        </w:tc>
        <w:tc>
          <w:tcPr>
            <w:tcW w:w="135" w:type="dxa"/>
            <w:tcBorders/>
            <w:shd w:fill="auto" w:val="clear"/>
            <w:vAlign w:val="bottom"/>
          </w:tcPr>
          <w:p>
            <w:pPr>
              <w:pStyle w:val="TableContents"/>
              <w:spacing w:before="0" w:after="283"/>
              <w:rPr>
                <w:sz w:val="4"/>
                <w:szCs w:val="4"/>
              </w:rPr>
            </w:pPr>
            <w:r>
              <w:rPr>
                <w:sz w:val="4"/>
                <w:szCs w:val="4"/>
              </w:rPr>
            </w:r>
          </w:p>
        </w:tc>
        <w:tc>
          <w:tcPr>
            <w:tcW w:w="4424" w:type="dxa"/>
            <w:tcBorders/>
            <w:shd w:fill="auto" w:val="clear"/>
            <w:vAlign w:val="center"/>
          </w:tcPr>
          <w:p>
            <w:pPr>
              <w:pStyle w:val="TableContents"/>
              <w:spacing w:before="0" w:after="283"/>
              <w:rPr>
                <w:sz w:val="4"/>
                <w:szCs w:val="4"/>
              </w:rPr>
            </w:pPr>
            <w:r>
              <w:rPr>
                <w:sz w:val="4"/>
                <w:szCs w:val="4"/>
              </w:rPr>
            </w:r>
          </w:p>
        </w:tc>
      </w:tr>
      <w:tr>
        <w:trPr/>
        <w:tc>
          <w:tcPr>
            <w:tcW w:w="5646" w:type="dxa"/>
            <w:gridSpan w:val="3"/>
            <w:tcBorders/>
            <w:shd w:fill="auto" w:val="clear"/>
          </w:tcPr>
          <w:p>
            <w:pPr>
              <w:pStyle w:val="TableContents"/>
              <w:spacing w:before="0" w:after="283"/>
              <w:rPr>
                <w:b/>
              </w:rPr>
            </w:pPr>
            <w:r>
              <w:rPr>
                <w:b/>
              </w:rPr>
              <w:t>Pledgor</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5646" w:type="dxa"/>
            <w:gridSpan w:val="3"/>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5646" w:type="dxa"/>
            <w:gridSpan w:val="3"/>
            <w:tcBorders/>
            <w:shd w:fill="auto" w:val="clear"/>
          </w:tcPr>
          <w:p>
            <w:pPr>
              <w:pStyle w:val="TableContents"/>
              <w:spacing w:before="0" w:after="283"/>
              <w:rPr/>
            </w:pPr>
            <w:r>
              <w:rPr/>
              <w:t>SIGNED as a DEED</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5646" w:type="dxa"/>
            <w:gridSpan w:val="3"/>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5646" w:type="dxa"/>
            <w:gridSpan w:val="3"/>
            <w:tcBorders/>
            <w:shd w:fill="auto" w:val="clear"/>
          </w:tcPr>
          <w:p>
            <w:pPr>
              <w:pStyle w:val="TableContents"/>
              <w:spacing w:before="0" w:after="283"/>
              <w:rPr>
                <w:b/>
              </w:rPr>
            </w:pPr>
            <w:r>
              <w:rPr>
                <w:b/>
              </w:rPr>
              <w:t>by HIGHWORLD INVESTMENTS LIMITED</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c>
          <w:tcPr>
            <w:tcW w:w="5646" w:type="dxa"/>
            <w:gridSpan w:val="3"/>
            <w:tcBorders/>
            <w:shd w:fill="auto" w:val="clear"/>
          </w:tcPr>
          <w:p>
            <w:pPr>
              <w:pStyle w:val="TableContents"/>
              <w:spacing w:before="0" w:after="283"/>
              <w:rPr/>
            </w:pPr>
            <w:r>
              <w:rPr/>
              <w:t xml:space="preserve">acting by its authorised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5646" w:type="dxa"/>
            <w:gridSpan w:val="3"/>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5646" w:type="dxa"/>
            <w:gridSpan w:val="3"/>
            <w:tcBorders/>
            <w:shd w:fill="auto" w:val="clear"/>
          </w:tcPr>
          <w:p>
            <w:pPr>
              <w:pStyle w:val="TableContents"/>
              <w:spacing w:before="0" w:after="283"/>
              <w:rPr/>
            </w:pPr>
            <w:r>
              <w:rPr/>
              <w:t>in the presence of:</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pPr>
            <w:r>
              <w:rPr/>
              <w:t>1.</w:t>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Witness’s Signature: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sz w:val="4"/>
                <w:szCs w:val="4"/>
              </w:rPr>
            </w:pPr>
            <w:r>
              <w:rPr>
                <w:sz w:val="4"/>
                <w:szCs w:val="4"/>
              </w:rPr>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Name: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pPr>
            <w:r>
              <w:rPr/>
              <w:t>2.</w:t>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Witness’s Signature: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sz w:val="4"/>
                <w:szCs w:val="4"/>
              </w:rPr>
            </w:pPr>
            <w:r>
              <w:rPr>
                <w:sz w:val="4"/>
                <w:szCs w:val="4"/>
              </w:rPr>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Name: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5646" w:type="dxa"/>
            <w:gridSpan w:val="3"/>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5646" w:type="dxa"/>
            <w:gridSpan w:val="3"/>
            <w:tcBorders/>
            <w:shd w:fill="auto" w:val="clear"/>
          </w:tcPr>
          <w:p>
            <w:pPr>
              <w:pStyle w:val="TableContents"/>
              <w:spacing w:before="0" w:after="283"/>
              <w:rPr>
                <w:b/>
              </w:rPr>
            </w:pPr>
            <w:r>
              <w:rPr>
                <w:b/>
              </w:rPr>
              <w:t>Pledgee</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5646" w:type="dxa"/>
            <w:gridSpan w:val="3"/>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5646" w:type="dxa"/>
            <w:gridSpan w:val="3"/>
            <w:tcBorders/>
            <w:shd w:fill="auto" w:val="clear"/>
          </w:tcPr>
          <w:p>
            <w:pPr>
              <w:pStyle w:val="TableContents"/>
              <w:spacing w:before="0" w:after="283"/>
              <w:rPr/>
            </w:pPr>
            <w:r>
              <w:rPr/>
              <w:t>SIGNED as a DEED</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pPr>
            <w:r>
              <w:rPr/>
              <w:t>)</w:t>
            </w:r>
          </w:p>
        </w:tc>
      </w:tr>
      <w:tr>
        <w:trPr/>
        <w:tc>
          <w:tcPr>
            <w:tcW w:w="5646" w:type="dxa"/>
            <w:gridSpan w:val="3"/>
            <w:tcBorders/>
            <w:shd w:fill="auto" w:val="clear"/>
          </w:tcPr>
          <w:p>
            <w:pPr>
              <w:pStyle w:val="TableContents"/>
              <w:spacing w:before="0" w:after="283"/>
              <w:rPr>
                <w:b/>
              </w:rPr>
            </w:pPr>
            <w:r>
              <w:rPr>
                <w:b/>
              </w:rPr>
              <w:t>by JSC VTB BANK</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pPr>
            <w:r>
              <w:rPr/>
              <w:t>)</w:t>
            </w:r>
          </w:p>
        </w:tc>
      </w:tr>
      <w:tr>
        <w:trPr/>
        <w:tc>
          <w:tcPr>
            <w:tcW w:w="5646" w:type="dxa"/>
            <w:gridSpan w:val="3"/>
            <w:tcBorders/>
            <w:shd w:fill="auto" w:val="clear"/>
          </w:tcPr>
          <w:p>
            <w:pPr>
              <w:pStyle w:val="TableContents"/>
              <w:spacing w:before="0" w:after="283"/>
              <w:rPr/>
            </w:pPr>
            <w:r>
              <w:rPr/>
              <w:t>acting by its authorised attorney</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pPr>
            <w:r>
              <w:rPr/>
              <w:t>)</w:t>
            </w:r>
          </w:p>
        </w:tc>
      </w:tr>
      <w:tr>
        <w:trPr/>
        <w:tc>
          <w:tcPr>
            <w:tcW w:w="5646" w:type="dxa"/>
            <w:gridSpan w:val="3"/>
            <w:tcBorders/>
            <w:shd w:fill="auto" w:val="clear"/>
          </w:tcPr>
          <w:p>
            <w:pPr>
              <w:pStyle w:val="TableContents"/>
              <w:spacing w:before="0" w:after="283"/>
              <w:rPr/>
            </w:pPr>
            <w:r>
              <w:rPr/>
              <w:t>Vitaly Buzoverja</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pPr>
            <w:r>
              <w:rPr/>
              <w:t>)</w:t>
            </w:r>
          </w:p>
        </w:tc>
      </w:tr>
      <w:tr>
        <w:trPr/>
        <w:tc>
          <w:tcPr>
            <w:tcW w:w="5646" w:type="dxa"/>
            <w:gridSpan w:val="3"/>
            <w:tcBorders/>
            <w:shd w:fill="auto" w:val="clear"/>
          </w:tcPr>
          <w:p>
            <w:pPr>
              <w:pStyle w:val="TableContents"/>
              <w:spacing w:before="0" w:after="283"/>
              <w:rPr/>
            </w:pPr>
            <w:r>
              <w:rPr/>
              <w:t>in the presence of:</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pPr>
            <w:r>
              <w:rPr/>
              <w:t>)</w:t>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pPr>
            <w:r>
              <w:rPr/>
              <w:t>1.</w:t>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Witness’s Signature: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sz w:val="4"/>
                <w:szCs w:val="4"/>
              </w:rPr>
            </w:pPr>
            <w:r>
              <w:rPr>
                <w:sz w:val="4"/>
                <w:szCs w:val="4"/>
              </w:rPr>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Name: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pPr>
            <w:r>
              <w:rPr/>
              <w:t>2.</w:t>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Witness’s Signature: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r>
        <w:trPr>
          <w:trHeight w:val="240" w:hRule="atLeast"/>
        </w:trPr>
        <w:tc>
          <w:tcPr>
            <w:tcW w:w="141" w:type="dxa"/>
            <w:tcBorders/>
            <w:shd w:fill="auto" w:val="clear"/>
            <w:vAlign w:val="center"/>
          </w:tcPr>
          <w:p>
            <w:pPr>
              <w:pStyle w:val="TableContents"/>
              <w:spacing w:before="0" w:after="283"/>
              <w:rPr>
                <w:sz w:val="4"/>
                <w:szCs w:val="4"/>
              </w:rPr>
            </w:pPr>
            <w:r>
              <w:rPr>
                <w:sz w:val="4"/>
                <w:szCs w:val="4"/>
              </w:rPr>
            </w:r>
          </w:p>
        </w:tc>
        <w:tc>
          <w:tcPr>
            <w:tcW w:w="5505" w:type="dxa"/>
            <w:gridSpan w:val="2"/>
            <w:tcBorders/>
            <w:shd w:fill="auto" w:val="clear"/>
            <w:vAlign w:val="center"/>
          </w:tcPr>
          <w:p>
            <w:pPr>
              <w:pStyle w:val="TableContents"/>
              <w:spacing w:before="0" w:after="283"/>
              <w:rPr>
                <w:sz w:val="4"/>
                <w:szCs w:val="4"/>
              </w:rPr>
            </w:pPr>
            <w:r>
              <w:rPr>
                <w:sz w:val="4"/>
                <w:szCs w:val="4"/>
              </w:rPr>
            </w:r>
          </w:p>
        </w:tc>
        <w:tc>
          <w:tcPr>
            <w:tcW w:w="4559" w:type="dxa"/>
            <w:gridSpan w:val="2"/>
            <w:tcBorders/>
            <w:shd w:fill="auto" w:val="clear"/>
            <w:vAlign w:val="center"/>
          </w:tcPr>
          <w:p>
            <w:pPr>
              <w:pStyle w:val="TableContents"/>
              <w:spacing w:before="0" w:after="283"/>
              <w:rPr>
                <w:sz w:val="4"/>
                <w:szCs w:val="4"/>
              </w:rPr>
            </w:pPr>
            <w:r>
              <w:rPr>
                <w:sz w:val="4"/>
                <w:szCs w:val="4"/>
              </w:rPr>
            </w:r>
          </w:p>
        </w:tc>
      </w:tr>
      <w:tr>
        <w:trPr/>
        <w:tc>
          <w:tcPr>
            <w:tcW w:w="141" w:type="dxa"/>
            <w:tcBorders/>
            <w:shd w:fill="auto" w:val="clear"/>
          </w:tcPr>
          <w:p>
            <w:pPr>
              <w:pStyle w:val="TableContents"/>
              <w:spacing w:before="0" w:after="283"/>
              <w:rPr>
                <w:sz w:val="4"/>
                <w:szCs w:val="4"/>
              </w:rPr>
            </w:pPr>
            <w:r>
              <w:rPr>
                <w:sz w:val="4"/>
                <w:szCs w:val="4"/>
              </w:rPr>
            </w:r>
          </w:p>
        </w:tc>
        <w:tc>
          <w:tcPr>
            <w:tcW w:w="113" w:type="dxa"/>
            <w:tcBorders/>
            <w:shd w:fill="auto" w:val="clear"/>
            <w:vAlign w:val="bottom"/>
          </w:tcPr>
          <w:p>
            <w:pPr>
              <w:pStyle w:val="TableContents"/>
              <w:spacing w:before="0" w:after="283"/>
              <w:rPr/>
            </w:pPr>
            <w:r>
              <w:rPr/>
              <w:t> </w:t>
            </w:r>
          </w:p>
        </w:tc>
        <w:tc>
          <w:tcPr>
            <w:tcW w:w="5392" w:type="dxa"/>
            <w:tcBorders/>
            <w:shd w:fill="auto" w:val="clear"/>
          </w:tcPr>
          <w:p>
            <w:pPr>
              <w:pStyle w:val="TableContents"/>
              <w:spacing w:before="0" w:after="283"/>
              <w:rPr/>
            </w:pPr>
            <w:r>
              <w:rPr/>
              <w:t>Name: </w:t>
            </w:r>
            <w:r>
              <w:rPr>
                <w:u w:val="single"/>
              </w:rPr>
              <w:t>                                                                                       </w:t>
            </w:r>
          </w:p>
        </w:tc>
        <w:tc>
          <w:tcPr>
            <w:tcW w:w="135" w:type="dxa"/>
            <w:tcBorders/>
            <w:shd w:fill="auto" w:val="clear"/>
            <w:vAlign w:val="bottom"/>
          </w:tcPr>
          <w:p>
            <w:pPr>
              <w:pStyle w:val="TableContents"/>
              <w:spacing w:before="0" w:after="283"/>
              <w:rPr/>
            </w:pPr>
            <w:r>
              <w:rPr/>
              <w:t>  </w:t>
            </w:r>
          </w:p>
        </w:tc>
        <w:tc>
          <w:tcPr>
            <w:tcW w:w="4424"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DATED </w:t>
      </w:r>
      <w:r>
        <w:rPr>
          <w:rFonts w:ascii="Times New Roman" w:hAnsi="Times New Roman"/>
          <w:b/>
          <w:sz w:val="20"/>
          <w:u w:val="single"/>
        </w:rPr>
        <w:t xml:space="preserve">5 </w:t>
      </w:r>
      <w:r>
        <w:rPr>
          <w:rFonts w:ascii="Times New Roman" w:hAnsi="Times New Roman"/>
          <w:b/>
          <w:sz w:val="20"/>
        </w:rPr>
        <w:t xml:space="preserve">OCTOBER 2017 </w:t>
      </w:r>
    </w:p>
    <w:p>
      <w:pPr>
        <w:pStyle w:val="TextBody"/>
        <w:spacing w:before="240" w:after="0"/>
        <w:jc w:val="center"/>
        <w:rPr>
          <w:rFonts w:ascii="Times New Roman" w:hAnsi="Times New Roman"/>
          <w:b/>
          <w:sz w:val="20"/>
        </w:rPr>
      </w:pPr>
      <w:r>
        <w:rPr>
          <w:rFonts w:ascii="Times New Roman" w:hAnsi="Times New Roman"/>
          <w:b/>
          <w:sz w:val="20"/>
        </w:rPr>
        <w:t xml:space="preserve">DEED OF CONFIRMATION </w:t>
      </w:r>
    </w:p>
    <w:p>
      <w:pPr>
        <w:pStyle w:val="TextBody"/>
        <w:spacing w:before="240" w:after="0"/>
        <w:jc w:val="center"/>
        <w:rPr>
          <w:rFonts w:ascii="Times New Roman" w:hAnsi="Times New Roman"/>
          <w:b/>
          <w:sz w:val="20"/>
        </w:rPr>
      </w:pPr>
      <w:r>
        <w:rPr>
          <w:rFonts w:ascii="Times New Roman" w:hAnsi="Times New Roman"/>
          <w:b/>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(1) HIGHWORLD INVESTMENTS LIMITED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(2) VTB BANK (PJSC) </w:t>
      </w:r>
    </w:p>
    <w:p>
      <w:pPr>
        <w:pStyle w:val="TextBody"/>
        <w:spacing w:before="240" w:after="0"/>
        <w:jc w:val="center"/>
        <w:rPr>
          <w:rFonts w:ascii="Times New Roman" w:hAnsi="Times New Roman"/>
          <w:b/>
          <w:sz w:val="20"/>
        </w:rPr>
      </w:pPr>
      <w:r>
        <w:rPr>
          <w:rFonts w:ascii="Times New Roman" w:hAnsi="Times New Roman"/>
          <w:b/>
          <w:sz w:val="20"/>
        </w:rPr>
        <w:t xml:space="preserve">relating to the Deed of Pledge over shares in ZEMENIK TRADING LIMITED </w:t>
      </w:r>
    </w:p>
    <w:p>
      <w:pPr>
        <w:pStyle w:val="TextBody"/>
        <w:spacing w:before="240" w:after="0"/>
        <w:jc w:val="center"/>
        <w:rPr>
          <w:rFonts w:ascii="Times New Roman" w:hAnsi="Times New Roman"/>
          <w:b/>
          <w:sz w:val="20"/>
        </w:rPr>
      </w:pPr>
      <w:r>
        <w:rPr>
          <w:rFonts w:ascii="Times New Roman" w:hAnsi="Times New Roman"/>
          <w:b/>
          <w:sz w:val="20"/>
        </w:rPr>
        <w:t xml:space="preserve">dated 19 May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ALEXANDRO§ ECONOMOU LLC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0" w:after="0"/>
        <w:rPr/>
      </w:pPr>
      <w:r>
        <w:rPr/>
        <w:t>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709"/>
        <w:gridCol w:w="194"/>
        <w:gridCol w:w="8498"/>
        <w:gridCol w:w="226"/>
        <w:gridCol w:w="96"/>
        <w:gridCol w:w="419"/>
        <w:gridCol w:w="63"/>
      </w:tblGrid>
      <w:tr>
        <w:trPr/>
        <w:tc>
          <w:tcPr>
            <w:tcW w:w="709" w:type="dxa"/>
            <w:tcBorders/>
            <w:shd w:fill="auto" w:val="clear"/>
            <w:vAlign w:val="center"/>
          </w:tcPr>
          <w:p>
            <w:pPr>
              <w:pStyle w:val="TableContents"/>
              <w:spacing w:before="0" w:after="283"/>
              <w:rPr>
                <w:sz w:val="4"/>
                <w:szCs w:val="4"/>
              </w:rPr>
            </w:pPr>
            <w:r>
              <w:rPr>
                <w:sz w:val="4"/>
                <w:szCs w:val="4"/>
              </w:rPr>
            </w:r>
          </w:p>
        </w:tc>
        <w:tc>
          <w:tcPr>
            <w:tcW w:w="194" w:type="dxa"/>
            <w:tcBorders/>
            <w:shd w:fill="auto" w:val="clear"/>
            <w:vAlign w:val="bottom"/>
          </w:tcPr>
          <w:p>
            <w:pPr>
              <w:pStyle w:val="TableContents"/>
              <w:spacing w:before="0" w:after="283"/>
              <w:rPr>
                <w:sz w:val="4"/>
                <w:szCs w:val="4"/>
              </w:rPr>
            </w:pPr>
            <w:r>
              <w:rPr>
                <w:sz w:val="4"/>
                <w:szCs w:val="4"/>
              </w:rPr>
            </w:r>
          </w:p>
        </w:tc>
        <w:tc>
          <w:tcPr>
            <w:tcW w:w="8498" w:type="dxa"/>
            <w:tcBorders/>
            <w:shd w:fill="auto" w:val="clear"/>
            <w:vAlign w:val="center"/>
          </w:tcPr>
          <w:p>
            <w:pPr>
              <w:pStyle w:val="TableContents"/>
              <w:spacing w:before="0" w:after="283"/>
              <w:rPr>
                <w:sz w:val="4"/>
                <w:szCs w:val="4"/>
              </w:rPr>
            </w:pPr>
            <w:r>
              <w:rPr>
                <w:sz w:val="4"/>
                <w:szCs w:val="4"/>
              </w:rPr>
            </w:r>
          </w:p>
        </w:tc>
        <w:tc>
          <w:tcPr>
            <w:tcW w:w="226" w:type="dxa"/>
            <w:tcBorders/>
            <w:shd w:fill="auto" w:val="clear"/>
            <w:vAlign w:val="bottom"/>
          </w:tcPr>
          <w:p>
            <w:pPr>
              <w:pStyle w:val="TableContents"/>
              <w:spacing w:before="0" w:after="283"/>
              <w:rPr>
                <w:sz w:val="4"/>
                <w:szCs w:val="4"/>
              </w:rPr>
            </w:pPr>
            <w:r>
              <w:rPr>
                <w:sz w:val="4"/>
                <w:szCs w:val="4"/>
              </w:rPr>
            </w:r>
          </w:p>
        </w:tc>
        <w:tc>
          <w:tcPr>
            <w:tcW w:w="96" w:type="dxa"/>
            <w:tcBorders/>
            <w:shd w:fill="auto" w:val="clear"/>
            <w:vAlign w:val="center"/>
          </w:tcPr>
          <w:p>
            <w:pPr>
              <w:pStyle w:val="TableContents"/>
              <w:spacing w:before="0" w:after="283"/>
              <w:rPr>
                <w:sz w:val="4"/>
                <w:szCs w:val="4"/>
              </w:rPr>
            </w:pPr>
            <w:r>
              <w:rPr>
                <w:sz w:val="4"/>
                <w:szCs w:val="4"/>
              </w:rPr>
            </w:r>
          </w:p>
        </w:tc>
        <w:tc>
          <w:tcPr>
            <w:tcW w:w="419" w:type="dxa"/>
            <w:tcBorders/>
            <w:shd w:fill="auto" w:val="clear"/>
            <w:vAlign w:val="center"/>
          </w:tcPr>
          <w:p>
            <w:pPr>
              <w:pStyle w:val="TableContents"/>
              <w:spacing w:before="0" w:after="283"/>
              <w:rPr>
                <w:sz w:val="4"/>
                <w:szCs w:val="4"/>
              </w:rPr>
            </w:pPr>
            <w:r>
              <w:rPr>
                <w:sz w:val="4"/>
                <w:szCs w:val="4"/>
              </w:rPr>
            </w:r>
          </w:p>
        </w:tc>
        <w:tc>
          <w:tcPr>
            <w:tcW w:w="63" w:type="dxa"/>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vAlign w:val="bottom"/>
          </w:tcPr>
          <w:p>
            <w:pPr>
              <w:pStyle w:val="TableContents"/>
              <w:spacing w:before="0" w:after="283"/>
              <w:rPr>
                <w:b/>
              </w:rPr>
            </w:pPr>
            <w:r>
              <w:rPr>
                <w:b/>
              </w:rPr>
              <w:t>Clause</w:t>
            </w:r>
          </w:p>
        </w:tc>
        <w:tc>
          <w:tcPr>
            <w:tcW w:w="194" w:type="dxa"/>
            <w:tcBorders/>
            <w:shd w:fill="auto" w:val="clear"/>
            <w:vAlign w:val="bottom"/>
          </w:tcPr>
          <w:p>
            <w:pPr>
              <w:pStyle w:val="TableContents"/>
              <w:spacing w:before="0" w:after="283"/>
              <w:rPr/>
            </w:pPr>
            <w:r>
              <w:rPr/>
              <w:t> </w:t>
            </w:r>
          </w:p>
        </w:tc>
        <w:tc>
          <w:tcPr>
            <w:tcW w:w="8498" w:type="dxa"/>
            <w:tcBorders/>
            <w:shd w:fill="auto" w:val="clear"/>
            <w:vAlign w:val="bottom"/>
          </w:tcPr>
          <w:p>
            <w:pPr>
              <w:pStyle w:val="TableContents"/>
              <w:spacing w:before="0" w:after="283"/>
              <w:rPr/>
            </w:pPr>
            <w:r>
              <w:rPr/>
              <w:t> </w:t>
            </w:r>
          </w:p>
        </w:tc>
        <w:tc>
          <w:tcPr>
            <w:tcW w:w="226" w:type="dxa"/>
            <w:tcBorders/>
            <w:shd w:fill="auto" w:val="clear"/>
            <w:vAlign w:val="bottom"/>
          </w:tcPr>
          <w:p>
            <w:pPr>
              <w:pStyle w:val="TableContents"/>
              <w:spacing w:before="0" w:after="283"/>
              <w:rPr/>
            </w:pPr>
            <w:r>
              <w:rPr/>
              <w:t>  </w:t>
            </w:r>
          </w:p>
        </w:tc>
        <w:tc>
          <w:tcPr>
            <w:tcW w:w="515" w:type="dxa"/>
            <w:gridSpan w:val="2"/>
            <w:tcBorders/>
            <w:shd w:fill="auto" w:val="clear"/>
            <w:vAlign w:val="bottom"/>
          </w:tcPr>
          <w:p>
            <w:pPr>
              <w:pStyle w:val="TableContents"/>
              <w:spacing w:before="0" w:after="283"/>
              <w:jc w:val="center"/>
              <w:rPr>
                <w:b/>
              </w:rPr>
            </w:pPr>
            <w:r>
              <w:rPr>
                <w:b/>
              </w:rPr>
              <w:t>Page</w:t>
            </w:r>
          </w:p>
        </w:tc>
        <w:tc>
          <w:tcPr>
            <w:tcW w:w="63" w:type="dxa"/>
            <w:tcBorders/>
            <w:shd w:fill="auto" w:val="clear"/>
            <w:vAlign w:val="bottom"/>
          </w:tcPr>
          <w:p>
            <w:pPr>
              <w:pStyle w:val="TableContents"/>
              <w:spacing w:before="0" w:after="283"/>
              <w:rPr/>
            </w:pPr>
            <w:r>
              <w:rPr/>
              <w:t> </w:t>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1.</w:t>
            </w:r>
          </w:p>
        </w:tc>
        <w:tc>
          <w:tcPr>
            <w:tcW w:w="194" w:type="dxa"/>
            <w:tcBorders/>
            <w:shd w:fill="auto" w:val="clear"/>
            <w:vAlign w:val="bottom"/>
          </w:tcPr>
          <w:p>
            <w:pPr>
              <w:pStyle w:val="TableContents"/>
              <w:spacing w:before="0" w:after="283"/>
              <w:rPr/>
            </w:pPr>
            <w:r>
              <w:rPr/>
              <w:t> </w:t>
            </w:r>
          </w:p>
        </w:tc>
        <w:tc>
          <w:tcPr>
            <w:tcW w:w="8498" w:type="dxa"/>
            <w:tcBorders/>
            <w:shd w:fill="auto" w:val="clear"/>
            <w:vAlign w:val="bottom"/>
          </w:tcPr>
          <w:p>
            <w:pPr>
              <w:pStyle w:val="TableContents"/>
              <w:spacing w:before="0" w:after="283"/>
              <w:rPr>
                <w:b/>
              </w:rPr>
            </w:pPr>
            <w:r>
              <w:rPr>
                <w:b/>
              </w:rPr>
              <w:t>INTERPRETATION</w:t>
            </w:r>
          </w:p>
        </w:tc>
        <w:tc>
          <w:tcPr>
            <w:tcW w:w="226"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34</w:t>
            </w:r>
          </w:p>
        </w:tc>
        <w:tc>
          <w:tcPr>
            <w:tcW w:w="63"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2" w:type="dxa"/>
            <w:gridSpan w:val="2"/>
            <w:tcBorders/>
            <w:shd w:fill="auto" w:val="clear"/>
            <w:vAlign w:val="center"/>
          </w:tcPr>
          <w:p>
            <w:pPr>
              <w:pStyle w:val="TableContents"/>
              <w:spacing w:before="0" w:after="283"/>
              <w:rPr>
                <w:sz w:val="4"/>
                <w:szCs w:val="4"/>
              </w:rPr>
            </w:pPr>
            <w:r>
              <w:rPr>
                <w:sz w:val="4"/>
                <w:szCs w:val="4"/>
              </w:rPr>
            </w:r>
          </w:p>
        </w:tc>
        <w:tc>
          <w:tcPr>
            <w:tcW w:w="804"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2.</w:t>
            </w:r>
          </w:p>
        </w:tc>
        <w:tc>
          <w:tcPr>
            <w:tcW w:w="194" w:type="dxa"/>
            <w:tcBorders/>
            <w:shd w:fill="auto" w:val="clear"/>
            <w:vAlign w:val="bottom"/>
          </w:tcPr>
          <w:p>
            <w:pPr>
              <w:pStyle w:val="TableContents"/>
              <w:spacing w:before="0" w:after="283"/>
              <w:rPr/>
            </w:pPr>
            <w:r>
              <w:rPr/>
              <w:t> </w:t>
            </w:r>
          </w:p>
        </w:tc>
        <w:tc>
          <w:tcPr>
            <w:tcW w:w="8498" w:type="dxa"/>
            <w:tcBorders/>
            <w:shd w:fill="auto" w:val="clear"/>
            <w:vAlign w:val="bottom"/>
          </w:tcPr>
          <w:p>
            <w:pPr>
              <w:pStyle w:val="TableContents"/>
              <w:spacing w:before="0" w:after="283"/>
              <w:rPr>
                <w:b/>
              </w:rPr>
            </w:pPr>
            <w:r>
              <w:rPr>
                <w:b/>
              </w:rPr>
              <w:t>CONFIRMATION</w:t>
            </w:r>
          </w:p>
        </w:tc>
        <w:tc>
          <w:tcPr>
            <w:tcW w:w="226"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34</w:t>
            </w:r>
          </w:p>
        </w:tc>
        <w:tc>
          <w:tcPr>
            <w:tcW w:w="63"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2" w:type="dxa"/>
            <w:gridSpan w:val="2"/>
            <w:tcBorders/>
            <w:shd w:fill="auto" w:val="clear"/>
            <w:vAlign w:val="center"/>
          </w:tcPr>
          <w:p>
            <w:pPr>
              <w:pStyle w:val="TableContents"/>
              <w:spacing w:before="0" w:after="283"/>
              <w:rPr>
                <w:sz w:val="4"/>
                <w:szCs w:val="4"/>
              </w:rPr>
            </w:pPr>
            <w:r>
              <w:rPr>
                <w:sz w:val="4"/>
                <w:szCs w:val="4"/>
              </w:rPr>
            </w:r>
          </w:p>
        </w:tc>
        <w:tc>
          <w:tcPr>
            <w:tcW w:w="804"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3.</w:t>
            </w:r>
          </w:p>
        </w:tc>
        <w:tc>
          <w:tcPr>
            <w:tcW w:w="194" w:type="dxa"/>
            <w:tcBorders/>
            <w:shd w:fill="auto" w:val="clear"/>
            <w:vAlign w:val="bottom"/>
          </w:tcPr>
          <w:p>
            <w:pPr>
              <w:pStyle w:val="TableContents"/>
              <w:spacing w:before="0" w:after="283"/>
              <w:rPr/>
            </w:pPr>
            <w:r>
              <w:rPr/>
              <w:t> </w:t>
            </w:r>
          </w:p>
        </w:tc>
        <w:tc>
          <w:tcPr>
            <w:tcW w:w="8498" w:type="dxa"/>
            <w:tcBorders/>
            <w:shd w:fill="auto" w:val="clear"/>
            <w:vAlign w:val="bottom"/>
          </w:tcPr>
          <w:p>
            <w:pPr>
              <w:pStyle w:val="TableContents"/>
              <w:spacing w:before="0" w:after="283"/>
              <w:rPr>
                <w:b/>
              </w:rPr>
            </w:pPr>
            <w:r>
              <w:rPr>
                <w:b/>
              </w:rPr>
              <w:t>FURTHER ASSURANCES</w:t>
            </w:r>
          </w:p>
        </w:tc>
        <w:tc>
          <w:tcPr>
            <w:tcW w:w="226"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2" w:type="dxa"/>
            <w:gridSpan w:val="2"/>
            <w:tcBorders/>
            <w:shd w:fill="auto" w:val="clear"/>
            <w:vAlign w:val="center"/>
          </w:tcPr>
          <w:p>
            <w:pPr>
              <w:pStyle w:val="TableContents"/>
              <w:spacing w:before="0" w:after="283"/>
              <w:rPr>
                <w:sz w:val="4"/>
                <w:szCs w:val="4"/>
              </w:rPr>
            </w:pPr>
            <w:r>
              <w:rPr>
                <w:sz w:val="4"/>
                <w:szCs w:val="4"/>
              </w:rPr>
            </w:r>
          </w:p>
        </w:tc>
        <w:tc>
          <w:tcPr>
            <w:tcW w:w="804"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4.</w:t>
            </w:r>
          </w:p>
        </w:tc>
        <w:tc>
          <w:tcPr>
            <w:tcW w:w="194" w:type="dxa"/>
            <w:tcBorders/>
            <w:shd w:fill="auto" w:val="clear"/>
            <w:vAlign w:val="bottom"/>
          </w:tcPr>
          <w:p>
            <w:pPr>
              <w:pStyle w:val="TableContents"/>
              <w:spacing w:before="0" w:after="283"/>
              <w:rPr/>
            </w:pPr>
            <w:r>
              <w:rPr/>
              <w:t> </w:t>
            </w:r>
          </w:p>
        </w:tc>
        <w:tc>
          <w:tcPr>
            <w:tcW w:w="8498" w:type="dxa"/>
            <w:tcBorders/>
            <w:shd w:fill="auto" w:val="clear"/>
            <w:vAlign w:val="bottom"/>
          </w:tcPr>
          <w:p>
            <w:pPr>
              <w:pStyle w:val="TableContents"/>
              <w:spacing w:before="0" w:after="283"/>
              <w:rPr>
                <w:b/>
              </w:rPr>
            </w:pPr>
            <w:r>
              <w:rPr>
                <w:b/>
              </w:rPr>
              <w:t>COUNTERPARTS</w:t>
            </w:r>
          </w:p>
        </w:tc>
        <w:tc>
          <w:tcPr>
            <w:tcW w:w="226"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2" w:type="dxa"/>
            <w:gridSpan w:val="2"/>
            <w:tcBorders/>
            <w:shd w:fill="auto" w:val="clear"/>
            <w:vAlign w:val="center"/>
          </w:tcPr>
          <w:p>
            <w:pPr>
              <w:pStyle w:val="TableContents"/>
              <w:spacing w:before="0" w:after="283"/>
              <w:rPr>
                <w:sz w:val="4"/>
                <w:szCs w:val="4"/>
              </w:rPr>
            </w:pPr>
            <w:r>
              <w:rPr>
                <w:sz w:val="4"/>
                <w:szCs w:val="4"/>
              </w:rPr>
            </w:r>
          </w:p>
        </w:tc>
        <w:tc>
          <w:tcPr>
            <w:tcW w:w="804"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5.</w:t>
            </w:r>
          </w:p>
        </w:tc>
        <w:tc>
          <w:tcPr>
            <w:tcW w:w="194" w:type="dxa"/>
            <w:tcBorders/>
            <w:shd w:fill="auto" w:val="clear"/>
            <w:vAlign w:val="bottom"/>
          </w:tcPr>
          <w:p>
            <w:pPr>
              <w:pStyle w:val="TableContents"/>
              <w:spacing w:before="0" w:after="283"/>
              <w:rPr/>
            </w:pPr>
            <w:r>
              <w:rPr/>
              <w:t> </w:t>
            </w:r>
          </w:p>
        </w:tc>
        <w:tc>
          <w:tcPr>
            <w:tcW w:w="8498" w:type="dxa"/>
            <w:tcBorders/>
            <w:shd w:fill="auto" w:val="clear"/>
            <w:vAlign w:val="bottom"/>
          </w:tcPr>
          <w:p>
            <w:pPr>
              <w:pStyle w:val="TableContents"/>
              <w:spacing w:before="0" w:after="283"/>
              <w:rPr>
                <w:b/>
              </w:rPr>
            </w:pPr>
            <w:r>
              <w:rPr>
                <w:b/>
              </w:rPr>
              <w:t>GOVERNING LAW</w:t>
            </w:r>
          </w:p>
        </w:tc>
        <w:tc>
          <w:tcPr>
            <w:tcW w:w="226"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709" w:type="dxa"/>
            <w:tcBorders/>
            <w:shd w:fill="auto" w:val="clear"/>
            <w:vAlign w:val="center"/>
          </w:tcPr>
          <w:p>
            <w:pPr>
              <w:pStyle w:val="TableContents"/>
              <w:spacing w:before="0" w:after="283"/>
              <w:rPr>
                <w:sz w:val="4"/>
                <w:szCs w:val="4"/>
              </w:rPr>
            </w:pPr>
            <w:r>
              <w:rPr>
                <w:sz w:val="4"/>
                <w:szCs w:val="4"/>
              </w:rPr>
            </w:r>
          </w:p>
        </w:tc>
        <w:tc>
          <w:tcPr>
            <w:tcW w:w="8692" w:type="dxa"/>
            <w:gridSpan w:val="2"/>
            <w:tcBorders/>
            <w:shd w:fill="auto" w:val="clear"/>
            <w:vAlign w:val="center"/>
          </w:tcPr>
          <w:p>
            <w:pPr>
              <w:pStyle w:val="TableContents"/>
              <w:spacing w:before="0" w:after="283"/>
              <w:rPr>
                <w:sz w:val="4"/>
                <w:szCs w:val="4"/>
              </w:rPr>
            </w:pPr>
            <w:r>
              <w:rPr>
                <w:sz w:val="4"/>
                <w:szCs w:val="4"/>
              </w:rPr>
            </w:r>
          </w:p>
        </w:tc>
        <w:tc>
          <w:tcPr>
            <w:tcW w:w="804" w:type="dxa"/>
            <w:gridSpan w:val="4"/>
            <w:tcBorders/>
            <w:shd w:fill="auto" w:val="clear"/>
            <w:vAlign w:val="center"/>
          </w:tcPr>
          <w:p>
            <w:pPr>
              <w:pStyle w:val="TableContents"/>
              <w:spacing w:before="0" w:after="283"/>
              <w:rPr>
                <w:sz w:val="4"/>
                <w:szCs w:val="4"/>
              </w:rPr>
            </w:pPr>
            <w:r>
              <w:rPr>
                <w:sz w:val="4"/>
                <w:szCs w:val="4"/>
              </w:rPr>
            </w:r>
          </w:p>
        </w:tc>
      </w:tr>
      <w:tr>
        <w:trPr/>
        <w:tc>
          <w:tcPr>
            <w:tcW w:w="709" w:type="dxa"/>
            <w:tcBorders/>
            <w:shd w:fill="auto" w:val="clear"/>
          </w:tcPr>
          <w:p>
            <w:pPr>
              <w:pStyle w:val="TableContents"/>
              <w:spacing w:before="0" w:after="0"/>
              <w:rPr>
                <w:rFonts w:ascii="Times New Roman" w:hAnsi="Times New Roman"/>
                <w:b/>
                <w:sz w:val="20"/>
              </w:rPr>
            </w:pPr>
            <w:r>
              <w:rPr>
                <w:rFonts w:ascii="Times New Roman" w:hAnsi="Times New Roman"/>
                <w:b/>
                <w:sz w:val="20"/>
              </w:rPr>
              <w:t>6.</w:t>
            </w:r>
          </w:p>
        </w:tc>
        <w:tc>
          <w:tcPr>
            <w:tcW w:w="194" w:type="dxa"/>
            <w:tcBorders/>
            <w:shd w:fill="auto" w:val="clear"/>
            <w:vAlign w:val="bottom"/>
          </w:tcPr>
          <w:p>
            <w:pPr>
              <w:pStyle w:val="TableContents"/>
              <w:spacing w:before="0" w:after="283"/>
              <w:rPr/>
            </w:pPr>
            <w:r>
              <w:rPr/>
              <w:t> </w:t>
            </w:r>
          </w:p>
        </w:tc>
        <w:tc>
          <w:tcPr>
            <w:tcW w:w="8498" w:type="dxa"/>
            <w:tcBorders/>
            <w:shd w:fill="auto" w:val="clear"/>
            <w:vAlign w:val="bottom"/>
          </w:tcPr>
          <w:p>
            <w:pPr>
              <w:pStyle w:val="TableContents"/>
              <w:spacing w:before="0" w:after="283"/>
              <w:rPr>
                <w:b/>
              </w:rPr>
            </w:pPr>
            <w:r>
              <w:rPr>
                <w:b/>
              </w:rPr>
              <w:t>ENFORCEMENT</w:t>
            </w:r>
          </w:p>
        </w:tc>
        <w:tc>
          <w:tcPr>
            <w:tcW w:w="226"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35</w:t>
            </w:r>
          </w:p>
        </w:tc>
        <w:tc>
          <w:tcPr>
            <w:tcW w:w="63" w:type="dxa"/>
            <w:tcBorders/>
            <w:shd w:fill="auto" w:val="clear"/>
            <w:vAlign w:val="bottom"/>
          </w:tcPr>
          <w:p>
            <w:pPr>
              <w:pStyle w:val="TableContents"/>
              <w:spacing w:before="0" w:after="283"/>
              <w:rPr/>
            </w:pPr>
            <w:r>
              <w:rPr/>
              <w:t> </w:t>
            </w:r>
          </w:p>
        </w:tc>
      </w:tr>
      <w:tr>
        <w:trPr>
          <w:trHeight w:val="120" w:hRule="atLeast"/>
        </w:trPr>
        <w:tc>
          <w:tcPr>
            <w:tcW w:w="9401" w:type="dxa"/>
            <w:gridSpan w:val="3"/>
            <w:tcBorders/>
            <w:shd w:fill="auto" w:val="clear"/>
            <w:vAlign w:val="center"/>
          </w:tcPr>
          <w:p>
            <w:pPr>
              <w:pStyle w:val="TableContents"/>
              <w:spacing w:before="0" w:after="283"/>
              <w:rPr>
                <w:sz w:val="4"/>
                <w:szCs w:val="4"/>
              </w:rPr>
            </w:pPr>
            <w:r>
              <w:rPr>
                <w:sz w:val="4"/>
                <w:szCs w:val="4"/>
              </w:rPr>
            </w:r>
          </w:p>
        </w:tc>
        <w:tc>
          <w:tcPr>
            <w:tcW w:w="804" w:type="dxa"/>
            <w:gridSpan w:val="4"/>
            <w:tcBorders/>
            <w:shd w:fill="auto" w:val="clear"/>
            <w:vAlign w:val="center"/>
          </w:tcPr>
          <w:p>
            <w:pPr>
              <w:pStyle w:val="TableContents"/>
              <w:spacing w:before="0" w:after="283"/>
              <w:rPr>
                <w:sz w:val="4"/>
                <w:szCs w:val="4"/>
              </w:rPr>
            </w:pPr>
            <w:r>
              <w:rPr>
                <w:sz w:val="4"/>
                <w:szCs w:val="4"/>
              </w:rPr>
            </w:r>
          </w:p>
        </w:tc>
      </w:tr>
      <w:tr>
        <w:trPr/>
        <w:tc>
          <w:tcPr>
            <w:tcW w:w="9401" w:type="dxa"/>
            <w:gridSpan w:val="3"/>
            <w:tcBorders/>
            <w:shd w:fill="auto" w:val="clear"/>
          </w:tcPr>
          <w:p>
            <w:pPr>
              <w:pStyle w:val="TableContents"/>
              <w:spacing w:before="0" w:after="0"/>
              <w:rPr>
                <w:rFonts w:ascii="Times New Roman" w:hAnsi="Times New Roman"/>
                <w:b/>
                <w:sz w:val="20"/>
              </w:rPr>
            </w:pPr>
            <w:r>
              <w:rPr>
                <w:rFonts w:ascii="Times New Roman" w:hAnsi="Times New Roman"/>
                <w:b/>
                <w:sz w:val="20"/>
              </w:rPr>
              <w:t>SIGNATORIES</w:t>
            </w:r>
          </w:p>
        </w:tc>
        <w:tc>
          <w:tcPr>
            <w:tcW w:w="226" w:type="dxa"/>
            <w:tcBorders/>
            <w:shd w:fill="auto" w:val="clear"/>
            <w:vAlign w:val="bottom"/>
          </w:tcPr>
          <w:p>
            <w:pPr>
              <w:pStyle w:val="TableContents"/>
              <w:spacing w:before="0" w:after="283"/>
              <w:rPr/>
            </w:pPr>
            <w:r>
              <w:rPr/>
              <w:t>  </w:t>
            </w:r>
          </w:p>
        </w:tc>
        <w:tc>
          <w:tcPr>
            <w:tcW w:w="96" w:type="dxa"/>
            <w:tcBorders/>
            <w:shd w:fill="auto" w:val="clear"/>
            <w:vAlign w:val="bottom"/>
          </w:tcPr>
          <w:p>
            <w:pPr>
              <w:pStyle w:val="TableContents"/>
              <w:spacing w:before="0" w:after="283"/>
              <w:rPr/>
            </w:pPr>
            <w:r>
              <w:rPr/>
              <w:t> </w:t>
            </w:r>
          </w:p>
        </w:tc>
        <w:tc>
          <w:tcPr>
            <w:tcW w:w="419" w:type="dxa"/>
            <w:tcBorders/>
            <w:shd w:fill="auto" w:val="clear"/>
            <w:vAlign w:val="bottom"/>
          </w:tcPr>
          <w:p>
            <w:pPr>
              <w:pStyle w:val="TableContents"/>
              <w:spacing w:before="0" w:after="283"/>
              <w:jc w:val="right"/>
              <w:rPr>
                <w:b/>
              </w:rPr>
            </w:pPr>
            <w:r>
              <w:rPr>
                <w:b/>
              </w:rPr>
              <w:t>36</w:t>
            </w:r>
          </w:p>
        </w:tc>
        <w:tc>
          <w:tcPr>
            <w:tcW w:w="63" w:type="dxa"/>
            <w:tcBorders/>
            <w:shd w:fill="auto" w:val="clear"/>
            <w:vAlign w:val="bottom"/>
          </w:tcPr>
          <w:p>
            <w:pPr>
              <w:pStyle w:val="TableContents"/>
              <w:spacing w:before="0" w:after="283"/>
              <w:rPr/>
            </w:pPr>
            <w:r>
              <w:rPr/>
              <w:t> </w:t>
            </w:r>
          </w:p>
        </w:tc>
      </w:tr>
    </w:tbl>
    <w:r>
      <w:br w:type="page"/>
    </w:r>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DEED</w:t>
      </w:r>
      <w:r>
        <w:rPr>
          <w:rFonts w:ascii="Times New Roman" w:hAnsi="Times New Roman"/>
          <w:sz w:val="20"/>
        </w:rPr>
        <w:t xml:space="preserve"> is dated </w:t>
      </w:r>
      <w:r>
        <w:rPr>
          <w:rFonts w:ascii="Times New Roman" w:hAnsi="Times New Roman"/>
          <w:sz w:val="20"/>
          <w:u w:val="single"/>
        </w:rPr>
        <w:t>5</w:t>
      </w:r>
      <w:r>
        <w:rPr>
          <w:rFonts w:ascii="Times New Roman" w:hAnsi="Times New Roman"/>
          <w:sz w:val="20"/>
        </w:rPr>
        <w:t xml:space="preserve"> October 2017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pPr>
            <w:r>
              <w:rPr/>
              <w:t>(1)</w:t>
            </w:r>
          </w:p>
        </w:tc>
        <w:tc>
          <w:tcPr>
            <w:tcW w:w="9391" w:type="dxa"/>
            <w:tcBorders/>
            <w:shd w:fill="auto" w:val="clear"/>
          </w:tcPr>
          <w:p>
            <w:pPr>
              <w:pStyle w:val="TableContents"/>
              <w:spacing w:before="0" w:after="283"/>
              <w:jc w:val="left"/>
              <w:rPr/>
            </w:pPr>
            <w:r>
              <w:rPr>
                <w:b/>
              </w:rPr>
              <w:t>HIGHWORLD INVESTMENTS LIMITED</w:t>
            </w:r>
            <w:r>
              <w:rPr/>
              <w:t>, a company incorporated under the laws of British Virgin Islands, whose registered office is at Trident Chambers, Road Town, P.O. Box 146, Tortola, VG 1110, British Virgin Islands (hereinafter the “</w:t>
            </w:r>
            <w:r>
              <w:rPr>
                <w:b/>
              </w:rPr>
              <w:t>Pledgor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(2)</w:t>
            </w:r>
          </w:p>
        </w:tc>
        <w:tc>
          <w:tcPr>
            <w:tcW w:w="9388" w:type="dxa"/>
            <w:tcBorders/>
            <w:shd w:fill="auto" w:val="clear"/>
          </w:tcPr>
          <w:p>
            <w:pPr>
              <w:pStyle w:val="TableContents"/>
              <w:spacing w:before="0" w:after="283"/>
              <w:jc w:val="left"/>
              <w:rPr/>
            </w:pPr>
            <w:r>
              <w:rPr>
                <w:b/>
              </w:rPr>
              <w:t>VTB BANK (PJSC)</w:t>
            </w:r>
            <w:r>
              <w:rPr/>
              <w:t xml:space="preserve">, a bank organised under the laws of the Russian Federation under primary state registration number 1027739609391, whose registered office is at Ul. Bolshaya Morskaya 29, St. Petersburg 190000, the Russian Federation (hereinafter the “Pledgee”). </w:t>
            </w:r>
          </w:p>
        </w:tc>
      </w:tr>
    </w:tbl>
    <w:p>
      <w:pPr>
        <w:pStyle w:val="TextBody"/>
        <w:spacing w:before="24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(A)</w:t>
            </w:r>
          </w:p>
        </w:tc>
        <w:tc>
          <w:tcPr>
            <w:tcW w:w="9388" w:type="dxa"/>
            <w:tcBorders/>
            <w:shd w:fill="auto" w:val="clear"/>
          </w:tcPr>
          <w:p>
            <w:pPr>
              <w:pStyle w:val="TableContents"/>
              <w:spacing w:before="0" w:after="283"/>
              <w:jc w:val="left"/>
              <w:rPr/>
            </w:pPr>
            <w:r>
              <w:rPr/>
              <w:t>Pursuant to a facility agreement dated 16 May 2016 as amended by the amendment agreement No. 1 dated 14 December 2016, the amendment agreement No. 2 dated 28 June 2017 and as amended and restated by the amendment agreement No. 3 dated on or about the date hereof (the “</w:t>
            </w:r>
            <w:r>
              <w:rPr>
                <w:b/>
              </w:rPr>
              <w:t>Facility Agreement</w:t>
            </w:r>
            <w:r>
              <w:rPr/>
              <w:t xml:space="preserve">”) between LLC ZEMENIK, a company incorporated in Russia with registration number 1167746153860, whose registered office is at Akademika Iljushina Street 4, Block 1, Office 54, Moscow, Russia as borrower and the Pledgee as arranger, facility agent and original lender, the parties thereto agreed, </w:t>
            </w:r>
            <w:r>
              <w:rPr>
                <w:i/>
              </w:rPr>
              <w:t>inter alia</w:t>
            </w:r>
            <w:r>
              <w:rPr/>
              <w:t xml:space="preserve">, that the Pledgor enters into the Deed of Pledge (as defined below) in favour of the Pledgee.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(B)</w:t>
            </w:r>
          </w:p>
        </w:tc>
        <w:tc>
          <w:tcPr>
            <w:tcW w:w="9388" w:type="dxa"/>
            <w:tcBorders/>
            <w:shd w:fill="auto" w:val="clear"/>
          </w:tcPr>
          <w:p>
            <w:pPr>
              <w:pStyle w:val="TableContents"/>
              <w:spacing w:before="0" w:after="283"/>
              <w:jc w:val="left"/>
              <w:rPr/>
            </w:pPr>
            <w:r>
              <w:rPr/>
              <w:t xml:space="preserve">The Pledgor and the Pledgee have agreed to enter into this Deed for the purpose of confirming the security granted under the Deed of Pledge. </w:t>
            </w:r>
          </w:p>
        </w:tc>
      </w:tr>
    </w:tbl>
    <w:p>
      <w:pPr>
        <w:pStyle w:val="TextBody"/>
        <w:spacing w:before="240" w:after="0"/>
        <w:rPr>
          <w:rFonts w:ascii="Times New Roman" w:hAnsi="Times New Roman"/>
          <w:sz w:val="20"/>
        </w:rPr>
      </w:pPr>
      <w:r>
        <w:rPr>
          <w:rFonts w:ascii="Times New Roman" w:hAnsi="Times New Roman"/>
          <w:b/>
          <w:sz w:val="20"/>
        </w:rPr>
        <w:t xml:space="preserve">IT IS AGREED </w:t>
      </w:r>
      <w:r>
        <w:rPr>
          <w:rFonts w:ascii="Times New Roman" w:hAnsi="Times New Roman"/>
          <w:sz w:val="20"/>
        </w:rPr>
        <w:t xml:space="preserve">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1.</w:t>
            </w:r>
          </w:p>
        </w:tc>
        <w:tc>
          <w:tcPr>
            <w:tcW w:w="9388" w:type="dxa"/>
            <w:tcBorders/>
            <w:shd w:fill="auto" w:val="clear"/>
          </w:tcPr>
          <w:p>
            <w:pPr>
              <w:pStyle w:val="TableContents"/>
              <w:spacing w:before="0" w:after="283"/>
              <w:jc w:val="left"/>
              <w:rPr>
                <w:b/>
              </w:rPr>
            </w:pPr>
            <w:r>
              <w:rPr>
                <w:b/>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1.1</w:t>
            </w:r>
          </w:p>
        </w:tc>
        <w:tc>
          <w:tcPr>
            <w:tcW w:w="9388" w:type="dxa"/>
            <w:tcBorders/>
            <w:shd w:fill="auto" w:val="clear"/>
          </w:tcPr>
          <w:p>
            <w:pPr>
              <w:pStyle w:val="TableContents"/>
              <w:spacing w:before="0" w:after="283"/>
              <w:jc w:val="left"/>
              <w:rPr/>
            </w:pPr>
            <w:r>
              <w:rPr>
                <w:b/>
              </w:rPr>
              <w:t>Definitions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Deed: </w:t>
      </w:r>
    </w:p>
    <w:p>
      <w:pPr>
        <w:pStyle w:val="TextBody"/>
        <w:spacing w:before="120" w:after="0"/>
        <w:rPr/>
      </w:pPr>
      <w:r>
        <w:rPr/>
        <w:t>“</w:t>
      </w:r>
      <w:r>
        <w:rPr>
          <w:rFonts w:ascii="Times New Roman" w:hAnsi="Times New Roman"/>
          <w:b/>
          <w:sz w:val="20"/>
        </w:rPr>
        <w:t>Company</w:t>
      </w:r>
      <w:r>
        <w:rPr>
          <w:rFonts w:ascii="Times New Roman" w:hAnsi="Times New Roman"/>
          <w:sz w:val="20"/>
        </w:rPr>
        <w:t xml:space="preserve">” means ZEMENIK TRADING LIMITED, a company incorporated in Cyprus with registration number HE 332806, whose registered office is at 42 Dositheou, Strovolos 2028 Nicosia, Cyprus. </w:t>
      </w:r>
    </w:p>
    <w:p>
      <w:pPr>
        <w:pStyle w:val="TextBody"/>
        <w:spacing w:before="120" w:after="0"/>
        <w:rPr/>
      </w:pPr>
      <w:r>
        <w:rPr/>
        <w:t>“</w:t>
      </w:r>
      <w:r>
        <w:rPr>
          <w:rFonts w:ascii="Times New Roman" w:hAnsi="Times New Roman"/>
          <w:b/>
          <w:sz w:val="20"/>
        </w:rPr>
        <w:t>Deed of Pledge</w:t>
      </w:r>
      <w:r>
        <w:rPr>
          <w:rFonts w:ascii="Times New Roman" w:hAnsi="Times New Roman"/>
          <w:sz w:val="20"/>
        </w:rPr>
        <w:t xml:space="preserve">” means the deed of pledge dated 19 May 2016, between the Pledgor and the Pledgee, pursuant to which the Pledgor pledged, </w:t>
      </w:r>
      <w:r>
        <w:rPr>
          <w:rFonts w:ascii="Times New Roman" w:hAnsi="Times New Roman"/>
          <w:i/>
          <w:sz w:val="20"/>
        </w:rPr>
        <w:t>inter alia</w:t>
      </w:r>
      <w:r>
        <w:rPr>
          <w:rFonts w:ascii="Times New Roman" w:hAnsi="Times New Roman"/>
          <w:sz w:val="20"/>
        </w:rPr>
        <w:t xml:space="preserve">, 60,000 (sixty thousand) issued ordinary shares of €1,00 each in the Company.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pPr>
            <w:r>
              <w:rPr/>
              <w:t>1.2</w:t>
            </w:r>
          </w:p>
        </w:tc>
        <w:tc>
          <w:tcPr>
            <w:tcW w:w="9388" w:type="dxa"/>
            <w:tcBorders/>
            <w:shd w:fill="auto" w:val="clear"/>
          </w:tcPr>
          <w:p>
            <w:pPr>
              <w:pStyle w:val="TableContents"/>
              <w:spacing w:before="0" w:after="283"/>
              <w:jc w:val="left"/>
              <w:rPr/>
            </w:pPr>
            <w:r>
              <w:rPr>
                <w:b/>
              </w:rPr>
              <w:t>Construction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Capitalised terms defined in the Deed of Pledge have, unless expressly defined in this Deed, the same meaning in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 xml:space="preserve">The provisions of clause 1.2 of the Deed of Pledge apply to this Deed as if they were set out in full in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391"/>
      </w:tblGrid>
      <w:tr>
        <w:trPr/>
        <w:tc>
          <w:tcPr>
            <w:tcW w:w="813" w:type="dxa"/>
            <w:tcBorders/>
            <w:shd w:fill="auto" w:val="clear"/>
          </w:tcPr>
          <w:p>
            <w:pPr>
              <w:pStyle w:val="TableContents"/>
              <w:spacing w:before="0" w:after="283"/>
              <w:jc w:val="left"/>
              <w:rPr>
                <w:b/>
              </w:rPr>
            </w:pPr>
            <w:r>
              <w:rPr>
                <w:b/>
              </w:rPr>
              <w:t>2.</w:t>
            </w:r>
          </w:p>
        </w:tc>
        <w:tc>
          <w:tcPr>
            <w:tcW w:w="9391" w:type="dxa"/>
            <w:tcBorders/>
            <w:shd w:fill="auto" w:val="clear"/>
          </w:tcPr>
          <w:p>
            <w:pPr>
              <w:pStyle w:val="TableContents"/>
              <w:spacing w:before="0" w:after="283"/>
              <w:jc w:val="left"/>
              <w:rPr>
                <w:b/>
              </w:rPr>
            </w:pPr>
            <w:r>
              <w:rPr>
                <w:b/>
              </w:rPr>
              <w:t xml:space="preserve">CONFIRMATION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Pledgor acknowledges and consents to the amendment agreement no. 3 to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9"/>
        <w:gridCol w:w="8470"/>
      </w:tblGrid>
      <w:tr>
        <w:trPr/>
        <w:tc>
          <w:tcPr>
            <w:tcW w:w="815"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0" w:type="dxa"/>
            <w:tcBorders/>
            <w:shd w:fill="auto" w:val="clear"/>
          </w:tcPr>
          <w:p>
            <w:pPr>
              <w:pStyle w:val="TableContents"/>
              <w:spacing w:before="0" w:after="283"/>
              <w:jc w:val="left"/>
              <w:rPr/>
            </w:pPr>
            <w:r>
              <w:rPr/>
              <w:t xml:space="preserve">The Pledgor confirms, consents and agrees that the Deed of Pledge remains valid and binding on the Pledgor and that the security granted pursuant to the Deed of Pledge remains valid and is continuing security for the Secured Liabilities.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3.</w:t>
            </w:r>
          </w:p>
        </w:tc>
        <w:tc>
          <w:tcPr>
            <w:tcW w:w="9389" w:type="dxa"/>
            <w:tcBorders/>
            <w:shd w:fill="auto" w:val="clear"/>
          </w:tcPr>
          <w:p>
            <w:pPr>
              <w:pStyle w:val="TableContents"/>
              <w:spacing w:before="0" w:after="283"/>
              <w:jc w:val="left"/>
              <w:rPr>
                <w:b/>
              </w:rPr>
            </w:pPr>
            <w:r>
              <w:rPr>
                <w:b/>
              </w:rPr>
              <w:t xml:space="preserve">FURTHER ASSURANCES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pPr>
            <w:r>
              <w:rPr/>
              <w:t>3.1</w:t>
            </w:r>
          </w:p>
        </w:tc>
        <w:tc>
          <w:tcPr>
            <w:tcW w:w="9390" w:type="dxa"/>
            <w:tcBorders/>
            <w:shd w:fill="auto" w:val="clear"/>
          </w:tcPr>
          <w:p>
            <w:pPr>
              <w:pStyle w:val="TableContents"/>
              <w:spacing w:before="0" w:after="283"/>
              <w:jc w:val="left"/>
              <w:rPr/>
            </w:pPr>
            <w:r>
              <w:rPr/>
              <w:t xml:space="preserve">The Pledgor will, at the request of the Pledgee, take whatever action is necessary or reasonably desirable to give effect to clause 2 of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3.2</w:t>
            </w:r>
          </w:p>
        </w:tc>
        <w:tc>
          <w:tcPr>
            <w:tcW w:w="9389" w:type="dxa"/>
            <w:tcBorders/>
            <w:shd w:fill="auto" w:val="clear"/>
          </w:tcPr>
          <w:p>
            <w:pPr>
              <w:pStyle w:val="TableContents"/>
              <w:spacing w:before="0" w:after="283"/>
              <w:jc w:val="left"/>
              <w:rPr/>
            </w:pPr>
            <w:r>
              <w:rPr/>
              <w:t xml:space="preserve">The Pledgor shall: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within 5 business days following execution of this Deed, provide the Pledgee with a copy of the Pledgor’s register of charges updated to include proper and complete particulars of the amendments effected to the Deed of Pledge pursuant to this Deed (pursuant to Section 162(2A) of the BVI Business Companies Act, 2004 (as amended) of the British Virgin Islands (the “</w:t>
            </w:r>
            <w:r>
              <w:rPr>
                <w:b/>
              </w:rPr>
              <w:t>BVI Companies Act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(b)</w:t>
            </w:r>
          </w:p>
        </w:tc>
        <w:tc>
          <w:tcPr>
            <w:tcW w:w="8474" w:type="dxa"/>
            <w:tcBorders/>
            <w:shd w:fill="auto" w:val="clear"/>
          </w:tcPr>
          <w:p>
            <w:pPr>
              <w:pStyle w:val="TableContents"/>
              <w:spacing w:before="0" w:after="283"/>
              <w:jc w:val="left"/>
              <w:rPr/>
            </w:pPr>
            <w:r>
              <w:rPr/>
              <w:t>within 5 business days following execution of this Deed, file with the Registry of Corporate Affairs in the British Virgin Islands (pursuant to Section 164 of the BVI Companies Act) a notice of variation of charge to register the amendments effected to the Deed of Pledge pursuant to this Deed in the register of registered charges (the “</w:t>
            </w:r>
            <w:r>
              <w:rPr>
                <w:b/>
              </w:rPr>
              <w:t>Register of Registered Charges</w:t>
            </w:r>
            <w:r>
              <w:rPr/>
              <w:t>”) held by the Registrar of Corporate Affairs in the British Virgin Islands (the “</w:t>
            </w:r>
            <w:r>
              <w:rPr>
                <w:b/>
              </w:rPr>
              <w:t>Registrar</w:t>
            </w:r>
            <w:r>
              <w:rPr/>
              <w:t xml:space="preserve">”) for the Pledgor;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4"/>
        <w:gridCol w:w="916"/>
        <w:gridCol w:w="8474"/>
      </w:tblGrid>
      <w:tr>
        <w:trPr/>
        <w:tc>
          <w:tcPr>
            <w:tcW w:w="814"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within 30 business days following execution of this Deed, provide the Pledgee with a certificate of variation of charge (as issued by the Registrar pursuant to Section 164(3)(b) of the BVI Companies Act) as a confirmation of the entry of the particulars referred to in clause 3.2(b) above in the Register of Registered Charges.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3.3</w:t>
            </w:r>
          </w:p>
        </w:tc>
        <w:tc>
          <w:tcPr>
            <w:tcW w:w="9389" w:type="dxa"/>
            <w:tcBorders/>
            <w:shd w:fill="auto" w:val="clear"/>
          </w:tcPr>
          <w:p>
            <w:pPr>
              <w:pStyle w:val="TableContents"/>
              <w:spacing w:before="0" w:after="283"/>
              <w:jc w:val="left"/>
              <w:rPr/>
            </w:pPr>
            <w:r>
              <w:rPr/>
              <w:t xml:space="preserve">The Pledgor shall not, without the prior written consent of the Pledgee, continue as a company incorporated under the laws of a jurisdiction outside the British Virgin Islands whether pursuant to Section 184 of the BVI Companies Act or otherwise.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b/>
              </w:rPr>
            </w:pPr>
            <w:r>
              <w:rPr>
                <w:b/>
              </w:rPr>
              <w:t>4.</w:t>
            </w:r>
          </w:p>
        </w:tc>
        <w:tc>
          <w:tcPr>
            <w:tcW w:w="9389"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Deed may be executed in any number of counterparts. This has the same effect as if the signatures on the counterparts were on a single copy of this Deed.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388"/>
      </w:tblGrid>
      <w:tr>
        <w:trPr/>
        <w:tc>
          <w:tcPr>
            <w:tcW w:w="816" w:type="dxa"/>
            <w:tcBorders/>
            <w:shd w:fill="auto" w:val="clear"/>
          </w:tcPr>
          <w:p>
            <w:pPr>
              <w:pStyle w:val="TableContents"/>
              <w:spacing w:before="0" w:after="283"/>
              <w:jc w:val="left"/>
              <w:rPr>
                <w:b/>
              </w:rPr>
            </w:pPr>
            <w:r>
              <w:rPr>
                <w:b/>
              </w:rPr>
              <w:t>5.</w:t>
            </w:r>
          </w:p>
        </w:tc>
        <w:tc>
          <w:tcPr>
            <w:tcW w:w="9388" w:type="dxa"/>
            <w:tcBorders/>
            <w:shd w:fill="auto" w:val="clear"/>
          </w:tcPr>
          <w:p>
            <w:pPr>
              <w:pStyle w:val="TableContents"/>
              <w:spacing w:before="0" w:after="283"/>
              <w:jc w:val="left"/>
              <w:rPr>
                <w:b/>
              </w:rPr>
            </w:pPr>
            <w:r>
              <w:rPr>
                <w:b/>
              </w:rPr>
              <w:t xml:space="preserve">GOVERNING LAW </w:t>
            </w:r>
          </w:p>
        </w:tc>
      </w:tr>
    </w:tbl>
    <w:p>
      <w:pPr>
        <w:pStyle w:val="TextBody"/>
        <w:spacing w:before="120" w:after="0"/>
        <w:rPr>
          <w:rFonts w:ascii="Times New Roman" w:hAnsi="Times New Roman"/>
          <w:sz w:val="20"/>
        </w:rPr>
      </w:pPr>
      <w:r>
        <w:rPr>
          <w:rFonts w:ascii="Times New Roman" w:hAnsi="Times New Roman"/>
          <w:sz w:val="20"/>
        </w:rPr>
        <w:t xml:space="preserve">This Deed is governed by Cyprus law.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2"/>
        <w:gridCol w:w="9392"/>
      </w:tblGrid>
      <w:tr>
        <w:trPr/>
        <w:tc>
          <w:tcPr>
            <w:tcW w:w="812" w:type="dxa"/>
            <w:tcBorders/>
            <w:shd w:fill="auto" w:val="clear"/>
          </w:tcPr>
          <w:p>
            <w:pPr>
              <w:pStyle w:val="TableContents"/>
              <w:spacing w:before="0" w:after="283"/>
              <w:jc w:val="left"/>
              <w:rPr>
                <w:b/>
              </w:rPr>
            </w:pPr>
            <w:r>
              <w:rPr>
                <w:b/>
              </w:rPr>
              <w:t>6.</w:t>
            </w:r>
          </w:p>
        </w:tc>
        <w:tc>
          <w:tcPr>
            <w:tcW w:w="9392" w:type="dxa"/>
            <w:tcBorders/>
            <w:shd w:fill="auto" w:val="clear"/>
          </w:tcPr>
          <w:p>
            <w:pPr>
              <w:pStyle w:val="TableContents"/>
              <w:spacing w:before="0" w:after="283"/>
              <w:jc w:val="left"/>
              <w:rPr>
                <w:b/>
              </w:rPr>
            </w:pPr>
            <w:r>
              <w:rPr>
                <w:b/>
              </w:rPr>
              <w:t xml:space="preserve">ENFORCEMENT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389"/>
      </w:tblGrid>
      <w:tr>
        <w:trPr/>
        <w:tc>
          <w:tcPr>
            <w:tcW w:w="815" w:type="dxa"/>
            <w:tcBorders/>
            <w:shd w:fill="auto" w:val="clear"/>
          </w:tcPr>
          <w:p>
            <w:pPr>
              <w:pStyle w:val="TableContents"/>
              <w:spacing w:before="0" w:after="283"/>
              <w:jc w:val="left"/>
              <w:rPr/>
            </w:pPr>
            <w:r>
              <w:rPr/>
              <w:t>6.1</w:t>
            </w:r>
          </w:p>
        </w:tc>
        <w:tc>
          <w:tcPr>
            <w:tcW w:w="9389" w:type="dxa"/>
            <w:tcBorders/>
            <w:shd w:fill="auto" w:val="clear"/>
          </w:tcPr>
          <w:p>
            <w:pPr>
              <w:pStyle w:val="TableContents"/>
              <w:spacing w:before="0" w:after="283"/>
              <w:jc w:val="left"/>
              <w:rPr/>
            </w:pPr>
            <w:r>
              <w:rPr>
                <w:b/>
              </w:rPr>
              <w:t>Jurisdiction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The courts of the Republic of Cyprus have exclusive jurisdiction to settle any dispute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3"/>
        <w:gridCol w:w="919"/>
        <w:gridCol w:w="8472"/>
      </w:tblGrid>
      <w:tr>
        <w:trPr/>
        <w:tc>
          <w:tcPr>
            <w:tcW w:w="813" w:type="dxa"/>
            <w:tcBorders/>
            <w:shd w:fill="auto" w:val="clear"/>
            <w:vAlign w:val="center"/>
          </w:tcPr>
          <w:p>
            <w:pPr>
              <w:pStyle w:val="TableContents"/>
              <w:spacing w:before="0" w:after="283"/>
              <w:rPr/>
            </w:pPr>
            <w:r>
              <w:rPr/>
              <w:t> </w:t>
            </w:r>
          </w:p>
        </w:tc>
        <w:tc>
          <w:tcPr>
            <w:tcW w:w="919"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The courts of the Republic of Cyprus are the most appropriate and convenient courts to settle any such dispute in connection with this Deed. The Pledgor agrees not to argue to the contrary and waive objection to those courts on the grounds of inconvenient forum or otherwise in relation to proceedings in connection with this Deed.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(c)</w:t>
            </w:r>
          </w:p>
        </w:tc>
        <w:tc>
          <w:tcPr>
            <w:tcW w:w="8474" w:type="dxa"/>
            <w:tcBorders/>
            <w:shd w:fill="auto" w:val="clear"/>
          </w:tcPr>
          <w:p>
            <w:pPr>
              <w:pStyle w:val="TableContents"/>
              <w:spacing w:before="0" w:after="283"/>
              <w:jc w:val="left"/>
              <w:rPr/>
            </w:pPr>
            <w:r>
              <w:rPr/>
              <w:t xml:space="preserve">References in this Clause to a dispute in connection with this Deed includes any dispute as to the existence, validity or termination of this Deed. </w:t>
            </w:r>
          </w:p>
        </w:tc>
      </w:tr>
    </w:tbl>
    <w:r>
      <w:br w:type="page"/>
    </w:r>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814"/>
        <w:gridCol w:w="9390"/>
      </w:tblGrid>
      <w:tr>
        <w:trPr/>
        <w:tc>
          <w:tcPr>
            <w:tcW w:w="814" w:type="dxa"/>
            <w:tcBorders/>
            <w:shd w:fill="auto" w:val="clear"/>
          </w:tcPr>
          <w:p>
            <w:pPr>
              <w:pStyle w:val="TableContents"/>
              <w:spacing w:before="0" w:after="283"/>
              <w:jc w:val="left"/>
              <w:rPr>
                <w:b/>
              </w:rPr>
            </w:pPr>
            <w:r>
              <w:rPr>
                <w:b/>
              </w:rPr>
              <w:t>6.2</w:t>
            </w:r>
          </w:p>
        </w:tc>
        <w:tc>
          <w:tcPr>
            <w:tcW w:w="9390" w:type="dxa"/>
            <w:tcBorders/>
            <w:shd w:fill="auto" w:val="clear"/>
          </w:tcPr>
          <w:p>
            <w:pPr>
              <w:pStyle w:val="TableContents"/>
              <w:spacing w:before="0" w:after="283"/>
              <w:jc w:val="left"/>
              <w:rPr>
                <w:b/>
              </w:rPr>
            </w:pPr>
            <w:r>
              <w:rPr>
                <w:b/>
              </w:rPr>
              <w:t xml:space="preserve">Waiver of immunity </w:t>
            </w:r>
          </w:p>
        </w:tc>
      </w:tr>
    </w:tbl>
    <w:p>
      <w:pPr>
        <w:pStyle w:val="TextBody"/>
        <w:spacing w:before="120" w:after="0"/>
        <w:rPr>
          <w:rFonts w:ascii="Times New Roman" w:hAnsi="Times New Roman"/>
          <w:sz w:val="20"/>
        </w:rPr>
      </w:pPr>
      <w:r>
        <w:rPr>
          <w:rFonts w:ascii="Times New Roman" w:hAnsi="Times New Roman"/>
          <w:sz w:val="20"/>
        </w:rPr>
        <w:t xml:space="preserve">The Pledgor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5"/>
        <w:gridCol w:w="8474"/>
      </w:tblGrid>
      <w:tr>
        <w:trPr/>
        <w:tc>
          <w:tcPr>
            <w:tcW w:w="815" w:type="dxa"/>
            <w:tcBorders/>
            <w:shd w:fill="auto" w:val="clear"/>
            <w:vAlign w:val="center"/>
          </w:tcPr>
          <w:p>
            <w:pPr>
              <w:pStyle w:val="TableContents"/>
              <w:spacing w:before="0" w:after="283"/>
              <w:rPr/>
            </w:pPr>
            <w:r>
              <w:rPr/>
              <w:t> </w:t>
            </w:r>
          </w:p>
        </w:tc>
        <w:tc>
          <w:tcPr>
            <w:tcW w:w="915" w:type="dxa"/>
            <w:tcBorders/>
            <w:shd w:fill="auto" w:val="clear"/>
          </w:tcPr>
          <w:p>
            <w:pPr>
              <w:pStyle w:val="TableContents"/>
              <w:spacing w:before="0" w:after="283"/>
              <w:jc w:val="left"/>
              <w:rPr/>
            </w:pPr>
            <w:r>
              <w:rPr/>
              <w:t>(a)</w:t>
            </w:r>
          </w:p>
        </w:tc>
        <w:tc>
          <w:tcPr>
            <w:tcW w:w="8474" w:type="dxa"/>
            <w:tcBorders/>
            <w:shd w:fill="auto" w:val="clear"/>
          </w:tcPr>
          <w:p>
            <w:pPr>
              <w:pStyle w:val="TableContents"/>
              <w:spacing w:before="0" w:after="283"/>
              <w:jc w:val="left"/>
              <w:rPr/>
            </w:pPr>
            <w:r>
              <w:rPr/>
              <w:t xml:space="preserve">agrees not to claim any immunity from proceedings brought by the Pledgee against them in relation to this Deed and to ensure that no such claim is made on their behalf;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5"/>
        <w:gridCol w:w="917"/>
        <w:gridCol w:w="8472"/>
      </w:tblGrid>
      <w:tr>
        <w:trPr/>
        <w:tc>
          <w:tcPr>
            <w:tcW w:w="815" w:type="dxa"/>
            <w:tcBorders/>
            <w:shd w:fill="auto" w:val="clear"/>
            <w:vAlign w:val="center"/>
          </w:tcPr>
          <w:p>
            <w:pPr>
              <w:pStyle w:val="TableContents"/>
              <w:spacing w:before="0" w:after="283"/>
              <w:rPr/>
            </w:pPr>
            <w:r>
              <w:rPr/>
              <w:t> </w:t>
            </w:r>
          </w:p>
        </w:tc>
        <w:tc>
          <w:tcPr>
            <w:tcW w:w="917" w:type="dxa"/>
            <w:tcBorders/>
            <w:shd w:fill="auto" w:val="clear"/>
          </w:tcPr>
          <w:p>
            <w:pPr>
              <w:pStyle w:val="TableContents"/>
              <w:spacing w:before="0" w:after="283"/>
              <w:jc w:val="left"/>
              <w:rPr/>
            </w:pPr>
            <w:r>
              <w:rPr/>
              <w:t>(b)</w:t>
            </w:r>
          </w:p>
        </w:tc>
        <w:tc>
          <w:tcPr>
            <w:tcW w:w="8472" w:type="dxa"/>
            <w:tcBorders/>
            <w:shd w:fill="auto" w:val="clear"/>
          </w:tcPr>
          <w:p>
            <w:pPr>
              <w:pStyle w:val="TableContents"/>
              <w:spacing w:before="0" w:after="283"/>
              <w:jc w:val="left"/>
              <w:rPr/>
            </w:pPr>
            <w:r>
              <w:rPr/>
              <w:t xml:space="preserve">consents generally to the giving of any relief or the issue of any process in connection with those proceedings;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816"/>
        <w:gridCol w:w="916"/>
        <w:gridCol w:w="8472"/>
      </w:tblGrid>
      <w:tr>
        <w:trPr/>
        <w:tc>
          <w:tcPr>
            <w:tcW w:w="816" w:type="dxa"/>
            <w:tcBorders/>
            <w:shd w:fill="auto" w:val="clear"/>
            <w:vAlign w:val="center"/>
          </w:tcPr>
          <w:p>
            <w:pPr>
              <w:pStyle w:val="TableContents"/>
              <w:spacing w:before="0" w:after="283"/>
              <w:rPr/>
            </w:pPr>
            <w:r>
              <w:rPr/>
              <w:t> </w:t>
            </w:r>
          </w:p>
        </w:tc>
        <w:tc>
          <w:tcPr>
            <w:tcW w:w="916" w:type="dxa"/>
            <w:tcBorders/>
            <w:shd w:fill="auto" w:val="clear"/>
          </w:tcPr>
          <w:p>
            <w:pPr>
              <w:pStyle w:val="TableContents"/>
              <w:spacing w:before="0" w:after="283"/>
              <w:jc w:val="left"/>
              <w:rPr/>
            </w:pPr>
            <w:r>
              <w:rPr/>
              <w:t>(c)</w:t>
            </w:r>
          </w:p>
        </w:tc>
        <w:tc>
          <w:tcPr>
            <w:tcW w:w="8472" w:type="dxa"/>
            <w:tcBorders/>
            <w:shd w:fill="auto" w:val="clear"/>
          </w:tcPr>
          <w:p>
            <w:pPr>
              <w:pStyle w:val="TableContents"/>
              <w:spacing w:before="0" w:after="283"/>
              <w:jc w:val="left"/>
              <w:rPr/>
            </w:pPr>
            <w:r>
              <w:rPr/>
              <w:t xml:space="preserve">waives all rights of immunity in respect of them or their assets. </w:t>
            </w:r>
          </w:p>
        </w:tc>
      </w:tr>
    </w:tbl>
    <w:p>
      <w:pPr>
        <w:pStyle w:val="TextBody"/>
        <w:spacing w:before="240" w:after="0"/>
        <w:rPr>
          <w:rFonts w:ascii="Times New Roman" w:hAnsi="Times New Roman"/>
          <w:sz w:val="20"/>
        </w:rPr>
      </w:pPr>
      <w:r>
        <w:rPr>
          <w:rFonts w:ascii="Times New Roman" w:hAnsi="Times New Roman"/>
          <w:b/>
          <w:sz w:val="20"/>
        </w:rPr>
        <w:t>IN WITNESS WHEREOF</w:t>
      </w:r>
      <w:r>
        <w:rPr>
          <w:rFonts w:ascii="Times New Roman" w:hAnsi="Times New Roman"/>
          <w:sz w:val="20"/>
        </w:rPr>
        <w:t xml:space="preserve"> this Deed has been executed and delivered on the date stated at the beginning of this Deed. </w:t>
      </w:r>
    </w:p>
    <w:p>
      <w:pPr>
        <w:pStyle w:val="TextBody"/>
        <w:spacing w:before="48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4"/>
        <w:gridCol w:w="4796"/>
      </w:tblGrid>
      <w:tr>
        <w:trPr/>
        <w:tc>
          <w:tcPr>
            <w:tcW w:w="520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4796"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b/>
              </w:rPr>
            </w:pPr>
            <w:r>
              <w:rPr>
                <w:b/>
              </w:rPr>
              <w:t>Pledgor</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SIGNED as a DEED</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 xml:space="preserve">By </w:t>
            </w:r>
            <w:r>
              <w:rPr>
                <w:b/>
              </w:rPr>
              <w:t>HIGHWORLD INVESTMENTS LIMITED</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acting by its director</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Panayiceta Stylianaf on behalf of Interfid Nominees Ltd</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In the presence of:</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10"/>
        <w:gridCol w:w="123"/>
        <w:gridCol w:w="1842"/>
        <w:gridCol w:w="123"/>
        <w:gridCol w:w="3792"/>
        <w:gridCol w:w="123"/>
        <w:gridCol w:w="3592"/>
      </w:tblGrid>
      <w:tr>
        <w:trPr/>
        <w:tc>
          <w:tcPr>
            <w:tcW w:w="610"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184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79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592" w:type="dxa"/>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1.</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2.</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3"/>
        <w:gridCol w:w="4797"/>
      </w:tblGrid>
      <w:tr>
        <w:trPr/>
        <w:tc>
          <w:tcPr>
            <w:tcW w:w="520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b/>
              </w:rPr>
            </w:pPr>
            <w:r>
              <w:rPr>
                <w:b/>
              </w:rPr>
              <w:t>Pledgee</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SIGNED as a DEED</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 xml:space="preserve">By </w:t>
            </w:r>
            <w:r>
              <w:rPr>
                <w:b/>
              </w:rPr>
              <w:t>VTB BANK (PJSC)</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acting by its authorised director</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Vitaly Buzoverya</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In the presence of:</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10"/>
        <w:gridCol w:w="123"/>
        <w:gridCol w:w="1842"/>
        <w:gridCol w:w="123"/>
        <w:gridCol w:w="3792"/>
        <w:gridCol w:w="123"/>
        <w:gridCol w:w="3592"/>
      </w:tblGrid>
      <w:tr>
        <w:trPr/>
        <w:tc>
          <w:tcPr>
            <w:tcW w:w="610"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184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79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592" w:type="dxa"/>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1.</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2.</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4"/>
        <w:gridCol w:w="4796"/>
      </w:tblGrid>
      <w:tr>
        <w:trPr/>
        <w:tc>
          <w:tcPr>
            <w:tcW w:w="520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4796"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b/>
              </w:rPr>
            </w:pPr>
            <w:r>
              <w:rPr>
                <w:b/>
              </w:rPr>
              <w:t>Pledgor</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SIGNED as a DEED</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 xml:space="preserve">By </w:t>
            </w:r>
            <w:r>
              <w:rPr>
                <w:b/>
              </w:rPr>
              <w:t>HIGHWORLD INVESTMENTS LIMITED</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acting by its director</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pBdr>
                <w:bottom w:val="single" w:sz="2" w:space="1" w:color="000000"/>
              </w:pBdr>
              <w:spacing w:before="0" w:after="20"/>
              <w:rPr/>
            </w:pPr>
            <w:r>
              <w:rPr/>
              <w:t> </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In the presence of:</w:t>
            </w:r>
          </w:p>
        </w:tc>
        <w:tc>
          <w:tcPr>
            <w:tcW w:w="204"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rPr/>
            </w:pP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10"/>
        <w:gridCol w:w="123"/>
        <w:gridCol w:w="1842"/>
        <w:gridCol w:w="123"/>
        <w:gridCol w:w="3792"/>
        <w:gridCol w:w="123"/>
        <w:gridCol w:w="3592"/>
      </w:tblGrid>
      <w:tr>
        <w:trPr/>
        <w:tc>
          <w:tcPr>
            <w:tcW w:w="610"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184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79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592" w:type="dxa"/>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1.</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2.</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5204"/>
        <w:gridCol w:w="203"/>
        <w:gridCol w:w="4797"/>
      </w:tblGrid>
      <w:tr>
        <w:trPr/>
        <w:tc>
          <w:tcPr>
            <w:tcW w:w="5204"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7" w:type="dxa"/>
            <w:tcBorders/>
            <w:shd w:fill="auto" w:val="clear"/>
            <w:vAlign w:val="center"/>
          </w:tcPr>
          <w:p>
            <w:pPr>
              <w:pStyle w:val="TableContents"/>
              <w:spacing w:before="0" w:after="283"/>
              <w:rPr>
                <w:sz w:val="4"/>
                <w:szCs w:val="4"/>
              </w:rPr>
            </w:pPr>
            <w:r>
              <w:rPr>
                <w:sz w:val="4"/>
                <w:szCs w:val="4"/>
              </w:rPr>
            </w:r>
          </w:p>
        </w:tc>
      </w:tr>
      <w:tr>
        <w:trPr/>
        <w:tc>
          <w:tcPr>
            <w:tcW w:w="5204" w:type="dxa"/>
            <w:tcBorders/>
            <w:shd w:fill="auto" w:val="clear"/>
          </w:tcPr>
          <w:p>
            <w:pPr>
              <w:pStyle w:val="TableContents"/>
              <w:spacing w:before="0" w:after="283"/>
              <w:rPr>
                <w:b/>
              </w:rPr>
            </w:pPr>
            <w:r>
              <w:rPr>
                <w:b/>
              </w:rPr>
              <w:t>Pledgor</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SIGNED as a DEED</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 xml:space="preserve">By </w:t>
            </w:r>
            <w:r>
              <w:rPr>
                <w:b/>
              </w:rPr>
              <w:t>VTB BANK (PJSC)</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acting by its authorised director</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Vitaly Buzoverya</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r>
        <w:trPr/>
        <w:tc>
          <w:tcPr>
            <w:tcW w:w="5204" w:type="dxa"/>
            <w:tcBorders/>
            <w:shd w:fill="auto" w:val="clear"/>
          </w:tcPr>
          <w:p>
            <w:pPr>
              <w:pStyle w:val="TableContents"/>
              <w:spacing w:before="0" w:after="283"/>
              <w:rPr/>
            </w:pPr>
            <w:r>
              <w:rPr/>
              <w:t>In the presence of:</w:t>
            </w:r>
          </w:p>
        </w:tc>
        <w:tc>
          <w:tcPr>
            <w:tcW w:w="203" w:type="dxa"/>
            <w:tcBorders/>
            <w:shd w:fill="auto" w:val="clear"/>
            <w:vAlign w:val="bottom"/>
          </w:tcPr>
          <w:p>
            <w:pPr>
              <w:pStyle w:val="TableContents"/>
              <w:spacing w:before="0" w:after="283"/>
              <w:rPr/>
            </w:pPr>
            <w:r>
              <w:rPr/>
              <w:t>  </w:t>
            </w:r>
          </w:p>
        </w:tc>
        <w:tc>
          <w:tcPr>
            <w:tcW w:w="4797" w:type="dxa"/>
            <w:tcBorders/>
            <w:shd w:fill="auto" w:val="clear"/>
          </w:tcPr>
          <w:p>
            <w:pPr>
              <w:pStyle w:val="TableContents"/>
              <w:spacing w:before="0" w:after="283"/>
              <w:rPr/>
            </w:pPr>
            <w:r>
              <w:rPr/>
              <w:t>(</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610"/>
        <w:gridCol w:w="123"/>
        <w:gridCol w:w="1842"/>
        <w:gridCol w:w="123"/>
        <w:gridCol w:w="3792"/>
        <w:gridCol w:w="123"/>
        <w:gridCol w:w="3592"/>
      </w:tblGrid>
      <w:tr>
        <w:trPr/>
        <w:tc>
          <w:tcPr>
            <w:tcW w:w="610"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184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792"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3592" w:type="dxa"/>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1.</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pPr>
            <w:r>
              <w:rPr/>
              <w:t>2.</w:t>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Witness’s Signature: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r>
        <w:trPr>
          <w:trHeight w:val="120" w:hRule="atLeast"/>
        </w:trPr>
        <w:tc>
          <w:tcPr>
            <w:tcW w:w="610" w:type="dxa"/>
            <w:tcBorders/>
            <w:shd w:fill="auto" w:val="clear"/>
            <w:vAlign w:val="center"/>
          </w:tcPr>
          <w:p>
            <w:pPr>
              <w:pStyle w:val="TableContents"/>
              <w:spacing w:before="0" w:after="283"/>
              <w:rPr>
                <w:sz w:val="4"/>
                <w:szCs w:val="4"/>
              </w:rPr>
            </w:pPr>
            <w:r>
              <w:rPr>
                <w:sz w:val="4"/>
                <w:szCs w:val="4"/>
              </w:rPr>
            </w:r>
          </w:p>
        </w:tc>
        <w:tc>
          <w:tcPr>
            <w:tcW w:w="1965" w:type="dxa"/>
            <w:gridSpan w:val="2"/>
            <w:tcBorders/>
            <w:shd w:fill="auto" w:val="clear"/>
            <w:vAlign w:val="center"/>
          </w:tcPr>
          <w:p>
            <w:pPr>
              <w:pStyle w:val="TableContents"/>
              <w:spacing w:before="0" w:after="283"/>
              <w:rPr>
                <w:sz w:val="4"/>
                <w:szCs w:val="4"/>
              </w:rPr>
            </w:pPr>
            <w:r>
              <w:rPr>
                <w:sz w:val="4"/>
                <w:szCs w:val="4"/>
              </w:rPr>
            </w:r>
          </w:p>
        </w:tc>
        <w:tc>
          <w:tcPr>
            <w:tcW w:w="3915" w:type="dxa"/>
            <w:gridSpan w:val="2"/>
            <w:tcBorders/>
            <w:shd w:fill="auto" w:val="clear"/>
            <w:vAlign w:val="center"/>
          </w:tcPr>
          <w:p>
            <w:pPr>
              <w:pStyle w:val="TableContents"/>
              <w:spacing w:before="0" w:after="283"/>
              <w:rPr>
                <w:sz w:val="4"/>
                <w:szCs w:val="4"/>
              </w:rPr>
            </w:pPr>
            <w:r>
              <w:rPr>
                <w:sz w:val="4"/>
                <w:szCs w:val="4"/>
              </w:rPr>
            </w:r>
          </w:p>
        </w:tc>
        <w:tc>
          <w:tcPr>
            <w:tcW w:w="3715" w:type="dxa"/>
            <w:gridSpan w:val="2"/>
            <w:tcBorders/>
            <w:shd w:fill="auto" w:val="clear"/>
            <w:vAlign w:val="center"/>
          </w:tcPr>
          <w:p>
            <w:pPr>
              <w:pStyle w:val="TableContents"/>
              <w:spacing w:before="0" w:after="283"/>
              <w:rPr>
                <w:sz w:val="4"/>
                <w:szCs w:val="4"/>
              </w:rPr>
            </w:pPr>
            <w:r>
              <w:rPr>
                <w:sz w:val="4"/>
                <w:szCs w:val="4"/>
              </w:rPr>
            </w:r>
          </w:p>
        </w:tc>
      </w:tr>
      <w:tr>
        <w:trPr/>
        <w:tc>
          <w:tcPr>
            <w:tcW w:w="610" w:type="dxa"/>
            <w:tcBorders/>
            <w:shd w:fill="auto" w:val="clea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pPr>
            <w:r>
              <w:rPr/>
              <w:t>  </w:t>
            </w:r>
          </w:p>
        </w:tc>
        <w:tc>
          <w:tcPr>
            <w:tcW w:w="1842" w:type="dxa"/>
            <w:tcBorders/>
            <w:shd w:fill="auto" w:val="clear"/>
          </w:tcPr>
          <w:p>
            <w:pPr>
              <w:pStyle w:val="TableContents"/>
              <w:spacing w:before="0" w:after="283"/>
              <w:rPr/>
            </w:pPr>
            <w:r>
              <w:rPr/>
              <w:t>Name:</w:t>
            </w:r>
          </w:p>
        </w:tc>
        <w:tc>
          <w:tcPr>
            <w:tcW w:w="123" w:type="dxa"/>
            <w:tcBorders/>
            <w:shd w:fill="auto" w:val="clear"/>
            <w:vAlign w:val="bottom"/>
          </w:tcPr>
          <w:p>
            <w:pPr>
              <w:pStyle w:val="TableContents"/>
              <w:spacing w:before="0" w:after="283"/>
              <w:rPr/>
            </w:pPr>
            <w:r>
              <w:rPr/>
              <w:t>  </w:t>
            </w:r>
          </w:p>
        </w:tc>
        <w:tc>
          <w:tcPr>
            <w:tcW w:w="3792" w:type="dxa"/>
            <w:tcBorders/>
            <w:shd w:fill="auto" w:val="clear"/>
          </w:tcPr>
          <w:p>
            <w:pPr>
              <w:pStyle w:val="TableContents"/>
              <w:pBdr>
                <w:bottom w:val="single" w:sz="2" w:space="1" w:color="000000"/>
              </w:pBdr>
              <w:spacing w:before="0" w:after="20"/>
              <w:rPr/>
            </w:pPr>
            <w:r>
              <w:rPr/>
              <w:t> </w:t>
            </w:r>
          </w:p>
        </w:tc>
        <w:tc>
          <w:tcPr>
            <w:tcW w:w="123" w:type="dxa"/>
            <w:tcBorders/>
            <w:shd w:fill="auto" w:val="clear"/>
            <w:vAlign w:val="bottom"/>
          </w:tcPr>
          <w:p>
            <w:pPr>
              <w:pStyle w:val="TableContents"/>
              <w:spacing w:before="0" w:after="283"/>
              <w:rPr/>
            </w:pPr>
            <w:r>
              <w:rPr/>
              <w:t>  </w:t>
            </w:r>
          </w:p>
        </w:tc>
        <w:tc>
          <w:tcPr>
            <w:tcW w:w="3592" w:type="dxa"/>
            <w:tcBorders/>
            <w:shd w:fill="auto" w:val="clear"/>
          </w:tcPr>
          <w:p>
            <w:pPr>
              <w:pStyle w:val="TableContents"/>
              <w:spacing w:before="0" w:after="283"/>
              <w:rPr>
                <w:sz w:val="4"/>
                <w:szCs w:val="4"/>
              </w:rPr>
            </w:pPr>
            <w:r>
              <w:rPr>
                <w:sz w:val="4"/>
                <w:szCs w:val="4"/>
              </w:rPr>
            </w:r>
          </w:p>
        </w:tc>
      </w:tr>
    </w:tbl>
    <w:r>
      <w:br w:type="page"/>
    </w:r>
    <w:p>
      <w:pPr>
        <w:pStyle w:val="HorizontalLine"/>
        <w:pBdr>
          <w:bottom w:val="double" w:sz="6" w:space="0" w:color="808080"/>
        </w:pBdr>
        <w:rPr/>
      </w:pPr>
      <w:r>
        <w:rPr/>
      </w:r>
    </w:p>
    <w:p>
      <w:pPr>
        <w:pStyle w:val="TextBody"/>
        <w:spacing w:before="0" w:after="0"/>
        <w:jc w:val="right"/>
        <w:rPr>
          <w:rFonts w:ascii="Times New Roman" w:hAnsi="Times New Roman"/>
          <w:b/>
          <w:sz w:val="20"/>
        </w:rPr>
      </w:pPr>
      <w:r>
        <w:rPr>
          <w:rFonts w:ascii="Times New Roman" w:hAnsi="Times New Roman"/>
          <w:b/>
          <w:sz w:val="20"/>
        </w:rPr>
        <w:t xml:space="preserve">EXECUTION VERSION </w:t>
      </w:r>
    </w:p>
    <w:p>
      <w:pPr>
        <w:pStyle w:val="TextBody"/>
        <w:spacing w:before="240" w:after="0"/>
        <w:jc w:val="center"/>
        <w:rPr>
          <w:rFonts w:ascii="Times New Roman" w:hAnsi="Times New Roman"/>
          <w:b/>
          <w:sz w:val="20"/>
        </w:rPr>
      </w:pPr>
      <w:r>
        <w:rPr>
          <w:rFonts w:ascii="Times New Roman" w:hAnsi="Times New Roman"/>
          <w:b/>
          <w:sz w:val="20"/>
        </w:rPr>
        <w:t xml:space="preserve">DATED 29 DECEMBER 2017 </w:t>
      </w:r>
    </w:p>
    <w:p>
      <w:pPr>
        <w:pStyle w:val="TextBody"/>
        <w:spacing w:before="240" w:after="0"/>
        <w:jc w:val="center"/>
        <w:rPr>
          <w:rFonts w:ascii="Times New Roman" w:hAnsi="Times New Roman"/>
          <w:b/>
          <w:sz w:val="20"/>
        </w:rPr>
      </w:pPr>
      <w:r>
        <w:rPr>
          <w:rFonts w:ascii="Times New Roman" w:hAnsi="Times New Roman"/>
          <w:b/>
          <w:sz w:val="20"/>
        </w:rPr>
        <w:t xml:space="preserve">DEED OF RELEASE AND TERMINATION </w:t>
      </w:r>
    </w:p>
    <w:p>
      <w:pPr>
        <w:pStyle w:val="TextBody"/>
        <w:spacing w:before="240" w:after="0"/>
        <w:jc w:val="center"/>
        <w:rPr>
          <w:rFonts w:ascii="Times New Roman" w:hAnsi="Times New Roman"/>
          <w:b/>
          <w:sz w:val="20"/>
        </w:rPr>
      </w:pPr>
      <w:r>
        <w:rPr>
          <w:rFonts w:ascii="Times New Roman" w:hAnsi="Times New Roman"/>
          <w:b/>
          <w:sz w:val="20"/>
        </w:rPr>
        <w:t xml:space="preserve">between </w:t>
      </w:r>
    </w:p>
    <w:p>
      <w:pPr>
        <w:pStyle w:val="TextBody"/>
        <w:spacing w:before="240" w:after="0"/>
        <w:jc w:val="center"/>
        <w:rPr>
          <w:rFonts w:ascii="Times New Roman" w:hAnsi="Times New Roman"/>
          <w:b/>
          <w:sz w:val="20"/>
        </w:rPr>
      </w:pPr>
      <w:r>
        <w:rPr>
          <w:rFonts w:ascii="Times New Roman" w:hAnsi="Times New Roman"/>
          <w:b/>
          <w:sz w:val="20"/>
        </w:rPr>
        <w:t xml:space="preserve">HIGHWORLD INVESTMENTS LIMITED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b/>
          <w:sz w:val="20"/>
        </w:rPr>
      </w:pPr>
      <w:r>
        <w:rPr>
          <w:rFonts w:ascii="Times New Roman" w:hAnsi="Times New Roman"/>
          <w:b/>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VTB BANK (PJSC)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ALEXANDRO§ ECONOMOU </w:t>
      </w:r>
    </w:p>
    <w:p>
      <w:pPr>
        <w:pStyle w:val="TextBody"/>
        <w:spacing w:before="0" w:after="0"/>
        <w:jc w:val="center"/>
        <w:rPr>
          <w:rFonts w:ascii="Times New Roman" w:hAnsi="Times New Roman"/>
          <w:b/>
          <w:sz w:val="20"/>
        </w:rPr>
      </w:pPr>
      <w:r>
        <w:rPr>
          <w:rFonts w:ascii="Times New Roman" w:hAnsi="Times New Roman"/>
          <w:b/>
          <w:sz w:val="20"/>
        </w:rPr>
        <w:t xml:space="preserve">LLC </w:t>
      </w:r>
    </w:p>
    <w:p>
      <w:pPr>
        <w:pStyle w:val="TextBody"/>
        <w:spacing w:before="0" w:after="0"/>
        <w:rPr/>
      </w:pPr>
      <w:r>
        <w:rPr/>
        <w:t> </w:t>
      </w:r>
    </w:p>
    <w:p>
      <w:pPr>
        <w:pStyle w:val="TextBody"/>
        <w:pBdr>
          <w:bottom w:val="single" w:sz="8" w:space="1" w:color="000000"/>
        </w:pBdr>
        <w:spacing w:lineRule="atLeast" w:line="141" w:before="0" w:after="40"/>
        <w:rPr/>
      </w:pPr>
      <w:r>
        <w:rPr/>
        <w:t> </w:t>
      </w:r>
      <w:r>
        <w:br w:type="page"/>
      </w:r>
    </w:p>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THIS DEED IS DATED 29 DECEMBER 2017. </w:t>
      </w:r>
    </w:p>
    <w:p>
      <w:pPr>
        <w:pStyle w:val="TextBody"/>
        <w:spacing w:before="120" w:after="0"/>
        <w:rPr>
          <w:rFonts w:ascii="Times New Roman" w:hAnsi="Times New Roman"/>
          <w:b/>
          <w:sz w:val="20"/>
        </w:rPr>
      </w:pPr>
      <w:r>
        <w:rPr>
          <w:rFonts w:ascii="Times New Roman" w:hAnsi="Times New Roman"/>
          <w:b/>
          <w:sz w:val="20"/>
        </w:rPr>
        <w:t xml:space="preserve">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(1)</w:t>
            </w:r>
          </w:p>
        </w:tc>
        <w:tc>
          <w:tcPr>
            <w:tcW w:w="9696" w:type="dxa"/>
            <w:tcBorders/>
            <w:shd w:fill="auto" w:val="clear"/>
          </w:tcPr>
          <w:p>
            <w:pPr>
              <w:pStyle w:val="TableContents"/>
              <w:spacing w:before="0" w:after="283"/>
              <w:jc w:val="left"/>
              <w:rPr/>
            </w:pPr>
            <w:r>
              <w:rPr>
                <w:b/>
              </w:rPr>
              <w:t>HIGHWORLD INVESTMENTS LIMITED,</w:t>
            </w:r>
            <w:r>
              <w:rPr/>
              <w:t xml:space="preserve"> a company incorporated under the laws of British Virgin Islands, whose registered office is at Trident Chambers, Road Town, P.O. Box 146, Tortola, VG 1110, British Virgin Islands (the “</w:t>
            </w:r>
            <w:r>
              <w:rPr>
                <w:b/>
              </w:rPr>
              <w:t>Released</w:t>
            </w:r>
            <w:r>
              <w:rPr/>
              <w:t xml:space="preserve"> </w:t>
            </w:r>
            <w:r>
              <w:rPr>
                <w:b/>
              </w:rPr>
              <w:t>Party</w:t>
            </w:r>
            <w:r>
              <w:rPr/>
              <w:t>”</w:t>
            </w:r>
            <w:r>
              <w:rPr>
                <w:b/>
              </w:rPr>
              <w: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w:t>
            </w:r>
          </w:p>
        </w:tc>
        <w:tc>
          <w:tcPr>
            <w:tcW w:w="9695" w:type="dxa"/>
            <w:tcBorders/>
            <w:shd w:fill="auto" w:val="clear"/>
          </w:tcPr>
          <w:p>
            <w:pPr>
              <w:pStyle w:val="TableContents"/>
              <w:spacing w:before="0" w:after="283"/>
              <w:jc w:val="left"/>
              <w:rPr/>
            </w:pPr>
            <w:r>
              <w:rPr>
                <w:b/>
              </w:rPr>
              <w:t>ZEMENIK TRADING LIMITED,</w:t>
            </w:r>
            <w:r>
              <w:rPr/>
              <w:t xml:space="preserve"> a company incorporated in Cyprus with registration number HE 332806, whose registered office is at 42 Dositheou, Strovolos 2028, Nicosia, Cyprus (the “</w:t>
            </w:r>
            <w:r>
              <w:rPr>
                <w:b/>
              </w:rPr>
              <w:t>Company</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w:t>
            </w:r>
          </w:p>
        </w:tc>
        <w:tc>
          <w:tcPr>
            <w:tcW w:w="9696" w:type="dxa"/>
            <w:tcBorders/>
            <w:shd w:fill="auto" w:val="clear"/>
          </w:tcPr>
          <w:p>
            <w:pPr>
              <w:pStyle w:val="TableContents"/>
              <w:spacing w:before="0" w:after="283"/>
              <w:jc w:val="left"/>
              <w:rPr/>
            </w:pPr>
            <w:r>
              <w:rPr>
                <w:b/>
              </w:rPr>
              <w:t>VTB BANK (PJSC)</w:t>
            </w:r>
            <w:r>
              <w:rPr/>
              <w:t>, a bank organised under the laws of the Russian Federation under primary state registration number 1027739609391, whose registered office is at Ul. Bolshaya Morskaya, 29, St. Petersburg 190000, Russian Federation (the “</w:t>
            </w:r>
            <w:r>
              <w:rPr>
                <w:b/>
              </w:rPr>
              <w:t>Pledgee</w:t>
            </w:r>
            <w:r>
              <w:rPr/>
              <w:t xml:space="preserve">”). </w:t>
            </w:r>
          </w:p>
        </w:tc>
      </w:tr>
    </w:tbl>
    <w:p>
      <w:pPr>
        <w:pStyle w:val="TextBody"/>
        <w:spacing w:before="360" w:after="0"/>
        <w:rPr>
          <w:rFonts w:ascii="Times New Roman" w:hAnsi="Times New Roman"/>
          <w:b/>
          <w:sz w:val="20"/>
        </w:rPr>
      </w:pPr>
      <w:r>
        <w:rPr>
          <w:rFonts w:ascii="Times New Roman" w:hAnsi="Times New Roman"/>
          <w:b/>
          <w:sz w:val="20"/>
        </w:rPr>
        <w:t xml:space="preserve">BACKGROUND: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(A)</w:t>
            </w:r>
          </w:p>
        </w:tc>
        <w:tc>
          <w:tcPr>
            <w:tcW w:w="9696" w:type="dxa"/>
            <w:tcBorders/>
            <w:shd w:fill="auto" w:val="clear"/>
          </w:tcPr>
          <w:p>
            <w:pPr>
              <w:pStyle w:val="TableContents"/>
              <w:spacing w:before="0" w:after="283"/>
              <w:jc w:val="left"/>
              <w:rPr/>
            </w:pPr>
            <w:r>
              <w:rPr/>
              <w:t>On 16 May 2016, LLC Zemenik, a company incorporated in the Russian Federation with registration number 1167746153860, whose registered address is at office 54, Akademika Iljushina Street 4, block 1, Moscow, Russian Federation as borrower (the “</w:t>
            </w:r>
            <w:r>
              <w:rPr>
                <w:b/>
              </w:rPr>
              <w:t>Borrower</w:t>
            </w:r>
            <w:r>
              <w:rPr/>
              <w:t>”) and the Pledgee as lender entered into a facility Agreement (as amended or supplemented from time to time) (the “</w:t>
            </w:r>
            <w:r>
              <w:rPr>
                <w:b/>
              </w:rPr>
              <w:t>Facility</w:t>
            </w:r>
            <w:r>
              <w:rPr/>
              <w:t xml:space="preserve"> </w:t>
            </w:r>
            <w:r>
              <w:rPr>
                <w:b/>
              </w:rPr>
              <w:t>Agreement</w:t>
            </w:r>
            <w:r>
              <w:rPr/>
              <w:t>”</w:t>
            </w:r>
            <w:r>
              <w:rPr>
                <w:b/>
              </w:rPr>
              <w:t>)</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(B)</w:t>
            </w:r>
          </w:p>
        </w:tc>
        <w:tc>
          <w:tcPr>
            <w:tcW w:w="9696" w:type="dxa"/>
            <w:tcBorders/>
            <w:shd w:fill="auto" w:val="clear"/>
          </w:tcPr>
          <w:p>
            <w:pPr>
              <w:pStyle w:val="TableContents"/>
              <w:spacing w:before="0" w:after="283"/>
              <w:jc w:val="left"/>
              <w:rPr/>
            </w:pPr>
            <w:r>
              <w:rPr/>
              <w:t>The Released Party as pledgor and the Pledgee as pledgee entered into a deed of pledge dated 19 May 2016 (the “</w:t>
            </w:r>
            <w:r>
              <w:rPr>
                <w:b/>
              </w:rPr>
              <w:t>Deed of Pledge</w:t>
            </w:r>
            <w:r>
              <w:rPr/>
              <w:t>”</w:t>
            </w:r>
            <w:r>
              <w:rPr>
                <w:b/>
              </w:rPr>
              <w:t>)</w:t>
            </w:r>
            <w:r>
              <w:rPr/>
              <w:t xml:space="preserve"> pursuant to which the Released Party pledged in favour of the Pledgee 60,000 ordinary shares of €1.00 each owned by it in the share capital of the Company. The Deed of Pledge was entered into as security for the payment, discharge and performance of the Secured Liabilities.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(C)</w:t>
            </w:r>
          </w:p>
        </w:tc>
        <w:tc>
          <w:tcPr>
            <w:tcW w:w="9695" w:type="dxa"/>
            <w:tcBorders/>
            <w:shd w:fill="auto" w:val="clear"/>
          </w:tcPr>
          <w:p>
            <w:pPr>
              <w:pStyle w:val="TableContents"/>
              <w:spacing w:before="0" w:after="283"/>
              <w:jc w:val="left"/>
              <w:rPr/>
            </w:pPr>
            <w:r>
              <w:rPr/>
              <w:t xml:space="preserve">The Company, the Released Party and the Pledgee have agreed to terminate the Deed of Pledge and release the Released Assets (as defined below) from the pledge created thereunder on the terms and subject to the conditions set out herein.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(D)</w:t>
            </w:r>
          </w:p>
        </w:tc>
        <w:tc>
          <w:tcPr>
            <w:tcW w:w="9696" w:type="dxa"/>
            <w:tcBorders/>
            <w:shd w:fill="auto" w:val="clear"/>
          </w:tcPr>
          <w:p>
            <w:pPr>
              <w:pStyle w:val="TableContents"/>
              <w:spacing w:before="0" w:after="283"/>
              <w:jc w:val="left"/>
              <w:rPr/>
            </w:pPr>
            <w:r>
              <w:rPr/>
              <w:t xml:space="preserve">It is intended that this document takes effect as a deed. </w:t>
            </w:r>
          </w:p>
        </w:tc>
      </w:tr>
    </w:tbl>
    <w:p>
      <w:pPr>
        <w:pStyle w:val="TextBody"/>
        <w:spacing w:before="240" w:after="0"/>
        <w:rPr>
          <w:rFonts w:ascii="Times New Roman" w:hAnsi="Times New Roman"/>
          <w:sz w:val="20"/>
        </w:rPr>
      </w:pPr>
      <w:r>
        <w:rPr>
          <w:rFonts w:ascii="Times New Roman" w:hAnsi="Times New Roman"/>
          <w:b/>
          <w:sz w:val="20"/>
        </w:rPr>
        <w:t>IT IS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1.</w:t>
            </w:r>
          </w:p>
        </w:tc>
        <w:tc>
          <w:tcPr>
            <w:tcW w:w="9695" w:type="dxa"/>
            <w:tcBorders/>
            <w:shd w:fill="auto" w:val="clear"/>
          </w:tcPr>
          <w:p>
            <w:pPr>
              <w:pStyle w:val="TableContents"/>
              <w:spacing w:before="0" w:after="283"/>
              <w:jc w:val="left"/>
              <w:rPr>
                <w:b/>
              </w:rPr>
            </w:pPr>
            <w:r>
              <w:rPr>
                <w:b/>
              </w:rPr>
              <w:t xml:space="preserve">INTERPRETATION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1.1</w:t>
            </w:r>
          </w:p>
        </w:tc>
        <w:tc>
          <w:tcPr>
            <w:tcW w:w="9695" w:type="dxa"/>
            <w:tcBorders/>
            <w:shd w:fill="auto" w:val="clear"/>
          </w:tcPr>
          <w:p>
            <w:pPr>
              <w:pStyle w:val="TableContents"/>
              <w:spacing w:before="0" w:after="283"/>
              <w:jc w:val="left"/>
              <w:rPr>
                <w:b/>
              </w:rPr>
            </w:pPr>
            <w:r>
              <w:rPr>
                <w:b/>
              </w:rPr>
              <w:t xml:space="preserve">Definitions </w:t>
            </w:r>
          </w:p>
        </w:tc>
      </w:tr>
    </w:tbl>
    <w:p>
      <w:pPr>
        <w:pStyle w:val="TextBody"/>
        <w:spacing w:before="120" w:after="0"/>
        <w:rPr>
          <w:rFonts w:ascii="Times New Roman" w:hAnsi="Times New Roman"/>
          <w:sz w:val="20"/>
        </w:rPr>
      </w:pPr>
      <w:r>
        <w:rPr>
          <w:rFonts w:ascii="Times New Roman" w:hAnsi="Times New Roman"/>
          <w:sz w:val="20"/>
        </w:rPr>
        <w:t xml:space="preserve">In this Deed of Release: </w:t>
      </w:r>
    </w:p>
    <w:p>
      <w:pPr>
        <w:pStyle w:val="TextBody"/>
        <w:spacing w:before="120" w:after="0"/>
        <w:rPr>
          <w:rFonts w:ascii="Times New Roman" w:hAnsi="Times New Roman"/>
          <w:sz w:val="20"/>
        </w:rPr>
      </w:pPr>
      <w:r>
        <w:rPr>
          <w:rFonts w:ascii="Times New Roman" w:hAnsi="Times New Roman"/>
          <w:b/>
          <w:sz w:val="20"/>
        </w:rPr>
        <w:t xml:space="preserve">Released Assets </w:t>
      </w:r>
      <w:r>
        <w:rPr>
          <w:rFonts w:ascii="Times New Roman" w:hAnsi="Times New Roman"/>
          <w:sz w:val="20"/>
        </w:rPr>
        <w:t xml:space="preserve">means: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60,000 ordinary shares of €1.00 (one euro) each, held by the Released Party in the Company, which in aggregate represent 60% of the issued shares in the Company, and any further shares in the capital of the Company at or after the date of the Deed of Pledge legally and/or beneficially owned by the Released Party or in which the Released Party has an interest (the “</w:t>
            </w:r>
            <w:r>
              <w:rPr>
                <w:b/>
              </w:rPr>
              <w:t>Shares</w:t>
            </w:r>
            <w:r>
              <w:rPr/>
              <w:t xml:space="preserve">”);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all the share certificates representing the Shares and any substitute share certificate or share certificates representing the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in relation to any Shares, all dividends and other distributions paid or payable as at or after the date of the Deed of Pledge on all or any of such Shares and all stocks, shares, securities (and the dividends or interest thereon), rights, money or property accruing or offered at any time by way of issue, redemption, bonus, preference, option rights or otherwise to or in respect of any of such Shares or in substitution or exchange for any such Shares.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b/>
              </w:rPr>
            </w:pPr>
            <w:r>
              <w:rPr>
                <w:b/>
              </w:rPr>
              <w:t>1.2</w:t>
            </w:r>
          </w:p>
        </w:tc>
        <w:tc>
          <w:tcPr>
            <w:tcW w:w="9694" w:type="dxa"/>
            <w:tcBorders/>
            <w:shd w:fill="auto" w:val="clear"/>
          </w:tcPr>
          <w:p>
            <w:pPr>
              <w:pStyle w:val="TableContents"/>
              <w:spacing w:before="0" w:after="283"/>
              <w:jc w:val="left"/>
              <w:rPr>
                <w:b/>
              </w:rPr>
            </w:pPr>
            <w:r>
              <w:rPr>
                <w:b/>
              </w:rPr>
              <w:t xml:space="preserve">Construction </w:t>
            </w:r>
          </w:p>
        </w:tc>
      </w:tr>
    </w:tbl>
    <w:p>
      <w:pPr>
        <w:pStyle w:val="TextBody"/>
        <w:spacing w:before="120" w:after="0"/>
        <w:rPr>
          <w:rFonts w:ascii="Times New Roman" w:hAnsi="Times New Roman"/>
          <w:sz w:val="20"/>
        </w:rPr>
      </w:pPr>
      <w:r>
        <w:rPr>
          <w:rFonts w:ascii="Times New Roman" w:hAnsi="Times New Roman"/>
          <w:sz w:val="20"/>
        </w:rPr>
        <w:t xml:space="preserve">Unless given a different meaning in this Deed of Release, terms defined in the Deed of Pledge have the same meaning when used in this Deed of Release (including when used in the preamble hereto).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2.</w:t>
            </w:r>
          </w:p>
        </w:tc>
        <w:tc>
          <w:tcPr>
            <w:tcW w:w="9697" w:type="dxa"/>
            <w:tcBorders/>
            <w:shd w:fill="auto" w:val="clear"/>
          </w:tcPr>
          <w:p>
            <w:pPr>
              <w:pStyle w:val="TableContents"/>
              <w:spacing w:before="0" w:after="283"/>
              <w:jc w:val="left"/>
              <w:rPr>
                <w:b/>
              </w:rPr>
            </w:pPr>
            <w:r>
              <w:rPr>
                <w:b/>
              </w:rPr>
              <w:t xml:space="preserve">RELEASE </w:t>
            </w:r>
          </w:p>
        </w:tc>
      </w:tr>
    </w:tbl>
    <w:p>
      <w:pPr>
        <w:pStyle w:val="TextBody"/>
        <w:spacing w:before="120" w:after="0"/>
        <w:rPr>
          <w:rFonts w:ascii="Times New Roman" w:hAnsi="Times New Roman"/>
          <w:sz w:val="20"/>
        </w:rPr>
      </w:pPr>
      <w:r>
        <w:rPr>
          <w:rFonts w:ascii="Times New Roman" w:hAnsi="Times New Roman"/>
          <w:sz w:val="20"/>
        </w:rPr>
        <w:t xml:space="preserve">With effect from the date of this Deed of Release the Pledgee irrevocably and unconditionally: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releases and discharges the Released Assets from all security interests created under or evidenced by the Deed of Pledge and surrenders, reassigns, releases and retransfers to the Released Party all right, interest, asset and title, pledged, mortgaged, charged, assigned, transferred, deposited, set over and confirmed in favour of the Pledgee in and to the Released Assets;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releases and discharges the Released Party from all of its covenants, guarantees, undertakings, claims, demands and all present and future obligations and liabilities (both actual and contingent) under the Deed of Pledge.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3.</w:t>
            </w:r>
          </w:p>
        </w:tc>
        <w:tc>
          <w:tcPr>
            <w:tcW w:w="9697" w:type="dxa"/>
            <w:tcBorders/>
            <w:shd w:fill="auto" w:val="clear"/>
          </w:tcPr>
          <w:p>
            <w:pPr>
              <w:pStyle w:val="TableContents"/>
              <w:spacing w:before="0" w:after="283"/>
              <w:jc w:val="left"/>
              <w:rPr>
                <w:b/>
              </w:rPr>
            </w:pPr>
            <w:r>
              <w:rPr>
                <w:b/>
              </w:rPr>
              <w:t xml:space="preserve">TERMINATION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3.1</w:t>
            </w:r>
          </w:p>
        </w:tc>
        <w:tc>
          <w:tcPr>
            <w:tcW w:w="9695" w:type="dxa"/>
            <w:tcBorders/>
            <w:shd w:fill="auto" w:val="clear"/>
          </w:tcPr>
          <w:p>
            <w:pPr>
              <w:pStyle w:val="TableContents"/>
              <w:spacing w:before="0" w:after="283"/>
              <w:jc w:val="left"/>
              <w:rPr/>
            </w:pPr>
            <w:r>
              <w:rPr/>
              <w:t xml:space="preserve">The Released Party and the Pledgee agree that on the date of this Deed of Release, the security created over the Released Assets pursuant to the Deed of Pledge shall be terminated and cancelled and no party thereto shall have or be entitled to exercise any rights it may have under the Deed of Pledge.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3.2</w:t>
            </w:r>
          </w:p>
        </w:tc>
        <w:tc>
          <w:tcPr>
            <w:tcW w:w="9694" w:type="dxa"/>
            <w:tcBorders/>
            <w:shd w:fill="auto" w:val="clear"/>
          </w:tcPr>
          <w:p>
            <w:pPr>
              <w:pStyle w:val="TableContents"/>
              <w:spacing w:before="0" w:after="283"/>
              <w:jc w:val="left"/>
              <w:rPr/>
            </w:pPr>
            <w:r>
              <w:rPr/>
              <w:t xml:space="preserve">The memorandum of pledge made in the register of members of the Company against the Shares and the secretary’s certificate issued by the secretary of the Company and delivered to the Pledgee pursuant to the Deed of Pledge and the provisions of section 138 of the Cyprus Contract Law, Cap. 149, as amended, as well as any other document that has been submitted to the Pledgee pursuant to the terms of the Deed of Pledge shall, as from the date hereof, be of no legal effect or validity whatsoever.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4.</w:t>
            </w:r>
          </w:p>
        </w:tc>
        <w:tc>
          <w:tcPr>
            <w:tcW w:w="9695" w:type="dxa"/>
            <w:tcBorders/>
            <w:shd w:fill="auto" w:val="clear"/>
          </w:tcPr>
          <w:p>
            <w:pPr>
              <w:pStyle w:val="TableContents"/>
              <w:spacing w:before="0" w:after="283"/>
              <w:jc w:val="left"/>
              <w:rPr>
                <w:b/>
              </w:rPr>
            </w:pPr>
            <w:r>
              <w:rPr>
                <w:b/>
              </w:rPr>
              <w:t xml:space="preserve">FURTHER ASSURANCE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4.1</w:t>
            </w:r>
          </w:p>
        </w:tc>
        <w:tc>
          <w:tcPr>
            <w:tcW w:w="9695" w:type="dxa"/>
            <w:tcBorders/>
            <w:shd w:fill="auto" w:val="clear"/>
          </w:tcPr>
          <w:p>
            <w:pPr>
              <w:pStyle w:val="TableContents"/>
              <w:spacing w:before="0" w:after="283"/>
              <w:jc w:val="left"/>
              <w:rPr/>
            </w:pPr>
            <w:r>
              <w:rPr/>
              <w:t xml:space="preserve">Unless otherwise agreed by the parties on the date of this Deed of Release, the Pledgee shall deliver to the secretary of the Company the share certificates representing the Shares and destroy all other original documents or instruments provided to the Pledgee by the Released Party pursuant to the Deed of Pledge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the blank instrument of transfer with respect to the Shares signed by the Released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the irrevocable proxy and power of attorney dated 19 May 2016 signed by the Released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t xml:space="preserve">the undated letters of resignation signed by each of the directors and secretary of the Company;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3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 xml:space="preserve">the letters of authority and undertaking signed by each of the directors and secretary of the Company;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4" w:type="dxa"/>
            <w:tcBorders/>
            <w:shd w:fill="auto" w:val="clear"/>
          </w:tcPr>
          <w:p>
            <w:pPr>
              <w:pStyle w:val="TableContents"/>
              <w:spacing w:before="0" w:after="283"/>
              <w:jc w:val="left"/>
              <w:rPr/>
            </w:pPr>
            <w:r>
              <w:rPr/>
              <w:t xml:space="preserve">the undated board resolution of the Company signed by the directors of the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4.2</w:t>
            </w:r>
          </w:p>
        </w:tc>
        <w:tc>
          <w:tcPr>
            <w:tcW w:w="9695" w:type="dxa"/>
            <w:tcBorders/>
            <w:shd w:fill="auto" w:val="clear"/>
          </w:tcPr>
          <w:p>
            <w:pPr>
              <w:pStyle w:val="TableContents"/>
              <w:spacing w:before="0" w:after="283"/>
              <w:jc w:val="left"/>
              <w:rPr/>
            </w:pPr>
            <w:r>
              <w:rPr/>
              <w:t xml:space="preserve">The appointment of the Pledgee as the attorney-in-fact as set forth in the Deed of Pledge and the appointment of any other person nominated by the Pledgee as attorney of the Released Party pursuant to the Deed of Pledge and/or pursuant to the irrevocable proxy and power of attorney dated 19 May 2016 signed by the Released Party is hereby immediately terminated as of the date of this Deed of Release.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4.3</w:t>
            </w:r>
          </w:p>
        </w:tc>
        <w:tc>
          <w:tcPr>
            <w:tcW w:w="9694" w:type="dxa"/>
            <w:tcBorders/>
            <w:shd w:fill="auto" w:val="clear"/>
          </w:tcPr>
          <w:p>
            <w:pPr>
              <w:pStyle w:val="TableContents"/>
              <w:spacing w:before="0" w:after="283"/>
              <w:jc w:val="left"/>
              <w:rPr/>
            </w:pPr>
            <w:r>
              <w:rPr/>
              <w:t xml:space="preserve">By virtue of the execution of this Deed of Release, the Company takes notice of the release effected by this Deed of Release and the Company shall take all steps necessary to ensure that the memorandum of pledge made in the register of members of the Company pursuant to section 138(2) of the Cyprus Contract Law, Cap 149, as amended, is removed with respect to the Released Assets.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4.4</w:t>
            </w:r>
          </w:p>
        </w:tc>
        <w:tc>
          <w:tcPr>
            <w:tcW w:w="9695" w:type="dxa"/>
            <w:tcBorders/>
            <w:shd w:fill="auto" w:val="clear"/>
          </w:tcPr>
          <w:p>
            <w:pPr>
              <w:pStyle w:val="TableContents"/>
              <w:spacing w:before="0" w:after="283"/>
              <w:jc w:val="left"/>
              <w:rPr/>
            </w:pPr>
            <w:r>
              <w:rPr/>
              <w:t>The Pledgee will, at the request and cost of the Company, take whatever action is reasonably necessary to give effect to Clause 2 (</w:t>
            </w:r>
            <w:r>
              <w:rPr>
                <w:i/>
              </w:rPr>
              <w:t>Release</w:t>
            </w:r>
            <w:r>
              <w:rPr/>
              <w:t xml:space="preserve">) of this Deed of Release.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5.</w:t>
            </w:r>
          </w:p>
        </w:tc>
        <w:tc>
          <w:tcPr>
            <w:tcW w:w="9697" w:type="dxa"/>
            <w:tcBorders/>
            <w:shd w:fill="auto" w:val="clear"/>
          </w:tcPr>
          <w:p>
            <w:pPr>
              <w:pStyle w:val="TableContents"/>
              <w:spacing w:before="0" w:after="283"/>
              <w:jc w:val="left"/>
              <w:rPr>
                <w:b/>
              </w:rPr>
            </w:pPr>
            <w:r>
              <w:rPr>
                <w:b/>
              </w:rPr>
              <w:t xml:space="preserve">EXPENSES </w:t>
            </w:r>
          </w:p>
        </w:tc>
      </w:tr>
    </w:tbl>
    <w:p>
      <w:pPr>
        <w:pStyle w:val="TextBody"/>
        <w:spacing w:before="120" w:after="0"/>
        <w:rPr>
          <w:rFonts w:ascii="Times New Roman" w:hAnsi="Times New Roman"/>
          <w:sz w:val="20"/>
        </w:rPr>
      </w:pPr>
      <w:r>
        <w:rPr>
          <w:rFonts w:ascii="Times New Roman" w:hAnsi="Times New Roman"/>
          <w:sz w:val="20"/>
        </w:rPr>
        <w:t xml:space="preserve">The Released Party must immediately on demand pay all documented costs and expenses (including legal fees) incurred in connection with this Deed of Release by the Pledgee or any person appointed by the Pledgee under the Deed of Pledge.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b/>
              </w:rPr>
            </w:pPr>
            <w:r>
              <w:rPr>
                <w:b/>
              </w:rPr>
              <w:t>6.</w:t>
            </w:r>
          </w:p>
        </w:tc>
        <w:tc>
          <w:tcPr>
            <w:tcW w:w="9696" w:type="dxa"/>
            <w:tcBorders/>
            <w:shd w:fill="auto" w:val="clear"/>
          </w:tcPr>
          <w:p>
            <w:pPr>
              <w:pStyle w:val="TableContents"/>
              <w:spacing w:before="0" w:after="283"/>
              <w:jc w:val="left"/>
              <w:rPr>
                <w:b/>
              </w:rPr>
            </w:pPr>
            <w:r>
              <w:rPr>
                <w:b/>
              </w:rPr>
              <w:t xml:space="preserve">COUNTERPARTS </w:t>
            </w:r>
          </w:p>
        </w:tc>
      </w:tr>
    </w:tbl>
    <w:p>
      <w:pPr>
        <w:pStyle w:val="TextBody"/>
        <w:spacing w:before="120" w:after="0"/>
        <w:rPr>
          <w:rFonts w:ascii="Times New Roman" w:hAnsi="Times New Roman"/>
          <w:sz w:val="20"/>
        </w:rPr>
      </w:pPr>
      <w:r>
        <w:rPr>
          <w:rFonts w:ascii="Times New Roman" w:hAnsi="Times New Roman"/>
          <w:sz w:val="20"/>
        </w:rPr>
        <w:t xml:space="preserve">This Deed of Release may be executed in any number of counterparts and all of those counterparts taken together will be deemed to constitute one and the same instrument.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7.</w:t>
            </w:r>
          </w:p>
        </w:tc>
        <w:tc>
          <w:tcPr>
            <w:tcW w:w="9695" w:type="dxa"/>
            <w:tcBorders/>
            <w:shd w:fill="auto" w:val="clear"/>
          </w:tcPr>
          <w:p>
            <w:pPr>
              <w:pStyle w:val="TableContents"/>
              <w:spacing w:before="0" w:after="283"/>
              <w:jc w:val="left"/>
              <w:rPr>
                <w:b/>
              </w:rPr>
            </w:pPr>
            <w:r>
              <w:rPr>
                <w:b/>
              </w:rPr>
              <w:t xml:space="preserve">ASSIGNMENT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7.1</w:t>
            </w:r>
          </w:p>
        </w:tc>
        <w:tc>
          <w:tcPr>
            <w:tcW w:w="9696" w:type="dxa"/>
            <w:tcBorders/>
            <w:shd w:fill="auto" w:val="clear"/>
          </w:tcPr>
          <w:p>
            <w:pPr>
              <w:pStyle w:val="TableContents"/>
              <w:spacing w:before="0" w:after="283"/>
              <w:jc w:val="left"/>
              <w:rPr/>
            </w:pPr>
            <w:r>
              <w:rPr/>
              <w:t xml:space="preserve">This Deed of Release shall be binding and be enforceable by and against the respective successors and assignees of the Pledgee and the Released Party.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7.2</w:t>
            </w:r>
          </w:p>
        </w:tc>
        <w:tc>
          <w:tcPr>
            <w:tcW w:w="9694" w:type="dxa"/>
            <w:tcBorders/>
            <w:shd w:fill="auto" w:val="clear"/>
          </w:tcPr>
          <w:p>
            <w:pPr>
              <w:pStyle w:val="TableContents"/>
              <w:spacing w:before="0" w:after="283"/>
              <w:jc w:val="left"/>
              <w:rPr/>
            </w:pPr>
            <w:r>
              <w:rPr/>
              <w:t xml:space="preserve">The Parties may not assign or transfer any of their rights or obligations under this Deed without the prior written consent of the other Party either at law or in equity.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b/>
              </w:rPr>
            </w:pPr>
            <w:r>
              <w:rPr>
                <w:b/>
              </w:rPr>
              <w:t>8.</w:t>
            </w:r>
          </w:p>
        </w:tc>
        <w:tc>
          <w:tcPr>
            <w:tcW w:w="9695" w:type="dxa"/>
            <w:tcBorders/>
            <w:shd w:fill="auto" w:val="clear"/>
          </w:tcPr>
          <w:p>
            <w:pPr>
              <w:pStyle w:val="TableContents"/>
              <w:spacing w:before="0" w:after="283"/>
              <w:jc w:val="left"/>
              <w:rPr>
                <w:b/>
              </w:rPr>
            </w:pPr>
            <w:r>
              <w:rPr>
                <w:b/>
              </w:rPr>
              <w:t xml:space="preserve">MISCELLANEOUS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8.1</w:t>
            </w:r>
          </w:p>
        </w:tc>
        <w:tc>
          <w:tcPr>
            <w:tcW w:w="9694" w:type="dxa"/>
            <w:tcBorders/>
            <w:shd w:fill="auto" w:val="clear"/>
          </w:tcPr>
          <w:p>
            <w:pPr>
              <w:pStyle w:val="TableContents"/>
              <w:spacing w:before="0" w:after="283"/>
              <w:jc w:val="left"/>
              <w:rPr/>
            </w:pPr>
            <w:r>
              <w:rPr/>
              <w:t xml:space="preserve">Any provision of this Deed of Release prohibited by or unlawful or unenforceable under any applicable law shall (to the extent required by such law) be ineffective without modifying the remaining provisions of this Deed of Release but where the provisions of any such applicable law may be waived, they are hereby waived to the full extent permitted by such law to the end that this Deed of Release shall be valid, binding and enforceable in accordance with its terms.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8.2</w:t>
            </w:r>
          </w:p>
        </w:tc>
        <w:tc>
          <w:tcPr>
            <w:tcW w:w="9695" w:type="dxa"/>
            <w:tcBorders/>
            <w:shd w:fill="auto" w:val="clear"/>
          </w:tcPr>
          <w:p>
            <w:pPr>
              <w:pStyle w:val="TableContents"/>
              <w:spacing w:before="0" w:after="283"/>
              <w:jc w:val="left"/>
              <w:rPr/>
            </w:pPr>
            <w:r>
              <w:rPr/>
              <w:t xml:space="preserve">No failure to exercise and no delay in exercising any right, power or privilege hereunder and no course of dealing between the Pledgee and the Released Party shall operate as a waiver thereof, nor shall any single or partial exercise of any right, power or privilege preclude any other or further exercise thereof, or the exercise of any other right, power or privilege. The rights and remedies herein provided are cumulative and not exclusive of any rights or remedies provided by law.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4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b/>
              </w:rPr>
            </w:pPr>
            <w:r>
              <w:rPr>
                <w:b/>
              </w:rPr>
              <w:t>9.</w:t>
            </w:r>
          </w:p>
        </w:tc>
        <w:tc>
          <w:tcPr>
            <w:tcW w:w="9697" w:type="dxa"/>
            <w:tcBorders/>
            <w:shd w:fill="auto" w:val="clear"/>
          </w:tcPr>
          <w:p>
            <w:pPr>
              <w:pStyle w:val="TableContents"/>
              <w:spacing w:before="0" w:after="283"/>
              <w:jc w:val="left"/>
              <w:rPr>
                <w:b/>
              </w:rPr>
            </w:pPr>
            <w:r>
              <w:rPr>
                <w:b/>
              </w:rPr>
              <w:t xml:space="preserve">GOVERNING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9.1</w:t>
            </w:r>
          </w:p>
        </w:tc>
        <w:tc>
          <w:tcPr>
            <w:tcW w:w="9694" w:type="dxa"/>
            <w:tcBorders/>
            <w:shd w:fill="auto" w:val="clear"/>
          </w:tcPr>
          <w:p>
            <w:pPr>
              <w:pStyle w:val="TableContents"/>
              <w:spacing w:before="0" w:after="283"/>
              <w:jc w:val="left"/>
              <w:rPr/>
            </w:pPr>
            <w:r>
              <w:rPr/>
              <w:t xml:space="preserve">This Deed of Release and any non-contractual obligations arising out of or in connection with it shall be governed by and construed in accordance with Cyprus law.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9.2</w:t>
            </w:r>
          </w:p>
        </w:tc>
        <w:tc>
          <w:tcPr>
            <w:tcW w:w="9694" w:type="dxa"/>
            <w:tcBorders/>
            <w:shd w:fill="auto" w:val="clear"/>
          </w:tcPr>
          <w:p>
            <w:pPr>
              <w:pStyle w:val="TableContents"/>
              <w:spacing w:before="0" w:after="283"/>
              <w:jc w:val="left"/>
              <w:rPr/>
            </w:pPr>
            <w:r>
              <w:rPr/>
              <w:t xml:space="preserve">The Courts of Cyprus shall have exclusive jurisdiction to settle any dispute arising out of or in connection with this Deed of Release, including any question regarding its existence, validity or termination or the consequences of its nullity or any non-contractual obligation arising out of or in connection with this Deed of Release. </w:t>
            </w:r>
          </w:p>
        </w:tc>
      </w:tr>
    </w:tbl>
    <w:p>
      <w:pPr>
        <w:pStyle w:val="TextBody"/>
        <w:spacing w:before="240" w:after="0"/>
        <w:rPr>
          <w:rFonts w:ascii="Times New Roman" w:hAnsi="Times New Roman"/>
          <w:sz w:val="20"/>
        </w:rPr>
      </w:pPr>
      <w:r>
        <w:rPr>
          <w:rFonts w:ascii="Times New Roman" w:hAnsi="Times New Roman"/>
          <w:b/>
          <w:sz w:val="20"/>
        </w:rPr>
        <w:t>IN WITNESS WHEREOF</w:t>
      </w:r>
      <w:r>
        <w:rPr>
          <w:rFonts w:ascii="Times New Roman" w:hAnsi="Times New Roman"/>
          <w:sz w:val="20"/>
        </w:rPr>
        <w:t xml:space="preserve"> </w:t>
      </w:r>
      <w:r>
        <w:rPr>
          <w:rFonts w:ascii="Times New Roman" w:hAnsi="Times New Roman"/>
          <w:b/>
          <w:sz w:val="20"/>
        </w:rPr>
        <w:t>THIS DEED</w:t>
      </w:r>
      <w:r>
        <w:rPr>
          <w:rFonts w:ascii="Times New Roman" w:hAnsi="Times New Roman"/>
          <w:sz w:val="20"/>
        </w:rPr>
        <w:t xml:space="preserve"> has been executed and delivered as a deed on the date stated at the beginning of this Deed of Release.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5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SIGNATORIES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081"/>
        <w:gridCol w:w="204"/>
        <w:gridCol w:w="5919"/>
      </w:tblGrid>
      <w:tr>
        <w:trPr/>
        <w:tc>
          <w:tcPr>
            <w:tcW w:w="4081"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5919" w:type="dxa"/>
            <w:tcBorders/>
            <w:shd w:fill="auto" w:val="clear"/>
            <w:vAlign w:val="center"/>
          </w:tcPr>
          <w:p>
            <w:pPr>
              <w:pStyle w:val="TableContents"/>
              <w:spacing w:before="0" w:after="283"/>
              <w:rPr>
                <w:sz w:val="4"/>
                <w:szCs w:val="4"/>
              </w:rPr>
            </w:pPr>
            <w:r>
              <w:rPr>
                <w:sz w:val="4"/>
                <w:szCs w:val="4"/>
              </w:rPr>
            </w:r>
          </w:p>
        </w:tc>
      </w:tr>
      <w:tr>
        <w:trPr/>
        <w:tc>
          <w:tcPr>
            <w:tcW w:w="4081" w:type="dxa"/>
            <w:tcBorders/>
            <w:shd w:fill="auto" w:val="clear"/>
          </w:tcPr>
          <w:p>
            <w:pPr>
              <w:pStyle w:val="TableContents"/>
              <w:spacing w:before="0" w:after="283"/>
              <w:rPr>
                <w:b/>
              </w:rPr>
            </w:pPr>
            <w:r>
              <w:rPr>
                <w:b/>
              </w:rPr>
              <w:t>The Released Party</w:t>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sz w:val="4"/>
                <w:szCs w:val="4"/>
              </w:rPr>
            </w:pPr>
            <w:r>
              <w:rPr>
                <w:sz w:val="4"/>
                <w:szCs w:val="4"/>
              </w:rPr>
            </w:r>
          </w:p>
        </w:tc>
      </w:tr>
      <w:tr>
        <w:trPr/>
        <w:tc>
          <w:tcPr>
            <w:tcW w:w="4081" w:type="dxa"/>
            <w:tcBorders/>
            <w:shd w:fill="auto" w:val="clea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1" w:type="dxa"/>
            <w:tcBorders/>
            <w:shd w:fill="auto" w:val="clear"/>
          </w:tcPr>
          <w:p>
            <w:pPr>
              <w:pStyle w:val="TableContents"/>
              <w:spacing w:before="0" w:after="283"/>
              <w:rPr/>
            </w:pPr>
            <w:r>
              <w:rPr/>
              <w:t>EXECUTED AND DELIVERED AS A</w:t>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1" w:type="dxa"/>
            <w:tcBorders/>
            <w:shd w:fill="auto" w:val="clear"/>
          </w:tcPr>
          <w:p>
            <w:pPr>
              <w:pStyle w:val="TableContents"/>
              <w:spacing w:before="0" w:after="283"/>
              <w:rPr/>
            </w:pPr>
            <w:r>
              <w:rPr/>
              <w:t xml:space="preserve">DEED for and on behalf of </w:t>
            </w:r>
            <w:r>
              <w:rPr>
                <w:b/>
              </w:rPr>
              <w:t>HIGHWORLD</w:t>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1" w:type="dxa"/>
            <w:tcBorders/>
            <w:shd w:fill="auto" w:val="clear"/>
          </w:tcPr>
          <w:p>
            <w:pPr>
              <w:pStyle w:val="TableContents"/>
              <w:spacing w:before="0" w:after="283"/>
              <w:rPr>
                <w:b/>
              </w:rPr>
            </w:pPr>
            <w:r>
              <w:rPr>
                <w:b/>
              </w:rPr>
              <w:t>INVESTMENTS LIMITED</w:t>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1" w:type="dxa"/>
            <w:tcBorders/>
            <w:shd w:fill="auto" w:val="clea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1" w:type="dxa"/>
            <w:tcBorders/>
            <w:shd w:fill="auto" w:val="clea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1" w:type="dxa"/>
            <w:tcBorders/>
            <w:shd w:fill="auto" w:val="clea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4082"/>
        <w:gridCol w:w="203"/>
        <w:gridCol w:w="5919"/>
      </w:tblGrid>
      <w:tr>
        <w:trPr/>
        <w:tc>
          <w:tcPr>
            <w:tcW w:w="4082"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5919"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b/>
              </w:rPr>
            </w:pPr>
            <w:r>
              <w:rPr>
                <w:b/>
              </w:rPr>
              <w:t>The Company</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pPr>
            <w:r>
              <w:rPr/>
              <w:t>EXECUTED AND DELIVERED AS A</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pPr>
            <w:r>
              <w:rPr/>
              <w:t xml:space="preserve">DEED for and on behalf of </w:t>
            </w:r>
            <w:r>
              <w:rPr>
                <w:b/>
              </w:rPr>
              <w:t>ZEMENIK</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b/>
              </w:rPr>
            </w:pPr>
            <w:r>
              <w:rPr>
                <w:b/>
              </w:rPr>
              <w:t>TRADING LIMITED</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6 </w:t>
      </w:r>
      <w:r>
        <w:br w:type="page"/>
      </w:r>
    </w:p>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4082"/>
        <w:gridCol w:w="203"/>
        <w:gridCol w:w="5919"/>
      </w:tblGrid>
      <w:tr>
        <w:trPr/>
        <w:tc>
          <w:tcPr>
            <w:tcW w:w="4082"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5919" w:type="dxa"/>
            <w:tcBorders/>
            <w:shd w:fill="auto" w:val="clear"/>
            <w:vAlign w:val="cente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b/>
              </w:rPr>
            </w:pPr>
            <w:r>
              <w:rPr>
                <w:b/>
              </w:rPr>
              <w:t>The Pledgee</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sz w:val="4"/>
                <w:szCs w:val="4"/>
              </w:rPr>
            </w:pPr>
            <w:r>
              <w:rPr>
                <w:sz w:val="4"/>
                <w:szCs w:val="4"/>
              </w:rPr>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pPr>
            <w:r>
              <w:rPr/>
              <w:t>EXECUTED AND DELIVERED AS A</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pPr>
            <w:r>
              <w:rPr/>
              <w:t xml:space="preserve">DEED for and on behalf of </w:t>
            </w:r>
            <w:r>
              <w:rPr>
                <w:b/>
              </w:rPr>
              <w:t>VTB BANK</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b/>
              </w:rPr>
            </w:pPr>
            <w:r>
              <w:rPr>
                <w:b/>
              </w:rPr>
              <w:t>(PJSC)</w:t>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        </w:t>
            </w:r>
            <w:r>
              <w:rPr>
                <w:u w:val="single"/>
              </w:rPr>
              <w:t>                                                                     </w:t>
            </w:r>
          </w:p>
        </w:tc>
      </w:tr>
      <w:tr>
        <w:trPr/>
        <w:tc>
          <w:tcPr>
            <w:tcW w:w="4082" w:type="dxa"/>
            <w:tcBorders/>
            <w:shd w:fill="auto" w:val="clea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pPr>
            <w:r>
              <w:rPr/>
              <w:t>  </w:t>
            </w:r>
          </w:p>
        </w:tc>
        <w:tc>
          <w:tcPr>
            <w:tcW w:w="5919" w:type="dxa"/>
            <w:tcBorders/>
            <w:shd w:fill="auto" w:val="clear"/>
          </w:tcPr>
          <w:p>
            <w:pPr>
              <w:pStyle w:val="TableContents"/>
              <w:spacing w:before="0" w:after="283"/>
              <w:rPr/>
            </w:pPr>
            <w:r>
              <w:rPr/>
              <w:t>)</w:t>
            </w:r>
          </w:p>
        </w:tc>
      </w:tr>
    </w:tbl>
    <w:p>
      <w:pPr>
        <w:pStyle w:val="TextBody"/>
        <w:spacing w:before="240" w:after="0"/>
        <w:rPr>
          <w:rFonts w:ascii="Times New Roman" w:hAnsi="Times New Roman"/>
          <w:sz w:val="20"/>
        </w:rPr>
      </w:pPr>
      <w:r>
        <w:rPr>
          <w:rFonts w:ascii="Times New Roman" w:hAnsi="Times New Roman"/>
          <w:sz w:val="20"/>
        </w:rPr>
        <w:t xml:space="preserve">in the presence of: </w:t>
      </w:r>
    </w:p>
    <w:p>
      <w:pPr>
        <w:pStyle w:val="TextBody"/>
        <w:spacing w:before="0" w:after="0"/>
        <w:rPr/>
      </w:pPr>
      <w:r>
        <w:rPr/>
        <w:t> </w:t>
      </w:r>
    </w:p>
    <w:tbl>
      <w:tblPr>
        <w:tblW w:w="2000" w:type="pct"/>
        <w:jc w:val="left"/>
        <w:tblInd w:w="0" w:type="dxa"/>
        <w:tblBorders/>
        <w:tblCellMar>
          <w:top w:w="0" w:type="dxa"/>
          <w:left w:w="0" w:type="dxa"/>
          <w:bottom w:w="0" w:type="dxa"/>
          <w:right w:w="0" w:type="dxa"/>
        </w:tblCellMar>
      </w:tblPr>
      <w:tblGrid>
        <w:gridCol w:w="980"/>
        <w:gridCol w:w="83"/>
        <w:gridCol w:w="3019"/>
      </w:tblGrid>
      <w:tr>
        <w:trPr/>
        <w:tc>
          <w:tcPr>
            <w:tcW w:w="980" w:type="dxa"/>
            <w:tcBorders/>
            <w:shd w:fill="auto" w:val="clear"/>
            <w:vAlign w:val="center"/>
          </w:tcPr>
          <w:p>
            <w:pPr>
              <w:pStyle w:val="TableContents"/>
              <w:spacing w:before="0" w:after="283"/>
              <w:rPr>
                <w:sz w:val="4"/>
                <w:szCs w:val="4"/>
              </w:rPr>
            </w:pPr>
            <w:r>
              <w:rPr>
                <w:sz w:val="4"/>
                <w:szCs w:val="4"/>
              </w:rPr>
            </w:r>
          </w:p>
        </w:tc>
        <w:tc>
          <w:tcPr>
            <w:tcW w:w="83" w:type="dxa"/>
            <w:tcBorders/>
            <w:shd w:fill="auto" w:val="clear"/>
            <w:vAlign w:val="bottom"/>
          </w:tcPr>
          <w:p>
            <w:pPr>
              <w:pStyle w:val="TableContents"/>
              <w:spacing w:before="0" w:after="283"/>
              <w:rPr>
                <w:sz w:val="4"/>
                <w:szCs w:val="4"/>
              </w:rPr>
            </w:pPr>
            <w:r>
              <w:rPr>
                <w:sz w:val="4"/>
                <w:szCs w:val="4"/>
              </w:rPr>
            </w:r>
          </w:p>
        </w:tc>
        <w:tc>
          <w:tcPr>
            <w:tcW w:w="3019" w:type="dxa"/>
            <w:tcBorders/>
            <w:shd w:fill="auto" w:val="clear"/>
            <w:vAlign w:val="center"/>
          </w:tcPr>
          <w:p>
            <w:pPr>
              <w:pStyle w:val="TableContents"/>
              <w:spacing w:before="0" w:after="283"/>
              <w:rPr>
                <w:sz w:val="4"/>
                <w:szCs w:val="4"/>
              </w:rPr>
            </w:pPr>
            <w:r>
              <w:rPr>
                <w:sz w:val="4"/>
                <w:szCs w:val="4"/>
              </w:rPr>
            </w:r>
          </w:p>
        </w:tc>
      </w:tr>
      <w:tr>
        <w:trPr/>
        <w:tc>
          <w:tcPr>
            <w:tcW w:w="4082" w:type="dxa"/>
            <w:gridSpan w:val="3"/>
            <w:tcBorders/>
            <w:shd w:fill="auto" w:val="clear"/>
          </w:tcPr>
          <w:p>
            <w:pPr>
              <w:pStyle w:val="TableContents"/>
              <w:pBdr>
                <w:bottom w:val="single" w:sz="2" w:space="1" w:color="000000"/>
              </w:pBdr>
              <w:spacing w:before="0" w:after="20"/>
              <w:rPr/>
            </w:pPr>
            <w:r>
              <w:rPr/>
              <w:t> </w:t>
            </w:r>
          </w:p>
        </w:tc>
      </w:tr>
      <w:tr>
        <w:trPr/>
        <w:tc>
          <w:tcPr>
            <w:tcW w:w="4082" w:type="dxa"/>
            <w:gridSpan w:val="3"/>
            <w:tcBorders/>
            <w:shd w:fill="auto" w:val="clear"/>
          </w:tcPr>
          <w:p>
            <w:pPr>
              <w:pStyle w:val="TableContents"/>
              <w:spacing w:before="0" w:after="0"/>
              <w:rPr>
                <w:rFonts w:ascii="Times New Roman" w:hAnsi="Times New Roman"/>
                <w:sz w:val="20"/>
              </w:rPr>
            </w:pPr>
            <w:r>
              <w:rPr>
                <w:rFonts w:ascii="Times New Roman" w:hAnsi="Times New Roman"/>
                <w:sz w:val="20"/>
              </w:rPr>
              <w:t>Signature of Witness</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Name:</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Address:</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r>
        <w:trPr>
          <w:trHeight w:val="240" w:hRule="atLeast"/>
        </w:trPr>
        <w:tc>
          <w:tcPr>
            <w:tcW w:w="980" w:type="dxa"/>
            <w:tcBorders/>
            <w:shd w:fill="auto" w:val="clear"/>
            <w:vAlign w:val="center"/>
          </w:tcPr>
          <w:p>
            <w:pPr>
              <w:pStyle w:val="TableContents"/>
              <w:spacing w:before="0" w:after="283"/>
              <w:rPr>
                <w:sz w:val="4"/>
                <w:szCs w:val="4"/>
              </w:rPr>
            </w:pPr>
            <w:r>
              <w:rPr>
                <w:sz w:val="4"/>
                <w:szCs w:val="4"/>
              </w:rPr>
            </w:r>
          </w:p>
        </w:tc>
        <w:tc>
          <w:tcPr>
            <w:tcW w:w="3102" w:type="dxa"/>
            <w:gridSpan w:val="2"/>
            <w:tcBorders/>
            <w:shd w:fill="auto" w:val="clear"/>
            <w:vAlign w:val="center"/>
          </w:tcPr>
          <w:p>
            <w:pPr>
              <w:pStyle w:val="TableContents"/>
              <w:spacing w:before="0" w:after="283"/>
              <w:rPr>
                <w:sz w:val="4"/>
                <w:szCs w:val="4"/>
              </w:rPr>
            </w:pPr>
            <w:r>
              <w:rPr>
                <w:sz w:val="4"/>
                <w:szCs w:val="4"/>
              </w:rPr>
            </w:r>
          </w:p>
        </w:tc>
      </w:tr>
      <w:tr>
        <w:trPr/>
        <w:tc>
          <w:tcPr>
            <w:tcW w:w="98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Occupation:</w:t>
            </w:r>
          </w:p>
        </w:tc>
        <w:tc>
          <w:tcPr>
            <w:tcW w:w="83" w:type="dxa"/>
            <w:tcBorders/>
            <w:shd w:fill="auto" w:val="clear"/>
            <w:vAlign w:val="bottom"/>
          </w:tcPr>
          <w:p>
            <w:pPr>
              <w:pStyle w:val="TableContents"/>
              <w:spacing w:before="0" w:after="283"/>
              <w:rPr/>
            </w:pPr>
            <w:r>
              <w:rPr/>
              <w:t> </w:t>
            </w:r>
          </w:p>
        </w:tc>
        <w:tc>
          <w:tcPr>
            <w:tcW w:w="3019" w:type="dxa"/>
            <w:tcBorders/>
            <w:shd w:fill="auto" w:val="clear"/>
            <w:vAlign w:val="bottom"/>
          </w:tcPr>
          <w:p>
            <w:pPr>
              <w:pStyle w:val="TableContents"/>
              <w:pBdr>
                <w:bottom w:val="single" w:sz="2" w:space="1" w:color="000000"/>
              </w:pBdr>
              <w:spacing w:before="0" w:after="20"/>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7 </w:t>
      </w:r>
      <w:r>
        <w:br w:type="page"/>
      </w:r>
    </w:p>
    <w:p>
      <w:pPr>
        <w:pStyle w:val="HorizontalLine"/>
        <w:pBdr>
          <w:bottom w:val="double" w:sz="6" w:space="0" w:color="808080"/>
        </w:pBdr>
        <w:rPr/>
      </w:pPr>
      <w:r>
        <w:rPr/>
      </w:r>
    </w:p>
    <w:tbl>
      <w:tblPr>
        <w:tblW w:w="5000" w:type="pct"/>
        <w:jc w:val="center"/>
        <w:tblInd w:w="0" w:type="dxa"/>
        <w:tblBorders/>
        <w:tblCellMar>
          <w:top w:w="0" w:type="dxa"/>
          <w:left w:w="0" w:type="dxa"/>
          <w:bottom w:w="0" w:type="dxa"/>
          <w:right w:w="0" w:type="dxa"/>
        </w:tblCellMar>
      </w:tblPr>
      <w:tblGrid>
        <w:gridCol w:w="5205"/>
        <w:gridCol w:w="203"/>
        <w:gridCol w:w="4796"/>
      </w:tblGrid>
      <w:tr>
        <w:trPr/>
        <w:tc>
          <w:tcPr>
            <w:tcW w:w="5205"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4796" w:type="dxa"/>
            <w:tcBorders/>
            <w:shd w:fill="auto" w:val="clear"/>
            <w:vAlign w:val="center"/>
          </w:tcPr>
          <w:p>
            <w:pPr>
              <w:pStyle w:val="TableContents"/>
              <w:spacing w:before="0" w:after="283"/>
              <w:rPr>
                <w:sz w:val="4"/>
                <w:szCs w:val="4"/>
              </w:rPr>
            </w:pPr>
            <w:r>
              <w:rPr>
                <w:sz w:val="4"/>
                <w:szCs w:val="4"/>
              </w:rPr>
            </w:r>
          </w:p>
        </w:tc>
      </w:tr>
      <w:tr>
        <w:trPr/>
        <w:tc>
          <w:tcPr>
            <w:tcW w:w="5205" w:type="dxa"/>
            <w:tcBorders/>
            <w:shd w:fill="auto" w:val="clear"/>
          </w:tcPr>
          <w:p>
            <w:pPr>
              <w:pStyle w:val="TableContents"/>
              <w:spacing w:before="0" w:after="283"/>
              <w:rPr/>
            </w:pPr>
            <w:r>
              <w:rPr/>
              <w:drawing>
                <wp:inline distT="0" distB="0" distL="0" distR="0">
                  <wp:extent cx="1743075" cy="75247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link="rId59"/>
                          <a:stretch>
                            <a:fillRect/>
                          </a:stretch>
                        </pic:blipFill>
                        <pic:spPr bwMode="auto">
                          <a:xfrm>
                            <a:off x="0" y="0"/>
                            <a:ext cx="1743075" cy="752475"/>
                          </a:xfrm>
                          <a:prstGeom prst="rect">
                            <a:avLst/>
                          </a:prstGeom>
                          <a:noFill/>
                          <a:ln w="9525">
                            <a:noFill/>
                            <a:miter lim="800000"/>
                            <a:headEnd/>
                            <a:tailEnd/>
                          </a:ln>
                        </pic:spPr>
                      </pic:pic>
                    </a:graphicData>
                  </a:graphic>
                </wp:inline>
              </w:drawing>
            </w:r>
            <w:r>
              <w:rPr/>
              <w:t xml:space="preserve"> </w:t>
            </w:r>
          </w:p>
        </w:tc>
        <w:tc>
          <w:tcPr>
            <w:tcW w:w="203" w:type="dxa"/>
            <w:tcBorders/>
            <w:shd w:fill="auto" w:val="clear"/>
            <w:vAlign w:val="bottom"/>
          </w:tcPr>
          <w:p>
            <w:pPr>
              <w:pStyle w:val="TableContents"/>
              <w:spacing w:before="0" w:after="283"/>
              <w:rPr/>
            </w:pPr>
            <w:r>
              <w:rPr/>
              <w:t>  </w:t>
            </w:r>
          </w:p>
        </w:tc>
        <w:tc>
          <w:tcPr>
            <w:tcW w:w="4796" w:type="dxa"/>
            <w:tcBorders/>
            <w:shd w:fill="auto" w:val="clear"/>
          </w:tcPr>
          <w:p>
            <w:pPr>
              <w:pStyle w:val="TableContents"/>
              <w:spacing w:before="0" w:after="283"/>
              <w:jc w:val="right"/>
              <w:rPr>
                <w:b/>
              </w:rPr>
            </w:pPr>
            <w:r>
              <w:rPr>
                <w:b/>
              </w:rPr>
              <w:t>Execution version</w:t>
            </w:r>
          </w:p>
        </w:tc>
      </w:tr>
    </w:tbl>
    <w:p>
      <w:pPr>
        <w:pStyle w:val="TextBody"/>
        <w:spacing w:before="240" w:after="0"/>
        <w:jc w:val="center"/>
        <w:rPr>
          <w:rFonts w:ascii="Times New Roman" w:hAnsi="Times New Roman"/>
          <w:b/>
          <w:sz w:val="20"/>
        </w:rPr>
      </w:pPr>
      <w:r>
        <w:rPr>
          <w:rFonts w:ascii="Times New Roman" w:hAnsi="Times New Roman"/>
          <w:b/>
          <w:sz w:val="20"/>
        </w:rPr>
        <w:t xml:space="preserve">29 December 2017 </w:t>
      </w:r>
    </w:p>
    <w:p>
      <w:pPr>
        <w:pStyle w:val="TextBody"/>
        <w:spacing w:before="240" w:after="0"/>
        <w:jc w:val="center"/>
        <w:rPr>
          <w:rFonts w:ascii="Times New Roman" w:hAnsi="Times New Roman"/>
          <w:b/>
          <w:sz w:val="20"/>
        </w:rPr>
      </w:pPr>
      <w:r>
        <w:rPr>
          <w:rFonts w:ascii="Times New Roman" w:hAnsi="Times New Roman"/>
          <w:b/>
          <w:sz w:val="20"/>
        </w:rPr>
        <w:t xml:space="preserve">ZEMENIK TRADING LIMITED </w:t>
      </w:r>
    </w:p>
    <w:p>
      <w:pPr>
        <w:pStyle w:val="TextBody"/>
        <w:spacing w:before="240" w:after="0"/>
        <w:jc w:val="center"/>
        <w:rPr>
          <w:rFonts w:ascii="Times New Roman" w:hAnsi="Times New Roman"/>
          <w:sz w:val="20"/>
        </w:rPr>
      </w:pPr>
      <w:r>
        <w:rPr>
          <w:rFonts w:ascii="Times New Roman" w:hAnsi="Times New Roman"/>
          <w:sz w:val="20"/>
        </w:rPr>
        <w:t xml:space="preserve">as the guarantor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LIMITED LIABILITY COMPANY ZEMENIK </w:t>
      </w:r>
    </w:p>
    <w:p>
      <w:pPr>
        <w:pStyle w:val="TextBody"/>
        <w:spacing w:before="240" w:after="0"/>
        <w:jc w:val="center"/>
        <w:rPr>
          <w:rFonts w:ascii="Times New Roman" w:hAnsi="Times New Roman"/>
          <w:sz w:val="20"/>
        </w:rPr>
      </w:pPr>
      <w:r>
        <w:rPr>
          <w:rFonts w:ascii="Times New Roman" w:hAnsi="Times New Roman"/>
          <w:sz w:val="20"/>
        </w:rPr>
        <w:t xml:space="preserve">as the principal under this Agreement </w:t>
      </w:r>
    </w:p>
    <w:p>
      <w:pPr>
        <w:pStyle w:val="TextBody"/>
        <w:spacing w:before="240" w:after="0"/>
        <w:jc w:val="center"/>
        <w:rPr>
          <w:rFonts w:ascii="Times New Roman" w:hAnsi="Times New Roman"/>
          <w:sz w:val="20"/>
        </w:rPr>
      </w:pPr>
      <w:r>
        <w:rPr>
          <w:rFonts w:ascii="Times New Roman" w:hAnsi="Times New Roman"/>
          <w:sz w:val="20"/>
        </w:rPr>
        <w:t xml:space="preserve">and </w:t>
      </w:r>
    </w:p>
    <w:p>
      <w:pPr>
        <w:pStyle w:val="TextBody"/>
        <w:spacing w:before="240" w:after="0"/>
        <w:jc w:val="center"/>
        <w:rPr>
          <w:rFonts w:ascii="Times New Roman" w:hAnsi="Times New Roman"/>
          <w:b/>
          <w:sz w:val="20"/>
        </w:rPr>
      </w:pPr>
      <w:r>
        <w:rPr>
          <w:rFonts w:ascii="Times New Roman" w:hAnsi="Times New Roman"/>
          <w:b/>
          <w:sz w:val="20"/>
        </w:rPr>
        <w:t xml:space="preserve">VTB BANK (PUBLIC JOINT-STOCK COMPANY) </w:t>
      </w:r>
    </w:p>
    <w:p>
      <w:pPr>
        <w:pStyle w:val="TextBody"/>
        <w:spacing w:before="240" w:after="0"/>
        <w:jc w:val="center"/>
        <w:rPr>
          <w:rFonts w:ascii="Times New Roman" w:hAnsi="Times New Roman"/>
          <w:sz w:val="20"/>
        </w:rPr>
      </w:pPr>
      <w:r>
        <w:rPr>
          <w:rFonts w:ascii="Times New Roman" w:hAnsi="Times New Roman"/>
          <w:sz w:val="20"/>
        </w:rPr>
        <w:t xml:space="preserve">as the beneficiary under this Agreement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b/>
          <w:sz w:val="20"/>
        </w:rPr>
      </w:pPr>
      <w:r>
        <w:rPr>
          <w:rFonts w:ascii="Times New Roman" w:hAnsi="Times New Roman"/>
          <w:b/>
          <w:sz w:val="20"/>
        </w:rPr>
        <w:t xml:space="preserve">AMENDMENT AGREEMENT NO. 3 </w:t>
      </w:r>
    </w:p>
    <w:p>
      <w:pPr>
        <w:pStyle w:val="TextBody"/>
        <w:spacing w:before="240" w:after="0"/>
        <w:jc w:val="center"/>
        <w:rPr>
          <w:rFonts w:ascii="Times New Roman" w:hAnsi="Times New Roman"/>
          <w:b/>
          <w:sz w:val="20"/>
        </w:rPr>
      </w:pPr>
      <w:r>
        <w:rPr>
          <w:rFonts w:ascii="Times New Roman" w:hAnsi="Times New Roman"/>
          <w:b/>
          <w:sz w:val="20"/>
        </w:rPr>
        <w:t xml:space="preserve">to the independent guarantee agreement dated </w:t>
      </w:r>
    </w:p>
    <w:p>
      <w:pPr>
        <w:pStyle w:val="TextBody"/>
        <w:spacing w:before="0" w:after="0"/>
        <w:jc w:val="center"/>
        <w:rPr>
          <w:rFonts w:ascii="Times New Roman" w:hAnsi="Times New Roman"/>
          <w:b/>
          <w:sz w:val="20"/>
        </w:rPr>
      </w:pPr>
      <w:r>
        <w:rPr>
          <w:rFonts w:ascii="Times New Roman" w:hAnsi="Times New Roman"/>
          <w:b/>
          <w:sz w:val="20"/>
        </w:rPr>
        <w:t xml:space="preserve">the 1st of June 2016 </w:t>
      </w:r>
    </w:p>
    <w:p>
      <w:pPr>
        <w:pStyle w:val="TextBody"/>
        <w:spacing w:before="0" w:after="0"/>
        <w:rPr/>
      </w:pPr>
      <w:r>
        <w:rPr/>
        <w:t> </w:t>
      </w:r>
    </w:p>
    <w:p>
      <w:pPr>
        <w:pStyle w:val="TextBody"/>
        <w:pBdr>
          <w:bottom w:val="single" w:sz="8" w:space="1" w:color="000000"/>
        </w:pBdr>
        <w:spacing w:lineRule="atLeast" w:line="141" w:before="0" w:after="40"/>
        <w:rPr/>
      </w:pPr>
      <w:r>
        <w:rPr/>
        <w:t> </w:t>
      </w:r>
    </w:p>
    <w:p>
      <w:pPr>
        <w:pStyle w:val="TextBody"/>
        <w:spacing w:before="240" w:after="0"/>
        <w:jc w:val="center"/>
        <w:rPr>
          <w:rFonts w:ascii="Times New Roman" w:hAnsi="Times New Roman"/>
          <w:sz w:val="20"/>
        </w:rPr>
      </w:pPr>
      <w:r>
        <w:rPr>
          <w:rFonts w:ascii="Times New Roman" w:hAnsi="Times New Roman"/>
          <w:sz w:val="20"/>
        </w:rPr>
        <w:t xml:space="preserve">Herbert Smith Freehills CIS LLP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CONTENTS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120"/>
        <w:gridCol w:w="109"/>
        <w:gridCol w:w="9589"/>
        <w:gridCol w:w="123"/>
        <w:gridCol w:w="60"/>
        <w:gridCol w:w="140"/>
        <w:gridCol w:w="64"/>
      </w:tblGrid>
      <w:tr>
        <w:trPr/>
        <w:tc>
          <w:tcPr>
            <w:tcW w:w="120" w:type="dxa"/>
            <w:tcBorders/>
            <w:shd w:fill="auto" w:val="clear"/>
            <w:vAlign w:val="center"/>
          </w:tcPr>
          <w:p>
            <w:pPr>
              <w:pStyle w:val="TableContents"/>
              <w:spacing w:before="0" w:after="283"/>
              <w:rPr>
                <w:sz w:val="4"/>
                <w:szCs w:val="4"/>
              </w:rPr>
            </w:pPr>
            <w:r>
              <w:rPr>
                <w:sz w:val="4"/>
                <w:szCs w:val="4"/>
              </w:rPr>
            </w:r>
          </w:p>
        </w:tc>
        <w:tc>
          <w:tcPr>
            <w:tcW w:w="109" w:type="dxa"/>
            <w:tcBorders/>
            <w:shd w:fill="auto" w:val="clear"/>
            <w:vAlign w:val="bottom"/>
          </w:tcPr>
          <w:p>
            <w:pPr>
              <w:pStyle w:val="TableContents"/>
              <w:spacing w:before="0" w:after="283"/>
              <w:rPr>
                <w:sz w:val="4"/>
                <w:szCs w:val="4"/>
              </w:rPr>
            </w:pPr>
            <w:r>
              <w:rPr>
                <w:sz w:val="4"/>
                <w:szCs w:val="4"/>
              </w:rPr>
            </w:r>
          </w:p>
        </w:tc>
        <w:tc>
          <w:tcPr>
            <w:tcW w:w="9589" w:type="dxa"/>
            <w:tcBorders/>
            <w:shd w:fill="auto" w:val="clear"/>
            <w:vAlign w:val="center"/>
          </w:tcPr>
          <w:p>
            <w:pPr>
              <w:pStyle w:val="TableContents"/>
              <w:spacing w:before="0" w:after="283"/>
              <w:rPr>
                <w:sz w:val="4"/>
                <w:szCs w:val="4"/>
              </w:rPr>
            </w:pPr>
            <w:r>
              <w:rPr>
                <w:sz w:val="4"/>
                <w:szCs w:val="4"/>
              </w:rPr>
            </w:r>
          </w:p>
        </w:tc>
        <w:tc>
          <w:tcPr>
            <w:tcW w:w="123"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40" w:type="dxa"/>
            <w:tcBorders/>
            <w:shd w:fill="auto" w:val="clear"/>
            <w:vAlign w:val="center"/>
          </w:tcPr>
          <w:p>
            <w:pPr>
              <w:pStyle w:val="TableContents"/>
              <w:spacing w:before="0" w:after="283"/>
              <w:rPr>
                <w:sz w:val="4"/>
                <w:szCs w:val="4"/>
              </w:rPr>
            </w:pPr>
            <w:r>
              <w:rPr>
                <w:sz w:val="4"/>
                <w:szCs w:val="4"/>
              </w:rPr>
            </w:r>
          </w:p>
        </w:tc>
        <w:tc>
          <w:tcPr>
            <w:tcW w:w="64" w:type="dxa"/>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1.</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Definitions</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3</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2.</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Consents</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4</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3.</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Amendments</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7</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4.</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Limitations</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7</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5.</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Further undertakings</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8</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6.</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Representations</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8</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7.</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Governing law</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8</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8.</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Dispute resolution</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8</w:t>
            </w:r>
          </w:p>
        </w:tc>
        <w:tc>
          <w:tcPr>
            <w:tcW w:w="64" w:type="dxa"/>
            <w:tcBorders/>
            <w:shd w:fill="auto" w:val="clear"/>
            <w:vAlign w:val="bottom"/>
          </w:tcPr>
          <w:p>
            <w:pPr>
              <w:pStyle w:val="TableContents"/>
              <w:spacing w:before="0" w:after="283"/>
              <w:rPr/>
            </w:pPr>
            <w:r>
              <w:rPr/>
              <w:t> </w:t>
            </w:r>
          </w:p>
        </w:tc>
      </w:tr>
      <w:tr>
        <w:trPr>
          <w:trHeight w:val="120" w:hRule="atLeast"/>
        </w:trPr>
        <w:tc>
          <w:tcPr>
            <w:tcW w:w="120" w:type="dxa"/>
            <w:tcBorders/>
            <w:shd w:fill="auto" w:val="clear"/>
            <w:vAlign w:val="center"/>
          </w:tcPr>
          <w:p>
            <w:pPr>
              <w:pStyle w:val="TableContents"/>
              <w:spacing w:before="0" w:after="283"/>
              <w:rPr>
                <w:sz w:val="4"/>
                <w:szCs w:val="4"/>
              </w:rPr>
            </w:pPr>
            <w:r>
              <w:rPr>
                <w:sz w:val="4"/>
                <w:szCs w:val="4"/>
              </w:rPr>
            </w:r>
          </w:p>
        </w:tc>
        <w:tc>
          <w:tcPr>
            <w:tcW w:w="9698" w:type="dxa"/>
            <w:gridSpan w:val="2"/>
            <w:tcBorders/>
            <w:shd w:fill="auto" w:val="clear"/>
            <w:vAlign w:val="center"/>
          </w:tcPr>
          <w:p>
            <w:pPr>
              <w:pStyle w:val="TableContents"/>
              <w:spacing w:before="0" w:after="283"/>
              <w:rPr>
                <w:sz w:val="4"/>
                <w:szCs w:val="4"/>
              </w:rPr>
            </w:pPr>
            <w:r>
              <w:rPr>
                <w:sz w:val="4"/>
                <w:szCs w:val="4"/>
              </w:rPr>
            </w:r>
          </w:p>
        </w:tc>
        <w:tc>
          <w:tcPr>
            <w:tcW w:w="387" w:type="dxa"/>
            <w:gridSpan w:val="4"/>
            <w:tcBorders/>
            <w:shd w:fill="auto" w:val="clear"/>
            <w:vAlign w:val="center"/>
          </w:tcPr>
          <w:p>
            <w:pPr>
              <w:pStyle w:val="TableContents"/>
              <w:spacing w:before="0" w:after="283"/>
              <w:rPr>
                <w:sz w:val="4"/>
                <w:szCs w:val="4"/>
              </w:rPr>
            </w:pPr>
            <w:r>
              <w:rPr>
                <w:sz w:val="4"/>
                <w:szCs w:val="4"/>
              </w:rPr>
            </w:r>
          </w:p>
        </w:tc>
      </w:tr>
      <w:tr>
        <w:trPr/>
        <w:tc>
          <w:tcPr>
            <w:tcW w:w="120"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9.</w:t>
            </w:r>
          </w:p>
        </w:tc>
        <w:tc>
          <w:tcPr>
            <w:tcW w:w="109" w:type="dxa"/>
            <w:tcBorders/>
            <w:shd w:fill="auto" w:val="clear"/>
            <w:vAlign w:val="bottom"/>
          </w:tcPr>
          <w:p>
            <w:pPr>
              <w:pStyle w:val="TableContents"/>
              <w:spacing w:before="0" w:after="283"/>
              <w:rPr/>
            </w:pPr>
            <w:r>
              <w:rPr/>
              <w:t> </w:t>
            </w:r>
          </w:p>
        </w:tc>
        <w:tc>
          <w:tcPr>
            <w:tcW w:w="9589" w:type="dxa"/>
            <w:tcBorders/>
            <w:shd w:fill="auto" w:val="clear"/>
          </w:tcPr>
          <w:p>
            <w:pPr>
              <w:pStyle w:val="TableContents"/>
              <w:spacing w:before="0" w:after="0"/>
              <w:rPr>
                <w:rFonts w:ascii="Times New Roman" w:hAnsi="Times New Roman"/>
                <w:sz w:val="20"/>
              </w:rPr>
            </w:pPr>
            <w:r>
              <w:rPr>
                <w:rFonts w:ascii="Times New Roman" w:hAnsi="Times New Roman"/>
                <w:sz w:val="20"/>
              </w:rPr>
              <w:t>Signing</w:t>
            </w:r>
          </w:p>
        </w:tc>
        <w:tc>
          <w:tcPr>
            <w:tcW w:w="123"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40" w:type="dxa"/>
            <w:tcBorders/>
            <w:shd w:fill="auto" w:val="clear"/>
            <w:vAlign w:val="bottom"/>
          </w:tcPr>
          <w:p>
            <w:pPr>
              <w:pStyle w:val="TableContents"/>
              <w:spacing w:before="0" w:after="283"/>
              <w:jc w:val="right"/>
              <w:rPr/>
            </w:pPr>
            <w:r>
              <w:rPr/>
              <w:t>8</w:t>
            </w:r>
          </w:p>
        </w:tc>
        <w:tc>
          <w:tcPr>
            <w:tcW w:w="64" w:type="dxa"/>
            <w:tcBorders/>
            <w:shd w:fill="auto" w:val="clear"/>
            <w:vAlign w:val="bottom"/>
          </w:tcPr>
          <w:p>
            <w:pPr>
              <w:pStyle w:val="TableContents"/>
              <w:spacing w:before="0" w:after="283"/>
              <w:rPr/>
            </w:pPr>
            <w:r>
              <w:rPr/>
              <w: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THIS AMENDMENT AGREEMENT NO. 3 TO THE INDEPENDENT GUARANTEE AGREEMEN</w:t>
      </w:r>
      <w:r>
        <w:rPr>
          <w:rFonts w:ascii="Times New Roman" w:hAnsi="Times New Roman"/>
          <w:sz w:val="20"/>
        </w:rPr>
        <w:t xml:space="preserve">T (hereinafter — the </w:t>
      </w:r>
      <w:r>
        <w:rPr>
          <w:rFonts w:ascii="Times New Roman" w:hAnsi="Times New Roman"/>
          <w:b/>
          <w:sz w:val="20"/>
        </w:rPr>
        <w:t>Agreement</w:t>
      </w:r>
      <w:r>
        <w:rPr>
          <w:rFonts w:ascii="Times New Roman" w:hAnsi="Times New Roman"/>
          <w:sz w:val="20"/>
        </w:rPr>
        <w:t xml:space="preserve">) is entered into on the 29 of December 2017 by and between: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w:t>
            </w:r>
          </w:p>
        </w:tc>
        <w:tc>
          <w:tcPr>
            <w:tcW w:w="9695" w:type="dxa"/>
            <w:tcBorders/>
            <w:shd w:fill="auto" w:val="clear"/>
          </w:tcPr>
          <w:p>
            <w:pPr>
              <w:pStyle w:val="TableContents"/>
              <w:spacing w:before="0" w:after="283"/>
              <w:jc w:val="left"/>
              <w:rPr/>
            </w:pPr>
            <w:r>
              <w:rPr>
                <w:b/>
              </w:rPr>
              <w:t>ZEMENIK TRADING LIMITED</w:t>
            </w:r>
            <w:r>
              <w:rPr/>
              <w:t xml:space="preserve">, a limited liability company incorporated under the laws of the Republic of Cyprus, registered number HE 332806, address (registered office) of the legal entity: 42 Dositheou, Strovolos 2028, Nicosia, Cyprus, as the guarantor under this Agreement (hereinafter — the </w:t>
            </w:r>
            <w:r>
              <w:rPr>
                <w:b/>
              </w:rPr>
              <w:t>Guarantor</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w:t>
            </w:r>
          </w:p>
        </w:tc>
        <w:tc>
          <w:tcPr>
            <w:tcW w:w="9695" w:type="dxa"/>
            <w:tcBorders/>
            <w:shd w:fill="auto" w:val="clear"/>
          </w:tcPr>
          <w:p>
            <w:pPr>
              <w:pStyle w:val="TableContents"/>
              <w:spacing w:before="0" w:after="283"/>
              <w:jc w:val="left"/>
              <w:rPr/>
            </w:pPr>
            <w:r>
              <w:rPr>
                <w:b/>
              </w:rPr>
              <w:t>LIMITED LIABILITY COMPANY ZEMENIK</w:t>
            </w:r>
            <w:r>
              <w:rPr/>
              <w:t xml:space="preserve">, a limited liability company incorporated under the laws of the Russian Federation, registered with the Unified State Register of Legal Entities of the Russian Federation under number (Primary State Registration Number): 1167746153860, having its registered office at: 4 bld. 1 Akademika Ilyushina St. Office 54, Moscow, Russian Federation, 125319, as the principal under this Agreement and the Borrower under the Facility Agreement (hereinafter — the </w:t>
            </w:r>
            <w:r>
              <w:rPr>
                <w:b/>
              </w:rPr>
              <w:t>Borrower</w:t>
            </w:r>
            <w:r>
              <w:rPr/>
              <w:t xml:space="preserve">);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w:t>
            </w:r>
          </w:p>
        </w:tc>
        <w:tc>
          <w:tcPr>
            <w:tcW w:w="9696" w:type="dxa"/>
            <w:tcBorders/>
            <w:shd w:fill="auto" w:val="clear"/>
          </w:tcPr>
          <w:p>
            <w:pPr>
              <w:pStyle w:val="TableContents"/>
              <w:spacing w:before="0" w:after="283"/>
              <w:jc w:val="left"/>
              <w:rPr/>
            </w:pPr>
            <w:r>
              <w:rPr>
                <w:b/>
              </w:rPr>
              <w:t>VTB BANK (PUBLIC JOINT-STOCK COMPANY)</w:t>
            </w:r>
            <w:r>
              <w:rPr/>
              <w:t xml:space="preserve">, a public joint-stock company incorporated under the laws of the Russian Federation, registered with the Unified State Register of Legal Entities under number (Primary State Registration Number): 1027739609391, having its registered office at: 29 Bolshaya Morskaya St., Saint-Petersburg, Russian Federation, 190000, as the beneficiary under this Agreement and the Facility Agent, Arranger and Initial Lender under the Facility Agreement (hereinafter — the </w:t>
            </w:r>
            <w:r>
              <w:rPr>
                <w:b/>
              </w:rPr>
              <w:t>Initial Lender</w:t>
            </w:r>
            <w:r>
              <w:rPr/>
              <w:t xml:space="preserve"> and </w:t>
            </w:r>
            <w:r>
              <w:rPr>
                <w:b/>
              </w:rPr>
              <w:t>Facility Agent</w:t>
            </w:r>
            <w:r>
              <w:rPr/>
              <w:t xml:space="preserve">). </w:t>
            </w:r>
          </w:p>
        </w:tc>
      </w:tr>
    </w:tbl>
    <w:p>
      <w:pPr>
        <w:pStyle w:val="TextBody"/>
        <w:spacing w:before="240" w:after="0"/>
        <w:rPr>
          <w:rFonts w:ascii="Times New Roman" w:hAnsi="Times New Roman"/>
          <w:b/>
          <w:sz w:val="20"/>
        </w:rPr>
      </w:pPr>
      <w:r>
        <w:rPr>
          <w:rFonts w:ascii="Times New Roman" w:hAnsi="Times New Roman"/>
          <w:b/>
          <w:sz w:val="20"/>
        </w:rPr>
        <w:t xml:space="preserve">RECITALS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(A)</w:t>
            </w:r>
          </w:p>
        </w:tc>
        <w:tc>
          <w:tcPr>
            <w:tcW w:w="9695" w:type="dxa"/>
            <w:tcBorders/>
            <w:shd w:fill="auto" w:val="clear"/>
          </w:tcPr>
          <w:p>
            <w:pPr>
              <w:pStyle w:val="TableContents"/>
              <w:spacing w:before="0" w:after="283"/>
              <w:jc w:val="left"/>
              <w:rPr/>
            </w:pPr>
            <w:r>
              <w:rPr/>
              <w:t xml:space="preserve">The Initial Lender as the facility agent, arranger and initial lender and the Borrower as the borrower entered into the syndicated facility agreement dated the 16th of May 2016 as amended by amendment agreement No. 1 dated the 14th of December 2016, amendment agreement No. 2 dated the 28th of June 2017, amendment agreement No. 3 dated the 5th of October 2017 as well as amendment agreement No. 4 dated the 29 of December 2017 (hereinafter — </w:t>
            </w:r>
            <w:r>
              <w:rPr>
                <w:b/>
              </w:rPr>
              <w:t>Amendment Agreement No.</w:t>
            </w:r>
            <w:r>
              <w:rPr/>
              <w:t> </w:t>
            </w:r>
            <w:r>
              <w:rPr>
                <w:b/>
              </w:rPr>
              <w:t>4</w:t>
            </w:r>
            <w:r>
              <w:rPr/>
              <w:t xml:space="preserve">). By entering into Amendment Agreement No. 4, the Initial Lender and the Borrower agreed to certain consents and to make certain amendments to the Facility Agreement and Amendment Agreement No. 2.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(B)</w:t>
            </w:r>
          </w:p>
        </w:tc>
        <w:tc>
          <w:tcPr>
            <w:tcW w:w="9696" w:type="dxa"/>
            <w:tcBorders/>
            <w:shd w:fill="auto" w:val="clear"/>
          </w:tcPr>
          <w:p>
            <w:pPr>
              <w:pStyle w:val="TableContents"/>
              <w:spacing w:before="0" w:after="283"/>
              <w:jc w:val="left"/>
              <w:rPr/>
            </w:pPr>
            <w:r>
              <w:rPr/>
              <w:t xml:space="preserve">The Parties entered into the independent guarantee agreement dated the 1st of June 2016 as amended by amendment agreement No. 1 dated the 28th of June 2017 and amendment agreement No. 2 dated the 5th of October 2017 (hereinafter — the </w:t>
            </w:r>
            <w:r>
              <w:rPr>
                <w:b/>
              </w:rPr>
              <w:t>Independent Guarantee Agreement</w:t>
            </w:r>
            <w:r>
              <w:rPr/>
              <w:t xml:space="preserve">) and the Guarantor issued the independent guarantee dated the 1st of June 2016, as amended by amendments No. 1 dated the 5th of October 2017, in favour of the Initial Lender in conformity with the Guarantee Agreement (hereinafter — the </w:t>
            </w:r>
            <w:r>
              <w:rPr>
                <w:b/>
              </w:rPr>
              <w:t>Guarantee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(C)</w:t>
            </w:r>
          </w:p>
        </w:tc>
        <w:tc>
          <w:tcPr>
            <w:tcW w:w="9695" w:type="dxa"/>
            <w:tcBorders/>
            <w:shd w:fill="auto" w:val="clear"/>
          </w:tcPr>
          <w:p>
            <w:pPr>
              <w:pStyle w:val="TableContents"/>
              <w:spacing w:before="0" w:after="283"/>
              <w:jc w:val="left"/>
              <w:rPr/>
            </w:pPr>
            <w:r>
              <w:rPr/>
              <w:t xml:space="preserve">The Guarantor hereby acknowledges that it is acquainted with all the terms and conditions of Amendment Agreement No. 4 and shall not be entitled to refer to its unawareness of such terms and conditions.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(D)</w:t>
            </w:r>
          </w:p>
        </w:tc>
        <w:tc>
          <w:tcPr>
            <w:tcW w:w="9695" w:type="dxa"/>
            <w:tcBorders/>
            <w:shd w:fill="auto" w:val="clear"/>
          </w:tcPr>
          <w:p>
            <w:pPr>
              <w:pStyle w:val="TableContents"/>
              <w:spacing w:before="0" w:after="283"/>
              <w:jc w:val="left"/>
              <w:rPr/>
            </w:pPr>
            <w:r>
              <w:rPr/>
              <w:t xml:space="preserve">For the purposes of securing the Borrower’s obligations under the Facility Agreement as amended by Amendment Agreement No. 4, the Parties have hereby agreed to amend the Independent Guarantee Agreement as provided in this Agreement. </w:t>
            </w:r>
          </w:p>
        </w:tc>
      </w:tr>
    </w:tbl>
    <w:p>
      <w:pPr>
        <w:pStyle w:val="TextBody"/>
        <w:spacing w:before="240" w:after="0"/>
        <w:rPr>
          <w:rFonts w:ascii="Times New Roman" w:hAnsi="Times New Roman"/>
          <w:sz w:val="20"/>
        </w:rPr>
      </w:pPr>
      <w:r>
        <w:rPr>
          <w:rFonts w:ascii="Times New Roman" w:hAnsi="Times New Roman"/>
          <w:b/>
          <w:sz w:val="20"/>
        </w:rPr>
        <w:t>THE PARTIES HAVE AGREED</w:t>
      </w:r>
      <w:r>
        <w:rPr>
          <w:rFonts w:ascii="Times New Roman" w:hAnsi="Times New Roman"/>
          <w:sz w:val="20"/>
        </w:rPr>
        <w:t xml:space="preserve"> as follows: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pPr>
            <w:r>
              <w:rPr/>
              <w:t>1.</w:t>
            </w:r>
          </w:p>
        </w:tc>
        <w:tc>
          <w:tcPr>
            <w:tcW w:w="9698" w:type="dxa"/>
            <w:tcBorders/>
            <w:shd w:fill="auto" w:val="clear"/>
          </w:tcPr>
          <w:p>
            <w:pPr>
              <w:pStyle w:val="TableContents"/>
              <w:spacing w:before="0" w:after="283"/>
              <w:jc w:val="left"/>
              <w:rPr/>
            </w:pPr>
            <w:r>
              <w:rPr>
                <w:b/>
              </w:rPr>
              <w:t>DEFINITIONS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1.1</w:t>
            </w:r>
          </w:p>
        </w:tc>
        <w:tc>
          <w:tcPr>
            <w:tcW w:w="9694" w:type="dxa"/>
            <w:tcBorders/>
            <w:shd w:fill="auto" w:val="clear"/>
          </w:tcPr>
          <w:p>
            <w:pPr>
              <w:pStyle w:val="TableContents"/>
              <w:spacing w:before="0" w:after="283"/>
              <w:jc w:val="left"/>
              <w:rPr/>
            </w:pPr>
            <w:r>
              <w:rPr>
                <w:b/>
              </w:rPr>
              <w:t>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In this Agreement: </w:t>
      </w:r>
    </w:p>
    <w:p>
      <w:pPr>
        <w:pStyle w:val="TextBody"/>
        <w:spacing w:before="120" w:after="0"/>
        <w:rPr>
          <w:rFonts w:ascii="Times New Roman" w:hAnsi="Times New Roman"/>
          <w:sz w:val="20"/>
        </w:rPr>
      </w:pPr>
      <w:r>
        <w:rPr>
          <w:rFonts w:ascii="Times New Roman" w:hAnsi="Times New Roman"/>
          <w:b/>
          <w:sz w:val="20"/>
        </w:rPr>
        <w:t>Effective Date</w:t>
      </w:r>
      <w:r>
        <w:rPr>
          <w:rFonts w:ascii="Times New Roman" w:hAnsi="Times New Roman"/>
          <w:sz w:val="20"/>
        </w:rPr>
        <w:t xml:space="preserve"> shall have the meaning provided in paragraph (a) of Clause 4 (</w:t>
      </w:r>
      <w:r>
        <w:rPr>
          <w:rFonts w:ascii="Times New Roman" w:hAnsi="Times New Roman"/>
          <w:i/>
          <w:sz w:val="20"/>
        </w:rPr>
        <w:t>Limitations</w:t>
      </w:r>
      <w:r>
        <w:rPr>
          <w:rFonts w:ascii="Times New Roman" w:hAnsi="Times New Roman"/>
          <w:sz w:val="20"/>
        </w:rPr>
        <w:t xml:space="preserve">). </w:t>
      </w:r>
    </w:p>
    <w:p>
      <w:pPr>
        <w:pStyle w:val="TextBody"/>
        <w:spacing w:before="120" w:after="0"/>
        <w:rPr>
          <w:rFonts w:ascii="Times New Roman" w:hAnsi="Times New Roman"/>
          <w:sz w:val="20"/>
        </w:rPr>
      </w:pPr>
      <w:r>
        <w:rPr>
          <w:rFonts w:ascii="Times New Roman" w:hAnsi="Times New Roman"/>
          <w:b/>
          <w:sz w:val="20"/>
        </w:rPr>
        <w:t>Amendment Agreement No.</w:t>
      </w:r>
      <w:r>
        <w:rPr>
          <w:rFonts w:ascii="Times New Roman" w:hAnsi="Times New Roman"/>
          <w:sz w:val="20"/>
        </w:rPr>
        <w:t> </w:t>
      </w:r>
      <w:r>
        <w:rPr>
          <w:rFonts w:ascii="Times New Roman" w:hAnsi="Times New Roman"/>
          <w:b/>
          <w:sz w:val="20"/>
        </w:rPr>
        <w:t>4</w:t>
      </w:r>
      <w:r>
        <w:rPr>
          <w:rFonts w:ascii="Times New Roman" w:hAnsi="Times New Roman"/>
          <w:sz w:val="20"/>
        </w:rPr>
        <w:t xml:space="preserve"> shall have the meaning provided in paragraph (A) of the Recitals.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3 </w:t>
      </w:r>
      <w:r>
        <w:br w:type="page"/>
      </w:r>
    </w:p>
    <w:p>
      <w:pPr>
        <w:pStyle w:val="HorizontalLine"/>
        <w:pBdr>
          <w:bottom w:val="double" w:sz="6" w:space="0" w:color="808080"/>
        </w:pBdr>
        <w:rPr/>
      </w:pPr>
      <w:r>
        <w:rPr/>
      </w:r>
    </w:p>
    <w:p>
      <w:pPr>
        <w:pStyle w:val="TextBody"/>
        <w:spacing w:before="0" w:after="0"/>
        <w:rPr>
          <w:rFonts w:ascii="Times New Roman" w:hAnsi="Times New Roman"/>
          <w:sz w:val="20"/>
        </w:rPr>
      </w:pPr>
      <w:r>
        <w:rPr>
          <w:rFonts w:ascii="Times New Roman" w:hAnsi="Times New Roman"/>
          <w:b/>
          <w:sz w:val="20"/>
        </w:rPr>
        <w:t>Longstop Effective Date</w:t>
      </w:r>
      <w:r>
        <w:rPr>
          <w:rFonts w:ascii="Times New Roman" w:hAnsi="Times New Roman"/>
          <w:sz w:val="20"/>
        </w:rPr>
        <w:t xml:space="preserve"> shall mean a date falling in sixty (60) days of Amendment Agreement No. 4 date. </w:t>
      </w:r>
    </w:p>
    <w:p>
      <w:pPr>
        <w:pStyle w:val="TextBody"/>
        <w:spacing w:before="120" w:after="0"/>
        <w:rPr>
          <w:rFonts w:ascii="Times New Roman" w:hAnsi="Times New Roman"/>
          <w:sz w:val="20"/>
        </w:rPr>
      </w:pPr>
      <w:r>
        <w:rPr>
          <w:rFonts w:ascii="Times New Roman" w:hAnsi="Times New Roman"/>
          <w:sz w:val="20"/>
        </w:rPr>
        <w:t xml:space="preserve">A </w:t>
      </w:r>
      <w:r>
        <w:rPr>
          <w:rFonts w:ascii="Times New Roman" w:hAnsi="Times New Roman"/>
          <w:b/>
          <w:sz w:val="20"/>
        </w:rPr>
        <w:t>Party</w:t>
      </w:r>
      <w:r>
        <w:rPr>
          <w:rFonts w:ascii="Times New Roman" w:hAnsi="Times New Roman"/>
          <w:sz w:val="20"/>
        </w:rPr>
        <w:t xml:space="preserve"> shall mean a party to this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1.2</w:t>
            </w:r>
          </w:p>
        </w:tc>
        <w:tc>
          <w:tcPr>
            <w:tcW w:w="9694" w:type="dxa"/>
            <w:tcBorders/>
            <w:shd w:fill="auto" w:val="clear"/>
          </w:tcPr>
          <w:p>
            <w:pPr>
              <w:pStyle w:val="TableContents"/>
              <w:spacing w:before="0" w:after="283"/>
              <w:jc w:val="left"/>
              <w:rPr/>
            </w:pPr>
            <w:r>
              <w:rPr>
                <w:b/>
              </w:rPr>
              <w:t>Incorporated terms</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Unless otherwise required by the context, the capitalized terms that are used in the Facility Agreement and Independent Guarantee Agreement and that are not defined in this Agreement shall have the same meanings as in the Facility Agreement and Independent Guarantee Agreement.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9694"/>
      </w:tblGrid>
      <w:tr>
        <w:trPr/>
        <w:tc>
          <w:tcPr>
            <w:tcW w:w="510" w:type="dxa"/>
            <w:tcBorders/>
            <w:shd w:fill="auto" w:val="clear"/>
          </w:tcPr>
          <w:p>
            <w:pPr>
              <w:pStyle w:val="TableContents"/>
              <w:spacing w:before="0" w:after="283"/>
              <w:jc w:val="left"/>
              <w:rPr/>
            </w:pPr>
            <w:r>
              <w:rPr/>
              <w:t>1.3</w:t>
            </w:r>
          </w:p>
        </w:tc>
        <w:tc>
          <w:tcPr>
            <w:tcW w:w="9694" w:type="dxa"/>
            <w:tcBorders/>
            <w:shd w:fill="auto" w:val="clear"/>
          </w:tcPr>
          <w:p>
            <w:pPr>
              <w:pStyle w:val="TableContents"/>
              <w:spacing w:before="0" w:after="283"/>
              <w:jc w:val="left"/>
              <w:rPr/>
            </w:pPr>
            <w:r>
              <w:rPr>
                <w:b/>
              </w:rPr>
              <w:t>Construction</w:t>
            </w:r>
            <w:r>
              <w:rPr/>
              <w:t xml:space="preserve"> </w:t>
            </w:r>
          </w:p>
        </w:tc>
      </w:tr>
    </w:tbl>
    <w:p>
      <w:pPr>
        <w:pStyle w:val="TextBody"/>
        <w:spacing w:before="120" w:after="0"/>
        <w:rPr>
          <w:rFonts w:ascii="Times New Roman" w:hAnsi="Times New Roman"/>
          <w:sz w:val="20"/>
        </w:rPr>
      </w:pPr>
      <w:r>
        <w:rPr>
          <w:rFonts w:ascii="Times New Roman" w:hAnsi="Times New Roman"/>
          <w:sz w:val="20"/>
        </w:rPr>
        <w:t>The provisions of Clause 1.2 (</w:t>
      </w:r>
      <w:r>
        <w:rPr>
          <w:rFonts w:ascii="Times New Roman" w:hAnsi="Times New Roman"/>
          <w:i/>
          <w:sz w:val="20"/>
        </w:rPr>
        <w:t>Interpretation</w:t>
      </w:r>
      <w:r>
        <w:rPr>
          <w:rFonts w:ascii="Times New Roman" w:hAnsi="Times New Roman"/>
          <w:sz w:val="20"/>
        </w:rPr>
        <w:t xml:space="preserve">) of the Facility Agreement shall apply to this Agreement as if they were set out in this Agreement and references to Clauses, paragraphs and Exhibits shall be deemed to be to the Clauses, paragraphs and exhibits of this Agreement unless otherwise required by the context.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1.4</w:t>
            </w:r>
          </w:p>
        </w:tc>
        <w:tc>
          <w:tcPr>
            <w:tcW w:w="9695" w:type="dxa"/>
            <w:tcBorders/>
            <w:shd w:fill="auto" w:val="clear"/>
          </w:tcPr>
          <w:p>
            <w:pPr>
              <w:pStyle w:val="TableContents"/>
              <w:spacing w:before="0" w:after="283"/>
              <w:jc w:val="left"/>
              <w:rPr/>
            </w:pPr>
            <w:r>
              <w:rPr>
                <w:b/>
              </w:rPr>
              <w:t>Designation</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is a Finance Document.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2.</w:t>
            </w:r>
          </w:p>
        </w:tc>
        <w:tc>
          <w:tcPr>
            <w:tcW w:w="9697" w:type="dxa"/>
            <w:tcBorders/>
            <w:shd w:fill="auto" w:val="clear"/>
          </w:tcPr>
          <w:p>
            <w:pPr>
              <w:pStyle w:val="TableContents"/>
              <w:spacing w:before="0" w:after="283"/>
              <w:jc w:val="left"/>
              <w:rPr/>
            </w:pPr>
            <w:r>
              <w:rPr>
                <w:b/>
              </w:rPr>
              <w:t>CONSENTS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2.1</w:t>
            </w:r>
          </w:p>
        </w:tc>
        <w:tc>
          <w:tcPr>
            <w:tcW w:w="9695" w:type="dxa"/>
            <w:tcBorders/>
            <w:shd w:fill="auto" w:val="clear"/>
          </w:tcPr>
          <w:p>
            <w:pPr>
              <w:pStyle w:val="TableContents"/>
              <w:spacing w:before="0" w:after="283"/>
              <w:jc w:val="left"/>
              <w:rPr/>
            </w:pPr>
            <w:r>
              <w:rPr/>
              <w:t xml:space="preserve">Subject to occurrence of the Effective Date, the Parties have agreed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7" w:type="dxa"/>
            <w:tcBorders/>
            <w:shd w:fill="auto" w:val="clear"/>
          </w:tcPr>
          <w:p>
            <w:pPr>
              <w:pStyle w:val="TableContents"/>
              <w:spacing w:before="0" w:after="283"/>
              <w:jc w:val="left"/>
              <w:rPr/>
            </w:pPr>
            <w:r>
              <w:rPr>
                <w:b/>
              </w:rPr>
              <w:t>splitting of the shares:</w:t>
            </w:r>
            <w:r>
              <w:rPr/>
              <w:t xml:space="preserve"> for the purposes of Clause 19.11 (</w:t>
            </w:r>
            <w:r>
              <w:rPr>
                <w:i/>
              </w:rPr>
              <w:t>Amendments to the Constituent Documents</w:t>
            </w:r>
            <w:r>
              <w:rPr/>
              <w:t>) of the Facility Agreement and paragraph (z) (</w:t>
            </w:r>
            <w:r>
              <w:rPr>
                <w:i/>
              </w:rPr>
              <w:t>Amendments to the Constituent Documents</w:t>
            </w:r>
            <w:r>
              <w:rPr/>
              <w:t>) of Clause 4 (</w:t>
            </w:r>
            <w:r>
              <w:rPr>
                <w:i/>
              </w:rPr>
              <w:t>Guarantor’s Obligations</w:t>
            </w:r>
            <w:r>
              <w:rPr/>
              <w:t xml:space="preserve">) of the Independent Guarantee Agreement, the Facility Agent hereby gives its consent to splitting of each share of the Guarantor in the ratio of 1:500 (each existing share with the nominal value of one Euro will be converted into five hundred (500) shares with the nominal value of zero point two thousandths (0.002) Euro each), provided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09"/>
        <w:gridCol w:w="8576"/>
      </w:tblGrid>
      <w:tr>
        <w:trPr/>
        <w:tc>
          <w:tcPr>
            <w:tcW w:w="1019" w:type="dxa"/>
            <w:tcBorders/>
            <w:shd w:fill="auto" w:val="clear"/>
            <w:vAlign w:val="center"/>
          </w:tcPr>
          <w:p>
            <w:pPr>
              <w:pStyle w:val="TableContents"/>
              <w:spacing w:before="0" w:after="283"/>
              <w:rPr/>
            </w:pPr>
            <w:r>
              <w:rPr/>
              <w:t> </w:t>
            </w:r>
          </w:p>
        </w:tc>
        <w:tc>
          <w:tcPr>
            <w:tcW w:w="609"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 xml:space="preserve">after splitting the shares are distributed between the current shareholders of the Guarantor and the current percentage ratio will be preserved: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0"/>
        <w:gridCol w:w="8063"/>
      </w:tblGrid>
      <w:tr>
        <w:trPr/>
        <w:tc>
          <w:tcPr>
            <w:tcW w:w="1631"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3" w:type="dxa"/>
            <w:tcBorders/>
            <w:shd w:fill="auto" w:val="clear"/>
          </w:tcPr>
          <w:p>
            <w:pPr>
              <w:pStyle w:val="TableContents"/>
              <w:spacing w:before="0" w:after="283"/>
              <w:jc w:val="left"/>
              <w:rPr/>
            </w:pPr>
            <w:r>
              <w:rPr/>
              <w:t xml:space="preserve">60% of the shares are held by Highworld;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8062" w:type="dxa"/>
            <w:tcBorders/>
            <w:shd w:fill="auto" w:val="clear"/>
          </w:tcPr>
          <w:p>
            <w:pPr>
              <w:pStyle w:val="TableContents"/>
              <w:spacing w:before="0" w:after="283"/>
              <w:jc w:val="left"/>
              <w:rPr/>
            </w:pPr>
            <w:r>
              <w:rPr/>
              <w:t xml:space="preserve">40% of the shares are held by ELQ VIII Investors Limited;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the Guarantor provides (or ensures that the Borrower will provide) the Facility Agent with the following documents within fifteen (15) Business Days after completion of the share splitting procedure: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certified copies of all Guarantor’s share certificates;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3"/>
        <w:gridCol w:w="508"/>
        <w:gridCol w:w="8063"/>
      </w:tblGrid>
      <w:tr>
        <w:trPr/>
        <w:tc>
          <w:tcPr>
            <w:tcW w:w="1633"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(B)</w:t>
            </w:r>
          </w:p>
        </w:tc>
        <w:tc>
          <w:tcPr>
            <w:tcW w:w="8063" w:type="dxa"/>
            <w:tcBorders/>
            <w:shd w:fill="auto" w:val="clear"/>
          </w:tcPr>
          <w:p>
            <w:pPr>
              <w:pStyle w:val="TableContents"/>
              <w:spacing w:before="0" w:after="283"/>
              <w:jc w:val="left"/>
              <w:rPr/>
            </w:pPr>
            <w:r>
              <w:rPr/>
              <w:t xml:space="preserve">certified copy of the Guarantor’s register of shareholders;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11"/>
        <w:gridCol w:w="8062"/>
      </w:tblGrid>
      <w:tr>
        <w:trPr/>
        <w:tc>
          <w:tcPr>
            <w:tcW w:w="1631" w:type="dxa"/>
            <w:tcBorders/>
            <w:shd w:fill="auto" w:val="clear"/>
            <w:vAlign w:val="center"/>
          </w:tcPr>
          <w:p>
            <w:pPr>
              <w:pStyle w:val="TableContents"/>
              <w:spacing w:before="0" w:after="283"/>
              <w:rPr/>
            </w:pPr>
            <w:r>
              <w:rPr/>
              <w:t> </w:t>
            </w:r>
          </w:p>
        </w:tc>
        <w:tc>
          <w:tcPr>
            <w:tcW w:w="511" w:type="dxa"/>
            <w:tcBorders/>
            <w:shd w:fill="auto" w:val="clear"/>
          </w:tcPr>
          <w:p>
            <w:pPr>
              <w:pStyle w:val="TableContents"/>
              <w:spacing w:before="0" w:after="283"/>
              <w:jc w:val="left"/>
              <w:rPr/>
            </w:pPr>
            <w:r>
              <w:rPr/>
              <w:t>(C)</w:t>
            </w:r>
          </w:p>
        </w:tc>
        <w:tc>
          <w:tcPr>
            <w:tcW w:w="8062" w:type="dxa"/>
            <w:tcBorders/>
            <w:shd w:fill="auto" w:val="clear"/>
          </w:tcPr>
          <w:p>
            <w:pPr>
              <w:pStyle w:val="TableContents"/>
              <w:spacing w:before="0" w:after="283"/>
              <w:jc w:val="left"/>
              <w:rPr/>
            </w:pPr>
            <w:r>
              <w:rPr/>
              <w:t xml:space="preserve">other documents as may be requested by the Facility Agent acting reasonably in order to confirm that the provisions of this Clause have been duly fulfilled;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4" w:type="dxa"/>
            <w:tcBorders/>
            <w:shd w:fill="auto" w:val="clear"/>
          </w:tcPr>
          <w:p>
            <w:pPr>
              <w:pStyle w:val="TableContents"/>
              <w:spacing w:before="0" w:after="283"/>
              <w:jc w:val="left"/>
              <w:rPr/>
            </w:pPr>
            <w:r>
              <w:rPr>
                <w:b/>
              </w:rPr>
              <w:t>change of the form and name:</w:t>
            </w:r>
            <w:r>
              <w:rPr/>
              <w:t xml:space="preserve"> for the purposes of Clause 19.11 (</w:t>
            </w:r>
            <w:r>
              <w:rPr>
                <w:i/>
              </w:rPr>
              <w:t>Amendments to the Constituent Documents</w:t>
            </w:r>
            <w:r>
              <w:rPr/>
              <w:t>) of the Facility Agreement and paragraph (z) (</w:t>
            </w:r>
            <w:r>
              <w:rPr>
                <w:i/>
              </w:rPr>
              <w:t>Amendments to the Constituent Documents</w:t>
            </w:r>
            <w:r>
              <w:rPr/>
              <w:t>) of Clause 4 (</w:t>
            </w:r>
            <w:r>
              <w:rPr>
                <w:i/>
              </w:rPr>
              <w:t>Guarantor’s Obligations</w:t>
            </w:r>
            <w:r>
              <w:rPr/>
              <w:t xml:space="preserve">) of the Independent Guarantee Agreement, the Facility Agent hereby gives its consent to the following actions: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w:t>
            </w:r>
          </w:p>
        </w:tc>
        <w:tc>
          <w:tcPr>
            <w:tcW w:w="8574" w:type="dxa"/>
            <w:tcBorders/>
            <w:shd w:fill="auto" w:val="clear"/>
          </w:tcPr>
          <w:p>
            <w:pPr>
              <w:pStyle w:val="TableContents"/>
              <w:spacing w:before="0" w:after="283"/>
              <w:jc w:val="left"/>
              <w:rPr/>
            </w:pPr>
            <w:r>
              <w:rPr/>
              <w:t xml:space="preserve">change of the Guarantor’s business legal structure from the private limited liability company to the public limited liability company;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change of the Guarantor’s name to “HeadHunter Group PLC”;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20"/>
        <w:gridCol w:w="612"/>
        <w:gridCol w:w="8572"/>
      </w:tblGrid>
      <w:tr>
        <w:trPr/>
        <w:tc>
          <w:tcPr>
            <w:tcW w:w="1020"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2" w:type="dxa"/>
            <w:tcBorders/>
            <w:shd w:fill="auto" w:val="clear"/>
          </w:tcPr>
          <w:p>
            <w:pPr>
              <w:pStyle w:val="TableContents"/>
              <w:spacing w:before="0" w:after="283"/>
              <w:jc w:val="left"/>
              <w:rPr/>
            </w:pPr>
            <w:r>
              <w:rPr/>
              <w:t xml:space="preserve">making changes to the articles of association of the Guarantor (adopting the restated articles of association), provided that the Guarantor provides (or ensures that the Borrower will provide) the Facility Agent with the following documents within fifteen (15) Business Days after completion of the said changes registration: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4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632"/>
        <w:gridCol w:w="510"/>
        <w:gridCol w:w="8062"/>
      </w:tblGrid>
      <w:tr>
        <w:trPr/>
        <w:tc>
          <w:tcPr>
            <w:tcW w:w="1632"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8062" w:type="dxa"/>
            <w:tcBorders/>
            <w:shd w:fill="auto" w:val="clear"/>
          </w:tcPr>
          <w:p>
            <w:pPr>
              <w:pStyle w:val="TableContents"/>
              <w:spacing w:before="0" w:after="283"/>
              <w:jc w:val="left"/>
              <w:rPr/>
            </w:pPr>
            <w:r>
              <w:rPr/>
              <w:t xml:space="preserve">certified copies of all Guarantor’s constituent documents;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631"/>
        <w:gridCol w:w="509"/>
        <w:gridCol w:w="8064"/>
      </w:tblGrid>
      <w:tr>
        <w:trPr/>
        <w:tc>
          <w:tcPr>
            <w:tcW w:w="1631"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8064" w:type="dxa"/>
            <w:tcBorders/>
            <w:shd w:fill="auto" w:val="clear"/>
          </w:tcPr>
          <w:p>
            <w:pPr>
              <w:pStyle w:val="TableContents"/>
              <w:spacing w:before="0" w:after="283"/>
              <w:jc w:val="left"/>
              <w:rPr/>
            </w:pPr>
            <w:r>
              <w:rPr/>
              <w:t xml:space="preserve">updated Group Structure Chart certified by the Borrower’s head.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(c)</w:t>
            </w:r>
          </w:p>
        </w:tc>
        <w:tc>
          <w:tcPr>
            <w:tcW w:w="9184" w:type="dxa"/>
            <w:tcBorders/>
            <w:shd w:fill="auto" w:val="clear"/>
          </w:tcPr>
          <w:p>
            <w:pPr>
              <w:pStyle w:val="TableContents"/>
              <w:spacing w:before="0" w:after="283"/>
              <w:jc w:val="left"/>
              <w:rPr/>
            </w:pPr>
            <w:r>
              <w:rPr>
                <w:b/>
              </w:rPr>
              <w:t>additional issue of shares:</w:t>
            </w:r>
            <w:r>
              <w:rPr/>
              <w:t xml:space="preserve"> for the purposes of Clauses 19.10 (</w:t>
            </w:r>
            <w:r>
              <w:rPr>
                <w:i/>
              </w:rPr>
              <w:t>Issue of New Shares or Increase of the Charter Capital</w:t>
            </w:r>
            <w:r>
              <w:rPr/>
              <w:t>), 19.22 (</w:t>
            </w:r>
            <w:r>
              <w:rPr>
                <w:i/>
              </w:rPr>
              <w:t>Zemenik Trading Obligations</w:t>
            </w:r>
            <w:r>
              <w:rPr/>
              <w:t>) of the Facility Agreement and paragraph (y) (</w:t>
            </w:r>
            <w:r>
              <w:rPr>
                <w:i/>
              </w:rPr>
              <w:t>Issue of New Shares or Increase of the Charter Capital</w:t>
            </w:r>
            <w:r>
              <w:rPr/>
              <w:t>) of Clause 4 (</w:t>
            </w:r>
            <w:r>
              <w:rPr>
                <w:i/>
              </w:rPr>
              <w:t>Guarantor’s Obligations</w:t>
            </w:r>
            <w:r>
              <w:rPr/>
              <w:t xml:space="preserve">) of the Independent Guarantee Agreement, the Facility Agent hereby gives its consent to the Guarantor issuing and offering to the general public by way of a public offer of no more than thirty million (30,000,000) additional shares with the nominal value of zero point two thousandths (0.002) Euro each) (hereinafter — </w:t>
            </w:r>
            <w:r>
              <w:rPr>
                <w:b/>
              </w:rPr>
              <w:t>the Offering</w:t>
            </w:r>
            <w:r>
              <w:rPr/>
              <w:t xml:space="preserve">) making up no more than thirty seven point five (37.5) per cent of the Guarantor’s charter capital following the Offering, provided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the Guarantor’s share splitting procedure envisaged by paragraph (a) above has been duly completed and all the conditions envisaged by paragraph (a) above have been fulfilled to the satisfaction of the Facility Agent prior to commencement of an additional issue of shares;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the Guarantor provides (or ensures that the Borrower will provide) the Facility Agent within fifteen (15) Business Days after completion of an additional issue of shares the documents as may be requested by the Facility Agent acting reasonably in order to confirm that the provisions of this Clause have been duly fulfilled;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b/>
              </w:rPr>
              <w:t>guarantees:</w:t>
            </w:r>
            <w:r>
              <w:rPr/>
              <w:t xml:space="preserve"> for the purposes of Clause 19.7 (</w:t>
            </w:r>
            <w:r>
              <w:rPr>
                <w:i/>
              </w:rPr>
              <w:t>Provision of Guarantees and Suretyships</w:t>
            </w:r>
            <w:r>
              <w:rPr/>
              <w:t>) of the Facility Agreement and paragraph (m) (</w:t>
            </w:r>
            <w:r>
              <w:rPr>
                <w:i/>
              </w:rPr>
              <w:t>Provision of Guarantees and Suretyships</w:t>
            </w:r>
            <w:r>
              <w:rPr/>
              <w:t>) of Clause 4 (</w:t>
            </w:r>
            <w:r>
              <w:rPr>
                <w:i/>
              </w:rPr>
              <w:t>Guarantor</w:t>
            </w:r>
            <w:r>
              <w:rPr/>
              <w:t>’</w:t>
            </w:r>
            <w:r>
              <w:rPr>
                <w:i/>
              </w:rPr>
              <w:t>s Obligations</w:t>
            </w:r>
            <w:r>
              <w:rPr/>
              <w:t xml:space="preserve">) of the Independent Guarantee Agreement, the Facility Agent hereby gives its consent to the Guarantor providing indemnities in favour of the Offering arranger banks, depository bank appointed in connection with the Offering and/or The Depository Trust Company for the purpose of conducting the Offering in order to cover potential losses and expenses connected with mistakes and incompletely disclosed information provided in the Offering prospectus (hereinafter — </w:t>
            </w:r>
            <w:r>
              <w:rPr>
                <w:b/>
              </w:rPr>
              <w:t>the Unlimited Guarantee</w:t>
            </w:r>
            <w:r>
              <w:rPr/>
              <w:t xml:space="preserve">), provided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5" w:type="dxa"/>
            <w:tcBorders/>
            <w:shd w:fill="auto" w:val="clear"/>
          </w:tcPr>
          <w:p>
            <w:pPr>
              <w:pStyle w:val="TableContents"/>
              <w:spacing w:before="0" w:after="283"/>
              <w:jc w:val="left"/>
              <w:rPr/>
            </w:pPr>
            <w:r>
              <w:rPr/>
              <w:t xml:space="preserve">the Offering takes place until 30 December 2018;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0"/>
        <w:gridCol w:w="8575"/>
      </w:tblGrid>
      <w:tr>
        <w:trPr/>
        <w:tc>
          <w:tcPr>
            <w:tcW w:w="1019"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(ii)</w:t>
            </w:r>
          </w:p>
        </w:tc>
        <w:tc>
          <w:tcPr>
            <w:tcW w:w="8575" w:type="dxa"/>
            <w:tcBorders/>
            <w:shd w:fill="auto" w:val="clear"/>
          </w:tcPr>
          <w:p>
            <w:pPr>
              <w:pStyle w:val="TableContents"/>
              <w:spacing w:before="0" w:after="283"/>
              <w:jc w:val="left"/>
              <w:rPr/>
            </w:pPr>
            <w:r>
              <w:rPr/>
              <w:t xml:space="preserve">the Guarantor provides (or ensures that the Borrower will provide) the Facility Agent within fifteen (15) Business Days after provision of the Unlimited Guarantee a certified extract from the document containing the Unlimited Guarantee and in case of making amendments to the Unlimited Guarantee within fifteen (15) Business Days after making of such amendments – a certified extract from the document containing such amendments;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4" w:type="dxa"/>
            <w:tcBorders/>
            <w:shd w:fill="auto" w:val="clear"/>
          </w:tcPr>
          <w:p>
            <w:pPr>
              <w:pStyle w:val="TableContents"/>
              <w:spacing w:before="0" w:after="283"/>
              <w:jc w:val="left"/>
              <w:rPr/>
            </w:pPr>
            <w:r>
              <w:rPr>
                <w:b/>
              </w:rPr>
              <w:t>decrease of the Guarantor’s capital paid-in in excess of par value:</w:t>
            </w:r>
            <w:r>
              <w:rPr/>
              <w:t xml:space="preserve"> for the purposes of Clause 19.9 (</w:t>
            </w:r>
            <w:r>
              <w:rPr>
                <w:i/>
              </w:rPr>
              <w:t>Reorganisation and Decrease of the Charter Capital</w:t>
            </w:r>
            <w:r>
              <w:rPr/>
              <w:t>) of the Facility Agreement and paragraph (x) (</w:t>
            </w:r>
            <w:r>
              <w:rPr>
                <w:i/>
              </w:rPr>
              <w:t>Reorganisation and Decrease of the Charter Capital</w:t>
            </w:r>
            <w:r>
              <w:rPr/>
              <w:t>) of Clause 4 (</w:t>
            </w:r>
            <w:r>
              <w:rPr>
                <w:i/>
              </w:rPr>
              <w:t>Guarantor</w:t>
            </w:r>
            <w:r>
              <w:rPr/>
              <w:t>’</w:t>
            </w:r>
            <w:r>
              <w:rPr>
                <w:i/>
              </w:rPr>
              <w:t>s Obligations</w:t>
            </w:r>
            <w:r>
              <w:rPr/>
              <w:t>) of the Independent Guarantee Agreement, the Facility Agent hereby gives its consent to decrease of the account of the decrease of the Guarantor’s capital paid-in in excess of par value (managed in accordance with Section 55 of Chapter 113 of the Companies Act of the Republic of Cyprus) in the amount of 1,422,874,344.59 (one billion four hundred twenty two million eight hundred seventy four thousand three hundred forty four and 59/100) roubles (in addition to the decrease in capital paid-in in excess of par value in the amount of 2,000,000,000 (two billion) roubles authorized in accordance with paragraph (iii) of Article 19.9 (</w:t>
            </w:r>
            <w:r>
              <w:rPr>
                <w:i/>
              </w:rPr>
              <w:t>Reorganization and decrease of the capital paid-in in excess of par value</w:t>
            </w:r>
            <w:r>
              <w:rPr/>
              <w:t>) of the Loan Agreement and subparagraph (x) (</w:t>
            </w:r>
            <w:r>
              <w:rPr>
                <w:i/>
              </w:rPr>
              <w:t>reorganization and decrease of capital paid-in in excess of par value</w:t>
            </w:r>
            <w:r>
              <w:rPr/>
              <w:t>) of Article 4 (</w:t>
            </w:r>
            <w:r>
              <w:rPr>
                <w:i/>
              </w:rPr>
              <w:t>obligations of the Guarantor</w:t>
            </w:r>
            <w:r>
              <w:rPr/>
              <w:t xml:space="preserve">) of the Independent Guarantee Agreement), provided that: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5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1018"/>
        <w:gridCol w:w="610"/>
        <w:gridCol w:w="8576"/>
      </w:tblGrid>
      <w:tr>
        <w:trPr/>
        <w:tc>
          <w:tcPr>
            <w:tcW w:w="1018" w:type="dxa"/>
            <w:tcBorders/>
            <w:shd w:fill="auto" w:val="clear"/>
            <w:vAlign w:val="center"/>
          </w:tcPr>
          <w:p>
            <w:pPr>
              <w:pStyle w:val="TableContents"/>
              <w:spacing w:before="0" w:after="283"/>
              <w:rPr/>
            </w:pPr>
            <w:r>
              <w:rPr/>
              <w:t> </w:t>
            </w:r>
          </w:p>
        </w:tc>
        <w:tc>
          <w:tcPr>
            <w:tcW w:w="610" w:type="dxa"/>
            <w:tcBorders/>
            <w:shd w:fill="auto" w:val="clear"/>
          </w:tcPr>
          <w:p>
            <w:pPr>
              <w:pStyle w:val="TableContents"/>
              <w:spacing w:before="0" w:after="283"/>
              <w:jc w:val="left"/>
              <w:rPr/>
            </w:pPr>
            <w:r>
              <w:rPr/>
              <w:t>(i)</w:t>
            </w:r>
          </w:p>
        </w:tc>
        <w:tc>
          <w:tcPr>
            <w:tcW w:w="8576" w:type="dxa"/>
            <w:tcBorders/>
            <w:shd w:fill="auto" w:val="clear"/>
          </w:tcPr>
          <w:p>
            <w:pPr>
              <w:pStyle w:val="TableContents"/>
              <w:spacing w:before="0" w:after="283"/>
              <w:jc w:val="left"/>
              <w:rPr/>
            </w:pPr>
            <w:r>
              <w:rPr/>
              <w:t>the entire amount of the decrease in capital paid-in in excess of par value in the amount of 3,422,874,344.59 (three billion four hundred twenty-two million eight hundred and seventy-four thousand three hundred forty-four and 59/100) Roubles or 39,867,480.25 (thirty-nine million eight hundred sixty-seven thousand four hundred and eighty and 25/100) of the euro (provided that such a decrease in the additional capital in Euro does not exceed the specified amount in roubles) (the “</w:t>
            </w:r>
            <w:r>
              <w:rPr>
                <w:b/>
              </w:rPr>
              <w:t>Total Shared Amount</w:t>
            </w:r>
            <w:r>
              <w:rPr/>
              <w:t xml:space="preserve">”) shall be offset against payments to the Guarantor’s shareholders as a bonus for shares exceeding the needs of the Guarantor in the following proportion: </w:t>
            </w:r>
          </w:p>
        </w:tc>
      </w:tr>
    </w:tbl>
    <w:p>
      <w:pPr>
        <w:pStyle w:val="TextBody"/>
        <w:spacing w:before="0" w:after="0"/>
        <w:rPr/>
      </w:pPr>
      <w:r>
        <w:rPr/>
        <w:t> </w:t>
      </w:r>
    </w:p>
    <w:tbl>
      <w:tblPr>
        <w:tblW w:w="4200" w:type="pct"/>
        <w:jc w:val="center"/>
        <w:tblInd w:w="0" w:type="dxa"/>
        <w:tblBorders/>
        <w:tblCellMar>
          <w:top w:w="0" w:type="dxa"/>
          <w:left w:w="0" w:type="dxa"/>
          <w:bottom w:w="0" w:type="dxa"/>
          <w:right w:w="0" w:type="dxa"/>
        </w:tblCellMar>
      </w:tblPr>
      <w:tblGrid>
        <w:gridCol w:w="2541"/>
        <w:gridCol w:w="255"/>
        <w:gridCol w:w="143"/>
        <w:gridCol w:w="962"/>
        <w:gridCol w:w="275"/>
        <w:gridCol w:w="202"/>
        <w:gridCol w:w="60"/>
        <w:gridCol w:w="1814"/>
        <w:gridCol w:w="60"/>
        <w:gridCol w:w="255"/>
        <w:gridCol w:w="76"/>
        <w:gridCol w:w="1864"/>
        <w:gridCol w:w="65"/>
      </w:tblGrid>
      <w:tr>
        <w:trPr/>
        <w:tc>
          <w:tcPr>
            <w:tcW w:w="2541" w:type="dxa"/>
            <w:tcBorders/>
            <w:shd w:fill="auto" w:val="clear"/>
            <w:vAlign w:val="center"/>
          </w:tcPr>
          <w:p>
            <w:pPr>
              <w:pStyle w:val="TableContents"/>
              <w:spacing w:before="0" w:after="283"/>
              <w:rPr>
                <w:sz w:val="4"/>
                <w:szCs w:val="4"/>
              </w:rPr>
            </w:pPr>
            <w:r>
              <w:rPr>
                <w:sz w:val="4"/>
                <w:szCs w:val="4"/>
              </w:rPr>
            </w:r>
          </w:p>
        </w:tc>
        <w:tc>
          <w:tcPr>
            <w:tcW w:w="255" w:type="dxa"/>
            <w:tcBorders/>
            <w:shd w:fill="auto" w:val="clear"/>
            <w:vAlign w:val="bottom"/>
          </w:tcPr>
          <w:p>
            <w:pPr>
              <w:pStyle w:val="TableContents"/>
              <w:spacing w:before="0" w:after="283"/>
              <w:rPr>
                <w:sz w:val="4"/>
                <w:szCs w:val="4"/>
              </w:rPr>
            </w:pPr>
            <w:r>
              <w:rPr>
                <w:sz w:val="4"/>
                <w:szCs w:val="4"/>
              </w:rPr>
            </w:r>
          </w:p>
        </w:tc>
        <w:tc>
          <w:tcPr>
            <w:tcW w:w="143" w:type="dxa"/>
            <w:tcBorders/>
            <w:shd w:fill="auto" w:val="clear"/>
            <w:vAlign w:val="center"/>
          </w:tcPr>
          <w:p>
            <w:pPr>
              <w:pStyle w:val="TableContents"/>
              <w:spacing w:before="0" w:after="283"/>
              <w:rPr>
                <w:sz w:val="4"/>
                <w:szCs w:val="4"/>
              </w:rPr>
            </w:pPr>
            <w:r>
              <w:rPr>
                <w:sz w:val="4"/>
                <w:szCs w:val="4"/>
              </w:rPr>
            </w:r>
          </w:p>
        </w:tc>
        <w:tc>
          <w:tcPr>
            <w:tcW w:w="962"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bottom"/>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1814" w:type="dxa"/>
            <w:tcBorders/>
            <w:shd w:fill="auto" w:val="clear"/>
            <w:vAlign w:val="center"/>
          </w:tcPr>
          <w:p>
            <w:pPr>
              <w:pStyle w:val="TableContents"/>
              <w:spacing w:before="0" w:after="283"/>
              <w:rPr>
                <w:sz w:val="4"/>
                <w:szCs w:val="4"/>
              </w:rPr>
            </w:pPr>
            <w:r>
              <w:rPr>
                <w:sz w:val="4"/>
                <w:szCs w:val="4"/>
              </w:rPr>
            </w:r>
          </w:p>
        </w:tc>
        <w:tc>
          <w:tcPr>
            <w:tcW w:w="60" w:type="dxa"/>
            <w:tcBorders/>
            <w:shd w:fill="auto" w:val="clear"/>
            <w:vAlign w:val="center"/>
          </w:tcPr>
          <w:p>
            <w:pPr>
              <w:pStyle w:val="TableContents"/>
              <w:spacing w:before="0" w:after="283"/>
              <w:rPr>
                <w:sz w:val="4"/>
                <w:szCs w:val="4"/>
              </w:rPr>
            </w:pPr>
            <w:r>
              <w:rPr>
                <w:sz w:val="4"/>
                <w:szCs w:val="4"/>
              </w:rPr>
            </w:r>
          </w:p>
        </w:tc>
        <w:tc>
          <w:tcPr>
            <w:tcW w:w="255" w:type="dxa"/>
            <w:tcBorders/>
            <w:shd w:fill="auto" w:val="clear"/>
            <w:vAlign w:val="bottom"/>
          </w:tcPr>
          <w:p>
            <w:pPr>
              <w:pStyle w:val="TableContents"/>
              <w:spacing w:before="0" w:after="283"/>
              <w:rPr>
                <w:sz w:val="4"/>
                <w:szCs w:val="4"/>
              </w:rPr>
            </w:pPr>
            <w:r>
              <w:rPr>
                <w:sz w:val="4"/>
                <w:szCs w:val="4"/>
              </w:rPr>
            </w:r>
          </w:p>
        </w:tc>
        <w:tc>
          <w:tcPr>
            <w:tcW w:w="76" w:type="dxa"/>
            <w:tcBorders/>
            <w:shd w:fill="auto" w:val="clear"/>
            <w:vAlign w:val="center"/>
          </w:tcPr>
          <w:p>
            <w:pPr>
              <w:pStyle w:val="TableContents"/>
              <w:spacing w:before="0" w:after="283"/>
              <w:rPr>
                <w:sz w:val="4"/>
                <w:szCs w:val="4"/>
              </w:rPr>
            </w:pPr>
            <w:r>
              <w:rPr>
                <w:sz w:val="4"/>
                <w:szCs w:val="4"/>
              </w:rPr>
            </w:r>
          </w:p>
        </w:tc>
        <w:tc>
          <w:tcPr>
            <w:tcW w:w="1864" w:type="dxa"/>
            <w:tcBorders/>
            <w:shd w:fill="auto" w:val="clear"/>
            <w:vAlign w:val="center"/>
          </w:tcPr>
          <w:p>
            <w:pPr>
              <w:pStyle w:val="TableContents"/>
              <w:spacing w:before="0" w:after="283"/>
              <w:rPr>
                <w:sz w:val="4"/>
                <w:szCs w:val="4"/>
              </w:rPr>
            </w:pPr>
            <w:r>
              <w:rPr>
                <w:sz w:val="4"/>
                <w:szCs w:val="4"/>
              </w:rPr>
            </w:r>
          </w:p>
        </w:tc>
        <w:tc>
          <w:tcPr>
            <w:tcW w:w="65" w:type="dxa"/>
            <w:tcBorders/>
            <w:shd w:fill="auto" w:val="clear"/>
            <w:vAlign w:val="center"/>
          </w:tcPr>
          <w:p>
            <w:pPr>
              <w:pStyle w:val="TableContents"/>
              <w:spacing w:before="0" w:after="283"/>
              <w:rPr>
                <w:sz w:val="4"/>
                <w:szCs w:val="4"/>
              </w:rPr>
            </w:pPr>
            <w:r>
              <w:rPr>
                <w:sz w:val="4"/>
                <w:szCs w:val="4"/>
              </w:rPr>
            </w:r>
          </w:p>
        </w:tc>
      </w:tr>
      <w:tr>
        <w:trPr/>
        <w:tc>
          <w:tcPr>
            <w:tcW w:w="2541" w:type="dxa"/>
            <w:tcBorders/>
            <w:shd w:fill="auto" w:val="clear"/>
            <w:vAlign w:val="bottom"/>
          </w:tcPr>
          <w:p>
            <w:pPr>
              <w:pStyle w:val="TableContents"/>
              <w:pBdr>
                <w:bottom w:val="single" w:sz="8" w:space="1" w:color="000000"/>
              </w:pBdr>
              <w:spacing w:before="0" w:after="0"/>
              <w:rPr>
                <w:rFonts w:ascii="Times New Roman" w:hAnsi="Times New Roman"/>
                <w:b/>
                <w:sz w:val="16"/>
              </w:rPr>
            </w:pPr>
            <w:r>
              <w:rPr>
                <w:rFonts w:ascii="Times New Roman" w:hAnsi="Times New Roman"/>
                <w:b/>
                <w:sz w:val="16"/>
              </w:rPr>
              <w:t>Shareholder</w:t>
            </w:r>
          </w:p>
        </w:tc>
        <w:tc>
          <w:tcPr>
            <w:tcW w:w="255" w:type="dxa"/>
            <w:tcBorders/>
            <w:shd w:fill="auto" w:val="clear"/>
            <w:vAlign w:val="bottom"/>
          </w:tcPr>
          <w:p>
            <w:pPr>
              <w:pStyle w:val="TableContents"/>
              <w:spacing w:before="0" w:after="283"/>
              <w:rPr/>
            </w:pPr>
            <w:r>
              <w:rPr/>
              <w:t>  </w:t>
            </w:r>
          </w:p>
        </w:tc>
        <w:tc>
          <w:tcPr>
            <w:tcW w:w="1105"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b/>
              </w:rPr>
            </w:pPr>
            <w:r>
              <w:rPr>
                <w:b/>
              </w:rPr>
              <w:t>Proportion</w:t>
            </w:r>
          </w:p>
        </w:tc>
        <w:tc>
          <w:tcPr>
            <w:tcW w:w="275" w:type="dxa"/>
            <w:tcBorders/>
            <w:shd w:fill="auto" w:val="clear"/>
            <w:vAlign w:val="bottom"/>
          </w:tcPr>
          <w:p>
            <w:pPr>
              <w:pStyle w:val="TableContents"/>
              <w:spacing w:before="0" w:after="283"/>
              <w:rPr/>
            </w:pPr>
            <w:r>
              <w:rPr/>
              <w:t> </w:t>
            </w:r>
          </w:p>
        </w:tc>
        <w:tc>
          <w:tcPr>
            <w:tcW w:w="202" w:type="dxa"/>
            <w:tcBorders/>
            <w:shd w:fill="auto" w:val="clear"/>
            <w:vAlign w:val="bottom"/>
          </w:tcPr>
          <w:p>
            <w:pPr>
              <w:pStyle w:val="TableContents"/>
              <w:spacing w:before="0" w:after="283"/>
              <w:rPr/>
            </w:pPr>
            <w:r>
              <w:rPr/>
              <w:t> </w:t>
            </w:r>
          </w:p>
        </w:tc>
        <w:tc>
          <w:tcPr>
            <w:tcW w:w="1874"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b/>
              </w:rPr>
            </w:pPr>
            <w:r>
              <w:rPr>
                <w:b/>
              </w:rPr>
              <w:t>Amount in Roubles</w:t>
            </w:r>
          </w:p>
        </w:tc>
        <w:tc>
          <w:tcPr>
            <w:tcW w:w="60" w:type="dxa"/>
            <w:tcBorders/>
            <w:shd w:fill="auto" w:val="clear"/>
            <w:vAlign w:val="bottom"/>
          </w:tcPr>
          <w:p>
            <w:pPr>
              <w:pStyle w:val="TableContents"/>
              <w:spacing w:before="0" w:after="283"/>
              <w:rPr/>
            </w:pPr>
            <w:r>
              <w:rPr/>
              <w:t> </w:t>
            </w:r>
          </w:p>
        </w:tc>
        <w:tc>
          <w:tcPr>
            <w:tcW w:w="255" w:type="dxa"/>
            <w:tcBorders/>
            <w:shd w:fill="auto" w:val="clear"/>
            <w:vAlign w:val="bottom"/>
          </w:tcPr>
          <w:p>
            <w:pPr>
              <w:pStyle w:val="TableContents"/>
              <w:spacing w:before="0" w:after="283"/>
              <w:rPr/>
            </w:pPr>
            <w:r>
              <w:rPr/>
              <w:t>  </w:t>
            </w:r>
          </w:p>
        </w:tc>
        <w:tc>
          <w:tcPr>
            <w:tcW w:w="1940" w:type="dxa"/>
            <w:gridSpan w:val="2"/>
            <w:tcBorders>
              <w:bottom w:val="single" w:sz="8" w:space="0" w:color="000000"/>
              <w:insideH w:val="single" w:sz="8" w:space="0" w:color="000000"/>
            </w:tcBorders>
            <w:shd w:fill="auto" w:val="clear"/>
            <w:tcMar>
              <w:bottom w:w="28" w:type="dxa"/>
            </w:tcMar>
            <w:vAlign w:val="bottom"/>
          </w:tcPr>
          <w:p>
            <w:pPr>
              <w:pStyle w:val="TableContents"/>
              <w:spacing w:before="0" w:after="283"/>
              <w:jc w:val="center"/>
              <w:rPr>
                <w:b/>
              </w:rPr>
            </w:pPr>
            <w:r>
              <w:rPr>
                <w:b/>
              </w:rPr>
              <w:t>Euro equivalent</w:t>
              <w:br/>
              <w:t>amount at the</w:t>
              <w:br/>
              <w:t>exchange rate of 1</w:t>
              <w:br/>
              <w:t>Euro = 85.8563</w:t>
              <w:br/>
              <w:t>Roubles</w:t>
            </w:r>
          </w:p>
        </w:tc>
        <w:tc>
          <w:tcPr>
            <w:tcW w:w="65" w:type="dxa"/>
            <w:tcBorders/>
            <w:shd w:fill="auto" w:val="clear"/>
            <w:vAlign w:val="bottom"/>
          </w:tcPr>
          <w:p>
            <w:pPr>
              <w:pStyle w:val="TableContents"/>
              <w:spacing w:before="0" w:after="283"/>
              <w:rPr/>
            </w:pPr>
            <w:r>
              <w:rPr/>
              <w:t> </w:t>
            </w:r>
          </w:p>
        </w:tc>
      </w:tr>
      <w:tr>
        <w:trPr/>
        <w:tc>
          <w:tcPr>
            <w:tcW w:w="2541" w:type="dxa"/>
            <w:tcBorders/>
            <w:shd w:fill="auto" w:val="clear"/>
          </w:tcPr>
          <w:p>
            <w:pPr>
              <w:pStyle w:val="TableContents"/>
              <w:spacing w:before="0" w:after="0"/>
              <w:rPr>
                <w:rFonts w:ascii="Times New Roman" w:hAnsi="Times New Roman"/>
                <w:sz w:val="20"/>
              </w:rPr>
            </w:pPr>
            <w:r>
              <w:rPr>
                <w:rFonts w:ascii="Times New Roman" w:hAnsi="Times New Roman"/>
                <w:sz w:val="20"/>
              </w:rPr>
              <w:t>ELQ Investors VIII</w:t>
            </w:r>
          </w:p>
        </w:tc>
        <w:tc>
          <w:tcPr>
            <w:tcW w:w="255" w:type="dxa"/>
            <w:tcBorders/>
            <w:shd w:fill="auto" w:val="clear"/>
            <w:vAlign w:val="bottom"/>
          </w:tcPr>
          <w:p>
            <w:pPr>
              <w:pStyle w:val="TableContents"/>
              <w:spacing w:before="0" w:after="283"/>
              <w:rPr/>
            </w:pPr>
            <w:r>
              <w:rPr/>
              <w:t>  </w:t>
            </w:r>
          </w:p>
        </w:tc>
        <w:tc>
          <w:tcPr>
            <w:tcW w:w="143" w:type="dxa"/>
            <w:tcBorders/>
            <w:shd w:fill="auto" w:val="clear"/>
            <w:vAlign w:val="bottom"/>
          </w:tcPr>
          <w:p>
            <w:pPr>
              <w:pStyle w:val="TableContents"/>
              <w:spacing w:before="0" w:after="283"/>
              <w:rPr/>
            </w:pPr>
            <w:r>
              <w:rPr/>
              <w:t> </w:t>
            </w:r>
          </w:p>
        </w:tc>
        <w:tc>
          <w:tcPr>
            <w:tcW w:w="962" w:type="dxa"/>
            <w:tcBorders/>
            <w:shd w:fill="auto" w:val="clear"/>
            <w:vAlign w:val="bottom"/>
          </w:tcPr>
          <w:p>
            <w:pPr>
              <w:pStyle w:val="TableContents"/>
              <w:spacing w:before="0" w:after="283"/>
              <w:jc w:val="right"/>
              <w:rPr/>
            </w:pPr>
            <w:r>
              <w:rPr/>
              <w:t>40</w:t>
            </w:r>
          </w:p>
        </w:tc>
        <w:tc>
          <w:tcPr>
            <w:tcW w:w="275" w:type="dxa"/>
            <w:tcBorders/>
            <w:shd w:fill="auto" w:val="clear"/>
            <w:vAlign w:val="bottom"/>
          </w:tcPr>
          <w:p>
            <w:pPr>
              <w:pStyle w:val="TableContents"/>
              <w:spacing w:before="0" w:after="283"/>
              <w:rPr/>
            </w:pPr>
            <w:r>
              <w:rPr/>
              <w:t>% </w:t>
            </w:r>
          </w:p>
        </w:tc>
        <w:tc>
          <w:tcPr>
            <w:tcW w:w="20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814" w:type="dxa"/>
            <w:tcBorders/>
            <w:shd w:fill="auto" w:val="clear"/>
            <w:vAlign w:val="bottom"/>
          </w:tcPr>
          <w:p>
            <w:pPr>
              <w:pStyle w:val="TableContents"/>
              <w:spacing w:before="0" w:after="283"/>
              <w:jc w:val="right"/>
              <w:rPr/>
            </w:pPr>
            <w:r>
              <w:rPr/>
              <w:t>1,369,149,737.84</w:t>
            </w:r>
          </w:p>
        </w:tc>
        <w:tc>
          <w:tcPr>
            <w:tcW w:w="60" w:type="dxa"/>
            <w:tcBorders/>
            <w:shd w:fill="auto" w:val="clear"/>
            <w:vAlign w:val="bottom"/>
          </w:tcPr>
          <w:p>
            <w:pPr>
              <w:pStyle w:val="TableContents"/>
              <w:spacing w:before="0" w:after="283"/>
              <w:rPr/>
            </w:pPr>
            <w:r>
              <w:rPr/>
              <w:t> </w:t>
            </w:r>
          </w:p>
        </w:tc>
        <w:tc>
          <w:tcPr>
            <w:tcW w:w="255" w:type="dxa"/>
            <w:tcBorders/>
            <w:shd w:fill="auto" w:val="clear"/>
            <w:vAlign w:val="bottom"/>
          </w:tcPr>
          <w:p>
            <w:pPr>
              <w:pStyle w:val="TableContents"/>
              <w:spacing w:before="0" w:after="283"/>
              <w:rPr/>
            </w:pPr>
            <w:r>
              <w:rPr/>
              <w:t>  </w:t>
            </w:r>
          </w:p>
        </w:tc>
        <w:tc>
          <w:tcPr>
            <w:tcW w:w="76" w:type="dxa"/>
            <w:tcBorders/>
            <w:shd w:fill="auto" w:val="clear"/>
            <w:vAlign w:val="bottom"/>
          </w:tcPr>
          <w:p>
            <w:pPr>
              <w:pStyle w:val="TableContents"/>
              <w:spacing w:before="0" w:after="283"/>
              <w:rPr/>
            </w:pPr>
            <w:r>
              <w:rPr/>
              <w:t> </w:t>
            </w:r>
          </w:p>
        </w:tc>
        <w:tc>
          <w:tcPr>
            <w:tcW w:w="1864" w:type="dxa"/>
            <w:tcBorders/>
            <w:shd w:fill="auto" w:val="clear"/>
            <w:vAlign w:val="bottom"/>
          </w:tcPr>
          <w:p>
            <w:pPr>
              <w:pStyle w:val="TableContents"/>
              <w:spacing w:before="0" w:after="283"/>
              <w:jc w:val="right"/>
              <w:rPr/>
            </w:pPr>
            <w:r>
              <w:rPr/>
              <w:t>15,946,992.10</w:t>
            </w:r>
          </w:p>
        </w:tc>
        <w:tc>
          <w:tcPr>
            <w:tcW w:w="65" w:type="dxa"/>
            <w:tcBorders/>
            <w:shd w:fill="auto" w:val="clear"/>
            <w:vAlign w:val="bottom"/>
          </w:tcPr>
          <w:p>
            <w:pPr>
              <w:pStyle w:val="TableContents"/>
              <w:spacing w:before="0" w:after="283"/>
              <w:rPr/>
            </w:pPr>
            <w:r>
              <w:rPr/>
              <w:t> </w:t>
            </w:r>
          </w:p>
        </w:tc>
      </w:tr>
      <w:tr>
        <w:trPr/>
        <w:tc>
          <w:tcPr>
            <w:tcW w:w="2541" w:type="dxa"/>
            <w:tcBorders/>
            <w:shd w:fill="auto" w:val="clear"/>
          </w:tcPr>
          <w:p>
            <w:pPr>
              <w:pStyle w:val="TableContents"/>
              <w:spacing w:before="0" w:after="0"/>
              <w:rPr>
                <w:rFonts w:ascii="Times New Roman" w:hAnsi="Times New Roman"/>
                <w:sz w:val="20"/>
              </w:rPr>
            </w:pPr>
            <w:r>
              <w:rPr>
                <w:rFonts w:ascii="Times New Roman" w:hAnsi="Times New Roman"/>
                <w:sz w:val="20"/>
              </w:rPr>
              <w:t>Highworld</w:t>
            </w:r>
          </w:p>
        </w:tc>
        <w:tc>
          <w:tcPr>
            <w:tcW w:w="255" w:type="dxa"/>
            <w:tcBorders/>
            <w:shd w:fill="auto" w:val="clear"/>
            <w:vAlign w:val="bottom"/>
          </w:tcPr>
          <w:p>
            <w:pPr>
              <w:pStyle w:val="TableContents"/>
              <w:spacing w:before="0" w:after="283"/>
              <w:rPr/>
            </w:pPr>
            <w:r>
              <w:rPr/>
              <w:t>  </w:t>
            </w:r>
          </w:p>
        </w:tc>
        <w:tc>
          <w:tcPr>
            <w:tcW w:w="143" w:type="dxa"/>
            <w:tcBorders/>
            <w:shd w:fill="auto" w:val="clear"/>
            <w:vAlign w:val="bottom"/>
          </w:tcPr>
          <w:p>
            <w:pPr>
              <w:pStyle w:val="TableContents"/>
              <w:spacing w:before="0" w:after="283"/>
              <w:rPr/>
            </w:pPr>
            <w:r>
              <w:rPr/>
              <w:t> </w:t>
            </w:r>
          </w:p>
        </w:tc>
        <w:tc>
          <w:tcPr>
            <w:tcW w:w="962" w:type="dxa"/>
            <w:tcBorders/>
            <w:shd w:fill="auto" w:val="clear"/>
            <w:vAlign w:val="bottom"/>
          </w:tcPr>
          <w:p>
            <w:pPr>
              <w:pStyle w:val="TableContents"/>
              <w:spacing w:before="0" w:after="283"/>
              <w:jc w:val="right"/>
              <w:rPr/>
            </w:pPr>
            <w:r>
              <w:rPr/>
              <w:t>60</w:t>
            </w:r>
          </w:p>
        </w:tc>
        <w:tc>
          <w:tcPr>
            <w:tcW w:w="275" w:type="dxa"/>
            <w:tcBorders/>
            <w:shd w:fill="auto" w:val="clear"/>
            <w:vAlign w:val="bottom"/>
          </w:tcPr>
          <w:p>
            <w:pPr>
              <w:pStyle w:val="TableContents"/>
              <w:spacing w:before="0" w:after="283"/>
              <w:rPr/>
            </w:pPr>
            <w:r>
              <w:rPr/>
              <w:t>% </w:t>
            </w:r>
          </w:p>
        </w:tc>
        <w:tc>
          <w:tcPr>
            <w:tcW w:w="20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814" w:type="dxa"/>
            <w:tcBorders/>
            <w:shd w:fill="auto" w:val="clear"/>
            <w:vAlign w:val="bottom"/>
          </w:tcPr>
          <w:p>
            <w:pPr>
              <w:pStyle w:val="TableContents"/>
              <w:spacing w:before="0" w:after="283"/>
              <w:jc w:val="right"/>
              <w:rPr/>
            </w:pPr>
            <w:r>
              <w:rPr/>
              <w:t>2,053,724,606.75</w:t>
            </w:r>
          </w:p>
        </w:tc>
        <w:tc>
          <w:tcPr>
            <w:tcW w:w="60" w:type="dxa"/>
            <w:tcBorders/>
            <w:shd w:fill="auto" w:val="clear"/>
            <w:vAlign w:val="bottom"/>
          </w:tcPr>
          <w:p>
            <w:pPr>
              <w:pStyle w:val="TableContents"/>
              <w:spacing w:before="0" w:after="283"/>
              <w:rPr/>
            </w:pPr>
            <w:r>
              <w:rPr/>
              <w:t> </w:t>
            </w:r>
          </w:p>
        </w:tc>
        <w:tc>
          <w:tcPr>
            <w:tcW w:w="255" w:type="dxa"/>
            <w:tcBorders/>
            <w:shd w:fill="auto" w:val="clear"/>
            <w:vAlign w:val="bottom"/>
          </w:tcPr>
          <w:p>
            <w:pPr>
              <w:pStyle w:val="TableContents"/>
              <w:spacing w:before="0" w:after="283"/>
              <w:rPr/>
            </w:pPr>
            <w:r>
              <w:rPr/>
              <w:t>  </w:t>
            </w:r>
          </w:p>
        </w:tc>
        <w:tc>
          <w:tcPr>
            <w:tcW w:w="76" w:type="dxa"/>
            <w:tcBorders/>
            <w:shd w:fill="auto" w:val="clear"/>
            <w:vAlign w:val="bottom"/>
          </w:tcPr>
          <w:p>
            <w:pPr>
              <w:pStyle w:val="TableContents"/>
              <w:spacing w:before="0" w:after="283"/>
              <w:rPr/>
            </w:pPr>
            <w:r>
              <w:rPr/>
              <w:t> </w:t>
            </w:r>
          </w:p>
        </w:tc>
        <w:tc>
          <w:tcPr>
            <w:tcW w:w="1864" w:type="dxa"/>
            <w:tcBorders/>
            <w:shd w:fill="auto" w:val="clear"/>
            <w:vAlign w:val="bottom"/>
          </w:tcPr>
          <w:p>
            <w:pPr>
              <w:pStyle w:val="TableContents"/>
              <w:spacing w:before="0" w:after="283"/>
              <w:jc w:val="right"/>
              <w:rPr/>
            </w:pPr>
            <w:r>
              <w:rPr/>
              <w:t>23,920,488.15</w:t>
            </w:r>
          </w:p>
        </w:tc>
        <w:tc>
          <w:tcPr>
            <w:tcW w:w="65" w:type="dxa"/>
            <w:tcBorders/>
            <w:shd w:fill="auto" w:val="clear"/>
            <w:vAlign w:val="bottom"/>
          </w:tcPr>
          <w:p>
            <w:pPr>
              <w:pStyle w:val="TableContents"/>
              <w:spacing w:before="0" w:after="283"/>
              <w:rPr/>
            </w:pPr>
            <w:r>
              <w:rPr/>
              <w:t> </w:t>
            </w:r>
          </w:p>
        </w:tc>
      </w:tr>
      <w:tr>
        <w:trPr/>
        <w:tc>
          <w:tcPr>
            <w:tcW w:w="2541" w:type="dxa"/>
            <w:tcBorders/>
            <w:shd w:fill="auto" w:val="clear"/>
          </w:tcPr>
          <w:p>
            <w:pPr>
              <w:pStyle w:val="TableContents"/>
              <w:spacing w:before="0" w:after="0"/>
              <w:rPr>
                <w:rFonts w:ascii="Times New Roman" w:hAnsi="Times New Roman"/>
                <w:sz w:val="20"/>
              </w:rPr>
            </w:pPr>
            <w:r>
              <w:rPr>
                <w:rFonts w:ascii="Times New Roman" w:hAnsi="Times New Roman"/>
                <w:sz w:val="20"/>
              </w:rPr>
              <w:t>TOTAL</w:t>
            </w:r>
          </w:p>
        </w:tc>
        <w:tc>
          <w:tcPr>
            <w:tcW w:w="255" w:type="dxa"/>
            <w:tcBorders/>
            <w:shd w:fill="auto" w:val="clear"/>
            <w:vAlign w:val="bottom"/>
          </w:tcPr>
          <w:p>
            <w:pPr>
              <w:pStyle w:val="TableContents"/>
              <w:spacing w:before="0" w:after="283"/>
              <w:rPr/>
            </w:pPr>
            <w:r>
              <w:rPr/>
              <w:t>  </w:t>
            </w:r>
          </w:p>
        </w:tc>
        <w:tc>
          <w:tcPr>
            <w:tcW w:w="143" w:type="dxa"/>
            <w:tcBorders/>
            <w:shd w:fill="auto" w:val="clear"/>
            <w:vAlign w:val="bottom"/>
          </w:tcPr>
          <w:p>
            <w:pPr>
              <w:pStyle w:val="TableContents"/>
              <w:spacing w:before="0" w:after="283"/>
              <w:rPr/>
            </w:pPr>
            <w:r>
              <w:rPr/>
              <w:t> </w:t>
            </w:r>
          </w:p>
        </w:tc>
        <w:tc>
          <w:tcPr>
            <w:tcW w:w="962" w:type="dxa"/>
            <w:tcBorders/>
            <w:shd w:fill="auto" w:val="clear"/>
            <w:vAlign w:val="bottom"/>
          </w:tcPr>
          <w:p>
            <w:pPr>
              <w:pStyle w:val="TableContents"/>
              <w:spacing w:before="0" w:after="283"/>
              <w:jc w:val="right"/>
              <w:rPr/>
            </w:pPr>
            <w:r>
              <w:rPr/>
              <w:t>100</w:t>
            </w:r>
          </w:p>
        </w:tc>
        <w:tc>
          <w:tcPr>
            <w:tcW w:w="275" w:type="dxa"/>
            <w:tcBorders/>
            <w:shd w:fill="auto" w:val="clear"/>
            <w:vAlign w:val="bottom"/>
          </w:tcPr>
          <w:p>
            <w:pPr>
              <w:pStyle w:val="TableContents"/>
              <w:spacing w:before="0" w:after="283"/>
              <w:rPr/>
            </w:pPr>
            <w:r>
              <w:rPr/>
              <w:t>% </w:t>
            </w:r>
          </w:p>
        </w:tc>
        <w:tc>
          <w:tcPr>
            <w:tcW w:w="202" w:type="dxa"/>
            <w:tcBorders/>
            <w:shd w:fill="auto" w:val="clear"/>
            <w:vAlign w:val="bottom"/>
          </w:tcPr>
          <w:p>
            <w:pPr>
              <w:pStyle w:val="TableContents"/>
              <w:spacing w:before="0" w:after="283"/>
              <w:rPr/>
            </w:pPr>
            <w:r>
              <w:rPr/>
              <w:t> </w:t>
            </w:r>
          </w:p>
        </w:tc>
        <w:tc>
          <w:tcPr>
            <w:tcW w:w="60" w:type="dxa"/>
            <w:tcBorders/>
            <w:shd w:fill="auto" w:val="clear"/>
            <w:vAlign w:val="bottom"/>
          </w:tcPr>
          <w:p>
            <w:pPr>
              <w:pStyle w:val="TableContents"/>
              <w:spacing w:before="0" w:after="283"/>
              <w:rPr/>
            </w:pPr>
            <w:r>
              <w:rPr/>
              <w:t> </w:t>
            </w:r>
          </w:p>
        </w:tc>
        <w:tc>
          <w:tcPr>
            <w:tcW w:w="1814" w:type="dxa"/>
            <w:tcBorders/>
            <w:shd w:fill="auto" w:val="clear"/>
            <w:vAlign w:val="bottom"/>
          </w:tcPr>
          <w:p>
            <w:pPr>
              <w:pStyle w:val="TableContents"/>
              <w:spacing w:before="0" w:after="283"/>
              <w:jc w:val="right"/>
              <w:rPr/>
            </w:pPr>
            <w:r>
              <w:rPr/>
              <w:t>3,422,874,344.59</w:t>
            </w:r>
          </w:p>
        </w:tc>
        <w:tc>
          <w:tcPr>
            <w:tcW w:w="60" w:type="dxa"/>
            <w:tcBorders/>
            <w:shd w:fill="auto" w:val="clear"/>
            <w:vAlign w:val="bottom"/>
          </w:tcPr>
          <w:p>
            <w:pPr>
              <w:pStyle w:val="TableContents"/>
              <w:spacing w:before="0" w:after="283"/>
              <w:rPr/>
            </w:pPr>
            <w:r>
              <w:rPr/>
              <w:t> </w:t>
            </w:r>
          </w:p>
        </w:tc>
        <w:tc>
          <w:tcPr>
            <w:tcW w:w="255" w:type="dxa"/>
            <w:tcBorders/>
            <w:shd w:fill="auto" w:val="clear"/>
            <w:vAlign w:val="bottom"/>
          </w:tcPr>
          <w:p>
            <w:pPr>
              <w:pStyle w:val="TableContents"/>
              <w:spacing w:before="0" w:after="283"/>
              <w:rPr/>
            </w:pPr>
            <w:r>
              <w:rPr/>
              <w:t>  </w:t>
            </w:r>
          </w:p>
        </w:tc>
        <w:tc>
          <w:tcPr>
            <w:tcW w:w="76" w:type="dxa"/>
            <w:tcBorders/>
            <w:shd w:fill="auto" w:val="clear"/>
            <w:vAlign w:val="bottom"/>
          </w:tcPr>
          <w:p>
            <w:pPr>
              <w:pStyle w:val="TableContents"/>
              <w:spacing w:before="0" w:after="283"/>
              <w:rPr/>
            </w:pPr>
            <w:r>
              <w:rPr/>
              <w:t> </w:t>
            </w:r>
          </w:p>
        </w:tc>
        <w:tc>
          <w:tcPr>
            <w:tcW w:w="1864" w:type="dxa"/>
            <w:tcBorders/>
            <w:shd w:fill="auto" w:val="clear"/>
            <w:vAlign w:val="bottom"/>
          </w:tcPr>
          <w:p>
            <w:pPr>
              <w:pStyle w:val="TableContents"/>
              <w:spacing w:before="0" w:after="283"/>
              <w:jc w:val="right"/>
              <w:rPr/>
            </w:pPr>
            <w:r>
              <w:rPr/>
              <w:t>39,867,480.25</w:t>
            </w:r>
          </w:p>
        </w:tc>
        <w:tc>
          <w:tcPr>
            <w:tcW w:w="65" w:type="dxa"/>
            <w:tcBorders/>
            <w:shd w:fill="auto" w:val="clear"/>
            <w:vAlign w:val="bottom"/>
          </w:tcPr>
          <w:p>
            <w:pPr>
              <w:pStyle w:val="TableContents"/>
              <w:spacing w:before="0" w:after="283"/>
              <w:rPr/>
            </w:pPr>
            <w:r>
              <w:rPr/>
              <w: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9"/>
        <w:gridCol w:w="611"/>
        <w:gridCol w:w="8574"/>
      </w:tblGrid>
      <w:tr>
        <w:trPr/>
        <w:tc>
          <w:tcPr>
            <w:tcW w:w="1019" w:type="dxa"/>
            <w:tcBorders/>
            <w:shd w:fill="auto" w:val="clear"/>
            <w:vAlign w:val="center"/>
          </w:tcPr>
          <w:p>
            <w:pPr>
              <w:pStyle w:val="TableContents"/>
              <w:spacing w:before="0" w:after="283"/>
              <w:rPr/>
            </w:pPr>
            <w:r>
              <w:rPr/>
              <w:t> </w:t>
            </w:r>
          </w:p>
        </w:tc>
        <w:tc>
          <w:tcPr>
            <w:tcW w:w="611" w:type="dxa"/>
            <w:tcBorders/>
            <w:shd w:fill="auto" w:val="clear"/>
          </w:tcPr>
          <w:p>
            <w:pPr>
              <w:pStyle w:val="TableContents"/>
              <w:spacing w:before="0" w:after="283"/>
              <w:jc w:val="left"/>
              <w:rPr/>
            </w:pPr>
            <w:r>
              <w:rPr/>
              <w:t>(ii)</w:t>
            </w:r>
          </w:p>
        </w:tc>
        <w:tc>
          <w:tcPr>
            <w:tcW w:w="8574" w:type="dxa"/>
            <w:tcBorders/>
            <w:shd w:fill="auto" w:val="clear"/>
          </w:tcPr>
          <w:p>
            <w:pPr>
              <w:pStyle w:val="TableContents"/>
              <w:spacing w:before="0" w:after="283"/>
              <w:jc w:val="left"/>
              <w:rPr/>
            </w:pPr>
            <w:r>
              <w:rPr/>
              <w:t xml:space="preserve">the said decrease of the Guarantor’s capital paid-in in excess of par value takes place no later than the 30th of June 2018;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(iii)</w:t>
            </w:r>
          </w:p>
        </w:tc>
        <w:tc>
          <w:tcPr>
            <w:tcW w:w="8574" w:type="dxa"/>
            <w:tcBorders/>
            <w:shd w:fill="auto" w:val="clear"/>
          </w:tcPr>
          <w:p>
            <w:pPr>
              <w:pStyle w:val="TableContents"/>
              <w:spacing w:before="0" w:after="283"/>
              <w:jc w:val="left"/>
              <w:rPr/>
            </w:pPr>
            <w:r>
              <w:rPr/>
              <w:t xml:space="preserve">the Guarantor’s obligations to allocate Total Shared Amount as a bonus for shares exceeding the needs of the Guarantor in favour of its shareholders are set off against the obligations of the Guarantor’s shareholders to repay loans provided to them by the Guarantor which were provided under the Permitted Payments;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1018"/>
        <w:gridCol w:w="612"/>
        <w:gridCol w:w="8574"/>
      </w:tblGrid>
      <w:tr>
        <w:trPr/>
        <w:tc>
          <w:tcPr>
            <w:tcW w:w="1018" w:type="dxa"/>
            <w:tcBorders/>
            <w:shd w:fill="auto" w:val="clear"/>
            <w:vAlign w:val="center"/>
          </w:tcPr>
          <w:p>
            <w:pPr>
              <w:pStyle w:val="TableContents"/>
              <w:spacing w:before="0" w:after="283"/>
              <w:rPr/>
            </w:pPr>
            <w:r>
              <w:rPr/>
              <w:t> </w:t>
            </w:r>
          </w:p>
        </w:tc>
        <w:tc>
          <w:tcPr>
            <w:tcW w:w="612" w:type="dxa"/>
            <w:tcBorders/>
            <w:shd w:fill="auto" w:val="clear"/>
          </w:tcPr>
          <w:p>
            <w:pPr>
              <w:pStyle w:val="TableContents"/>
              <w:spacing w:before="0" w:after="283"/>
              <w:jc w:val="left"/>
              <w:rPr/>
            </w:pPr>
            <w:r>
              <w:rPr/>
              <w:t>(iv)</w:t>
            </w:r>
          </w:p>
        </w:tc>
        <w:tc>
          <w:tcPr>
            <w:tcW w:w="8574" w:type="dxa"/>
            <w:tcBorders/>
            <w:shd w:fill="auto" w:val="clear"/>
          </w:tcPr>
          <w:p>
            <w:pPr>
              <w:pStyle w:val="TableContents"/>
              <w:spacing w:before="0" w:after="283"/>
              <w:jc w:val="left"/>
              <w:rPr/>
            </w:pPr>
            <w:r>
              <w:rPr/>
              <w:t xml:space="preserve">such decrease of the Guarantor’s capital paid-in in excess of par value does not lead to a negative value of the Guarantor’s own capital.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2.2</w:t>
            </w:r>
          </w:p>
        </w:tc>
        <w:tc>
          <w:tcPr>
            <w:tcW w:w="9696" w:type="dxa"/>
            <w:tcBorders/>
            <w:shd w:fill="auto" w:val="clear"/>
          </w:tcPr>
          <w:p>
            <w:pPr>
              <w:pStyle w:val="TableContents"/>
              <w:spacing w:before="0" w:after="283"/>
              <w:jc w:val="left"/>
              <w:rPr/>
            </w:pPr>
            <w:r>
              <w:rPr/>
              <w:t xml:space="preserve">All the documents to be provided to the Facility Agent in accordance with Clause 2.1 above, shall be provided with an apostille affixed thereto and a notarised Russian translation, if applicable.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2.3</w:t>
            </w:r>
          </w:p>
        </w:tc>
        <w:tc>
          <w:tcPr>
            <w:tcW w:w="9696" w:type="dxa"/>
            <w:tcBorders/>
            <w:shd w:fill="auto" w:val="clear"/>
          </w:tcPr>
          <w:p>
            <w:pPr>
              <w:pStyle w:val="TableContents"/>
              <w:spacing w:before="0" w:after="283"/>
              <w:jc w:val="left"/>
              <w:rPr/>
            </w:pPr>
            <w:r>
              <w:rPr/>
              <w:t xml:space="preserve">Any default or failure on the part of the Guarantor to comply in due manner with any of the conditions to the provision of consents referred to in Clause 2.1 above shall constitute an Event of Default for purposes of the Facility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2.4</w:t>
            </w:r>
          </w:p>
        </w:tc>
        <w:tc>
          <w:tcPr>
            <w:tcW w:w="9695" w:type="dxa"/>
            <w:tcBorders/>
            <w:shd w:fill="auto" w:val="clear"/>
          </w:tcPr>
          <w:p>
            <w:pPr>
              <w:pStyle w:val="TableContents"/>
              <w:spacing w:before="0" w:after="283"/>
              <w:jc w:val="left"/>
              <w:rPr/>
            </w:pPr>
            <w:r>
              <w:rPr/>
              <w:t xml:space="preserve">The Parties have agreed that the consents envisaged by Clause 2.1 above, shall be deemed provided on the Effective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2.5</w:t>
            </w:r>
          </w:p>
        </w:tc>
        <w:tc>
          <w:tcPr>
            <w:tcW w:w="9695" w:type="dxa"/>
            <w:tcBorders/>
            <w:shd w:fill="auto" w:val="clear"/>
          </w:tcPr>
          <w:p>
            <w:pPr>
              <w:pStyle w:val="TableContents"/>
              <w:spacing w:before="0" w:after="283"/>
              <w:jc w:val="left"/>
              <w:rPr/>
            </w:pPr>
            <w:r>
              <w:rPr/>
              <w:t xml:space="preserve">The Parties have agreed that if the Effective Date does not occur until the Longstop Effective Date (inclusive of such date), Clause 2.1 above shall terminate automatically on the date following the Longstop Effective Date, and the relevant consents shall not be provided.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6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3.</w:t>
            </w:r>
          </w:p>
        </w:tc>
        <w:tc>
          <w:tcPr>
            <w:tcW w:w="9697" w:type="dxa"/>
            <w:tcBorders/>
            <w:shd w:fill="auto" w:val="clear"/>
          </w:tcPr>
          <w:p>
            <w:pPr>
              <w:pStyle w:val="TableContents"/>
              <w:spacing w:before="0" w:after="283"/>
              <w:jc w:val="left"/>
              <w:rPr/>
            </w:pPr>
            <w:r>
              <w:rPr>
                <w:b/>
              </w:rPr>
              <w:t>AMENDMENTS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3.1</w:t>
            </w:r>
          </w:p>
        </w:tc>
        <w:tc>
          <w:tcPr>
            <w:tcW w:w="9696" w:type="dxa"/>
            <w:tcBorders/>
            <w:shd w:fill="auto" w:val="clear"/>
          </w:tcPr>
          <w:p>
            <w:pPr>
              <w:pStyle w:val="TableContents"/>
              <w:spacing w:before="0" w:after="283"/>
              <w:jc w:val="left"/>
              <w:rPr/>
            </w:pPr>
            <w:r>
              <w:rPr/>
              <w:t xml:space="preserve">Subject to occurrence of the Effective Date, the Parties have agreed to amend the Independent Guarantee Agreement as follows: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(a)</w:t>
            </w:r>
          </w:p>
        </w:tc>
        <w:tc>
          <w:tcPr>
            <w:tcW w:w="9186" w:type="dxa"/>
            <w:tcBorders/>
            <w:shd w:fill="auto" w:val="clear"/>
          </w:tcPr>
          <w:p>
            <w:pPr>
              <w:pStyle w:val="TableContents"/>
              <w:spacing w:before="0" w:after="283"/>
              <w:jc w:val="left"/>
              <w:rPr/>
            </w:pPr>
            <w:r>
              <w:rPr/>
              <w:t>to delete paragraph (d) (</w:t>
            </w:r>
            <w:r>
              <w:rPr>
                <w:i/>
              </w:rPr>
              <w:t>Zemenik Trading</w:t>
            </w:r>
            <w:r>
              <w:rPr/>
              <w:t xml:space="preserve"> </w:t>
            </w:r>
            <w:r>
              <w:rPr>
                <w:i/>
              </w:rPr>
              <w:t>Pledge Agreement</w:t>
            </w:r>
            <w:r>
              <w:rPr/>
              <w:t>) from the definition of the term “Pledge Agreement” in Schedule 1 (</w:t>
            </w:r>
            <w:r>
              <w:rPr>
                <w:i/>
              </w:rPr>
              <w:t>Terms of the Facility Agreement</w:t>
            </w:r>
            <w:r>
              <w:rPr/>
              <w:t xml:space="preserve">), and treat paragraph (e) as paragraph (d);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to amend the definition of the term “Zemenik Trading Pledge Agreement” in Schedule 1 (</w:t>
            </w:r>
            <w:r>
              <w:rPr>
                <w:i/>
              </w:rPr>
              <w:t>Terms of the Facility Agreement</w:t>
            </w:r>
            <w:r>
              <w:rPr/>
              <w:t xml:space="preserve">) by adding the following wording at the end of the definition: </w:t>
            </w:r>
          </w:p>
        </w:tc>
      </w:tr>
    </w:tbl>
    <w:p>
      <w:pPr>
        <w:pStyle w:val="TextBody"/>
        <w:spacing w:before="120" w:after="0"/>
        <w:rPr/>
      </w:pPr>
      <w:r>
        <w:rPr/>
        <w:t>“</w:t>
      </w:r>
      <w:r>
        <w:rPr>
          <w:rFonts w:ascii="Times New Roman" w:hAnsi="Times New Roman"/>
          <w:sz w:val="20"/>
        </w:rPr>
        <w:t xml:space="preserve">, which was terminated as a result of the relevant agreement for termination of the pledge executed by the parties on the date of Amendment Agreement No. 4”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(c)</w:t>
            </w:r>
          </w:p>
        </w:tc>
        <w:tc>
          <w:tcPr>
            <w:tcW w:w="9188" w:type="dxa"/>
            <w:tcBorders/>
            <w:shd w:fill="auto" w:val="clear"/>
          </w:tcPr>
          <w:p>
            <w:pPr>
              <w:pStyle w:val="TableContents"/>
              <w:spacing w:before="0" w:after="283"/>
              <w:jc w:val="left"/>
              <w:rPr/>
            </w:pPr>
            <w:r>
              <w:rPr/>
              <w:t>to add to Schedule 1 (</w:t>
            </w:r>
            <w:r>
              <w:rPr>
                <w:i/>
              </w:rPr>
              <w:t>Terms of the Facility Agreement</w:t>
            </w:r>
            <w:r>
              <w:rPr/>
              <w:t xml:space="preserve">) the definition of the term “Unlimited Guarantee” (after the definition of the term “Unused Commitments”) to read as follows: </w:t>
            </w:r>
          </w:p>
        </w:tc>
      </w:tr>
    </w:tbl>
    <w:p>
      <w:pPr>
        <w:pStyle w:val="TextBody"/>
        <w:spacing w:before="120" w:after="0"/>
        <w:rPr/>
      </w:pPr>
      <w:r>
        <w:rPr/>
        <w:t>“</w:t>
      </w:r>
      <w:r>
        <w:rPr>
          <w:rFonts w:ascii="Times New Roman" w:hAnsi="Times New Roman"/>
          <w:b/>
          <w:sz w:val="20"/>
        </w:rPr>
        <w:t>Unlimited Guarantee</w:t>
      </w:r>
      <w:r>
        <w:rPr>
          <w:rFonts w:ascii="Times New Roman" w:hAnsi="Times New Roman"/>
          <w:sz w:val="20"/>
        </w:rPr>
        <w:t xml:space="preserve"> shall have the meaning given to such term in Amendment Agreement No. 4.”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(d)</w:t>
            </w:r>
          </w:p>
        </w:tc>
        <w:tc>
          <w:tcPr>
            <w:tcW w:w="9187" w:type="dxa"/>
            <w:tcBorders/>
            <w:shd w:fill="auto" w:val="clear"/>
          </w:tcPr>
          <w:p>
            <w:pPr>
              <w:pStyle w:val="TableContents"/>
              <w:spacing w:before="0" w:after="283"/>
              <w:jc w:val="left"/>
              <w:rPr/>
            </w:pPr>
            <w:r>
              <w:rPr/>
              <w:t>to add to Schedule 1 (</w:t>
            </w:r>
            <w:r>
              <w:rPr>
                <w:i/>
              </w:rPr>
              <w:t>Terms of the Facility Agreement</w:t>
            </w:r>
            <w:r>
              <w:rPr/>
              <w:t xml:space="preserve">) the definition of the term “Amendment Agreement No. 4” (after the definition of the term “Amendment Agreement No. 3”) to read as follows: </w:t>
            </w:r>
          </w:p>
        </w:tc>
      </w:tr>
    </w:tbl>
    <w:p>
      <w:pPr>
        <w:pStyle w:val="TextBody"/>
        <w:spacing w:before="120" w:after="0"/>
        <w:rPr/>
      </w:pPr>
      <w:r>
        <w:rPr/>
        <w:t>“</w:t>
      </w:r>
      <w:r>
        <w:rPr>
          <w:rFonts w:ascii="Times New Roman" w:hAnsi="Times New Roman"/>
          <w:b/>
          <w:sz w:val="20"/>
        </w:rPr>
        <w:t>Amendment Agreement No.</w:t>
      </w:r>
      <w:r>
        <w:rPr>
          <w:rFonts w:ascii="Times New Roman" w:hAnsi="Times New Roman"/>
          <w:sz w:val="20"/>
        </w:rPr>
        <w:t> </w:t>
      </w:r>
      <w:r>
        <w:rPr>
          <w:rFonts w:ascii="Times New Roman" w:hAnsi="Times New Roman"/>
          <w:b/>
          <w:sz w:val="20"/>
        </w:rPr>
        <w:t>4</w:t>
      </w:r>
      <w:r>
        <w:rPr>
          <w:rFonts w:ascii="Times New Roman" w:hAnsi="Times New Roman"/>
          <w:sz w:val="20"/>
        </w:rPr>
        <w:t xml:space="preserve"> shall mean amendment agreement no. 4 to this Agreement dated </w:t>
      </w:r>
      <w:r>
        <w:rPr>
          <w:rFonts w:ascii="Times New Roman" w:hAnsi="Times New Roman"/>
          <w:sz w:val="20"/>
          <w:u w:val="single"/>
        </w:rPr>
        <w:t>29</w:t>
      </w:r>
      <w:r>
        <w:rPr>
          <w:rFonts w:ascii="Times New Roman" w:hAnsi="Times New Roman"/>
          <w:sz w:val="20"/>
        </w:rPr>
        <w:t xml:space="preserve"> December 2017.”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(e)</w:t>
            </w:r>
          </w:p>
        </w:tc>
        <w:tc>
          <w:tcPr>
            <w:tcW w:w="9185" w:type="dxa"/>
            <w:tcBorders/>
            <w:shd w:fill="auto" w:val="clear"/>
          </w:tcPr>
          <w:p>
            <w:pPr>
              <w:pStyle w:val="TableContents"/>
              <w:spacing w:before="0" w:after="283"/>
              <w:jc w:val="left"/>
              <w:rPr/>
            </w:pPr>
            <w:r>
              <w:rPr/>
              <w:t>to amend paragraph (i)(A) of the definition of the “Financial Indebtedness” in Schedule 1 (</w:t>
            </w:r>
            <w:r>
              <w:rPr>
                <w:i/>
              </w:rPr>
              <w:t>Terms of the Facility Agreement</w:t>
            </w:r>
            <w:r>
              <w:rPr/>
              <w:t xml:space="preserve">) by adding the following to the end of the paragraph: </w:t>
            </w:r>
          </w:p>
        </w:tc>
      </w:tr>
    </w:tbl>
    <w:p>
      <w:pPr>
        <w:pStyle w:val="TextBody"/>
        <w:spacing w:before="120" w:after="0"/>
        <w:rPr/>
      </w:pPr>
      <w:r>
        <w:rPr/>
        <w:t>“</w:t>
      </w:r>
      <w:r>
        <w:rPr>
          <w:rFonts w:ascii="Times New Roman" w:hAnsi="Times New Roman"/>
          <w:sz w:val="20"/>
        </w:rPr>
        <w:t xml:space="preserve">excluding the Unlimited Guarantee”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3.2</w:t>
            </w:r>
          </w:p>
        </w:tc>
        <w:tc>
          <w:tcPr>
            <w:tcW w:w="9696" w:type="dxa"/>
            <w:tcBorders/>
            <w:shd w:fill="auto" w:val="clear"/>
          </w:tcPr>
          <w:p>
            <w:pPr>
              <w:pStyle w:val="TableContents"/>
              <w:spacing w:before="0" w:after="283"/>
              <w:jc w:val="left"/>
              <w:rPr/>
            </w:pPr>
            <w:r>
              <w:rPr/>
              <w:t xml:space="preserve">The Parties have agreed that the amendments envisaged by Clause 3.1 above shall be deemed to have taken effect as of the Effective Date.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3.3</w:t>
            </w:r>
          </w:p>
        </w:tc>
        <w:tc>
          <w:tcPr>
            <w:tcW w:w="9695" w:type="dxa"/>
            <w:tcBorders/>
            <w:shd w:fill="auto" w:val="clear"/>
          </w:tcPr>
          <w:p>
            <w:pPr>
              <w:pStyle w:val="TableContents"/>
              <w:spacing w:before="0" w:after="283"/>
              <w:jc w:val="left"/>
              <w:rPr/>
            </w:pPr>
            <w:r>
              <w:rPr/>
              <w:t xml:space="preserve">The Parties have agreed that if the Effective Date does not occur until the Longstop Effective Date (inclusive of such date), Clause 3.1 above shall terminate automatically on the date following the Longstop Effective Date, and the relevant amendments shall not be deemed to have taken effect.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pPr>
            <w:r>
              <w:rPr/>
              <w:t>4.</w:t>
            </w:r>
          </w:p>
        </w:tc>
        <w:tc>
          <w:tcPr>
            <w:tcW w:w="9698" w:type="dxa"/>
            <w:tcBorders/>
            <w:shd w:fill="auto" w:val="clear"/>
          </w:tcPr>
          <w:p>
            <w:pPr>
              <w:pStyle w:val="TableContents"/>
              <w:spacing w:before="0" w:after="283"/>
              <w:jc w:val="left"/>
              <w:rPr/>
            </w:pPr>
            <w:r>
              <w:rPr>
                <w:b/>
              </w:rPr>
              <w:t>LIMITATIONS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The binding nature of the consents and amendments envisaged by Clause 2 (</w:t>
            </w:r>
            <w:r>
              <w:rPr>
                <w:i/>
              </w:rPr>
              <w:t>Consents</w:t>
            </w:r>
            <w:r>
              <w:rPr/>
              <w:t>) and Clause 3 (</w:t>
            </w:r>
            <w:r>
              <w:rPr>
                <w:i/>
              </w:rPr>
              <w:t>Amendments</w:t>
            </w:r>
            <w:r>
              <w:rPr/>
              <w:t>), is conditional upon (as envisaged by Article 3271 of the Civil Code) the provision of the documents and information set out in Schedule 1 (</w:t>
            </w:r>
            <w:r>
              <w:rPr>
                <w:i/>
              </w:rPr>
              <w:t>Conditions Precedent</w:t>
            </w:r>
            <w:r>
              <w:rPr/>
              <w:t>) to Amendment Agreement No. 4 by the Borrower to the Facility Agent in the form satisfactory to the Facility Agent, whereas it is mandatory that the corporate approvals and powers of attorney are to be provided in the form of an original or a notarised copy. The date on which the Facility Agent confirms receipt of such documents, information and confirmations to the Lenders and the Borrower shall be the “</w:t>
            </w:r>
            <w:r>
              <w:rPr>
                <w:b/>
              </w:rPr>
              <w:t>Effective Date</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4" w:type="dxa"/>
            <w:tcBorders/>
            <w:shd w:fill="auto" w:val="clear"/>
          </w:tcPr>
          <w:p>
            <w:pPr>
              <w:pStyle w:val="TableContents"/>
              <w:spacing w:before="0" w:after="283"/>
              <w:jc w:val="left"/>
              <w:rPr/>
            </w:pPr>
            <w:r>
              <w:rPr/>
              <w:t>Any amendments to be made to the Independent Guarantee Agreement in accordance herewith shall be limited to the amendments set forth in Clause 2 (</w:t>
            </w:r>
            <w:r>
              <w:rPr>
                <w:i/>
              </w:rPr>
              <w:t>Consents</w:t>
            </w:r>
            <w:r>
              <w:rPr/>
              <w:t>). No other provisions of the Independent Guarantee Agreement (save as stated in Clause 2 (</w:t>
            </w:r>
            <w:r>
              <w:rPr>
                <w:i/>
              </w:rPr>
              <w:t>Consents</w:t>
            </w:r>
            <w:r>
              <w:rPr/>
              <w:t xml:space="preserve">)) shall be amended or supplemented hereby.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The Guarantor hereby gives its consent to be liable under the obligations of the Borrower arising out of the Facility Agreement, for avoidance of any doubt, including subject to the amendments made pursuant to Amendment Agreement No. 4, and confirms that the Guarantee is valid, has full legal effect and the Guarantor continues to duly discharge its obligations under the Guarantee in accordance with its terms and the terms of the Independent Guarantee Agreement.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7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(d)</w:t>
            </w:r>
          </w:p>
        </w:tc>
        <w:tc>
          <w:tcPr>
            <w:tcW w:w="9188" w:type="dxa"/>
            <w:tcBorders/>
            <w:shd w:fill="auto" w:val="clear"/>
          </w:tcPr>
          <w:p>
            <w:pPr>
              <w:pStyle w:val="TableContents"/>
              <w:spacing w:before="0" w:after="283"/>
              <w:jc w:val="left"/>
              <w:rPr/>
            </w:pPr>
            <w:r>
              <w:rPr/>
              <w:t>This Agreement shall not release the Guarantor from any obligations envisaged by the Independent Guarantee Agreement or the Guarantee except for the circumstances stipulated in Article 2 (</w:t>
            </w:r>
            <w:r>
              <w:rPr>
                <w:i/>
              </w:rPr>
              <w:t>Consents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9696"/>
      </w:tblGrid>
      <w:tr>
        <w:trPr/>
        <w:tc>
          <w:tcPr>
            <w:tcW w:w="508" w:type="dxa"/>
            <w:tcBorders/>
            <w:shd w:fill="auto" w:val="clear"/>
          </w:tcPr>
          <w:p>
            <w:pPr>
              <w:pStyle w:val="TableContents"/>
              <w:spacing w:before="0" w:after="283"/>
              <w:jc w:val="left"/>
              <w:rPr/>
            </w:pPr>
            <w:r>
              <w:rPr/>
              <w:t>5.</w:t>
            </w:r>
          </w:p>
        </w:tc>
        <w:tc>
          <w:tcPr>
            <w:tcW w:w="9696" w:type="dxa"/>
            <w:tcBorders/>
            <w:shd w:fill="auto" w:val="clear"/>
          </w:tcPr>
          <w:p>
            <w:pPr>
              <w:pStyle w:val="TableContents"/>
              <w:spacing w:before="0" w:after="283"/>
              <w:jc w:val="left"/>
              <w:rPr/>
            </w:pPr>
            <w:r>
              <w:rPr>
                <w:b/>
              </w:rPr>
              <w:t>FURTHER UNDERTAKINGS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5.1</w:t>
            </w:r>
          </w:p>
        </w:tc>
        <w:tc>
          <w:tcPr>
            <w:tcW w:w="9695" w:type="dxa"/>
            <w:tcBorders/>
            <w:shd w:fill="auto" w:val="clear"/>
          </w:tcPr>
          <w:p>
            <w:pPr>
              <w:pStyle w:val="TableContents"/>
              <w:spacing w:before="0" w:after="283"/>
              <w:jc w:val="left"/>
              <w:rPr/>
            </w:pPr>
            <w:r>
              <w:rPr/>
              <w:t xml:space="preserve">If the Offering does not take place by 30 December 2018, the Guarantor undertakes by 31 March 2019 to: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 xml:space="preserve">procure the execution of the pledge agreement in respect of one hundred per cent (100%) of shares in the Guarantor (subject to the additional issue of shares) to the benefit of the Facility Agent, in form and substance similar to the Zemenik Trading Pledge Agreements;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7" w:type="dxa"/>
            <w:tcBorders/>
            <w:shd w:fill="auto" w:val="clear"/>
          </w:tcPr>
          <w:p>
            <w:pPr>
              <w:pStyle w:val="TableContents"/>
              <w:spacing w:before="0" w:after="283"/>
              <w:jc w:val="left"/>
              <w:rPr/>
            </w:pPr>
            <w:r>
              <w:rPr/>
              <w:t xml:space="preserve">provide to the Facility Agent evidence of the Unlimited Guarantee’s termination or written proof in the appropriate for the Facility Agent form that the Unlimited Guarantee has not been issued.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6.</w:t>
            </w:r>
          </w:p>
        </w:tc>
        <w:tc>
          <w:tcPr>
            <w:tcW w:w="9695" w:type="dxa"/>
            <w:tcBorders/>
            <w:shd w:fill="auto" w:val="clear"/>
          </w:tcPr>
          <w:p>
            <w:pPr>
              <w:pStyle w:val="TableContents"/>
              <w:spacing w:before="0" w:after="283"/>
              <w:jc w:val="left"/>
              <w:rPr/>
            </w:pPr>
            <w:r>
              <w:rPr>
                <w:b/>
              </w:rPr>
              <w:t>REPRESENTATIONS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8"/>
        <w:gridCol w:w="9188"/>
      </w:tblGrid>
      <w:tr>
        <w:trPr/>
        <w:tc>
          <w:tcPr>
            <w:tcW w:w="508" w:type="dxa"/>
            <w:tcBorders/>
            <w:shd w:fill="auto" w:val="clear"/>
            <w:vAlign w:val="center"/>
          </w:tcPr>
          <w:p>
            <w:pPr>
              <w:pStyle w:val="TableContents"/>
              <w:spacing w:before="0" w:after="283"/>
              <w:rPr/>
            </w:pPr>
            <w:r>
              <w:rPr/>
              <w:t> </w:t>
            </w:r>
          </w:p>
        </w:tc>
        <w:tc>
          <w:tcPr>
            <w:tcW w:w="508" w:type="dxa"/>
            <w:tcBorders/>
            <w:shd w:fill="auto" w:val="clear"/>
          </w:tcPr>
          <w:p>
            <w:pPr>
              <w:pStyle w:val="TableContents"/>
              <w:spacing w:before="0" w:after="283"/>
              <w:jc w:val="left"/>
              <w:rPr/>
            </w:pPr>
            <w:r>
              <w:rPr/>
              <w:t>(a)</w:t>
            </w:r>
          </w:p>
        </w:tc>
        <w:tc>
          <w:tcPr>
            <w:tcW w:w="9188" w:type="dxa"/>
            <w:tcBorders/>
            <w:shd w:fill="auto" w:val="clear"/>
          </w:tcPr>
          <w:p>
            <w:pPr>
              <w:pStyle w:val="TableContents"/>
              <w:spacing w:before="0" w:after="283"/>
              <w:jc w:val="left"/>
              <w:rPr/>
            </w:pPr>
            <w:r>
              <w:rPr/>
              <w:t>The Guarantor gives the representations regarding circumstances set out in Clause 3 (</w:t>
            </w:r>
            <w:r>
              <w:rPr>
                <w:i/>
              </w:rPr>
              <w:t>Guarantor’s Representations Regarding Circumstances</w:t>
            </w:r>
            <w:r>
              <w:rPr/>
              <w:t xml:space="preserve">) of the Independent Guarantee Agreement to the Initial Lender.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09"/>
        <w:gridCol w:w="9186"/>
      </w:tblGrid>
      <w:tr>
        <w:trPr/>
        <w:tc>
          <w:tcPr>
            <w:tcW w:w="509"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(b)</w:t>
            </w:r>
          </w:p>
        </w:tc>
        <w:tc>
          <w:tcPr>
            <w:tcW w:w="9186" w:type="dxa"/>
            <w:tcBorders/>
            <w:shd w:fill="auto" w:val="clear"/>
          </w:tcPr>
          <w:p>
            <w:pPr>
              <w:pStyle w:val="TableContents"/>
              <w:spacing w:before="0" w:after="283"/>
              <w:jc w:val="left"/>
              <w:rPr/>
            </w:pPr>
            <w:r>
              <w:rPr/>
              <w:t xml:space="preserve">The representations regarding circumstances mentioned in paragraph (a) above shall be given by the Guarantor as of the date of this Agreement with reference to the circumstances existing on the date of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8"/>
        <w:gridCol w:w="509"/>
        <w:gridCol w:w="9187"/>
      </w:tblGrid>
      <w:tr>
        <w:trPr/>
        <w:tc>
          <w:tcPr>
            <w:tcW w:w="508" w:type="dxa"/>
            <w:tcBorders/>
            <w:shd w:fill="auto" w:val="clear"/>
            <w:vAlign w:val="center"/>
          </w:tcPr>
          <w:p>
            <w:pPr>
              <w:pStyle w:val="TableContents"/>
              <w:spacing w:before="0" w:after="283"/>
              <w:rPr/>
            </w:pPr>
            <w:r>
              <w:rPr/>
              <w:t> </w:t>
            </w:r>
          </w:p>
        </w:tc>
        <w:tc>
          <w:tcPr>
            <w:tcW w:w="509" w:type="dxa"/>
            <w:tcBorders/>
            <w:shd w:fill="auto" w:val="clear"/>
          </w:tcPr>
          <w:p>
            <w:pPr>
              <w:pStyle w:val="TableContents"/>
              <w:spacing w:before="0" w:after="283"/>
              <w:jc w:val="left"/>
              <w:rPr/>
            </w:pPr>
            <w:r>
              <w:rPr/>
              <w:t>(c)</w:t>
            </w:r>
          </w:p>
        </w:tc>
        <w:tc>
          <w:tcPr>
            <w:tcW w:w="9187" w:type="dxa"/>
            <w:tcBorders/>
            <w:shd w:fill="auto" w:val="clear"/>
          </w:tcPr>
          <w:p>
            <w:pPr>
              <w:pStyle w:val="TableContents"/>
              <w:spacing w:before="0" w:after="283"/>
              <w:jc w:val="left"/>
              <w:rPr/>
            </w:pPr>
            <w:r>
              <w:rPr/>
              <w:t xml:space="preserve">References to the Independent Guarantee Agreement in the representations regarding circumstances given pursuant to paragraph (a) above shall be deemed also to include references to this Agreement.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7"/>
        <w:gridCol w:w="9697"/>
      </w:tblGrid>
      <w:tr>
        <w:trPr/>
        <w:tc>
          <w:tcPr>
            <w:tcW w:w="507" w:type="dxa"/>
            <w:tcBorders/>
            <w:shd w:fill="auto" w:val="clear"/>
          </w:tcPr>
          <w:p>
            <w:pPr>
              <w:pStyle w:val="TableContents"/>
              <w:spacing w:before="0" w:after="283"/>
              <w:jc w:val="left"/>
              <w:rPr/>
            </w:pPr>
            <w:r>
              <w:rPr/>
              <w:t>7.</w:t>
            </w:r>
          </w:p>
        </w:tc>
        <w:tc>
          <w:tcPr>
            <w:tcW w:w="9697" w:type="dxa"/>
            <w:tcBorders/>
            <w:shd w:fill="auto" w:val="clear"/>
          </w:tcPr>
          <w:p>
            <w:pPr>
              <w:pStyle w:val="TableContents"/>
              <w:spacing w:before="0" w:after="283"/>
              <w:jc w:val="left"/>
              <w:rPr/>
            </w:pPr>
            <w:r>
              <w:rPr>
                <w:b/>
              </w:rPr>
              <w:t>GOVERNING LAW</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as well as the rights and obligations of the Parties arising under this Agreement, shall be governed by and construed in accordance with the laws of the Russian Federation.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6"/>
        <w:gridCol w:w="9698"/>
      </w:tblGrid>
      <w:tr>
        <w:trPr/>
        <w:tc>
          <w:tcPr>
            <w:tcW w:w="506" w:type="dxa"/>
            <w:tcBorders/>
            <w:shd w:fill="auto" w:val="clear"/>
          </w:tcPr>
          <w:p>
            <w:pPr>
              <w:pStyle w:val="TableContents"/>
              <w:spacing w:before="0" w:after="283"/>
              <w:jc w:val="left"/>
              <w:rPr/>
            </w:pPr>
            <w:r>
              <w:rPr/>
              <w:t>8.</w:t>
            </w:r>
          </w:p>
        </w:tc>
        <w:tc>
          <w:tcPr>
            <w:tcW w:w="9698" w:type="dxa"/>
            <w:tcBorders/>
            <w:shd w:fill="auto" w:val="clear"/>
          </w:tcPr>
          <w:p>
            <w:pPr>
              <w:pStyle w:val="TableContents"/>
              <w:spacing w:before="0" w:after="283"/>
              <w:jc w:val="left"/>
              <w:rPr/>
            </w:pPr>
            <w:r>
              <w:rPr>
                <w:b/>
              </w:rPr>
              <w:t>DISPUTE RESOLUTION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10"/>
        <w:gridCol w:w="510"/>
        <w:gridCol w:w="9184"/>
      </w:tblGrid>
      <w:tr>
        <w:trPr/>
        <w:tc>
          <w:tcPr>
            <w:tcW w:w="510"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(a)</w:t>
            </w:r>
          </w:p>
        </w:tc>
        <w:tc>
          <w:tcPr>
            <w:tcW w:w="9184" w:type="dxa"/>
            <w:tcBorders/>
            <w:shd w:fill="auto" w:val="clear"/>
          </w:tcPr>
          <w:p>
            <w:pPr>
              <w:pStyle w:val="TableContents"/>
              <w:spacing w:before="0" w:after="283"/>
              <w:jc w:val="left"/>
              <w:rPr/>
            </w:pPr>
            <w:r>
              <w:rPr/>
              <w:t xml:space="preserve">Any dispute in connection with this Agreement, including in relation to construction of its provisions, existence, validity or termination, shall be resolved through a pre-court procedure, by way of one of the Parties delivering a relevant pre-action letter (complaint) to another Party. If the Party does not receive a reply to the pre-action letter (complaint) delivered by it and the dispute is not resolved within ten (10) Business Days from the date of the relevant pre-action letter (complaint) receipt by the other Party, such dispute may be submitted for resolution to a court in accordance with paragraph (b) below.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510"/>
        <w:gridCol w:w="9185"/>
      </w:tblGrid>
      <w:tr>
        <w:trPr/>
        <w:tc>
          <w:tcPr>
            <w:tcW w:w="509" w:type="dxa"/>
            <w:tcBorders/>
            <w:shd w:fill="auto" w:val="clear"/>
            <w:vAlign w:val="center"/>
          </w:tcPr>
          <w:p>
            <w:pPr>
              <w:pStyle w:val="TableContents"/>
              <w:spacing w:before="0" w:after="283"/>
              <w:rPr/>
            </w:pPr>
            <w:r>
              <w:rPr/>
              <w:t> </w:t>
            </w:r>
          </w:p>
        </w:tc>
        <w:tc>
          <w:tcPr>
            <w:tcW w:w="510" w:type="dxa"/>
            <w:tcBorders/>
            <w:shd w:fill="auto" w:val="clear"/>
          </w:tcPr>
          <w:p>
            <w:pPr>
              <w:pStyle w:val="TableContents"/>
              <w:spacing w:before="0" w:after="283"/>
              <w:jc w:val="left"/>
              <w:rPr/>
            </w:pPr>
            <w:r>
              <w:rPr/>
              <w:t>(b)</w:t>
            </w:r>
          </w:p>
        </w:tc>
        <w:tc>
          <w:tcPr>
            <w:tcW w:w="9185" w:type="dxa"/>
            <w:tcBorders/>
            <w:shd w:fill="auto" w:val="clear"/>
          </w:tcPr>
          <w:p>
            <w:pPr>
              <w:pStyle w:val="TableContents"/>
              <w:spacing w:before="0" w:after="283"/>
              <w:jc w:val="left"/>
              <w:rPr/>
            </w:pPr>
            <w:r>
              <w:rPr/>
              <w:t xml:space="preserve">Subject to the provisions in paragraph (a) above, in case of any dispute arising under or in connection with this Agreement, including in relation to the construction of its provisions, its existence, validity or termination, such dispute shall be considered by the Arbitrazh Court of the Moscow City.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509"/>
        <w:gridCol w:w="9695"/>
      </w:tblGrid>
      <w:tr>
        <w:trPr/>
        <w:tc>
          <w:tcPr>
            <w:tcW w:w="509" w:type="dxa"/>
            <w:tcBorders/>
            <w:shd w:fill="auto" w:val="clear"/>
          </w:tcPr>
          <w:p>
            <w:pPr>
              <w:pStyle w:val="TableContents"/>
              <w:spacing w:before="0" w:after="283"/>
              <w:jc w:val="left"/>
              <w:rPr/>
            </w:pPr>
            <w:r>
              <w:rPr/>
              <w:t>9.</w:t>
            </w:r>
          </w:p>
        </w:tc>
        <w:tc>
          <w:tcPr>
            <w:tcW w:w="9695" w:type="dxa"/>
            <w:tcBorders/>
            <w:shd w:fill="auto" w:val="clear"/>
          </w:tcPr>
          <w:p>
            <w:pPr>
              <w:pStyle w:val="TableContents"/>
              <w:spacing w:before="0" w:after="283"/>
              <w:jc w:val="left"/>
              <w:rPr/>
            </w:pPr>
            <w:r>
              <w:rPr>
                <w:b/>
              </w:rPr>
              <w:t>SIGNING</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This Agreement is made in three (3) counterparts of equal legal effect, constituting a single document, one counterpart for each of the Parties. </w:t>
      </w:r>
    </w:p>
    <w:p>
      <w:pPr>
        <w:pStyle w:val="TextBody"/>
        <w:spacing w:before="120" w:after="0"/>
        <w:rPr>
          <w:rFonts w:ascii="Times New Roman" w:hAnsi="Times New Roman"/>
          <w:sz w:val="20"/>
        </w:rPr>
      </w:pPr>
      <w:r>
        <w:rPr>
          <w:rFonts w:ascii="Times New Roman" w:hAnsi="Times New Roman"/>
          <w:sz w:val="20"/>
        </w:rPr>
        <w:t xml:space="preserve">This Agreement is entered into on the date first written above.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8 </w:t>
      </w:r>
      <w:r>
        <w:br w:type="page"/>
      </w:r>
    </w:p>
    <w:p>
      <w:pPr>
        <w:pStyle w:val="HorizontalLine"/>
        <w:pBdr>
          <w:bottom w:val="double" w:sz="6" w:space="0" w:color="808080"/>
        </w:pBdr>
        <w:rPr/>
      </w:pPr>
      <w:r>
        <w:rPr/>
      </w:r>
    </w:p>
    <w:p>
      <w:pPr>
        <w:pStyle w:val="TextBody"/>
        <w:spacing w:before="0" w:after="0"/>
        <w:jc w:val="center"/>
        <w:rPr>
          <w:rFonts w:ascii="Times New Roman" w:hAnsi="Times New Roman"/>
          <w:b/>
          <w:sz w:val="20"/>
        </w:rPr>
      </w:pPr>
      <w:r>
        <w:rPr>
          <w:rFonts w:ascii="Times New Roman" w:hAnsi="Times New Roman"/>
          <w:b/>
          <w:sz w:val="20"/>
        </w:rPr>
        <w:t xml:space="preserve">SIGNATURES OF THE PARTIES </w:t>
      </w:r>
    </w:p>
    <w:p>
      <w:pPr>
        <w:pStyle w:val="TextBody"/>
        <w:spacing w:before="240" w:after="0"/>
        <w:rPr>
          <w:rFonts w:ascii="Times New Roman" w:hAnsi="Times New Roman"/>
          <w:b/>
          <w:sz w:val="20"/>
        </w:rPr>
      </w:pPr>
      <w:r>
        <w:rPr>
          <w:rFonts w:ascii="Times New Roman" w:hAnsi="Times New Roman"/>
          <w:b/>
          <w:sz w:val="20"/>
        </w:rPr>
        <w:t xml:space="preserve">Guarantor </w:t>
      </w:r>
    </w:p>
    <w:p>
      <w:pPr>
        <w:pStyle w:val="TextBody"/>
        <w:spacing w:before="120" w:after="0"/>
        <w:rPr>
          <w:rFonts w:ascii="Times New Roman" w:hAnsi="Times New Roman"/>
          <w:b/>
          <w:sz w:val="20"/>
        </w:rPr>
      </w:pPr>
      <w:r>
        <w:rPr>
          <w:rFonts w:ascii="Times New Roman" w:hAnsi="Times New Roman"/>
          <w:b/>
          <w:sz w:val="20"/>
        </w:rPr>
        <w:t xml:space="preserve">ZEMENIK TRADING LIMITED </w:t>
      </w:r>
    </w:p>
    <w:p>
      <w:pPr>
        <w:pStyle w:val="TextBody"/>
        <w:spacing w:before="120" w:after="0"/>
        <w:rPr>
          <w:rFonts w:ascii="Times New Roman" w:hAnsi="Times New Roman"/>
          <w:sz w:val="20"/>
        </w:rPr>
      </w:pPr>
      <w:r>
        <w:rPr>
          <w:rFonts w:ascii="Times New Roman" w:hAnsi="Times New Roman"/>
          <w:sz w:val="20"/>
        </w:rPr>
        <w:t xml:space="preserve">Signature: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55"/>
        <w:gridCol w:w="203"/>
        <w:gridCol w:w="7246"/>
      </w:tblGrid>
      <w:tr>
        <w:trPr/>
        <w:tc>
          <w:tcPr>
            <w:tcW w:w="2755"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bottom"/>
          </w:tcPr>
          <w:p>
            <w:pPr>
              <w:pStyle w:val="TableContents"/>
              <w:spacing w:before="0" w:after="283"/>
              <w:rPr>
                <w:sz w:val="4"/>
                <w:szCs w:val="4"/>
              </w:rPr>
            </w:pPr>
            <w:r>
              <w:rPr>
                <w:sz w:val="4"/>
                <w:szCs w:val="4"/>
              </w:rPr>
            </w:r>
          </w:p>
        </w:tc>
        <w:tc>
          <w:tcPr>
            <w:tcW w:w="7246" w:type="dxa"/>
            <w:tcBorders/>
            <w:shd w:fill="auto" w:val="clear"/>
            <w:vAlign w:val="center"/>
          </w:tcPr>
          <w:p>
            <w:pPr>
              <w:pStyle w:val="TableContents"/>
              <w:spacing w:before="0" w:after="283"/>
              <w:rPr>
                <w:sz w:val="4"/>
                <w:szCs w:val="4"/>
              </w:rPr>
            </w:pPr>
            <w:r>
              <w:rPr>
                <w:sz w:val="4"/>
                <w:szCs w:val="4"/>
              </w:rPr>
            </w:r>
          </w:p>
        </w:tc>
      </w:tr>
      <w:tr>
        <w:trPr/>
        <w:tc>
          <w:tcPr>
            <w:tcW w:w="275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Surname, name, patronymic:</w:t>
            </w:r>
          </w:p>
        </w:tc>
        <w:tc>
          <w:tcPr>
            <w:tcW w:w="203"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Panayota Stylianou</w:t>
            </w:r>
          </w:p>
        </w:tc>
      </w:tr>
      <w:tr>
        <w:trPr/>
        <w:tc>
          <w:tcPr>
            <w:tcW w:w="2755"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Title:</w:t>
            </w:r>
          </w:p>
        </w:tc>
        <w:tc>
          <w:tcPr>
            <w:tcW w:w="203"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Director</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9 </w:t>
      </w:r>
      <w:r>
        <w:br w:type="page"/>
      </w:r>
    </w:p>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Borrower </w:t>
      </w:r>
    </w:p>
    <w:p>
      <w:pPr>
        <w:pStyle w:val="TextBody"/>
        <w:spacing w:before="120" w:after="0"/>
        <w:rPr>
          <w:rFonts w:ascii="Times New Roman" w:hAnsi="Times New Roman"/>
          <w:b/>
          <w:sz w:val="20"/>
        </w:rPr>
      </w:pPr>
      <w:r>
        <w:rPr>
          <w:rFonts w:ascii="Times New Roman" w:hAnsi="Times New Roman"/>
          <w:b/>
          <w:sz w:val="20"/>
        </w:rPr>
        <w:t xml:space="preserve">LIMITED LIABILITY COMPANY ZEMENIK </w:t>
      </w:r>
    </w:p>
    <w:p>
      <w:pPr>
        <w:pStyle w:val="TextBody"/>
        <w:spacing w:before="120" w:after="0"/>
        <w:rPr>
          <w:rFonts w:ascii="Times New Roman" w:hAnsi="Times New Roman"/>
          <w:sz w:val="20"/>
        </w:rPr>
      </w:pPr>
      <w:r>
        <w:rPr>
          <w:rFonts w:ascii="Times New Roman" w:hAnsi="Times New Roman"/>
          <w:sz w:val="20"/>
        </w:rPr>
        <w:t xml:space="preserve">Signature: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54"/>
        <w:gridCol w:w="204"/>
        <w:gridCol w:w="7246"/>
      </w:tblGrid>
      <w:tr>
        <w:trPr/>
        <w:tc>
          <w:tcPr>
            <w:tcW w:w="275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7246" w:type="dxa"/>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Surname, name, patronymic:</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Agayan Karen Edouardovich</w:t>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Title:</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General Director</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10 </w:t>
      </w:r>
      <w:r>
        <w:br w:type="page"/>
      </w:r>
    </w:p>
    <w:p>
      <w:pPr>
        <w:pStyle w:val="HorizontalLine"/>
        <w:pBdr>
          <w:bottom w:val="double" w:sz="6" w:space="0" w:color="808080"/>
        </w:pBdr>
        <w:rPr/>
      </w:pPr>
      <w:r>
        <w:rPr/>
      </w:r>
    </w:p>
    <w:p>
      <w:pPr>
        <w:pStyle w:val="TextBody"/>
        <w:spacing w:before="0" w:after="0"/>
        <w:rPr>
          <w:rFonts w:ascii="Times New Roman" w:hAnsi="Times New Roman"/>
          <w:b/>
          <w:sz w:val="20"/>
        </w:rPr>
      </w:pPr>
      <w:r>
        <w:rPr>
          <w:rFonts w:ascii="Times New Roman" w:hAnsi="Times New Roman"/>
          <w:b/>
          <w:sz w:val="20"/>
        </w:rPr>
        <w:t xml:space="preserve">Initial Lender </w:t>
      </w:r>
    </w:p>
    <w:p>
      <w:pPr>
        <w:pStyle w:val="TextBody"/>
        <w:spacing w:before="120" w:after="0"/>
        <w:rPr>
          <w:rFonts w:ascii="Times New Roman" w:hAnsi="Times New Roman"/>
          <w:b/>
          <w:sz w:val="20"/>
        </w:rPr>
      </w:pPr>
      <w:r>
        <w:rPr>
          <w:rFonts w:ascii="Times New Roman" w:hAnsi="Times New Roman"/>
          <w:b/>
          <w:sz w:val="20"/>
        </w:rPr>
        <w:t xml:space="preserve">VTB BANK (PUBLIC JOINT-STOCK COMPANY) </w:t>
      </w:r>
    </w:p>
    <w:p>
      <w:pPr>
        <w:pStyle w:val="TextBody"/>
        <w:spacing w:before="120" w:after="0"/>
        <w:rPr>
          <w:rFonts w:ascii="Times New Roman" w:hAnsi="Times New Roman"/>
          <w:sz w:val="20"/>
        </w:rPr>
      </w:pPr>
      <w:r>
        <w:rPr>
          <w:rFonts w:ascii="Times New Roman" w:hAnsi="Times New Roman"/>
          <w:sz w:val="20"/>
        </w:rPr>
        <w:t xml:space="preserve">Signature:     </w:t>
      </w:r>
    </w:p>
    <w:p>
      <w:pPr>
        <w:pStyle w:val="TextBody"/>
        <w:spacing w:before="0" w:after="0"/>
        <w:rPr/>
      </w:pPr>
      <w:r>
        <w:rPr/>
        <w:t> </w:t>
      </w:r>
    </w:p>
    <w:tbl>
      <w:tblPr>
        <w:tblW w:w="5000" w:type="pct"/>
        <w:jc w:val="center"/>
        <w:tblInd w:w="0" w:type="dxa"/>
        <w:tblBorders/>
        <w:tblCellMar>
          <w:top w:w="0" w:type="dxa"/>
          <w:left w:w="0" w:type="dxa"/>
          <w:bottom w:w="0" w:type="dxa"/>
          <w:right w:w="0" w:type="dxa"/>
        </w:tblCellMar>
      </w:tblPr>
      <w:tblGrid>
        <w:gridCol w:w="2754"/>
        <w:gridCol w:w="204"/>
        <w:gridCol w:w="7246"/>
      </w:tblGrid>
      <w:tr>
        <w:trPr/>
        <w:tc>
          <w:tcPr>
            <w:tcW w:w="2754"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bottom"/>
          </w:tcPr>
          <w:p>
            <w:pPr>
              <w:pStyle w:val="TableContents"/>
              <w:spacing w:before="0" w:after="283"/>
              <w:rPr>
                <w:sz w:val="4"/>
                <w:szCs w:val="4"/>
              </w:rPr>
            </w:pPr>
            <w:r>
              <w:rPr>
                <w:sz w:val="4"/>
                <w:szCs w:val="4"/>
              </w:rPr>
            </w:r>
          </w:p>
        </w:tc>
        <w:tc>
          <w:tcPr>
            <w:tcW w:w="7246" w:type="dxa"/>
            <w:tcBorders/>
            <w:shd w:fill="auto" w:val="clear"/>
            <w:vAlign w:val="center"/>
          </w:tcPr>
          <w:p>
            <w:pPr>
              <w:pStyle w:val="TableContents"/>
              <w:spacing w:before="0" w:after="283"/>
              <w:rPr>
                <w:sz w:val="4"/>
                <w:szCs w:val="4"/>
              </w:rPr>
            </w:pPr>
            <w:r>
              <w:rPr>
                <w:sz w:val="4"/>
                <w:szCs w:val="4"/>
              </w:rPr>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Surname, name, patronymic:</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Vitaliy Nikolaevich Buzoverya</w:t>
            </w:r>
          </w:p>
        </w:tc>
      </w:tr>
      <w:tr>
        <w:trPr/>
        <w:tc>
          <w:tcPr>
            <w:tcW w:w="2754"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Title:</w:t>
            </w:r>
          </w:p>
        </w:tc>
        <w:tc>
          <w:tcPr>
            <w:tcW w:w="204" w:type="dxa"/>
            <w:tcBorders/>
            <w:shd w:fill="auto" w:val="clear"/>
            <w:vAlign w:val="bottom"/>
          </w:tcPr>
          <w:p>
            <w:pPr>
              <w:pStyle w:val="TableContents"/>
              <w:spacing w:before="0" w:after="283"/>
              <w:rPr/>
            </w:pPr>
            <w:r>
              <w:rPr/>
              <w:t>  </w:t>
            </w:r>
          </w:p>
        </w:tc>
        <w:tc>
          <w:tcPr>
            <w:tcW w:w="7246" w:type="dxa"/>
            <w:tcBorders/>
            <w:shd w:fill="auto" w:val="clear"/>
            <w:vAlign w:val="bottom"/>
          </w:tcPr>
          <w:p>
            <w:pPr>
              <w:pStyle w:val="TableContents"/>
              <w:spacing w:before="0" w:after="0"/>
              <w:rPr>
                <w:rFonts w:ascii="Times New Roman" w:hAnsi="Times New Roman"/>
                <w:sz w:val="20"/>
              </w:rPr>
            </w:pPr>
            <w:r>
              <w:rPr>
                <w:rFonts w:ascii="Times New Roman" w:hAnsi="Times New Roman"/>
                <w:sz w:val="20"/>
              </w:rPr>
              <w:t>Representative by virtue of the Power of Attorney</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11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713"/>
        <w:gridCol w:w="9491"/>
      </w:tblGrid>
      <w:tr>
        <w:trPr/>
        <w:tc>
          <w:tcPr>
            <w:tcW w:w="713" w:type="dxa"/>
            <w:tcBorders/>
            <w:shd w:fill="auto" w:val="clear"/>
          </w:tcPr>
          <w:p>
            <w:pPr>
              <w:pStyle w:val="TableContents"/>
              <w:spacing w:before="0" w:after="283"/>
              <w:jc w:val="left"/>
              <w:rPr/>
            </w:pPr>
            <w:r>
              <w:rPr/>
              <w:t>From:</w:t>
            </w:r>
          </w:p>
        </w:tc>
        <w:tc>
          <w:tcPr>
            <w:tcW w:w="9491" w:type="dxa"/>
            <w:tcBorders/>
            <w:shd w:fill="auto" w:val="clear"/>
          </w:tcPr>
          <w:p>
            <w:pPr>
              <w:pStyle w:val="TableContents"/>
              <w:spacing w:before="0" w:after="283"/>
              <w:jc w:val="left"/>
              <w:rPr/>
            </w:pPr>
            <w:r>
              <w:rPr>
                <w:b/>
              </w:rPr>
              <w:t>Headhunter FSU Limited</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registration number HE 178226 </w:t>
      </w:r>
    </w:p>
    <w:p>
      <w:pPr>
        <w:pStyle w:val="TextBody"/>
        <w:spacing w:before="120" w:after="0"/>
        <w:rPr>
          <w:rFonts w:ascii="Times New Roman" w:hAnsi="Times New Roman"/>
          <w:sz w:val="20"/>
        </w:rPr>
      </w:pPr>
      <w:r>
        <w:rPr>
          <w:rFonts w:ascii="Times New Roman" w:hAnsi="Times New Roman"/>
          <w:sz w:val="20"/>
        </w:rPr>
        <w:t xml:space="preserve">42 Dositheou, Strovolos 2028, Nicosia, Cyprus </w:t>
      </w:r>
    </w:p>
    <w:p>
      <w:pPr>
        <w:pStyle w:val="TextBody"/>
        <w:spacing w:before="120" w:after="0"/>
        <w:rPr>
          <w:rFonts w:ascii="Times New Roman" w:hAnsi="Times New Roman"/>
          <w:sz w:val="20"/>
        </w:rPr>
      </w:pP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To:</w:t>
            </w:r>
          </w:p>
        </w:tc>
        <w:tc>
          <w:tcPr>
            <w:tcW w:w="9492" w:type="dxa"/>
            <w:tcBorders/>
            <w:shd w:fill="auto" w:val="clear"/>
          </w:tcPr>
          <w:p>
            <w:pPr>
              <w:pStyle w:val="TableContents"/>
              <w:spacing w:before="0" w:after="283"/>
              <w:jc w:val="left"/>
              <w:rPr/>
            </w:pPr>
            <w:r>
              <w:rPr>
                <w:b/>
              </w:rPr>
              <w:t>VTB BANK (PJSC)</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Primary State Registration Number (OGRN): 1027739609391 </w:t>
      </w:r>
    </w:p>
    <w:p>
      <w:pPr>
        <w:pStyle w:val="TextBody"/>
        <w:spacing w:before="120" w:after="0"/>
        <w:rPr>
          <w:rFonts w:ascii="Times New Roman" w:hAnsi="Times New Roman"/>
          <w:sz w:val="20"/>
        </w:rPr>
      </w:pPr>
      <w:r>
        <w:rPr>
          <w:rFonts w:ascii="Times New Roman" w:hAnsi="Times New Roman"/>
          <w:sz w:val="20"/>
        </w:rPr>
        <w:t xml:space="preserve">Bolshaya Morskaya Street, 29, Saint-Petersburg, Russian Federation, 190000 </w:t>
      </w:r>
    </w:p>
    <w:p>
      <w:pPr>
        <w:pStyle w:val="TextBody"/>
        <w:spacing w:before="120" w:after="0"/>
        <w:rPr>
          <w:rFonts w:ascii="Times New Roman" w:hAnsi="Times New Roman"/>
          <w:sz w:val="20"/>
        </w:rPr>
      </w:pPr>
      <w:r>
        <w:rPr>
          <w:rFonts w:ascii="Times New Roman" w:hAnsi="Times New Roman"/>
          <w:sz w:val="20"/>
        </w:rPr>
        <w:t>(the “</w:t>
      </w:r>
      <w:r>
        <w:rPr>
          <w:rFonts w:ascii="Times New Roman" w:hAnsi="Times New Roman"/>
          <w:b/>
          <w:sz w:val="20"/>
        </w:rPr>
        <w:t>Bank</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December 2017 </w:t>
      </w:r>
    </w:p>
    <w:p>
      <w:pPr>
        <w:pStyle w:val="TextBody"/>
        <w:spacing w:before="480" w:after="0"/>
        <w:jc w:val="center"/>
        <w:rPr>
          <w:rFonts w:ascii="Times New Roman" w:hAnsi="Times New Roman"/>
          <w:b/>
          <w:sz w:val="20"/>
        </w:rPr>
      </w:pPr>
      <w:r>
        <w:rPr>
          <w:rFonts w:ascii="Times New Roman" w:hAnsi="Times New Roman"/>
          <w:b/>
          <w:sz w:val="20"/>
        </w:rPr>
        <w:t xml:space="preserve">LETTER OF CONSENT </w:t>
      </w:r>
    </w:p>
    <w:p>
      <w:pPr>
        <w:pStyle w:val="TextBody"/>
        <w:spacing w:before="240" w:after="0"/>
        <w:jc w:val="center"/>
        <w:rPr>
          <w:rFonts w:ascii="Times New Roman" w:hAnsi="Times New Roman"/>
          <w:b/>
          <w:sz w:val="20"/>
        </w:rPr>
      </w:pPr>
      <w:r>
        <w:rPr>
          <w:rFonts w:ascii="Times New Roman" w:hAnsi="Times New Roman"/>
          <w:b/>
          <w:sz w:val="20"/>
        </w:rPr>
        <w:t xml:space="preserve">in relation to the pledge agreement in respect of the interest in the charter capital of LLC </w:t>
      </w:r>
    </w:p>
    <w:p>
      <w:pPr>
        <w:pStyle w:val="TextBody"/>
        <w:spacing w:before="0" w:after="0"/>
        <w:jc w:val="center"/>
        <w:rPr>
          <w:rFonts w:ascii="Times New Roman" w:hAnsi="Times New Roman"/>
          <w:b/>
          <w:sz w:val="20"/>
        </w:rPr>
      </w:pPr>
      <w:r>
        <w:rPr>
          <w:rFonts w:ascii="Times New Roman" w:hAnsi="Times New Roman"/>
          <w:b/>
          <w:sz w:val="20"/>
        </w:rPr>
        <w:t xml:space="preserve">Headhunter dated 26 May 2016 and independent guarantee dated 1 June 2016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0"/>
        <w:gridCol w:w="9494"/>
      </w:tblGrid>
      <w:tr>
        <w:trPr/>
        <w:tc>
          <w:tcPr>
            <w:tcW w:w="710" w:type="dxa"/>
            <w:tcBorders/>
            <w:shd w:fill="auto" w:val="clear"/>
          </w:tcPr>
          <w:p>
            <w:pPr>
              <w:pStyle w:val="TableContents"/>
              <w:spacing w:before="0" w:after="283"/>
              <w:jc w:val="left"/>
              <w:rPr/>
            </w:pPr>
            <w:r>
              <w:rPr/>
              <w:t>1.</w:t>
            </w:r>
          </w:p>
        </w:tc>
        <w:tc>
          <w:tcPr>
            <w:tcW w:w="9494" w:type="dxa"/>
            <w:tcBorders/>
            <w:shd w:fill="auto" w:val="clear"/>
          </w:tcPr>
          <w:p>
            <w:pPr>
              <w:pStyle w:val="TableContents"/>
              <w:spacing w:before="0" w:after="283"/>
              <w:jc w:val="left"/>
              <w:rPr/>
            </w:pPr>
            <w:r>
              <w:rPr>
                <w:b/>
              </w:rPr>
              <w:t>GENERAL PROVISIONS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1.1</w:t>
            </w:r>
          </w:p>
        </w:tc>
        <w:tc>
          <w:tcPr>
            <w:tcW w:w="9492" w:type="dxa"/>
            <w:tcBorders/>
            <w:shd w:fill="auto" w:val="clear"/>
          </w:tcPr>
          <w:p>
            <w:pPr>
              <w:pStyle w:val="TableContents"/>
              <w:spacing w:before="0" w:after="283"/>
              <w:jc w:val="left"/>
              <w:rPr/>
            </w:pPr>
            <w:r>
              <w:rPr/>
              <w:t xml:space="preserve">This letter is sent in connection with the following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1.1.1</w:t>
            </w:r>
          </w:p>
        </w:tc>
        <w:tc>
          <w:tcPr>
            <w:tcW w:w="8676" w:type="dxa"/>
            <w:tcBorders/>
            <w:shd w:fill="auto" w:val="clear"/>
          </w:tcPr>
          <w:p>
            <w:pPr>
              <w:pStyle w:val="TableContents"/>
              <w:spacing w:before="0" w:after="283"/>
              <w:jc w:val="left"/>
              <w:rPr/>
            </w:pPr>
            <w:r>
              <w:rPr/>
              <w:t>agreement on provision of a syndicated facility in the amount of 7,000,000,000 roubles dated 16 May 2016 (the “</w:t>
            </w:r>
            <w:r>
              <w:rPr>
                <w:b/>
              </w:rPr>
              <w:t>Facility Agreement”</w:t>
            </w:r>
            <w:r>
              <w:rPr/>
              <w:t>) made between the Bank as the arranger, facility agent and original lender and LLC Zemenik as the borrower (the “</w:t>
            </w:r>
            <w:r>
              <w:rPr>
                <w:b/>
              </w:rPr>
              <w:t>Borrower”</w:t>
            </w:r>
            <w:r>
              <w:rPr/>
              <w:t>), as amended by amendment agreement No. 1 dated 14 December 2016, amendment agreement No. 2 dated 28 June 2017, amendment agreement No. 3 dated 5 October 2017 and amendment agreement No. 4 dated          December 2017 (“</w:t>
            </w:r>
            <w:r>
              <w:rPr>
                <w:b/>
              </w:rPr>
              <w:t>Amendment Agreement No.</w:t>
            </w:r>
            <w:r>
              <w:rPr/>
              <w:t> </w:t>
            </w:r>
            <w:r>
              <w:rPr>
                <w:b/>
              </w:rPr>
              <w:t>4”</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6"/>
        <w:gridCol w:w="8675"/>
      </w:tblGrid>
      <w:tr>
        <w:trPr/>
        <w:tc>
          <w:tcPr>
            <w:tcW w:w="713"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1.1.2</w:t>
            </w:r>
          </w:p>
        </w:tc>
        <w:tc>
          <w:tcPr>
            <w:tcW w:w="8675" w:type="dxa"/>
            <w:tcBorders/>
            <w:shd w:fill="auto" w:val="clear"/>
          </w:tcPr>
          <w:p>
            <w:pPr>
              <w:pStyle w:val="TableContents"/>
              <w:spacing w:before="0" w:after="283"/>
              <w:jc w:val="left"/>
              <w:rPr/>
            </w:pPr>
            <w:r>
              <w:rPr/>
              <w:t>pledge agreement in respect of the interest in the charter capital of LLC Headhunter dated 26 May 2016 (the “</w:t>
            </w:r>
            <w:r>
              <w:rPr>
                <w:b/>
              </w:rPr>
              <w:t>Interest Pledge Agreement</w:t>
            </w:r>
            <w:r>
              <w:rPr/>
              <w:t xml:space="preserve">”) made between the Bank as the pledgee and the Company as the pledgor, as amended by amendment agreement No. 1 dated 5 October 2017;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6"/>
        <w:gridCol w:w="8675"/>
      </w:tblGrid>
      <w:tr>
        <w:trPr/>
        <w:tc>
          <w:tcPr>
            <w:tcW w:w="713"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1.1.3</w:t>
            </w:r>
          </w:p>
        </w:tc>
        <w:tc>
          <w:tcPr>
            <w:tcW w:w="8675" w:type="dxa"/>
            <w:tcBorders/>
            <w:shd w:fill="auto" w:val="clear"/>
          </w:tcPr>
          <w:p>
            <w:pPr>
              <w:pStyle w:val="TableContents"/>
              <w:spacing w:before="0" w:after="283"/>
              <w:jc w:val="left"/>
              <w:rPr/>
            </w:pPr>
            <w:r>
              <w:rPr/>
              <w:t>independent guarantee dated 1 June 2016 (the “</w:t>
            </w:r>
            <w:r>
              <w:rPr>
                <w:b/>
              </w:rPr>
              <w:t>Independent Guarantee</w:t>
            </w:r>
            <w:r>
              <w:rPr/>
              <w:t xml:space="preserve">”) issued by the Company in favour of the Bank, subject to amendments No. 1 dated 5 October 2017.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2.</w:t>
            </w:r>
          </w:p>
        </w:tc>
        <w:tc>
          <w:tcPr>
            <w:tcW w:w="9492" w:type="dxa"/>
            <w:tcBorders/>
            <w:shd w:fill="auto" w:val="clear"/>
          </w:tcPr>
          <w:p>
            <w:pPr>
              <w:pStyle w:val="TableContents"/>
              <w:spacing w:before="0" w:after="283"/>
              <w:jc w:val="left"/>
              <w:rPr/>
            </w:pPr>
            <w:r>
              <w:rPr>
                <w:b/>
              </w:rPr>
              <w:t>CONSENTS AND CONFIRMATIONS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2.1</w:t>
            </w:r>
          </w:p>
        </w:tc>
        <w:tc>
          <w:tcPr>
            <w:tcW w:w="9492" w:type="dxa"/>
            <w:tcBorders/>
            <w:shd w:fill="auto" w:val="clear"/>
          </w:tcPr>
          <w:p>
            <w:pPr>
              <w:pStyle w:val="TableContents"/>
              <w:spacing w:before="0" w:after="283"/>
              <w:jc w:val="left"/>
              <w:rPr/>
            </w:pPr>
            <w:r>
              <w:rPr/>
              <w:t xml:space="preserve">Hereby we agree and confirm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2.1.1</w:t>
            </w:r>
          </w:p>
        </w:tc>
        <w:tc>
          <w:tcPr>
            <w:tcW w:w="8676" w:type="dxa"/>
            <w:tcBorders/>
            <w:shd w:fill="auto" w:val="clear"/>
          </w:tcPr>
          <w:p>
            <w:pPr>
              <w:pStyle w:val="TableContents"/>
              <w:spacing w:before="0" w:after="283"/>
              <w:jc w:val="left"/>
              <w:rPr/>
            </w:pPr>
            <w:r>
              <w:rPr/>
              <w:t xml:space="preserve">we are aware of all the terms and conditions of Amendment Agreement No. 4, have no objections as to the content thereof, agree to execution thereof by the parties and are not entitled to refer to the fact that we were not aware of the terms and conditions of Amendment Agreement No. 4;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816"/>
        <w:gridCol w:w="8674"/>
      </w:tblGrid>
      <w:tr>
        <w:trPr/>
        <w:tc>
          <w:tcPr>
            <w:tcW w:w="714"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2.1.2</w:t>
            </w:r>
          </w:p>
        </w:tc>
        <w:tc>
          <w:tcPr>
            <w:tcW w:w="8674" w:type="dxa"/>
            <w:tcBorders/>
            <w:shd w:fill="auto" w:val="clear"/>
          </w:tcPr>
          <w:p>
            <w:pPr>
              <w:pStyle w:val="TableContents"/>
              <w:spacing w:before="0" w:after="283"/>
              <w:jc w:val="left"/>
              <w:rPr/>
            </w:pPr>
            <w:r>
              <w:rPr/>
              <w:t xml:space="preserve">the Interest Pledge Agreement and Independent Guarantee continue to secure the Borrower’s obligations under the Facility Agreement in full, subject to consents, amendments and supplements provided or made by Amendment Agreement No. 4;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816"/>
        <w:gridCol w:w="8674"/>
      </w:tblGrid>
      <w:tr>
        <w:trPr/>
        <w:tc>
          <w:tcPr>
            <w:tcW w:w="714"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2.1.3</w:t>
            </w:r>
          </w:p>
        </w:tc>
        <w:tc>
          <w:tcPr>
            <w:tcW w:w="8674" w:type="dxa"/>
            <w:tcBorders/>
            <w:shd w:fill="auto" w:val="clear"/>
          </w:tcPr>
          <w:p>
            <w:pPr>
              <w:pStyle w:val="TableContents"/>
              <w:spacing w:before="0" w:after="283"/>
              <w:jc w:val="left"/>
              <w:rPr/>
            </w:pPr>
            <w:r>
              <w:rPr/>
              <w:t xml:space="preserve">the Interest Pledge Agreement and Independent Guarantee are effective, have full legal force and effect and we continue to duly perform the obligations under the Interest Pledge Agreement and Independent Guarantee in accordance with the terms and conditions thereof; and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2.1.4</w:t>
            </w:r>
          </w:p>
        </w:tc>
        <w:tc>
          <w:tcPr>
            <w:tcW w:w="8676" w:type="dxa"/>
            <w:tcBorders/>
            <w:shd w:fill="auto" w:val="clear"/>
          </w:tcPr>
          <w:p>
            <w:pPr>
              <w:pStyle w:val="TableContents"/>
              <w:spacing w:before="0" w:after="283"/>
              <w:jc w:val="left"/>
              <w:rPr/>
            </w:pPr>
            <w:r>
              <w:rPr/>
              <w:t>the Company shall provide the Bank with representations of fact set out in Clause 5 (</w:t>
            </w:r>
            <w:r>
              <w:rPr>
                <w:i/>
              </w:rPr>
              <w:t>Pledgor’s Representations of Fact</w:t>
            </w:r>
            <w:r>
              <w:rPr/>
              <w:t xml:space="preserve">) of the Interest Pledge Agreement on the date hereof with a reference to the circumstances existing as at the date hereof. The references in the representations of fact provided under this clause to the Interest Pledge Agreement shall be deemed to include references hereto as well.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9490"/>
      </w:tblGrid>
      <w:tr>
        <w:trPr/>
        <w:tc>
          <w:tcPr>
            <w:tcW w:w="714" w:type="dxa"/>
            <w:tcBorders/>
            <w:shd w:fill="auto" w:val="clear"/>
          </w:tcPr>
          <w:p>
            <w:pPr>
              <w:pStyle w:val="TableContents"/>
              <w:spacing w:before="0" w:after="283"/>
              <w:jc w:val="left"/>
              <w:rPr/>
            </w:pPr>
            <w:r>
              <w:rPr/>
              <w:t>3.</w:t>
            </w:r>
          </w:p>
        </w:tc>
        <w:tc>
          <w:tcPr>
            <w:tcW w:w="9490" w:type="dxa"/>
            <w:tcBorders/>
            <w:shd w:fill="auto" w:val="clear"/>
          </w:tcPr>
          <w:p>
            <w:pPr>
              <w:pStyle w:val="TableContents"/>
              <w:spacing w:before="0" w:after="283"/>
              <w:jc w:val="left"/>
              <w:rPr/>
            </w:pPr>
            <w:r>
              <w:rPr>
                <w:b/>
              </w:rPr>
              <w:t>GOVERNING LAW AND DISPUTES RESOLUTION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9491"/>
      </w:tblGrid>
      <w:tr>
        <w:trPr/>
        <w:tc>
          <w:tcPr>
            <w:tcW w:w="713" w:type="dxa"/>
            <w:tcBorders/>
            <w:shd w:fill="auto" w:val="clear"/>
          </w:tcPr>
          <w:p>
            <w:pPr>
              <w:pStyle w:val="TableContents"/>
              <w:spacing w:before="0" w:after="283"/>
              <w:jc w:val="left"/>
              <w:rPr/>
            </w:pPr>
            <w:r>
              <w:rPr/>
              <w:t>3.1</w:t>
            </w:r>
          </w:p>
        </w:tc>
        <w:tc>
          <w:tcPr>
            <w:tcW w:w="9491" w:type="dxa"/>
            <w:tcBorders/>
            <w:shd w:fill="auto" w:val="clear"/>
          </w:tcPr>
          <w:p>
            <w:pPr>
              <w:pStyle w:val="TableContents"/>
              <w:spacing w:before="0" w:after="283"/>
              <w:jc w:val="left"/>
              <w:rPr/>
            </w:pPr>
            <w:r>
              <w:rPr/>
              <w:t xml:space="preserve">This letter of consent shall be governed by and construed in accordance with the laws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3.2</w:t>
            </w:r>
          </w:p>
        </w:tc>
        <w:tc>
          <w:tcPr>
            <w:tcW w:w="9492" w:type="dxa"/>
            <w:tcBorders/>
            <w:shd w:fill="auto" w:val="clear"/>
          </w:tcPr>
          <w:p>
            <w:pPr>
              <w:pStyle w:val="TableContents"/>
              <w:spacing w:before="0" w:after="283"/>
              <w:jc w:val="left"/>
              <w:rPr/>
            </w:pPr>
            <w:r>
              <w:rPr/>
              <w:t xml:space="preserve">In case of any dispute in connection with this letter of consent, such dispute shall be reviewed by the Moscow City Arbitrazh Court. </w:t>
            </w:r>
          </w:p>
        </w:tc>
      </w:tr>
    </w:tbl>
    <w:p>
      <w:pPr>
        <w:pStyle w:val="TextBody"/>
        <w:spacing w:before="240" w:after="0"/>
        <w:rPr>
          <w:rFonts w:ascii="Times New Roman" w:hAnsi="Times New Roman"/>
          <w:sz w:val="20"/>
        </w:rPr>
      </w:pPr>
      <w:r>
        <w:rPr>
          <w:rFonts w:ascii="Times New Roman" w:hAnsi="Times New Roman"/>
          <w:sz w:val="20"/>
        </w:rPr>
        <w:t xml:space="preserve">Yours faithfully, </w:t>
      </w:r>
    </w:p>
    <w:p>
      <w:pPr>
        <w:pStyle w:val="TextBody"/>
        <w:spacing w:before="360" w:after="0"/>
        <w:rPr>
          <w:rFonts w:ascii="Times New Roman" w:hAnsi="Times New Roman"/>
          <w:b/>
          <w:sz w:val="20"/>
        </w:rPr>
      </w:pPr>
      <w:r>
        <w:rPr>
          <w:rFonts w:ascii="Times New Roman" w:hAnsi="Times New Roman"/>
          <w:b/>
          <w:sz w:val="20"/>
        </w:rPr>
        <w:t xml:space="preserve">Company </w:t>
      </w:r>
    </w:p>
    <w:p>
      <w:pPr>
        <w:pStyle w:val="TextBody"/>
        <w:spacing w:before="120" w:after="0"/>
        <w:rPr>
          <w:rFonts w:ascii="Times New Roman" w:hAnsi="Times New Roman"/>
          <w:sz w:val="20"/>
        </w:rPr>
      </w:pPr>
      <w:r>
        <w:rPr>
          <w:rFonts w:ascii="Times New Roman" w:hAnsi="Times New Roman"/>
          <w:sz w:val="20"/>
        </w:rPr>
        <w:t xml:space="preserve">For and on behalf of </w:t>
      </w:r>
    </w:p>
    <w:p>
      <w:pPr>
        <w:pStyle w:val="TextBody"/>
        <w:spacing w:before="120" w:after="0"/>
        <w:rPr>
          <w:rFonts w:ascii="Times New Roman" w:hAnsi="Times New Roman"/>
          <w:b/>
          <w:sz w:val="20"/>
        </w:rPr>
      </w:pPr>
      <w:r>
        <w:rPr>
          <w:rFonts w:ascii="Times New Roman" w:hAnsi="Times New Roman"/>
          <w:b/>
          <w:sz w:val="20"/>
        </w:rPr>
        <w:t xml:space="preserve">Headhunter FSU Limited </w:t>
      </w:r>
    </w:p>
    <w:p>
      <w:pPr>
        <w:pStyle w:val="TextBody"/>
        <w:spacing w:before="120" w:after="0"/>
        <w:rPr>
          <w:rFonts w:ascii="Times New Roman" w:hAnsi="Times New Roman"/>
          <w:sz w:val="20"/>
        </w:rPr>
      </w:pPr>
      <w:r>
        <w:rPr>
          <w:rFonts w:ascii="Times New Roman" w:hAnsi="Times New Roman"/>
          <w:sz w:val="20"/>
        </w:rPr>
        <w:t xml:space="preserve">Signature: </w:t>
      </w:r>
    </w:p>
    <w:p>
      <w:pPr>
        <w:pStyle w:val="TextBody"/>
        <w:spacing w:before="120" w:after="0"/>
        <w:rPr>
          <w:rFonts w:ascii="Times New Roman" w:hAnsi="Times New Roman"/>
          <w:sz w:val="20"/>
        </w:rPr>
      </w:pPr>
      <w:r>
        <w:rPr>
          <w:rFonts w:ascii="Times New Roman" w:hAnsi="Times New Roman"/>
          <w:sz w:val="20"/>
        </w:rPr>
        <w:t xml:space="preserve">Surname, name, patronymic: </w:t>
      </w:r>
    </w:p>
    <w:p>
      <w:pPr>
        <w:pStyle w:val="TextBody"/>
        <w:spacing w:before="120" w:after="0"/>
        <w:rPr>
          <w:rFonts w:ascii="Times New Roman" w:hAnsi="Times New Roman"/>
          <w:sz w:val="20"/>
        </w:rPr>
      </w:pPr>
      <w:r>
        <w:rPr>
          <w:rFonts w:ascii="Times New Roman" w:hAnsi="Times New Roman"/>
          <w:sz w:val="20"/>
        </w:rPr>
        <w:t xml:space="preserve">Title: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713"/>
        <w:gridCol w:w="9491"/>
      </w:tblGrid>
      <w:tr>
        <w:trPr/>
        <w:tc>
          <w:tcPr>
            <w:tcW w:w="713" w:type="dxa"/>
            <w:tcBorders/>
            <w:shd w:fill="auto" w:val="clear"/>
          </w:tcPr>
          <w:p>
            <w:pPr>
              <w:pStyle w:val="TableContents"/>
              <w:spacing w:before="0" w:after="283"/>
              <w:jc w:val="left"/>
              <w:rPr/>
            </w:pPr>
            <w:r>
              <w:rPr/>
              <w:t>From:</w:t>
            </w:r>
          </w:p>
        </w:tc>
        <w:tc>
          <w:tcPr>
            <w:tcW w:w="9491" w:type="dxa"/>
            <w:tcBorders/>
            <w:shd w:fill="auto" w:val="clear"/>
          </w:tcPr>
          <w:p>
            <w:pPr>
              <w:pStyle w:val="TableContents"/>
              <w:spacing w:before="0" w:after="283"/>
              <w:jc w:val="left"/>
              <w:rPr/>
            </w:pPr>
            <w:r>
              <w:rPr>
                <w:b/>
              </w:rPr>
              <w:t>Zemenik Trading Limited</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registration number HE 332806 </w:t>
      </w:r>
    </w:p>
    <w:p>
      <w:pPr>
        <w:pStyle w:val="TextBody"/>
        <w:spacing w:before="120" w:after="0"/>
        <w:rPr>
          <w:rFonts w:ascii="Times New Roman" w:hAnsi="Times New Roman"/>
          <w:sz w:val="20"/>
        </w:rPr>
      </w:pPr>
      <w:r>
        <w:rPr>
          <w:rFonts w:ascii="Times New Roman" w:hAnsi="Times New Roman"/>
          <w:sz w:val="20"/>
        </w:rPr>
        <w:t xml:space="preserve">42 Dositheou, Strovolos 2028, Nicosia, Cyprus </w:t>
      </w:r>
    </w:p>
    <w:p>
      <w:pPr>
        <w:pStyle w:val="TextBody"/>
        <w:spacing w:before="120" w:after="0"/>
        <w:rPr>
          <w:rFonts w:ascii="Times New Roman" w:hAnsi="Times New Roman"/>
          <w:sz w:val="20"/>
        </w:rPr>
      </w:pPr>
      <w:r>
        <w:rPr>
          <w:rFonts w:ascii="Times New Roman" w:hAnsi="Times New Roman"/>
          <w:sz w:val="20"/>
        </w:rPr>
        <w:t>(the “</w:t>
      </w:r>
      <w:r>
        <w:rPr>
          <w:rFonts w:ascii="Times New Roman" w:hAnsi="Times New Roman"/>
          <w:b/>
          <w:sz w:val="20"/>
        </w:rPr>
        <w:t>Company</w:t>
      </w:r>
      <w:r>
        <w:rPr>
          <w:rFonts w:ascii="Times New Roman" w:hAnsi="Times New Roman"/>
          <w:sz w:val="20"/>
        </w:rPr>
        <w:t xml:space="preserve">”)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To:</w:t>
            </w:r>
          </w:p>
        </w:tc>
        <w:tc>
          <w:tcPr>
            <w:tcW w:w="9492" w:type="dxa"/>
            <w:tcBorders/>
            <w:shd w:fill="auto" w:val="clear"/>
          </w:tcPr>
          <w:p>
            <w:pPr>
              <w:pStyle w:val="TableContents"/>
              <w:spacing w:before="0" w:after="283"/>
              <w:jc w:val="left"/>
              <w:rPr/>
            </w:pPr>
            <w:r>
              <w:rPr>
                <w:b/>
              </w:rPr>
              <w:t>VTB BANK (PJSC)</w:t>
            </w:r>
            <w:r>
              <w:rPr/>
              <w:t xml:space="preserve"> </w:t>
            </w:r>
          </w:p>
        </w:tc>
      </w:tr>
    </w:tbl>
    <w:p>
      <w:pPr>
        <w:pStyle w:val="TextBody"/>
        <w:spacing w:before="120" w:after="0"/>
        <w:rPr>
          <w:rFonts w:ascii="Times New Roman" w:hAnsi="Times New Roman"/>
          <w:sz w:val="20"/>
        </w:rPr>
      </w:pPr>
      <w:r>
        <w:rPr>
          <w:rFonts w:ascii="Times New Roman" w:hAnsi="Times New Roman"/>
          <w:sz w:val="20"/>
        </w:rPr>
        <w:t xml:space="preserve">Primary State Registration Number (OGRN): 1027739609391 </w:t>
      </w:r>
    </w:p>
    <w:p>
      <w:pPr>
        <w:pStyle w:val="TextBody"/>
        <w:spacing w:before="120" w:after="0"/>
        <w:rPr>
          <w:rFonts w:ascii="Times New Roman" w:hAnsi="Times New Roman"/>
          <w:sz w:val="20"/>
        </w:rPr>
      </w:pPr>
      <w:r>
        <w:rPr>
          <w:rFonts w:ascii="Times New Roman" w:hAnsi="Times New Roman"/>
          <w:sz w:val="20"/>
        </w:rPr>
        <w:t xml:space="preserve">Bolshaya Morskaya Street, 29, Saint-Petersburg, Russian Federation, 190000 </w:t>
      </w:r>
    </w:p>
    <w:p>
      <w:pPr>
        <w:pStyle w:val="TextBody"/>
        <w:spacing w:before="120" w:after="0"/>
        <w:rPr>
          <w:rFonts w:ascii="Times New Roman" w:hAnsi="Times New Roman"/>
          <w:sz w:val="20"/>
        </w:rPr>
      </w:pPr>
      <w:r>
        <w:rPr>
          <w:rFonts w:ascii="Times New Roman" w:hAnsi="Times New Roman"/>
          <w:sz w:val="20"/>
        </w:rPr>
        <w:t>(the “</w:t>
      </w:r>
      <w:r>
        <w:rPr>
          <w:rFonts w:ascii="Times New Roman" w:hAnsi="Times New Roman"/>
          <w:b/>
          <w:sz w:val="20"/>
        </w:rPr>
        <w:t>Bank</w:t>
      </w:r>
      <w:r>
        <w:rPr>
          <w:rFonts w:ascii="Times New Roman" w:hAnsi="Times New Roman"/>
          <w:sz w:val="20"/>
        </w:rPr>
        <w:t xml:space="preserve">”) </w:t>
      </w:r>
    </w:p>
    <w:p>
      <w:pPr>
        <w:pStyle w:val="TextBody"/>
        <w:spacing w:before="240" w:after="0"/>
        <w:rPr>
          <w:rFonts w:ascii="Times New Roman" w:hAnsi="Times New Roman"/>
          <w:sz w:val="20"/>
        </w:rPr>
      </w:pPr>
      <w:r>
        <w:rPr>
          <w:rFonts w:ascii="Times New Roman" w:hAnsi="Times New Roman"/>
          <w:sz w:val="20"/>
        </w:rPr>
        <w:t xml:space="preserve">Date:    29 December 2017 </w:t>
      </w:r>
    </w:p>
    <w:p>
      <w:pPr>
        <w:pStyle w:val="TextBody"/>
        <w:spacing w:before="480" w:after="0"/>
        <w:jc w:val="center"/>
        <w:rPr>
          <w:rFonts w:ascii="Times New Roman" w:hAnsi="Times New Roman"/>
          <w:b/>
          <w:sz w:val="20"/>
        </w:rPr>
      </w:pPr>
      <w:r>
        <w:rPr>
          <w:rFonts w:ascii="Times New Roman" w:hAnsi="Times New Roman"/>
          <w:b/>
          <w:sz w:val="20"/>
        </w:rPr>
        <w:t xml:space="preserve">LETTER OF CONSENT </w:t>
      </w:r>
    </w:p>
    <w:p>
      <w:pPr>
        <w:pStyle w:val="TextBody"/>
        <w:spacing w:before="240" w:after="0"/>
        <w:jc w:val="center"/>
        <w:rPr>
          <w:rFonts w:ascii="Times New Roman" w:hAnsi="Times New Roman"/>
          <w:b/>
          <w:sz w:val="20"/>
        </w:rPr>
      </w:pPr>
      <w:r>
        <w:rPr>
          <w:rFonts w:ascii="Times New Roman" w:hAnsi="Times New Roman"/>
          <w:b/>
          <w:sz w:val="20"/>
        </w:rPr>
        <w:t xml:space="preserve">in relation to the pledge agreement in respect of the interest in the charter capital of LLC </w:t>
      </w:r>
    </w:p>
    <w:p>
      <w:pPr>
        <w:pStyle w:val="TextBody"/>
        <w:spacing w:before="0" w:after="0"/>
        <w:jc w:val="center"/>
        <w:rPr>
          <w:rFonts w:ascii="Times New Roman" w:hAnsi="Times New Roman"/>
          <w:b/>
          <w:sz w:val="20"/>
        </w:rPr>
      </w:pPr>
      <w:r>
        <w:rPr>
          <w:rFonts w:ascii="Times New Roman" w:hAnsi="Times New Roman"/>
          <w:b/>
          <w:sz w:val="20"/>
        </w:rPr>
        <w:t xml:space="preserve">Zemenik dated 26 May 2016 and independent guarantee dated 1 June 2016 </w:t>
      </w:r>
    </w:p>
    <w:p>
      <w:pPr>
        <w:pStyle w:val="TextBody"/>
        <w:spacing w:before="240" w:after="0"/>
        <w:rPr>
          <w:rFonts w:ascii="Times New Roman" w:hAnsi="Times New Roman"/>
          <w:sz w:val="20"/>
        </w:rPr>
      </w:pPr>
      <w:r>
        <w:rPr>
          <w:rFonts w:ascii="Times New Roman" w:hAnsi="Times New Roman"/>
          <w:sz w:val="20"/>
        </w:rPr>
        <w:t xml:space="preserve">Dear Sirs, </w:t>
      </w:r>
    </w:p>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0"/>
        <w:gridCol w:w="9494"/>
      </w:tblGrid>
      <w:tr>
        <w:trPr/>
        <w:tc>
          <w:tcPr>
            <w:tcW w:w="710" w:type="dxa"/>
            <w:tcBorders/>
            <w:shd w:fill="auto" w:val="clear"/>
          </w:tcPr>
          <w:p>
            <w:pPr>
              <w:pStyle w:val="TableContents"/>
              <w:spacing w:before="0" w:after="283"/>
              <w:jc w:val="left"/>
              <w:rPr/>
            </w:pPr>
            <w:r>
              <w:rPr/>
              <w:t>1.</w:t>
            </w:r>
          </w:p>
        </w:tc>
        <w:tc>
          <w:tcPr>
            <w:tcW w:w="9494" w:type="dxa"/>
            <w:tcBorders/>
            <w:shd w:fill="auto" w:val="clear"/>
          </w:tcPr>
          <w:p>
            <w:pPr>
              <w:pStyle w:val="TableContents"/>
              <w:spacing w:before="0" w:after="283"/>
              <w:jc w:val="left"/>
              <w:rPr/>
            </w:pPr>
            <w:r>
              <w:rPr>
                <w:b/>
              </w:rPr>
              <w:t>GENERAL PROVISIONS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1.1</w:t>
            </w:r>
          </w:p>
        </w:tc>
        <w:tc>
          <w:tcPr>
            <w:tcW w:w="9492" w:type="dxa"/>
            <w:tcBorders/>
            <w:shd w:fill="auto" w:val="clear"/>
          </w:tcPr>
          <w:p>
            <w:pPr>
              <w:pStyle w:val="TableContents"/>
              <w:spacing w:before="0" w:after="283"/>
              <w:jc w:val="left"/>
              <w:rPr/>
            </w:pPr>
            <w:r>
              <w:rPr/>
              <w:t xml:space="preserve">This letter is sent in connection with the following documents: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1.1.1</w:t>
            </w:r>
          </w:p>
        </w:tc>
        <w:tc>
          <w:tcPr>
            <w:tcW w:w="8676" w:type="dxa"/>
            <w:tcBorders/>
            <w:shd w:fill="auto" w:val="clear"/>
          </w:tcPr>
          <w:p>
            <w:pPr>
              <w:pStyle w:val="TableContents"/>
              <w:spacing w:before="0" w:after="283"/>
              <w:jc w:val="left"/>
              <w:rPr/>
            </w:pPr>
            <w:r>
              <w:rPr/>
              <w:t>agreement on provision of a syndicated facility in the amount of 7,000,000,000 roubles dated 16 May 2016 (the “</w:t>
            </w:r>
            <w:r>
              <w:rPr>
                <w:b/>
              </w:rPr>
              <w:t>Facility Agreement”</w:t>
            </w:r>
            <w:r>
              <w:rPr/>
              <w:t>) made between the Bank as the arranger, facility agent and original lender and LLC Zemenik as the borrower (the “</w:t>
            </w:r>
            <w:r>
              <w:rPr>
                <w:b/>
              </w:rPr>
              <w:t>Borrower”</w:t>
            </w:r>
            <w:r>
              <w:rPr/>
              <w:t>), as amended by amendment agreement No. 1 dated 14 December 2016, amendment agreement No. 2 dated 28 June 2017, amendment agreement No. 3 dated 5 October 2017 and amendment agreement No. 4 dated          December 2017 (“</w:t>
            </w:r>
            <w:r>
              <w:rPr>
                <w:b/>
              </w:rPr>
              <w:t>Amendment Agreement No.</w:t>
            </w:r>
            <w:r>
              <w:rPr/>
              <w:t> </w:t>
            </w:r>
            <w:r>
              <w:rPr>
                <w:b/>
              </w:rPr>
              <w:t>4”</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6"/>
        <w:gridCol w:w="8675"/>
      </w:tblGrid>
      <w:tr>
        <w:trPr/>
        <w:tc>
          <w:tcPr>
            <w:tcW w:w="713"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1.1.2</w:t>
            </w:r>
          </w:p>
        </w:tc>
        <w:tc>
          <w:tcPr>
            <w:tcW w:w="8675" w:type="dxa"/>
            <w:tcBorders/>
            <w:shd w:fill="auto" w:val="clear"/>
          </w:tcPr>
          <w:p>
            <w:pPr>
              <w:pStyle w:val="TableContents"/>
              <w:spacing w:before="0" w:after="283"/>
              <w:jc w:val="left"/>
              <w:rPr/>
            </w:pPr>
            <w:r>
              <w:rPr/>
              <w:t>pledge agreement in respect of the interest in the charter capital of the Borrower dated 26 May 2016 (the “</w:t>
            </w:r>
            <w:r>
              <w:rPr>
                <w:b/>
              </w:rPr>
              <w:t>Interest Pledge Agreement</w:t>
            </w:r>
            <w:r>
              <w:rPr/>
              <w:t xml:space="preserve">”) made between the Bank as the pledgee and the Company as the pledgor, as amended by amendment agreement No. 1 dated 5 October 2017; and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6"/>
        <w:gridCol w:w="8675"/>
      </w:tblGrid>
      <w:tr>
        <w:trPr/>
        <w:tc>
          <w:tcPr>
            <w:tcW w:w="713"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1.1.3</w:t>
            </w:r>
          </w:p>
        </w:tc>
        <w:tc>
          <w:tcPr>
            <w:tcW w:w="8675" w:type="dxa"/>
            <w:tcBorders/>
            <w:shd w:fill="auto" w:val="clear"/>
          </w:tcPr>
          <w:p>
            <w:pPr>
              <w:pStyle w:val="TableContents"/>
              <w:spacing w:before="0" w:after="283"/>
              <w:jc w:val="left"/>
              <w:rPr/>
            </w:pPr>
            <w:r>
              <w:rPr/>
              <w:t>independent guarantee dated 1 June 2016 (the “</w:t>
            </w:r>
            <w:r>
              <w:rPr>
                <w:b/>
              </w:rPr>
              <w:t>Independent Guarantee</w:t>
            </w:r>
            <w:r>
              <w:rPr/>
              <w:t xml:space="preserve">”) issued by the Company in favour of the Bank, subject to amendments No. 1 dated 5 October 2017.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2.</w:t>
            </w:r>
          </w:p>
        </w:tc>
        <w:tc>
          <w:tcPr>
            <w:tcW w:w="9492" w:type="dxa"/>
            <w:tcBorders/>
            <w:shd w:fill="auto" w:val="clear"/>
          </w:tcPr>
          <w:p>
            <w:pPr>
              <w:pStyle w:val="TableContents"/>
              <w:spacing w:before="0" w:after="283"/>
              <w:jc w:val="left"/>
              <w:rPr/>
            </w:pPr>
            <w:r>
              <w:rPr>
                <w:b/>
              </w:rPr>
              <w:t>CONSENTS AND CONFIRMATIONS</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2.1</w:t>
            </w:r>
          </w:p>
        </w:tc>
        <w:tc>
          <w:tcPr>
            <w:tcW w:w="9492" w:type="dxa"/>
            <w:tcBorders/>
            <w:shd w:fill="auto" w:val="clear"/>
          </w:tcPr>
          <w:p>
            <w:pPr>
              <w:pStyle w:val="TableContents"/>
              <w:spacing w:before="0" w:after="283"/>
              <w:jc w:val="left"/>
              <w:rPr/>
            </w:pPr>
            <w:r>
              <w:rPr/>
              <w:t xml:space="preserve">Hereby we agree and confirm that: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2.1.1</w:t>
            </w:r>
          </w:p>
        </w:tc>
        <w:tc>
          <w:tcPr>
            <w:tcW w:w="8676" w:type="dxa"/>
            <w:tcBorders/>
            <w:shd w:fill="auto" w:val="clear"/>
          </w:tcPr>
          <w:p>
            <w:pPr>
              <w:pStyle w:val="TableContents"/>
              <w:spacing w:before="0" w:after="283"/>
              <w:jc w:val="left"/>
              <w:rPr/>
            </w:pPr>
            <w:r>
              <w:rPr/>
              <w:t xml:space="preserve">we are aware of all the terms and conditions of Amendment Agreement No. 4, have no objections as to the content thereof, agree to execution thereof by the parties and are not entitled to refer to the fact that we were not aware of the terms and conditions of Amendment Agreement No. 4;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816"/>
        <w:gridCol w:w="8674"/>
      </w:tblGrid>
      <w:tr>
        <w:trPr/>
        <w:tc>
          <w:tcPr>
            <w:tcW w:w="714"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2.1.2</w:t>
            </w:r>
          </w:p>
        </w:tc>
        <w:tc>
          <w:tcPr>
            <w:tcW w:w="8674" w:type="dxa"/>
            <w:tcBorders/>
            <w:shd w:fill="auto" w:val="clear"/>
          </w:tcPr>
          <w:p>
            <w:pPr>
              <w:pStyle w:val="TableContents"/>
              <w:spacing w:before="0" w:after="283"/>
              <w:jc w:val="left"/>
              <w:rPr/>
            </w:pPr>
            <w:r>
              <w:rPr/>
              <w:t xml:space="preserve">the Interest Pledge Agreement and Independent Guarantee continue to secure the Borrower’s obligations under the Facility Agreement in full, subject to consents, amendments and supplements provided or made by Amendment Agreement No. 4;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816"/>
        <w:gridCol w:w="8674"/>
      </w:tblGrid>
      <w:tr>
        <w:trPr/>
        <w:tc>
          <w:tcPr>
            <w:tcW w:w="714" w:type="dxa"/>
            <w:tcBorders/>
            <w:shd w:fill="auto" w:val="clear"/>
            <w:vAlign w:val="center"/>
          </w:tcPr>
          <w:p>
            <w:pPr>
              <w:pStyle w:val="TableContents"/>
              <w:spacing w:before="0" w:after="283"/>
              <w:rPr/>
            </w:pPr>
            <w:r>
              <w:rPr/>
              <w:t> </w:t>
            </w:r>
          </w:p>
        </w:tc>
        <w:tc>
          <w:tcPr>
            <w:tcW w:w="816" w:type="dxa"/>
            <w:tcBorders/>
            <w:shd w:fill="auto" w:val="clear"/>
          </w:tcPr>
          <w:p>
            <w:pPr>
              <w:pStyle w:val="TableContents"/>
              <w:spacing w:before="0" w:after="283"/>
              <w:jc w:val="left"/>
              <w:rPr/>
            </w:pPr>
            <w:r>
              <w:rPr/>
              <w:t>2.1.3</w:t>
            </w:r>
          </w:p>
        </w:tc>
        <w:tc>
          <w:tcPr>
            <w:tcW w:w="8674" w:type="dxa"/>
            <w:tcBorders/>
            <w:shd w:fill="auto" w:val="clear"/>
          </w:tcPr>
          <w:p>
            <w:pPr>
              <w:pStyle w:val="TableContents"/>
              <w:spacing w:before="0" w:after="283"/>
              <w:jc w:val="left"/>
              <w:rPr/>
            </w:pPr>
            <w:r>
              <w:rPr/>
              <w:t xml:space="preserve">the Interest Pledge Agreement and Independent Guarantee are effective, have full legal force and effect and we continue to duly perform the obligations under the Interest Pledge Agreement and Independent Guarantee in accordance with the terms and conditions thereof; and </w:t>
            </w:r>
          </w:p>
        </w:tc>
      </w:tr>
    </w:tbl>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1 </w:t>
      </w:r>
      <w:r>
        <w:br w:type="page"/>
      </w:r>
    </w:p>
    <w:p>
      <w:pPr>
        <w:pStyle w:val="HorizontalLine"/>
        <w:pBdr>
          <w:bottom w:val="double" w:sz="6" w:space="0" w:color="808080"/>
        </w:pBdr>
        <w:rPr/>
      </w:pPr>
      <w:r>
        <w:rPr/>
      </w:r>
    </w:p>
    <w:tbl>
      <w:tblPr>
        <w:tblW w:w="5000" w:type="pct"/>
        <w:jc w:val="left"/>
        <w:tblInd w:w="0" w:type="dxa"/>
        <w:tblBorders/>
        <w:tblCellMar>
          <w:top w:w="0" w:type="dxa"/>
          <w:left w:w="0" w:type="dxa"/>
          <w:bottom w:w="0" w:type="dxa"/>
          <w:right w:w="0" w:type="dxa"/>
        </w:tblCellMar>
      </w:tblPr>
      <w:tblGrid>
        <w:gridCol w:w="713"/>
        <w:gridCol w:w="815"/>
        <w:gridCol w:w="8676"/>
      </w:tblGrid>
      <w:tr>
        <w:trPr/>
        <w:tc>
          <w:tcPr>
            <w:tcW w:w="713" w:type="dxa"/>
            <w:tcBorders/>
            <w:shd w:fill="auto" w:val="clear"/>
            <w:vAlign w:val="center"/>
          </w:tcPr>
          <w:p>
            <w:pPr>
              <w:pStyle w:val="TableContents"/>
              <w:spacing w:before="0" w:after="283"/>
              <w:rPr/>
            </w:pPr>
            <w:r>
              <w:rPr/>
              <w:t> </w:t>
            </w:r>
          </w:p>
        </w:tc>
        <w:tc>
          <w:tcPr>
            <w:tcW w:w="815" w:type="dxa"/>
            <w:tcBorders/>
            <w:shd w:fill="auto" w:val="clear"/>
          </w:tcPr>
          <w:p>
            <w:pPr>
              <w:pStyle w:val="TableContents"/>
              <w:spacing w:before="0" w:after="283"/>
              <w:jc w:val="left"/>
              <w:rPr/>
            </w:pPr>
            <w:r>
              <w:rPr/>
              <w:t>2.1.4</w:t>
            </w:r>
          </w:p>
        </w:tc>
        <w:tc>
          <w:tcPr>
            <w:tcW w:w="8676" w:type="dxa"/>
            <w:tcBorders/>
            <w:shd w:fill="auto" w:val="clear"/>
          </w:tcPr>
          <w:p>
            <w:pPr>
              <w:pStyle w:val="TableContents"/>
              <w:spacing w:before="0" w:after="283"/>
              <w:jc w:val="left"/>
              <w:rPr/>
            </w:pPr>
            <w:r>
              <w:rPr/>
              <w:t>the Company shall provide the Bank with representations of fact set out in Clause 5 (</w:t>
            </w:r>
            <w:r>
              <w:rPr>
                <w:i/>
              </w:rPr>
              <w:t>Pledgor’s Representations of Fact</w:t>
            </w:r>
            <w:r>
              <w:rPr/>
              <w:t xml:space="preserve">) of the Interest Pledge Agreement on the date hereof with a reference to the circumstances existing as at the date hereof. The references in the representations of fact provided under this clause to the Interest Pledge Agreement shall be deemed to include references hereto as well.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4"/>
        <w:gridCol w:w="9490"/>
      </w:tblGrid>
      <w:tr>
        <w:trPr/>
        <w:tc>
          <w:tcPr>
            <w:tcW w:w="714" w:type="dxa"/>
            <w:tcBorders/>
            <w:shd w:fill="auto" w:val="clear"/>
          </w:tcPr>
          <w:p>
            <w:pPr>
              <w:pStyle w:val="TableContents"/>
              <w:spacing w:before="0" w:after="283"/>
              <w:jc w:val="left"/>
              <w:rPr/>
            </w:pPr>
            <w:r>
              <w:rPr/>
              <w:t>3.</w:t>
            </w:r>
          </w:p>
        </w:tc>
        <w:tc>
          <w:tcPr>
            <w:tcW w:w="9490" w:type="dxa"/>
            <w:tcBorders/>
            <w:shd w:fill="auto" w:val="clear"/>
          </w:tcPr>
          <w:p>
            <w:pPr>
              <w:pStyle w:val="TableContents"/>
              <w:spacing w:before="0" w:after="283"/>
              <w:jc w:val="left"/>
              <w:rPr/>
            </w:pPr>
            <w:r>
              <w:rPr>
                <w:b/>
              </w:rPr>
              <w:t>GOVERNING LAW AND DISPUTES RESOLUTION</w:t>
            </w:r>
            <w:r>
              <w:rPr/>
              <w:t xml:space="preserve">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3"/>
        <w:gridCol w:w="9491"/>
      </w:tblGrid>
      <w:tr>
        <w:trPr/>
        <w:tc>
          <w:tcPr>
            <w:tcW w:w="713" w:type="dxa"/>
            <w:tcBorders/>
            <w:shd w:fill="auto" w:val="clear"/>
          </w:tcPr>
          <w:p>
            <w:pPr>
              <w:pStyle w:val="TableContents"/>
              <w:spacing w:before="0" w:after="283"/>
              <w:jc w:val="left"/>
              <w:rPr/>
            </w:pPr>
            <w:r>
              <w:rPr/>
              <w:t>3.1</w:t>
            </w:r>
          </w:p>
        </w:tc>
        <w:tc>
          <w:tcPr>
            <w:tcW w:w="9491" w:type="dxa"/>
            <w:tcBorders/>
            <w:shd w:fill="auto" w:val="clear"/>
          </w:tcPr>
          <w:p>
            <w:pPr>
              <w:pStyle w:val="TableContents"/>
              <w:spacing w:before="0" w:after="283"/>
              <w:jc w:val="left"/>
              <w:rPr/>
            </w:pPr>
            <w:r>
              <w:rPr/>
              <w:t xml:space="preserve">This letter of consent shall be governed by and construed in accordance with the laws of the Russian Federation. </w:t>
            </w:r>
          </w:p>
        </w:tc>
      </w:tr>
    </w:tbl>
    <w:p>
      <w:pPr>
        <w:pStyle w:val="TextBody"/>
        <w:spacing w:before="0" w:after="0"/>
        <w:rPr/>
      </w:pPr>
      <w:r>
        <w:rPr/>
        <w:t> </w:t>
      </w:r>
    </w:p>
    <w:tbl>
      <w:tblPr>
        <w:tblW w:w="5000" w:type="pct"/>
        <w:jc w:val="left"/>
        <w:tblInd w:w="0" w:type="dxa"/>
        <w:tblBorders/>
        <w:tblCellMar>
          <w:top w:w="0" w:type="dxa"/>
          <w:left w:w="0" w:type="dxa"/>
          <w:bottom w:w="0" w:type="dxa"/>
          <w:right w:w="0" w:type="dxa"/>
        </w:tblCellMar>
      </w:tblPr>
      <w:tblGrid>
        <w:gridCol w:w="712"/>
        <w:gridCol w:w="9492"/>
      </w:tblGrid>
      <w:tr>
        <w:trPr/>
        <w:tc>
          <w:tcPr>
            <w:tcW w:w="712" w:type="dxa"/>
            <w:tcBorders/>
            <w:shd w:fill="auto" w:val="clear"/>
          </w:tcPr>
          <w:p>
            <w:pPr>
              <w:pStyle w:val="TableContents"/>
              <w:spacing w:before="0" w:after="283"/>
              <w:jc w:val="left"/>
              <w:rPr/>
            </w:pPr>
            <w:r>
              <w:rPr/>
              <w:t>3.2</w:t>
            </w:r>
          </w:p>
        </w:tc>
        <w:tc>
          <w:tcPr>
            <w:tcW w:w="9492" w:type="dxa"/>
            <w:tcBorders/>
            <w:shd w:fill="auto" w:val="clear"/>
          </w:tcPr>
          <w:p>
            <w:pPr>
              <w:pStyle w:val="TableContents"/>
              <w:spacing w:before="0" w:after="283"/>
              <w:jc w:val="left"/>
              <w:rPr/>
            </w:pPr>
            <w:r>
              <w:rPr/>
              <w:t xml:space="preserve">In case of any dispute in connection with this letter of consent, such dispute shall be reviewed by the Moscow City Arbitrazh Court. </w:t>
            </w:r>
          </w:p>
        </w:tc>
      </w:tr>
    </w:tbl>
    <w:p>
      <w:pPr>
        <w:pStyle w:val="TextBody"/>
        <w:spacing w:before="240" w:after="0"/>
        <w:rPr>
          <w:rFonts w:ascii="Times New Roman" w:hAnsi="Times New Roman"/>
          <w:sz w:val="20"/>
        </w:rPr>
      </w:pPr>
      <w:r>
        <w:rPr>
          <w:rFonts w:ascii="Times New Roman" w:hAnsi="Times New Roman"/>
          <w:sz w:val="20"/>
        </w:rPr>
        <w:t xml:space="preserve">Yours faithfully, </w:t>
      </w:r>
    </w:p>
    <w:p>
      <w:pPr>
        <w:pStyle w:val="TextBody"/>
        <w:spacing w:before="360" w:after="0"/>
        <w:rPr>
          <w:rFonts w:ascii="Times New Roman" w:hAnsi="Times New Roman"/>
          <w:b/>
          <w:sz w:val="20"/>
        </w:rPr>
      </w:pPr>
      <w:r>
        <w:rPr>
          <w:rFonts w:ascii="Times New Roman" w:hAnsi="Times New Roman"/>
          <w:b/>
          <w:sz w:val="20"/>
        </w:rPr>
        <w:t xml:space="preserve">Company </w:t>
      </w:r>
    </w:p>
    <w:p>
      <w:pPr>
        <w:pStyle w:val="TextBody"/>
        <w:spacing w:before="120" w:after="0"/>
        <w:rPr>
          <w:rFonts w:ascii="Times New Roman" w:hAnsi="Times New Roman"/>
          <w:sz w:val="20"/>
        </w:rPr>
      </w:pPr>
      <w:r>
        <w:rPr>
          <w:rFonts w:ascii="Times New Roman" w:hAnsi="Times New Roman"/>
          <w:sz w:val="20"/>
        </w:rPr>
        <w:t xml:space="preserve">For and on behalf of </w:t>
      </w:r>
    </w:p>
    <w:p>
      <w:pPr>
        <w:pStyle w:val="TextBody"/>
        <w:spacing w:before="120" w:after="0"/>
        <w:rPr>
          <w:rFonts w:ascii="Times New Roman" w:hAnsi="Times New Roman"/>
          <w:b/>
          <w:sz w:val="20"/>
        </w:rPr>
      </w:pPr>
      <w:r>
        <w:rPr>
          <w:rFonts w:ascii="Times New Roman" w:hAnsi="Times New Roman"/>
          <w:b/>
          <w:sz w:val="20"/>
        </w:rPr>
        <w:t xml:space="preserve">Zemenik Trading Limited </w:t>
      </w:r>
    </w:p>
    <w:p>
      <w:pPr>
        <w:pStyle w:val="TextBody"/>
        <w:spacing w:before="120" w:after="0"/>
        <w:rPr>
          <w:rFonts w:ascii="Times New Roman" w:hAnsi="Times New Roman"/>
          <w:sz w:val="20"/>
        </w:rPr>
      </w:pPr>
      <w:r>
        <w:rPr>
          <w:rFonts w:ascii="Times New Roman" w:hAnsi="Times New Roman"/>
          <w:sz w:val="20"/>
        </w:rPr>
        <w:t xml:space="preserve">Signature: </w:t>
      </w:r>
    </w:p>
    <w:p>
      <w:pPr>
        <w:pStyle w:val="TextBody"/>
        <w:spacing w:before="120" w:after="0"/>
        <w:rPr>
          <w:rFonts w:ascii="Times New Roman" w:hAnsi="Times New Roman"/>
          <w:sz w:val="20"/>
        </w:rPr>
      </w:pPr>
      <w:r>
        <w:rPr>
          <w:rFonts w:ascii="Times New Roman" w:hAnsi="Times New Roman"/>
          <w:sz w:val="20"/>
        </w:rPr>
        <w:t xml:space="preserve">Surname, name, patronymic: </w:t>
      </w:r>
    </w:p>
    <w:p>
      <w:pPr>
        <w:pStyle w:val="TextBody"/>
        <w:spacing w:before="120" w:after="0"/>
        <w:rPr>
          <w:rFonts w:ascii="Times New Roman" w:hAnsi="Times New Roman"/>
          <w:sz w:val="20"/>
        </w:rPr>
      </w:pPr>
      <w:r>
        <w:rPr>
          <w:rFonts w:ascii="Times New Roman" w:hAnsi="Times New Roman"/>
          <w:sz w:val="20"/>
        </w:rPr>
        <w:t xml:space="preserve">Title: </w:t>
      </w:r>
    </w:p>
    <w:p>
      <w:pPr>
        <w:pStyle w:val="TextBody"/>
        <w:spacing w:before="0" w:after="0"/>
        <w:rPr/>
      </w:pPr>
      <w:r>
        <w:rPr/>
        <w:t> </w:t>
      </w:r>
    </w:p>
    <w:p>
      <w:pPr>
        <w:pStyle w:val="TextBody"/>
        <w:spacing w:before="0" w:after="0"/>
        <w:jc w:val="right"/>
        <w:rPr>
          <w:rFonts w:ascii="Times New Roman" w:hAnsi="Times New Roman"/>
          <w:sz w:val="20"/>
        </w:rPr>
      </w:pPr>
      <w:r>
        <w:rPr>
          <w:rFonts w:ascii="Times New Roman" w:hAnsi="Times New Roman"/>
          <w:sz w:val="20"/>
        </w:rPr>
        <w:t xml:space="preserve">2 </w:t>
      </w:r>
    </w:p>
    <w:sectPr>
      <w:type w:val="nextPage"/>
      <w:pgSz w:w="11906" w:h="16838"/>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 w:name="Times New Roman">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pPrDefault>
  </w:docDefaults>
  <w:style w:type="paragraph" w:styleId="Normal">
    <w:name w:val="Normal"/>
    <w:qFormat/>
    <w:pPr>
      <w:widowControl w:val="false"/>
      <w:suppressAutoHyphens w:val="true"/>
    </w:pPr>
    <w:rPr>
      <w:rFonts w:ascii="Liberation Serif" w:hAnsi="Liberation Serif" w:eastAsia="DejaVu Sans" w:cs="DejaVu San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paragraph" w:styleId="Heading2">
    <w:name w:val="Heading 2"/>
    <w:basedOn w:val="Heading"/>
    <w:next w:val="TextBody"/>
    <w:qFormat/>
    <w:pPr>
      <w:numPr>
        <w:ilvl w:val="1"/>
        <w:numId w:val="1"/>
      </w:numPr>
      <w:spacing w:before="200" w:after="120"/>
      <w:outlineLvl w:val="1"/>
      <w:outlineLvl w:val="1"/>
    </w:pPr>
    <w:rPr>
      <w:b/>
      <w:bCs/>
      <w:sz w:val="32"/>
      <w:szCs w:val="32"/>
    </w:rPr>
  </w:style>
  <w:style w:type="paragraph" w:styleId="Heading3">
    <w:name w:val="Heading 3"/>
    <w:basedOn w:val="Heading"/>
    <w:next w:val="TextBody"/>
    <w:qFormat/>
    <w:pPr>
      <w:numPr>
        <w:ilvl w:val="2"/>
        <w:numId w:val="1"/>
      </w:numPr>
      <w:spacing w:before="140" w:after="120"/>
      <w:outlineLvl w:val="2"/>
      <w:outlineLvl w:val="2"/>
    </w:pPr>
    <w:rPr>
      <w:b/>
      <w:bCs/>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spacing w:before="240" w:after="283"/>
    </w:pPr>
    <w:rPr>
      <w:rFonts w:ascii="Albany" w:hAnsi="Albany"/>
      <w:sz w:val="28"/>
      <w:szCs w:val="26"/>
    </w:rPr>
  </w:style>
  <w:style w:type="paragraph" w:styleId="TextBody">
    <w:name w:val="Text Body"/>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Sender"/>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www.sec.gov/Archives/edgar/data/1721181/000119312518103463/g674579im01.jpg" TargetMode="External"/><Relationship Id="rId3" Type="http://schemas.openxmlformats.org/officeDocument/2006/relationships/image" Target="https://www.sec.gov/Archives/edgar/data/1721181/000119312518103463/g674579imn.jpg" TargetMode="External"/><Relationship Id="rId4" Type="http://schemas.openxmlformats.org/officeDocument/2006/relationships/image" Target="https://www.sec.gov/Archives/edgar/data/1721181/000119312518103463/g674579imn.jpg" TargetMode="External"/><Relationship Id="rId5" Type="http://schemas.openxmlformats.org/officeDocument/2006/relationships/image" Target="https://www.sec.gov/Archives/edgar/data/1721181/000119312518103463/g674579imn.jpg" TargetMode="External"/><Relationship Id="rId6" Type="http://schemas.openxmlformats.org/officeDocument/2006/relationships/image" Target="https://www.sec.gov/Archives/edgar/data/1721181/000119312518103463/g674579imp.jpg" TargetMode="External"/><Relationship Id="rId7" Type="http://schemas.openxmlformats.org/officeDocument/2006/relationships/image" Target="https://www.sec.gov/Archives/edgar/data/1721181/000119312518103463/g67457965.jpg" TargetMode="External"/><Relationship Id="rId8" Type="http://schemas.openxmlformats.org/officeDocument/2006/relationships/image" Target="https://www.sec.gov/Archives/edgar/data/1721181/000119312518103463/g674579imh.jpg" TargetMode="External"/><Relationship Id="rId9" Type="http://schemas.openxmlformats.org/officeDocument/2006/relationships/image" Target="https://www.sec.gov/Archives/edgar/data/1721181/000119312518103463/g674579im02.jpg" TargetMode="External"/><Relationship Id="rId10" Type="http://schemas.openxmlformats.org/officeDocument/2006/relationships/image" Target="https://www.sec.gov/Archives/edgar/data/1721181/000119312518103463/g674579st105.jpg" TargetMode="External"/><Relationship Id="rId11" Type="http://schemas.openxmlformats.org/officeDocument/2006/relationships/image" Target="https://www.sec.gov/Archives/edgar/data/1721181/000119312518103463/g674579st105b.jpg" TargetMode="External"/><Relationship Id="rId12" Type="http://schemas.openxmlformats.org/officeDocument/2006/relationships/image" Target="https://www.sec.gov/Archives/edgar/data/1721181/000119312518103463/g674579dsp04.jpg" TargetMode="External"/><Relationship Id="rId13" Type="http://schemas.openxmlformats.org/officeDocument/2006/relationships/image" Target="https://www.sec.gov/Archives/edgar/data/1721181/000119312518103463/g674579dsp10.jpg" TargetMode="External"/><Relationship Id="rId14" Type="http://schemas.openxmlformats.org/officeDocument/2006/relationships/image" Target="https://www.sec.gov/Archives/edgar/data/1721181/000119312518103463/g674579dsp14.jpg" TargetMode="External"/><Relationship Id="rId15" Type="http://schemas.openxmlformats.org/officeDocument/2006/relationships/image" Target="https://www.sec.gov/Archives/edgar/data/1721181/000119312518103463/g674579snap0006.jpg" TargetMode="External"/><Relationship Id="rId16" Type="http://schemas.openxmlformats.org/officeDocument/2006/relationships/image" Target="https://www.sec.gov/Archives/edgar/data/1721181/000119312518103463/g674579snap0006.jpg" TargetMode="External"/><Relationship Id="rId17" Type="http://schemas.openxmlformats.org/officeDocument/2006/relationships/image" Target="https://www.sec.gov/Archives/edgar/data/1721181/000119312518103463/g674579snap0005.jpg" TargetMode="External"/><Relationship Id="rId18" Type="http://schemas.openxmlformats.org/officeDocument/2006/relationships/image" Target="https://www.sec.gov/Archives/edgar/data/1721181/000119312518103463/g674579snap0005.jpg" TargetMode="External"/><Relationship Id="rId19" Type="http://schemas.openxmlformats.org/officeDocument/2006/relationships/image" Target="https://www.sec.gov/Archives/edgar/data/1721181/000119312518103463/g674579snap0005.jpg" TargetMode="External"/><Relationship Id="rId20" Type="http://schemas.openxmlformats.org/officeDocument/2006/relationships/image" Target="https://www.sec.gov/Archives/edgar/data/1721181/000119312518103463/g674579snap0005.jpg" TargetMode="External"/><Relationship Id="rId21" Type="http://schemas.openxmlformats.org/officeDocument/2006/relationships/image" Target="https://www.sec.gov/Archives/edgar/data/1721181/000119312518103463/g674579snap0005.jpg" TargetMode="External"/><Relationship Id="rId22" Type="http://schemas.openxmlformats.org/officeDocument/2006/relationships/image" Target="https://www.sec.gov/Archives/edgar/data/1721181/000119312518103463/g674579snap0005.jpg" TargetMode="External"/><Relationship Id="rId23" Type="http://schemas.openxmlformats.org/officeDocument/2006/relationships/image" Target="https://www.sec.gov/Archives/edgar/data/1721181/000119312518103463/g674579snap0005.jpg" TargetMode="External"/><Relationship Id="rId24" Type="http://schemas.openxmlformats.org/officeDocument/2006/relationships/image" Target="https://www.sec.gov/Archives/edgar/data/1721181/000119312518103463/g674579snap0006.jpg" TargetMode="External"/><Relationship Id="rId25" Type="http://schemas.openxmlformats.org/officeDocument/2006/relationships/image" Target="https://www.sec.gov/Archives/edgar/data/1721181/000119312518103463/g674579snap0005.jpg" TargetMode="External"/><Relationship Id="rId26" Type="http://schemas.openxmlformats.org/officeDocument/2006/relationships/image" Target="https://www.sec.gov/Archives/edgar/data/1721181/000119312518103463/g674579snap0005.jpg" TargetMode="External"/><Relationship Id="rId27" Type="http://schemas.openxmlformats.org/officeDocument/2006/relationships/image" Target="https://www.sec.gov/Archives/edgar/data/1721181/000119312518103463/g674579snap0005.jpg" TargetMode="External"/><Relationship Id="rId28" Type="http://schemas.openxmlformats.org/officeDocument/2006/relationships/image" Target="https://www.sec.gov/Archives/edgar/data/1721181/000119312518103463/g674579snap0006.jpg" TargetMode="External"/><Relationship Id="rId29" Type="http://schemas.openxmlformats.org/officeDocument/2006/relationships/image" Target="https://www.sec.gov/Archives/edgar/data/1721181/000119312518103463/g674579snap0006.jpg" TargetMode="External"/><Relationship Id="rId30" Type="http://schemas.openxmlformats.org/officeDocument/2006/relationships/image" Target="https://www.sec.gov/Archives/edgar/data/1721181/000119312518103463/g674579snap0006.jpg" TargetMode="External"/><Relationship Id="rId31" Type="http://schemas.openxmlformats.org/officeDocument/2006/relationships/image" Target="https://www.sec.gov/Archives/edgar/data/1721181/000119312518103463/g674579snap0005.jpg" TargetMode="External"/><Relationship Id="rId32" Type="http://schemas.openxmlformats.org/officeDocument/2006/relationships/image" Target="https://www.sec.gov/Archives/edgar/data/1721181/000119312518103463/g674579snap0005.jpg" TargetMode="External"/><Relationship Id="rId33" Type="http://schemas.openxmlformats.org/officeDocument/2006/relationships/image" Target="https://www.sec.gov/Archives/edgar/data/1721181/000119312518103463/g674579snap0005.jpg" TargetMode="External"/><Relationship Id="rId34" Type="http://schemas.openxmlformats.org/officeDocument/2006/relationships/image" Target="https://www.sec.gov/Archives/edgar/data/1721181/000119312518103463/g674579snap0005.jpg" TargetMode="External"/><Relationship Id="rId35" Type="http://schemas.openxmlformats.org/officeDocument/2006/relationships/image" Target="https://www.sec.gov/Archives/edgar/data/1721181/000119312518103463/g674579snap0005.jpg" TargetMode="External"/><Relationship Id="rId36" Type="http://schemas.openxmlformats.org/officeDocument/2006/relationships/image" Target="https://www.sec.gov/Archives/edgar/data/1721181/000119312518103463/g674579snap0005.jpg" TargetMode="External"/><Relationship Id="rId37" Type="http://schemas.openxmlformats.org/officeDocument/2006/relationships/image" Target="https://www.sec.gov/Archives/edgar/data/1721181/000119312518103463/g674579snap0005.jpg" TargetMode="External"/><Relationship Id="rId38" Type="http://schemas.openxmlformats.org/officeDocument/2006/relationships/image" Target="https://www.sec.gov/Archives/edgar/data/1721181/000119312518103463/g674579newcm.jpg" TargetMode="External"/><Relationship Id="rId39" Type="http://schemas.openxmlformats.org/officeDocument/2006/relationships/image" Target="https://www.sec.gov/Archives/edgar/data/1721181/000119312518103463/g674579snap0006.jpg" TargetMode="External"/><Relationship Id="rId40" Type="http://schemas.openxmlformats.org/officeDocument/2006/relationships/image" Target="https://www.sec.gov/Archives/edgar/data/1721181/000119312518103463/g674579snap0005.jpg" TargetMode="External"/><Relationship Id="rId41" Type="http://schemas.openxmlformats.org/officeDocument/2006/relationships/image" Target="https://www.sec.gov/Archives/edgar/data/1721181/000119312518103463/g674579snap0005.jpg" TargetMode="External"/><Relationship Id="rId42" Type="http://schemas.openxmlformats.org/officeDocument/2006/relationships/image" Target="https://www.sec.gov/Archives/edgar/data/1721181/000119312518103463/g674579snap0005.jpg" TargetMode="External"/><Relationship Id="rId43" Type="http://schemas.openxmlformats.org/officeDocument/2006/relationships/image" Target="https://www.sec.gov/Archives/edgar/data/1721181/000119312518103463/g674579snap0006.jpg" TargetMode="External"/><Relationship Id="rId44" Type="http://schemas.openxmlformats.org/officeDocument/2006/relationships/image" Target="https://www.sec.gov/Archives/edgar/data/1721181/000119312518103463/g674579snap0006.jpg" TargetMode="External"/><Relationship Id="rId45" Type="http://schemas.openxmlformats.org/officeDocument/2006/relationships/image" Target="https://www.sec.gov/Archives/edgar/data/1721181/000119312518103463/g674579snap0005.jpg" TargetMode="External"/><Relationship Id="rId46" Type="http://schemas.openxmlformats.org/officeDocument/2006/relationships/image" Target="https://www.sec.gov/Archives/edgar/data/1721181/000119312518103463/g674579snap0005.jpg" TargetMode="External"/><Relationship Id="rId47" Type="http://schemas.openxmlformats.org/officeDocument/2006/relationships/image" Target="https://www.sec.gov/Archives/edgar/data/1721181/000119312518103463/g674579snap0005.jpg" TargetMode="External"/><Relationship Id="rId48" Type="http://schemas.openxmlformats.org/officeDocument/2006/relationships/image" Target="https://www.sec.gov/Archives/edgar/data/1721181/000119312518103463/g674579snap0006.jpg" TargetMode="External"/><Relationship Id="rId49" Type="http://schemas.openxmlformats.org/officeDocument/2006/relationships/image" Target="https://www.sec.gov/Archives/edgar/data/1721181/000119312518103463/g674579dsp283.jpg" TargetMode="External"/><Relationship Id="rId50" Type="http://schemas.openxmlformats.org/officeDocument/2006/relationships/image" Target="https://www.sec.gov/Archives/edgar/data/1721181/000119312518103463/g674579g51a82.jpg" TargetMode="External"/><Relationship Id="rId51" Type="http://schemas.openxmlformats.org/officeDocument/2006/relationships/image" Target="https://www.sec.gov/Archives/edgar/data/1721181/000119312518103463/g674579g50b83.jpg" TargetMode="External"/><Relationship Id="rId52" Type="http://schemas.openxmlformats.org/officeDocument/2006/relationships/image" Target="https://www.sec.gov/Archives/edgar/data/1721181/000119312518103463/g674579g84s24.jpg" TargetMode="External"/><Relationship Id="rId53" Type="http://schemas.openxmlformats.org/officeDocument/2006/relationships/image" Target="https://www.sec.gov/Archives/edgar/data/1721181/000119312518103463/g674579g57a93.jpg" TargetMode="External"/><Relationship Id="rId54" Type="http://schemas.openxmlformats.org/officeDocument/2006/relationships/image" Target="https://www.sec.gov/Archives/edgar/data/1721181/000119312518103463/g674579dsp349.jpg" TargetMode="External"/><Relationship Id="rId55" Type="http://schemas.openxmlformats.org/officeDocument/2006/relationships/image" Target="https://www.sec.gov/Archives/edgar/data/1721181/000119312518103463/g674579g99v77.jpg" TargetMode="External"/><Relationship Id="rId56" Type="http://schemas.openxmlformats.org/officeDocument/2006/relationships/image" Target="https://www.sec.gov/Archives/edgar/data/1721181/000119312518103463/g674579g49f44.jpg" TargetMode="External"/><Relationship Id="rId57" Type="http://schemas.openxmlformats.org/officeDocument/2006/relationships/image" Target="https://www.sec.gov/Archives/edgar/data/1721181/000119312518103463/g674579g34f86.jpg" TargetMode="External"/><Relationship Id="rId58" Type="http://schemas.openxmlformats.org/officeDocument/2006/relationships/image" Target="https://www.sec.gov/Archives/edgar/data/1721181/000119312518103463/g674579snap0010.jpg" TargetMode="External"/><Relationship Id="rId59" Type="http://schemas.openxmlformats.org/officeDocument/2006/relationships/image" Target="https://www.sec.gov/Archives/edgar/data/1721181/000119312518103463/g674579g0307222348891.jpg"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LibreOffice/4.4.7.2$Linux_X86_64 LibreOffice_project/f3153a8b245191196a4b6b9abd1d0da16eead600</Application>
  <Paragraphs>2118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en-US</dc:language>
  <cp:revision>0</cp:revision>
</cp:coreProperties>
</file>