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Hiragino Sans GB" w:hAnsi="Hiragino Sans GB" w:eastAsia="Hiragino Sans GB" w:cs="Hiragino Sans GB"/>
          <w:b/>
          <w:i w:val="0"/>
          <w:color w:val="1F4D78"/>
          <w:sz w:val="48"/>
        </w:rPr>
        <w:t>Week 4 Eight-Person Work Allocation</w:t>
      </w:r>
      <w:r>
        <w:rPr>
          <w:rFonts w:ascii="Hiragino Sans GB" w:hAnsi="Hiragino Sans GB" w:eastAsia="Hiragino Sans GB" w:cs="Hiragino Sans GB"/>
          <w:b/>
          <w:i w:val="0"/>
          <w:color w:val="1F4D78"/>
          <w:sz w:val="42"/>
        </w:rPr>
        <w:br/>
        <w:t>第四周八人分工</w:t>
      </w:r>
    </w:p>
    <w:p>
      <w:pPr>
        <w:spacing w:after="200"/>
      </w:pPr>
      <w:r>
        <w:rPr>
          <w:rFonts w:ascii="Hiragino Sans GB" w:hAnsi="Hiragino Sans GB" w:eastAsia="Hiragino Sans GB" w:cs="Hiragino Sans GB"/>
          <w:b/>
          <w:i w:val="0"/>
          <w:color w:val="2E74B5"/>
          <w:sz w:val="23"/>
        </w:rPr>
        <w:t>INFS6600 Taxonomy Pilot — Tutor-Feedback v2 / INFS6600 分类体系试点——导师反馈 v2</w:t>
      </w:r>
      <w:r>
        <w:rPr>
          <w:rFonts w:ascii="Hiragino Sans GB" w:hAnsi="Hiragino Sans GB" w:eastAsia="Hiragino Sans GB" w:cs="Hiragino Sans GB"/>
          <w:b w:val="0"/>
          <w:i w:val="0"/>
          <w:color w:val="52606D"/>
          <w:sz w:val="19"/>
        </w:rPr>
        <w:br/>
        <w:t>Meeting reporting notes and completed contribution record / 会议汇报材料与已完成贡献记录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/>
        </w:trPr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7"/>
              </w:rPr>
              <w:t>Project / 项目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7"/>
              </w:rPr>
              <w:t>Exploring Pedagogical Innovations in Business Education</w:t>
              <w:br/>
              <w:t>商业教育中的教学创新探索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7"/>
              </w:rPr>
              <w:t>Group / 小组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7"/>
              </w:rPr>
              <w:t>CS-44</w:t>
            </w:r>
          </w:p>
        </w:tc>
      </w:tr>
      <w:tr>
        <w:trPr>
          <w:cantSplit/>
        </w:trPr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7"/>
              </w:rPr>
              <w:t>Meeting / 会议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7"/>
              </w:rPr>
              <w:t>Week 4 progress report / 第四周进度汇报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7"/>
              </w:rPr>
              <w:t>Release / 版本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7"/>
              </w:rPr>
              <w:t>tutor-feedback-v2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CE6F1"/>
            <w:tcBorders>
              <w:top w:val="single" w:sz="10" w:color="2E74B5"/>
              <w:left w:val="single" w:sz="10" w:color="2E74B5"/>
              <w:bottom w:val="single" w:sz="10" w:color="2E74B5"/>
              <w:right w:val="single" w:sz="10" w:color="2E74B5"/>
              <w:insideH w:val="single" w:sz="10" w:color="2E74B5"/>
              <w:insideV w:val="single" w:sz="10" w:color="2E74B5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20"/>
              </w:rPr>
              <w:t>All Week 4 deliverables were completed collaboratively by the eight-member CS-44 team. The allocation below identifies each member’s primary ownership for meeting reporting; it does not represent isolated or exclusive authorship.</w:t>
              <w:br/>
              <w:t>第四周全部交付物由 CS-44 八人团队共同完成。以下分工仅用于明确会议汇报中的个人主责，并不表示相关成果由个人独立或排他完成。</w:t>
            </w:r>
          </w:p>
        </w:tc>
      </w:tr>
    </w:tbl>
    <w:p>
      <w:pPr>
        <w:spacing w:before="160" w:after="60"/>
      </w:pPr>
      <w:r>
        <w:rPr>
          <w:rFonts w:ascii="Hiragino Sans GB" w:hAnsi="Hiragino Sans GB" w:eastAsia="Hiragino Sans GB" w:cs="Hiragino Sans GB"/>
          <w:b/>
          <w:i w:val="0"/>
          <w:color w:val="1F4D78"/>
          <w:sz w:val="20"/>
        </w:rPr>
        <w:t>Week 3 continuity basis / 与第三周工作的连续性</w:t>
      </w:r>
    </w:p>
    <w:p>
      <w:pPr>
        <w:spacing w:after="140"/>
      </w:pPr>
      <w:r>
        <w:rPr>
          <w:rFonts w:ascii="Hiragino Sans GB" w:hAnsi="Hiragino Sans GB" w:eastAsia="Hiragino Sans GB" w:cs="Hiragino Sans GB"/>
          <w:b w:val="0"/>
          <w:i w:val="0"/>
          <w:color w:val="243B53"/>
          <w:sz w:val="17"/>
        </w:rPr>
        <w:t>This Week 4 allocation continues the Week 3 team-level workflow from scope and taxonomy through extraction, classification, visualisation and handover. Primary responsibilities follow that same end-to-end chain, while the explicitly documented pilot-demo and scoring-method activities remain continuous with the meeting record.</w:t>
        <w:br/>
        <w:t>本周分工延续第三周从范围与分类体系、数据提取、分类分析、可视化到交付的团队工作流。各成员主责按照同一端到端链条安排，并保持试点演示与评分方法等会议记录中已明确活动的连续性。</w:t>
      </w:r>
    </w:p>
    <w:p>
      <w:pPr>
        <w:pStyle w:val="Heading1"/>
      </w:pPr>
      <w:r>
        <w:t>Completed Week 4 scope / 第四周已完成范围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8"/>
              </w:rPr>
              <w:t>Tutor-directed</w:t>
              <w:br/>
              <w:t>导师明确要求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8"/>
              </w:rPr>
              <w:t>Necessary supporting work</w:t>
              <w:br/>
              <w:t>必要配套工作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8"/>
              </w:rPr>
              <w:t>Tutor suggestions at pilot scale</w:t>
              <w:br/>
              <w:t>试点范围内的导师建议</w:t>
            </w:r>
          </w:p>
        </w:tc>
      </w:tr>
      <w:tr>
        <w:trPr>
          <w:cantSplit/>
        </w:trPr>
        <w:tc>
          <w:tcPr>
            <w:tcW w:type="dxa" w:w="3331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Separated Simulation and Case-Based Learning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拆分模拟学习与案例式学习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Applied non-exclusive multi-label classification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采用非互斥的多标签分类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Updated tutor-commented WIL weights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更新导师批注的 WIL 权重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Added total scoring and configured all supplied categories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增加总评分并配置全部导师提供的类别</w:t>
            </w:r>
          </w:p>
        </w:tc>
        <w:tc>
          <w:tcPr>
            <w:tcW w:type="dxa" w:w="3331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Reran INFS6600 only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仅重新运行 INFS6600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Added overlap and review policy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增加类别重叠与人工复核政策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Produced structured evidence and mapping outputs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生成结构化证据与映射输出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Added regression tests, release notes and audit hashes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增加回归测试、发布说明与审计哈希</w:t>
            </w:r>
          </w:p>
        </w:tc>
        <w:tc>
          <w:tcPr>
            <w:tcW w:type="dxa" w:w="3331"/>
            <w:shd w:fill="FFF4D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Counted distinct evidence items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统计不同证据条目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Created three INFS6600 category-distribution figures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制作三张 INFS6600 分类分布图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Kept both suggestions inside the existing pilot scope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将两项建议严格限制在现有试点范围内</w:t>
            </w:r>
          </w:p>
        </w:tc>
      </w:tr>
    </w:tbl>
    <w:p>
      <w:pPr>
        <w:pStyle w:val="Heading1"/>
        <w:pageBreakBefore/>
      </w:pPr>
      <w:r>
        <w:t>Eight-person allocation at a glance / 八人分工总览</w:t>
      </w:r>
    </w:p>
    <w:p>
      <w:r>
        <w:rPr>
          <w:rFonts w:ascii="Hiragino Sans GB" w:hAnsi="Hiragino Sans GB" w:eastAsia="Hiragino Sans GB" w:cs="Hiragino Sans GB"/>
          <w:b w:val="0"/>
          <w:i/>
          <w:color w:val="52606D"/>
          <w:sz w:val="17"/>
        </w:rPr>
        <w:t>Primary ownership indicates accountability for coordination and review; it does not mean the work was completed in isolation.</w:t>
        <w:br/>
        <w:t>主责表示对协调与复核承担主要责任，并不代表相关工作由个人独立完成。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8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7"/>
              </w:rPr>
              <w:t>Member / 成员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7"/>
              </w:rPr>
              <w:t>Primary workstream / 主要工作流</w:t>
            </w:r>
          </w:p>
        </w:tc>
        <w:tc>
          <w:tcPr>
            <w:tcW w:type="dxa" w:w="22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7"/>
              </w:rPr>
              <w:t>Meeting focus / 汇报重点</w:t>
            </w:r>
          </w:p>
        </w:tc>
      </w:tr>
      <w:tr>
        <w:trPr>
          <w:cantSplit/>
        </w:trPr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1F4D78"/>
                <w:sz w:val="15"/>
              </w:rPr>
              <w:t>01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5"/>
              </w:rPr>
              <w:t>Member 1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Coordination, tutor-feedback traceability and scope control</w:t>
              <w:br/>
              <w:t>项目协调、导师反馈追踪与范围控制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Scope and integration</w:t>
              <w:br/>
              <w:t>范围与整合</w:t>
            </w:r>
          </w:p>
        </w:tc>
      </w:tr>
      <w:tr>
        <w:trPr>
          <w:cantSplit/>
        </w:trPr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1F4D78"/>
                <w:sz w:val="15"/>
              </w:rPr>
              <w:t>02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5"/>
              </w:rPr>
              <w:t>Member 2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Taxonomy definitions and versioned configuration</w:t>
              <w:br/>
              <w:t>分类体系定义与版本化配置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Taxonomy changes</w:t>
              <w:br/>
              <w:t>分类体系修改</w:t>
            </w:r>
          </w:p>
        </w:tc>
      </w:tr>
      <w:tr>
        <w:trPr>
          <w:cantSplit/>
        </w:trPr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1F4D78"/>
                <w:sz w:val="15"/>
              </w:rPr>
              <w:t>03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5"/>
              </w:rPr>
              <w:t>Member 3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Multi-label, overlap and review policy</w:t>
              <w:br/>
              <w:t>多标签、类别重叠与人工复核政策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Overlap policy</w:t>
              <w:br/>
              <w:t>重叠政策</w:t>
            </w:r>
          </w:p>
        </w:tc>
      </w:tr>
      <w:tr>
        <w:trPr>
          <w:cantSplit/>
        </w:trPr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1F4D78"/>
                <w:sz w:val="15"/>
              </w:rPr>
              <w:t>04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5"/>
              </w:rPr>
              <w:t>Member 4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INFS6600 source evidence and pilot rerun</w:t>
              <w:br/>
              <w:t>INFS6600 来源证据与试点重跑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Evidence rerun</w:t>
              <w:br/>
              <w:t>证据重跑</w:t>
            </w:r>
          </w:p>
        </w:tc>
      </w:tr>
      <w:tr>
        <w:trPr>
          <w:cantSplit/>
        </w:trPr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1F4D78"/>
                <w:sz w:val="15"/>
              </w:rPr>
              <w:t>05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5"/>
              </w:rPr>
              <w:t>Member 5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Scoring method, WIL weights and confidence logic</w:t>
              <w:br/>
              <w:t>评分方法、WIL 权重与置信度逻辑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Scoring changes</w:t>
              <w:br/>
              <w:t>评分修改</w:t>
            </w:r>
          </w:p>
        </w:tc>
      </w:tr>
      <w:tr>
        <w:trPr>
          <w:cantSplit/>
        </w:trPr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1F4D78"/>
                <w:sz w:val="15"/>
              </w:rPr>
              <w:t>06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5"/>
              </w:rPr>
              <w:t>Member 6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Evidence aggregation and course-category mapping</w:t>
              <w:br/>
              <w:t>证据汇总与课程—类别映射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Results and mapping</w:t>
              <w:br/>
              <w:t>结果与映射</w:t>
            </w:r>
          </w:p>
        </w:tc>
      </w:tr>
      <w:tr>
        <w:trPr>
          <w:cantSplit/>
        </w:trPr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1F4D78"/>
                <w:sz w:val="15"/>
              </w:rPr>
              <w:t>07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5"/>
              </w:rPr>
              <w:t>Member 7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Visualisation and report production</w:t>
              <w:br/>
              <w:t>可视化与报告制作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Figures and reports</w:t>
              <w:br/>
              <w:t>图表与报告</w:t>
            </w:r>
          </w:p>
        </w:tc>
      </w:tr>
      <w:tr>
        <w:trPr>
          <w:cantSplit/>
        </w:trPr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1F4D78"/>
                <w:sz w:val="15"/>
              </w:rPr>
              <w:t>08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5"/>
              </w:rPr>
              <w:t>Member 8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Quality assurance, release packaging and version control</w:t>
              <w:br/>
              <w:t>质量保证、发布打包与版本控制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QA and release</w:t>
              <w:br/>
              <w:t>质量检查与发布</w:t>
            </w:r>
          </w:p>
        </w:tc>
      </w:tr>
    </w:tbl>
    <w:p>
      <w:pPr>
        <w:pStyle w:val="Heading2"/>
      </w:pPr>
      <w:r>
        <w:t>Shared completion rule / 共同完成原则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CE6F1"/>
            <w:tcBorders>
              <w:top w:val="single" w:sz="10" w:color="2E74B5"/>
              <w:left w:val="single" w:sz="10" w:color="2E74B5"/>
              <w:bottom w:val="single" w:sz="10" w:color="2E74B5"/>
              <w:right w:val="single" w:sz="10" w:color="2E74B5"/>
              <w:insideH w:val="single" w:sz="10" w:color="2E74B5"/>
              <w:insideV w:val="single" w:sz="10" w:color="2E74B5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20"/>
              </w:rPr>
              <w:t>Every workstream was cross-checked by at least one other member, and taxonomy interpretation, INFS6600 evidence acceptance, scope decisions and final release acceptance were agreed collectively by all eight members.</w:t>
              <w:br/>
              <w:t>每个工作流均由至少一名其他成员交叉检查；分类体系解释、INFS6600 证据验收、范围决策和最终发布验收均由八位成员共同确认。</w:t>
            </w:r>
          </w:p>
        </w:tc>
      </w:tr>
    </w:tbl>
    <w:p>
      <w:pPr>
        <w:pStyle w:val="Heading1"/>
        <w:pageBreakBefore/>
      </w:pPr>
      <w:r>
        <w:t>Completed contributions — Members 1–2 / 成员 1–2 已完成工作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22"/>
              </w:rPr>
              <w:t>01  Member 1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FFFFFF"/>
                <w:sz w:val="17"/>
              </w:rPr>
              <w:t xml:space="preserve">  |  Coordination, tutor-feedback traceability and scope control / 项目协调、导师反馈追踪与范围控制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Completed responsibilities / 已完成职责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Converted the meeting, email, PDF comments and scope-document changes into one acceptance checklist.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将会议、邮件、PDF 批注及范围文档修订整合为统一验收清单。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Kept Week 4 limited to the tutor-requested INFS6600 update and its necessary supporting work.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将第四周工作限定在导师要求的 INFS6600 更新及必要配套工作内。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Coordinated the eight workstreams, hand-offs and shared meeting narrative.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协调八个工作流、任务交接与统一会议汇报口径。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Concrete deliverables / 具体交付物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Meeting decision record and tutor-feedback implementation record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会议决策记录与导师反馈实施记录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Week 4 delivery checklist and scope guard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第四周交付清单与范围控制说明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Integrated meeting handout and speaking order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整合后的会议材料与汇报顺序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Suggested meeting line / 建议汇报话术:</w:t>
              <w:br/>
            </w:r>
            <w:r>
              <w:rPr>
                <w:rFonts w:ascii="Hiragino Sans GB" w:hAnsi="Hiragino Sans GB" w:eastAsia="Hiragino Sans GB" w:cs="Hiragino Sans GB"/>
                <w:b w:val="0"/>
                <w:i/>
                <w:color w:val="243B53"/>
                <w:sz w:val="16"/>
              </w:rPr>
              <w:t>“I coordinated the tutor-feedback v2 update, mapped every requested change to an acceptance check, and kept the team within the agreed INFS6600-only Week 4 scope.”</w:t>
              <w:br/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t>“我负责协调导师反馈 v2 更新，将每项修改要求对应到验收检查，并确保团队严格保持在约定的 INFS6600 第四周范围内。”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22"/>
              </w:rPr>
              <w:t>02  Member 2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FFFFFF"/>
                <w:sz w:val="17"/>
              </w:rPr>
              <w:t xml:space="preserve">  |  Taxonomy definitions and versioned configuration / 分类体系定义与版本化配置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Completed responsibilities / 已完成职责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Configured all eight supplied taxonomy categories for the pilot.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为试点配置导师提供的全部八个分类。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Separated Simulation from Case-Based Learning and clarified their definitions.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将模拟学习与案例式学习拆分，并明确两者定义。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Added overlap notes, review guidance and provisional-status labels to the taxonomy.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在分类体系中补充类别重叠说明、人工复核指引和临时状态标记。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Concrete deliverables / 具体交付物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config/taxonomy_v2.json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config/taxonomy_v2.json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Eight-category standards in the detailed algorithm report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详细算法报告中的八分类标准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Configuration notes for unresolved client decisions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待客户确认事项的配置说明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Suggested meeting line / 建议汇报话术:</w:t>
              <w:br/>
            </w:r>
            <w:r>
              <w:rPr>
                <w:rFonts w:ascii="Hiragino Sans GB" w:hAnsi="Hiragino Sans GB" w:eastAsia="Hiragino Sans GB" w:cs="Hiragino Sans GB"/>
                <w:b w:val="0"/>
                <w:i/>
                <w:color w:val="243B53"/>
                <w:sz w:val="16"/>
              </w:rPr>
              <w:t>“I updated the supplied taxonomy into a versioned eight-category configuration and made Simulation and Case-Based Learning independent categories with clear overlap and review guidance.”</w:t>
              <w:br/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t>“我将导师提供的分类体系更新为版本化的八分类配置，并把模拟学习与案例式学习设为独立类别，同时补充清晰的重叠规则和复核指引。”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Completed contributions — Members 3–4 / 成员 3–4 已完成工作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22"/>
              </w:rPr>
              <w:t>03  Member 3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FFFFFF"/>
                <w:sz w:val="17"/>
              </w:rPr>
              <w:t xml:space="preserve">  |  Multi-label, overlap and review policy / 多标签、类别重叠与人工复核政策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Completed responsibilities / 已完成职责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Defined categories as non-mutually-exclusive and removed any single-winner assumption.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明确各分类并非互斥，并移除单一胜出类别的假设。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Retained an evidence item once per category so genuine overlap remains visible.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同一证据条目可在每个相关类别中计数一次，以保留真实重叠关系。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Moved administrative “Case studies” labels to review rather than treating them as automatic positive evidence.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将行政标签“Case studies”转入人工复核，而非自动作为正向证据。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Concrete deliverables / 具体交付物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Multi-label and item-category deduplication policy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多标签与“证据条目—类别”去重政策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Case/industry overlap interpretation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案例与行业合作重叠关系解释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Manual-review rules and review-queue criteria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人工复核规则与复核队列标准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Suggested meeting line / 建议汇报话术:</w:t>
              <w:br/>
            </w:r>
            <w:r>
              <w:rPr>
                <w:rFonts w:ascii="Hiragino Sans GB" w:hAnsi="Hiragino Sans GB" w:eastAsia="Hiragino Sans GB" w:cs="Hiragino Sans GB"/>
                <w:b w:val="0"/>
                <w:i/>
                <w:color w:val="243B53"/>
                <w:sz w:val="16"/>
              </w:rPr>
              <w:t>“I formalised the multi-label policy: a unit or evidence item can support several categories, while ambiguous administrative labels stay visible in the review queue instead of becoming automatic positives.”</w:t>
              <w:br/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t>“我正式确立了多标签政策：一个课程或证据条目可以支持多个类别，而含义不明确的行政标签会保留在复核队列中，不会自动成为正向结果。”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22"/>
              </w:rPr>
              <w:t>04  Member 4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FFFFFF"/>
                <w:sz w:val="17"/>
              </w:rPr>
              <w:t xml:space="preserve">  |  INFS6600 source evidence and pilot rerun / INFS6600 来源证据与试点重跑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Completed responsibilities / 已完成职责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Verified the INFS6600 2026 Semester 2 public-outline snapshot and official source URL.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核验 INFS6600 2026 年第二学期公开课程大纲快照及官方来源链接。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Maintained auditable evidence units across overview, learning outcomes, assessments and weekly schedule.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维护课程概述、学习成果、考核任务和每周安排中的可审计证据条目。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Reran the pilot and checked item IDs, source sections and original evidence text.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重新运行试点，并检查条目编号、来源章节和原始证据文本。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Concrete deliverables / 具体交付物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Versioned INFS6600 source snapshot and course-information summary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版本化 INFS6600 来源快照与课程信息摘要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Classified-evidence and review-queue datasets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已分类证据与人工复核队列数据集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Traceable evidence for the three positive categories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三个正向类别的可追溯证据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Suggested meeting line / 建议汇报话术:</w:t>
              <w:br/>
            </w:r>
            <w:r>
              <w:rPr>
                <w:rFonts w:ascii="Hiragino Sans GB" w:hAnsi="Hiragino Sans GB" w:eastAsia="Hiragino Sans GB" w:cs="Hiragino Sans GB"/>
                <w:b w:val="0"/>
                <w:i/>
                <w:color w:val="243B53"/>
                <w:sz w:val="16"/>
              </w:rPr>
              <w:t>“I prepared and verified the INFS6600 evidence base, reran the pilot across all four outline sections, and ensured every result remained traceable to an item ID and the official source.”</w:t>
              <w:br/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t>“我准备并核验了 INFS6600 证据库，在课程大纲的四个部分重新运行试点，并确保每项结果均可追溯到条目编号和官方来源。”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Completed contributions — Members 5–6 / 成员 5–6 已完成工作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22"/>
              </w:rPr>
              <w:t>05  Member 5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FFFFFF"/>
                <w:sz w:val="17"/>
              </w:rPr>
              <w:t xml:space="preserve">  |  Scoring method, WIL weights and confidence logic / 评分方法、WIL 权重与置信度逻辑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Completed responsibilities / 已完成职责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Applied the tutor comments to the four WIL weights: 4.0, 2.0, 2.0 and provisional 2.0.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按照导师批注，将四项 WIL 权重设为 4.0、2.0、2.0 和临时 2.0。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Kept one contribution per matched rule group and separated classified score from review score.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每个匹配规则组仅计分一次，并将分类得分与复核得分分开。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Documented the 3.0 and 5.0 thresholds as configurable and provisional.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明确 3.0 和 5.0 阈值可配置且仍属临时设置。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Concrete deliverables / 具体交付物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Updated weighted phrase-scoring configuration and logic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更新后的加权短语评分配置与逻辑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Classified, review and total matched score fields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分类得分、复核得分和总匹配得分字段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02_Classification_Algorithm_Detailed_v2.pdf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02_Classification_Algorithm_Detailed_v2.pdf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Suggested meeting line / 建议汇报话术:</w:t>
              <w:br/>
            </w:r>
            <w:r>
              <w:rPr>
                <w:rFonts w:ascii="Hiragino Sans GB" w:hAnsi="Hiragino Sans GB" w:eastAsia="Hiragino Sans GB" w:cs="Hiragino Sans GB"/>
                <w:b w:val="0"/>
                <w:i/>
                <w:color w:val="243B53"/>
                <w:sz w:val="16"/>
              </w:rPr>
              <w:t>“I implemented the tutor’s WIL weighting comments, separated positive and review scoring, and kept the decision thresholds explicit and provisional rather than presenting them as validated cut-offs.”</w:t>
              <w:br/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t>“我落实了导师对 WIL 权重的批注，将正向评分与复核评分分开，并明确决策阈值仍为临时设置，而非已经验证的界限。”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22"/>
              </w:rPr>
              <w:t>06  Member 6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FFFFFF"/>
                <w:sz w:val="17"/>
              </w:rPr>
              <w:t xml:space="preserve">  |  Evidence aggregation and course-category mapping / 证据汇总与课程—类别映射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Completed responsibilities / 已完成职责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Counted distinct evidence items rather than raw keyword occurrences.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统计不同证据条目，而不是原始关键词出现次数。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Aggregated positive items, review items, classified score, review score and section counts by category.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按类别汇总正向条目、复核条目、分类得分、复核得分和来源章节数量。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Produced the complete eight-category mapping while preserving the three positive INFS6600 allocations.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生成完整八分类映射，同时保留 INFS6600 的三个正向类别结果。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Concrete deliverables / 具体交付物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classification_results.json and unit_category_summary.csv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classification_results.json 与 unit_category_summary.csv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Course-category mapping in Markdown and CSV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Markdown 和 CSV 格式的课程—类别映射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Verified WIL, Case-Based and Project/Problem-Based positive result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经核验的 WIL、案例式学习和项目/问题式学习正向结果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Suggested meeting line / 建议汇报话术:</w:t>
              <w:br/>
            </w:r>
            <w:r>
              <w:rPr>
                <w:rFonts w:ascii="Hiragino Sans GB" w:hAnsi="Hiragino Sans GB" w:eastAsia="Hiragino Sans GB" w:cs="Hiragino Sans GB"/>
                <w:b w:val="0"/>
                <w:i/>
                <w:color w:val="243B53"/>
                <w:sz w:val="16"/>
              </w:rPr>
              <w:t>“I built the category-level aggregation and mapping outputs, using distinct evidence-item counts and separate score totals so the three INFS6600 allocations can be audited clearly.”</w:t>
              <w:br/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t>“我构建了类别级汇总和映射输出，采用不同证据条目数量及分离的得分合计，使 INFS6600 的三个分类结果能够被清晰审计。”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Completed contributions — Members 7–8 / 成员 7–8 已完成工作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22"/>
              </w:rPr>
              <w:t>07  Member 7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FFFFFF"/>
                <w:sz w:val="17"/>
              </w:rPr>
              <w:t xml:space="preserve">  |  Visualisation and report production / 可视化与报告制作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Completed responsibilities / 已完成职责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Created three INFS6600-only taxonomy figures for evidence counts, scores and source sections.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为证据数量、类别得分和来源章节制作三张仅针对 INFS6600 的分类图。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Integrated total scoring, review signals and multi-label interpretation into the pilot report.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将总评分、复核信号和多标签解释整合进试点报告。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Produced the updated course-category mapping report for meeting review.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制作更新后的课程—类别映射报告，供会议审阅。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Concrete deliverables / 具体交付物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Three versioned PNG figures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三张版本化 PNG 图表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pilot_results_v2.md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pilot_results_v2.md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05_INFS6600_Course_Category_Mapping_v2.pdf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05_INFS6600_Course_Category_Mapping_v2.pdf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Suggested meeting line / 建议汇报话术:</w:t>
              <w:br/>
            </w:r>
            <w:r>
              <w:rPr>
                <w:rFonts w:ascii="Hiragino Sans GB" w:hAnsi="Hiragino Sans GB" w:eastAsia="Hiragino Sans GB" w:cs="Hiragino Sans GB"/>
                <w:b w:val="0"/>
                <w:i/>
                <w:color w:val="243B53"/>
                <w:sz w:val="16"/>
              </w:rPr>
              <w:t>“I turned the updated results into the three requested pilot-scale figures and the mapping report, showing evidence counts, total scores and where the evidence appears in the unit outline.”</w:t>
              <w:br/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t>“我将更新结果制作成三张试点规模图表和映射报告，展示证据数量、总得分以及证据在课程大纲中的分布位置。”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22"/>
              </w:rPr>
              <w:t>08  Member 8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FFFFFF"/>
                <w:sz w:val="17"/>
              </w:rPr>
              <w:t xml:space="preserve">  |  Quality assurance, release packaging and version control / 质量保证、发布打包与版本控制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Completed responsibilities / 已完成职责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Ran offline unit and tutor-feedback regression checks for the eight-category multi-label result.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对八分类多标签结果运行离线单元测试和导师反馈回归检查。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Verified generated reports, release hashes and the two final PDF deliverables.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核验生成的报告、发布哈希和两份最终 PDF 交付物。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Packaged the update as a separate tutor-feedback-v2 Git version while preserving the original main branch.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以独立的 tutor-feedback-v2 Git 版本打包更新，并保留原始 main 分支。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Concrete deliverables / 具体交付物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Regression tests and acceptance-check results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回归测试与验收检查结果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SHA-256 release manifest, README and changelog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SHA-256 发布清单、README 和更新日志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Versioned Git branch and final delivery package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版本化 Git 分支与最终交付包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Suggested meeting line / 建议汇报话术:</w:t>
              <w:br/>
            </w:r>
            <w:r>
              <w:rPr>
                <w:rFonts w:ascii="Hiragino Sans GB" w:hAnsi="Hiragino Sans GB" w:eastAsia="Hiragino Sans GB" w:cs="Hiragino Sans GB"/>
                <w:b w:val="0"/>
                <w:i/>
                <w:color w:val="243B53"/>
                <w:sz w:val="16"/>
              </w:rPr>
              <w:t>“I completed release QA and version packaging, confirmed the expected three-category result and kept this Week 4 update separate so the original repository version remains intact.”</w:t>
              <w:br/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t>“我完成了发布质量检查和版本打包，确认预期的三个正向类别结果，并将本次第四周更新作为独立版本，确保原始仓库版本保持完整。”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Meeting run sheet and shared wording / 会议流程与统一口径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CE6F1"/>
            <w:tcBorders>
              <w:top w:val="single" w:sz="10" w:color="2E74B5"/>
              <w:left w:val="single" w:sz="10" w:color="2E74B5"/>
              <w:bottom w:val="single" w:sz="10" w:color="2E74B5"/>
              <w:right w:val="single" w:sz="10" w:color="2E74B5"/>
              <w:insideH w:val="single" w:sz="10" w:color="2E74B5"/>
              <w:insideV w:val="single" w:sz="10" w:color="2E74B5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20"/>
              </w:rPr>
              <w:t>Recommended total speaking time: 8–10 minutes. Each member owns one 40–60 second update; Member 1 opens with scope and Member 8 closes with verification and release status.</w:t>
              <w:br/>
              <w:t>建议总汇报时间为 8–10 分钟。每位成员负责 40–60 秒；Member 1 以范围说明开场，Member 8 以验证与发布状态收尾。</w:t>
            </w:r>
          </w:p>
        </w:tc>
      </w:tr>
    </w:tbl>
    <w:p>
      <w:pPr>
        <w:pStyle w:val="Heading2"/>
      </w:pPr>
      <w:r>
        <w:t>Speaking order / 汇报顺序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7"/>
              </w:rPr>
              <w:t>Order / 顺序</w:t>
            </w:r>
          </w:p>
        </w:tc>
        <w:tc>
          <w:tcPr>
            <w:tcW w:type="dxa" w:w="25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7"/>
              </w:rPr>
              <w:t>Speaker / 汇报人</w:t>
            </w:r>
          </w:p>
        </w:tc>
        <w:tc>
          <w:tcPr>
            <w:tcW w:type="dxa" w:w="5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7"/>
              </w:rPr>
              <w:t>One-sentence hand-off / 一句话衔接</w:t>
            </w:r>
          </w:p>
        </w:tc>
      </w:tr>
      <w:tr>
        <w:trPr>
          <w:cantSplit/>
        </w:trPr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1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Member 1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Tutor feedback, acceptance checklist and Week 4 scope</w:t>
              <w:br/>
              <w:t>导师反馈、验收清单与第四周范围</w:t>
            </w:r>
          </w:p>
        </w:tc>
      </w:tr>
      <w:tr>
        <w:trPr>
          <w:cantSplit/>
        </w:trPr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2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Member 2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Eight-category taxonomy and Simulation/Case split</w:t>
              <w:br/>
              <w:t>八分类体系及模拟/案例拆分</w:t>
            </w:r>
          </w:p>
        </w:tc>
      </w:tr>
      <w:tr>
        <w:trPr>
          <w:cantSplit/>
        </w:trPr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3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Member 3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Multi-label, overlap and review treatment</w:t>
              <w:br/>
              <w:t>多标签、重叠关系与复核处理</w:t>
            </w:r>
          </w:p>
        </w:tc>
      </w:tr>
      <w:tr>
        <w:trPr>
          <w:cantSplit/>
        </w:trPr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4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Member 4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INFS6600 evidence preparation and rerun</w:t>
              <w:br/>
              <w:t>INFS6600 证据准备与重跑</w:t>
            </w:r>
          </w:p>
        </w:tc>
      </w:tr>
      <w:tr>
        <w:trPr>
          <w:cantSplit/>
        </w:trPr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5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Member 5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Weights, scoring and provisional thresholds</w:t>
              <w:br/>
              <w:t>权重、评分与临时阈值</w:t>
            </w:r>
          </w:p>
        </w:tc>
      </w:tr>
      <w:tr>
        <w:trPr>
          <w:cantSplit/>
        </w:trPr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6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Member 6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Distinct counts, totals and category mapping</w:t>
              <w:br/>
              <w:t>不同证据计数、总分与类别映射</w:t>
            </w:r>
          </w:p>
        </w:tc>
      </w:tr>
      <w:tr>
        <w:trPr>
          <w:cantSplit/>
        </w:trPr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7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Member 7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Pilot-scale figures and reports</w:t>
              <w:br/>
              <w:t>试点规模图表与报告</w:t>
            </w:r>
          </w:p>
        </w:tc>
      </w:tr>
      <w:tr>
        <w:trPr>
          <w:cantSplit/>
        </w:trPr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8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Member 8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Tests, release manifest, PDFs and versioned Git delivery</w:t>
              <w:br/>
              <w:t>测试、发布清单、PDF 与版本化 Git 交付</w:t>
            </w:r>
          </w:p>
        </w:tc>
      </w:tr>
    </w:tbl>
    <w:p>
      <w:pPr>
        <w:pStyle w:val="Heading2"/>
      </w:pPr>
      <w:r>
        <w:t>Approved team delivery statement / 统一团队交付口径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CE6F1"/>
            <w:tcBorders>
              <w:top w:val="single" w:sz="10" w:color="2E74B5"/>
              <w:left w:val="single" w:sz="10" w:color="2E74B5"/>
              <w:bottom w:val="single" w:sz="10" w:color="2E74B5"/>
              <w:right w:val="single" w:sz="10" w:color="2E74B5"/>
              <w:insideH w:val="single" w:sz="10" w:color="2E74B5"/>
              <w:insideV w:val="single" w:sz="10" w:color="2E74B5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20"/>
              </w:rPr>
              <w:t>The Week 4 tutor-feedback v2 release was completed collaboratively by the eight-member CS-44 project team. Each member held primary ownership for a defined workstream, while taxonomy decisions, INFS6600 evidence review, quality assurance and final acceptance were completed collectively.</w:t>
              <w:br/>
              <w:t>第四周导师反馈 v2 版本由 CS-44 八人项目团队共同完成。每位成员对一个明确工作流承担主责；分类体系决策、INFS6600 证据复核、质量保证和最终验收由团队共同完成。</w:t>
            </w:r>
          </w:p>
        </w:tc>
      </w:tr>
    </w:tbl>
    <w:p>
      <w:pPr>
        <w:pStyle w:val="Heading2"/>
      </w:pPr>
      <w:r>
        <w:t>Closing result statement / 总结口径</w:t>
      </w:r>
    </w:p>
    <w:p>
      <w:r>
        <w:rPr>
          <w:rFonts w:ascii="Hiragino Sans GB" w:hAnsi="Hiragino Sans GB" w:eastAsia="Hiragino Sans GB" w:cs="Hiragino Sans GB"/>
          <w:b w:val="0"/>
          <w:i w:val="0"/>
          <w:color w:val="243B53"/>
          <w:sz w:val="18"/>
        </w:rPr>
        <w:t>Together, the team applied the tutor’s requested changes to the existing INFS6600 pilot, preserved multi-label classification, and confirmed positive allocation to Work-Integrated and Applied Learning, Case-Based Learning, and Project- and Problem-Based Learning. No additional units or unrelated future-stage work were advanced this week.</w:t>
        <w:br/>
        <w:t>团队共同将导师要求的修改应用于现有 INFS6600 试点，保留多标签分类，并确认课程可正向归入工作整合与应用学习、案例式学习以及项目与问题式学习。本周未推进其他课程或无关的后续阶段工作。</w:t>
      </w:r>
    </w:p>
    <w:p>
      <w:pPr>
        <w:pStyle w:val="Heading2"/>
      </w:pPr>
      <w:r>
        <w:t>Scope guard for questions / 提问时的范围口径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8"/>
              </w:rPr>
              <w:t>Completed this week / 本周已完成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Tutor-directed INFS6600 v2 changes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导师明确要求的 INFS6600 v2 修改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Necessary supporting implementation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必要配套实施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Two pilot-scale tutor suggestions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两项试点范围内的导师建议</w:t>
            </w:r>
          </w:p>
        </w:tc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8"/>
              </w:rPr>
              <w:t>Not advanced this week / 本周未推进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Additional units or UG/PG comparison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其他课程或本科/研究生比较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Landing page or LLM/RAG work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落地页或 LLM/RAG 工作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Formal precision/recall/F1 evaluation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正式的精确率/召回率/F1 评估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80" w:right="1123" w:bottom="1037" w:left="1123" w:header="461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iragino Sans GB" w:hAnsi="Hiragino Sans GB" w:eastAsia="Hiragino Sans GB" w:cs="Hiragino Sans GB"/>
        <w:b w:val="0"/>
        <w:i w:val="0"/>
        <w:color w:val="52606D"/>
        <w:sz w:val="15"/>
      </w:rPr>
      <w:t xml:space="preserve">CS-44 Project Team / 项目团队（8人）  •  1 September 2026 / 2026年9月1日  •  Page / 页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8" w:color="2E74B5" w:space="3"/>
      </w:pBdr>
    </w:pPr>
    <w:r>
      <w:rPr>
        <w:rFonts w:ascii="Hiragino Sans GB" w:hAnsi="Hiragino Sans GB" w:eastAsia="Hiragino Sans GB" w:cs="Hiragino Sans GB"/>
        <w:b/>
        <w:i w:val="0"/>
        <w:color w:val="1F4D78"/>
        <w:sz w:val="17"/>
      </w:rPr>
      <w:t>CS-44</w:t>
    </w:r>
    <w:r>
      <w:rPr>
        <w:rFonts w:ascii="Hiragino Sans GB" w:hAnsi="Hiragino Sans GB" w:eastAsia="Hiragino Sans GB" w:cs="Hiragino Sans GB"/>
        <w:b w:val="0"/>
        <w:i w:val="0"/>
        <w:color w:val="52606D"/>
        <w:sz w:val="16"/>
      </w:rPr>
      <w:t xml:space="preserve">  |  Week 4 Tutor-Feedback v2 / 第四周导师反馈 v2  |  Eight-Person Work Allocation / 八人分工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Hiragino Sans GB" w:hAnsi="Hiragino Sans GB" w:eastAsia="Hiragino Sans GB" w:cs="Hiragino Sans GB"/>
      <w:color w:val="243B5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Hiragino Sans GB" w:hAnsi="Hiragino Sans GB" w:eastAsia="Hiragino Sans GB" w:cs="Hiragino Sans GB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Hiragino Sans GB" w:hAnsi="Hiragino Sans GB" w:eastAsia="Hiragino Sans GB" w:cs="Hiragino Sans GB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Hiragino Sans GB" w:hAnsi="Hiragino Sans GB" w:eastAsia="Hiragino Sans GB" w:cs="Hiragino Sans GB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 w:ascii="Hiragino Sans GB" w:hAnsi="Hiragino Sans GB" w:eastAsia="Hiragino Sans GB" w:cs="Hiragino Sans GB"/>
      <w:b/>
      <w:color w:val="1F4D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Hiragino Sans GB" w:hAnsi="Hiragino Sans GB" w:eastAsia="Hiragino Sans GB" w:cs="Hiragino Sans GB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CS-44 Week 4 Eight-Person Work Allocation / 第四周八人分工</dc:title>
  <dc:subject>Tutor-feedback v2 bilingual meeting reporting notes / 导师反馈 v2 双语会议汇报材料</dc:subject>
  <dc:creator>CS-44 Project Team (8 members)</dc:creator>
  <cp:keywords/>
  <dc:description>Prepared collaboratively for the Week 4 project meeting.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