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8B7E9" w14:textId="3490D9FB" w:rsidR="00B63F7B" w:rsidRDefault="007621C1">
      <w:pPr>
        <w:pStyle w:val="2"/>
        <w:spacing w:line="240" w:lineRule="auto"/>
        <w:jc w:val="center"/>
        <w:rPr>
          <w:rStyle w:val="ad"/>
          <w:b/>
          <w:bCs/>
        </w:rPr>
      </w:pPr>
      <w:proofErr w:type="spellStart"/>
      <w:r>
        <w:rPr>
          <w:rStyle w:val="ad"/>
          <w:b/>
          <w:bCs/>
        </w:rPr>
        <w:t>AlloDesigner</w:t>
      </w:r>
      <w:proofErr w:type="spellEnd"/>
      <w:r>
        <w:rPr>
          <w:rStyle w:val="ad"/>
          <w:b/>
          <w:bCs/>
        </w:rPr>
        <w:t xml:space="preserve">: An AI-Guided </w:t>
      </w:r>
      <w:r w:rsidR="001A707C">
        <w:rPr>
          <w:rStyle w:val="ad"/>
          <w:b/>
          <w:bCs/>
        </w:rPr>
        <w:t>E</w:t>
      </w:r>
      <w:r w:rsidR="001A707C" w:rsidRPr="00287282">
        <w:rPr>
          <w:rStyle w:val="ad"/>
          <w:b/>
          <w:bCs/>
        </w:rPr>
        <w:t>nd-to-end</w:t>
      </w:r>
      <w:r>
        <w:rPr>
          <w:rStyle w:val="ad"/>
          <w:b/>
          <w:bCs/>
        </w:rPr>
        <w:t xml:space="preserve"> Computational Framework Integrating Sequence, Conformation, and Function for Cryptic Allosteric Drug Design</w:t>
      </w:r>
    </w:p>
    <w:p w14:paraId="4B04506B" w14:textId="77777777" w:rsidR="00B63F7B" w:rsidRDefault="00B63F7B">
      <w:pPr>
        <w:rPr>
          <w:highlight w:val="yellow"/>
        </w:rPr>
      </w:pPr>
    </w:p>
    <w:p w14:paraId="7F8DEC7D" w14:textId="0FF1557A" w:rsidR="00B63F7B" w:rsidRDefault="007621C1">
      <w:pPr>
        <w:spacing w:line="360" w:lineRule="auto"/>
      </w:pPr>
      <w:r>
        <w:rPr>
          <w:rFonts w:hint="eastAsia"/>
        </w:rPr>
        <w:t>Yang</w:t>
      </w:r>
      <w:r>
        <w:t>yang Zhang</w:t>
      </w:r>
      <w:r>
        <w:rPr>
          <w:vertAlign w:val="superscript"/>
        </w:rPr>
        <w:t>1,2</w:t>
      </w:r>
      <w:r>
        <w:t>, Yuchen Zhu</w:t>
      </w:r>
      <w:r>
        <w:rPr>
          <w:vertAlign w:val="superscript"/>
        </w:rPr>
        <w:t>1</w:t>
      </w:r>
      <w:r w:rsidR="006E7079">
        <w:rPr>
          <w:spacing w:val="15"/>
          <w:szCs w:val="21"/>
        </w:rPr>
        <w:t xml:space="preserve">, </w:t>
      </w:r>
      <w:proofErr w:type="spellStart"/>
      <w:r w:rsidR="006E7079">
        <w:rPr>
          <w:szCs w:val="21"/>
        </w:rPr>
        <w:t>Jihong</w:t>
      </w:r>
      <w:proofErr w:type="spellEnd"/>
      <w:r w:rsidR="006E7079">
        <w:rPr>
          <w:spacing w:val="15"/>
          <w:szCs w:val="21"/>
        </w:rPr>
        <w:t xml:space="preserve"> </w:t>
      </w:r>
      <w:r w:rsidR="006E7079">
        <w:rPr>
          <w:szCs w:val="21"/>
        </w:rPr>
        <w:t>Chen</w:t>
      </w:r>
      <w:r w:rsidR="006E7079">
        <w:rPr>
          <w:szCs w:val="21"/>
          <w:vertAlign w:val="superscript"/>
        </w:rPr>
        <w:t>1</w:t>
      </w:r>
      <w:r w:rsidR="006E7079">
        <w:rPr>
          <w:szCs w:val="21"/>
        </w:rPr>
        <w:t>,</w:t>
      </w:r>
      <w:r w:rsidR="006E7079">
        <w:rPr>
          <w:spacing w:val="16"/>
          <w:szCs w:val="21"/>
        </w:rPr>
        <w:t xml:space="preserve"> </w:t>
      </w:r>
      <w:proofErr w:type="spellStart"/>
      <w:r w:rsidR="006E7079">
        <w:rPr>
          <w:szCs w:val="21"/>
        </w:rPr>
        <w:t>Nanqi</w:t>
      </w:r>
      <w:proofErr w:type="spellEnd"/>
      <w:r w:rsidR="006E7079">
        <w:rPr>
          <w:spacing w:val="14"/>
          <w:szCs w:val="21"/>
        </w:rPr>
        <w:t xml:space="preserve"> </w:t>
      </w:r>
      <w:r w:rsidR="006E7079">
        <w:rPr>
          <w:szCs w:val="21"/>
        </w:rPr>
        <w:t>Lin</w:t>
      </w:r>
      <w:r w:rsidR="006E7079">
        <w:rPr>
          <w:szCs w:val="21"/>
          <w:vertAlign w:val="superscript"/>
        </w:rPr>
        <w:t>1</w:t>
      </w:r>
      <w:r w:rsidR="006E7079">
        <w:rPr>
          <w:szCs w:val="21"/>
        </w:rPr>
        <w:t>,</w:t>
      </w:r>
      <w:r>
        <w:t xml:space="preserve"> Hongbin Pei</w:t>
      </w:r>
      <w:r>
        <w:rPr>
          <w:vertAlign w:val="superscript"/>
        </w:rPr>
        <w:t>2,5*</w:t>
      </w:r>
      <w:r>
        <w:t xml:space="preserve">, </w:t>
      </w:r>
      <w:proofErr w:type="spellStart"/>
      <w:r>
        <w:t>Tingjun</w:t>
      </w:r>
      <w:proofErr w:type="spellEnd"/>
      <w:r>
        <w:t xml:space="preserve"> Hou</w:t>
      </w:r>
      <w:r>
        <w:rPr>
          <w:vertAlign w:val="superscript"/>
        </w:rPr>
        <w:t>1,3,4</w:t>
      </w:r>
      <w:r>
        <w:t>*</w:t>
      </w:r>
      <w:r>
        <w:rPr>
          <w:rFonts w:eastAsiaTheme="minorEastAsia"/>
          <w:sz w:val="22"/>
          <w:szCs w:val="36"/>
        </w:rPr>
        <w:t xml:space="preserve">, </w:t>
      </w:r>
      <w:r>
        <w:t>Chang-Yu Hsieh</w:t>
      </w:r>
      <w:r>
        <w:rPr>
          <w:vertAlign w:val="superscript"/>
        </w:rPr>
        <w:t>1,3,4*</w:t>
      </w:r>
    </w:p>
    <w:p w14:paraId="02B66C87" w14:textId="77777777" w:rsidR="00B63F7B" w:rsidRDefault="00B63F7B">
      <w:pPr>
        <w:spacing w:line="360" w:lineRule="auto"/>
        <w:rPr>
          <w:highlight w:val="yellow"/>
        </w:rPr>
      </w:pPr>
    </w:p>
    <w:p w14:paraId="2B6E26EC" w14:textId="77777777" w:rsidR="00B63F7B" w:rsidRDefault="00B63F7B">
      <w:pPr>
        <w:spacing w:line="360" w:lineRule="auto"/>
        <w:rPr>
          <w:highlight w:val="yellow"/>
        </w:rPr>
      </w:pPr>
    </w:p>
    <w:p w14:paraId="3BD80833" w14:textId="77777777" w:rsidR="00B63F7B" w:rsidRDefault="007621C1">
      <w:pPr>
        <w:spacing w:line="360" w:lineRule="auto"/>
        <w:rPr>
          <w:rFonts w:ascii="Times New Roman Regular" w:eastAsiaTheme="minorEastAsia" w:hAnsi="Times New Roman Regular" w:cs="Times New Roman Regular"/>
          <w:kern w:val="21"/>
          <w:sz w:val="18"/>
          <w:szCs w:val="18"/>
        </w:rPr>
      </w:pPr>
      <w:r>
        <w:rPr>
          <w:rFonts w:eastAsiaTheme="minorEastAsia"/>
          <w:kern w:val="21"/>
          <w:sz w:val="22"/>
          <w:szCs w:val="36"/>
          <w:vertAlign w:val="superscript"/>
        </w:rPr>
        <w:t>1</w:t>
      </w:r>
      <w:r>
        <w:rPr>
          <w:rFonts w:eastAsiaTheme="minorEastAsia"/>
          <w:kern w:val="21"/>
          <w:sz w:val="22"/>
          <w:szCs w:val="36"/>
        </w:rPr>
        <w:t xml:space="preserve"> </w:t>
      </w:r>
      <w:r>
        <w:rPr>
          <w:rFonts w:ascii="Times New Roman Regular" w:eastAsiaTheme="minorEastAsia" w:hAnsi="Times New Roman Regular" w:cs="Times New Roman Regular"/>
          <w:kern w:val="21"/>
          <w:szCs w:val="21"/>
        </w:rPr>
        <w:t>College of Pharmaceutical Sciences, Zhejiang University, Hangzhou, 310058, Zhejiang, China</w:t>
      </w:r>
    </w:p>
    <w:p w14:paraId="69BF5C8C" w14:textId="77777777" w:rsidR="00B63F7B" w:rsidRDefault="007621C1">
      <w:pPr>
        <w:widowControl/>
        <w:spacing w:line="360" w:lineRule="auto"/>
        <w:jc w:val="left"/>
        <w:rPr>
          <w:rFonts w:ascii="Times New Roman Regular" w:eastAsiaTheme="minorEastAsia" w:hAnsi="Times New Roman Regular" w:cs="Times New Roman Regular"/>
          <w:sz w:val="18"/>
          <w:szCs w:val="18"/>
        </w:rPr>
      </w:pPr>
      <w:r>
        <w:rPr>
          <w:rFonts w:ascii="Times New Roman Regular" w:eastAsiaTheme="minorEastAsia" w:hAnsi="Times New Roman Regular" w:cs="Times New Roman Regular"/>
          <w:sz w:val="18"/>
          <w:szCs w:val="18"/>
          <w:vertAlign w:val="superscript"/>
        </w:rPr>
        <w:t>2</w:t>
      </w:r>
      <w:r>
        <w:rPr>
          <w:rFonts w:ascii="Times New Roman Regular" w:eastAsiaTheme="minorEastAsia" w:hAnsi="Times New Roman Regular" w:cs="Times New Roman Regular"/>
          <w:sz w:val="18"/>
          <w:szCs w:val="18"/>
        </w:rPr>
        <w:t xml:space="preserve"> </w:t>
      </w:r>
      <w:r>
        <w:rPr>
          <w:rFonts w:ascii="Times New Roman Regular" w:eastAsiaTheme="minorEastAsia" w:hAnsi="Times New Roman Regular" w:cs="Times New Roman Regular"/>
          <w:kern w:val="21"/>
          <w:szCs w:val="21"/>
        </w:rPr>
        <w:t>Shenzhen Loop Area Institute (SLAI), China</w:t>
      </w:r>
    </w:p>
    <w:p w14:paraId="6D4E66C2" w14:textId="77777777" w:rsidR="00B63F7B" w:rsidRDefault="007621C1">
      <w:pPr>
        <w:spacing w:line="360" w:lineRule="auto"/>
        <w:rPr>
          <w:rFonts w:ascii="Times New Roman Regular" w:eastAsia="Times New Roman" w:hAnsi="Times New Roman Regular" w:cs="Times New Roman Regular"/>
          <w:color w:val="000000"/>
          <w:kern w:val="0"/>
          <w:sz w:val="18"/>
          <w:szCs w:val="18"/>
          <w:lang w:bidi="ar"/>
        </w:rPr>
      </w:pPr>
      <w:r>
        <w:rPr>
          <w:rFonts w:ascii="Times New Roman Regular" w:eastAsiaTheme="minorEastAsia" w:hAnsi="Times New Roman Regular" w:cs="Times New Roman Regular"/>
          <w:sz w:val="18"/>
          <w:szCs w:val="18"/>
          <w:vertAlign w:val="superscript"/>
        </w:rPr>
        <w:t>3</w:t>
      </w:r>
      <w:r>
        <w:t xml:space="preserve"> </w:t>
      </w:r>
      <w:r>
        <w:rPr>
          <w:rFonts w:ascii="Times New Roman Regular" w:eastAsiaTheme="minorEastAsia" w:hAnsi="Times New Roman Regular" w:cs="Times New Roman Regular"/>
          <w:kern w:val="21"/>
          <w:szCs w:val="21"/>
        </w:rPr>
        <w:t>The First Affiliated Hospital, College of Medicine, Zhejiang University, Hangzhou, 310058, China</w:t>
      </w:r>
    </w:p>
    <w:p w14:paraId="73C92300" w14:textId="77777777" w:rsidR="00B63F7B" w:rsidRDefault="007621C1">
      <w:pPr>
        <w:widowControl/>
        <w:spacing w:line="360" w:lineRule="auto"/>
        <w:jc w:val="left"/>
        <w:rPr>
          <w:rFonts w:ascii="Times New Roman Regular" w:eastAsia="黑体" w:hAnsi="Times New Roman Regular" w:cs="Times New Roman Regular"/>
          <w:sz w:val="18"/>
          <w:szCs w:val="18"/>
        </w:rPr>
      </w:pPr>
      <w:r>
        <w:rPr>
          <w:rFonts w:ascii="Times New Roman Regular" w:eastAsiaTheme="minorEastAsia" w:hAnsi="Times New Roman Regular" w:cs="Times New Roman Regular"/>
          <w:sz w:val="18"/>
          <w:szCs w:val="18"/>
          <w:vertAlign w:val="superscript"/>
        </w:rPr>
        <w:t xml:space="preserve">4 </w:t>
      </w:r>
      <w:r>
        <w:rPr>
          <w:rFonts w:ascii="Times New Roman Regular" w:eastAsiaTheme="minorEastAsia" w:hAnsi="Times New Roman Regular" w:cs="Times New Roman Regular"/>
          <w:kern w:val="21"/>
          <w:szCs w:val="21"/>
        </w:rPr>
        <w:t>Zhejiang Provincial Key Laboratory for Intelligent Drug Discovery and Development, Jinhua, 321016, Zhejiang, China</w:t>
      </w:r>
    </w:p>
    <w:p w14:paraId="0650A107" w14:textId="77777777" w:rsidR="00B63F7B" w:rsidRDefault="007621C1">
      <w:pPr>
        <w:spacing w:line="360" w:lineRule="auto"/>
        <w:rPr>
          <w:rFonts w:ascii="Times New Roman Regular" w:eastAsiaTheme="minorEastAsia" w:hAnsi="Times New Roman Regular" w:cs="Times New Roman Regular"/>
          <w:sz w:val="18"/>
          <w:szCs w:val="18"/>
        </w:rPr>
      </w:pPr>
      <w:r>
        <w:rPr>
          <w:rFonts w:ascii="Times New Roman Regular" w:eastAsiaTheme="minorEastAsia" w:hAnsi="Times New Roman Regular" w:cs="Times New Roman Regular" w:hint="eastAsia"/>
          <w:sz w:val="18"/>
          <w:szCs w:val="18"/>
          <w:vertAlign w:val="superscript"/>
        </w:rPr>
        <w:t>5</w:t>
      </w:r>
      <w:r>
        <w:t xml:space="preserve"> </w:t>
      </w:r>
      <w:r>
        <w:rPr>
          <w:rFonts w:ascii="Times New Roman Regular" w:eastAsiaTheme="minorEastAsia" w:hAnsi="Times New Roman Regular" w:cs="Times New Roman Regular"/>
          <w:kern w:val="21"/>
          <w:szCs w:val="21"/>
        </w:rPr>
        <w:t xml:space="preserve">MOEKLINNS Lab, School of Cyber Science and Engineering, Xi’an </w:t>
      </w:r>
      <w:proofErr w:type="spellStart"/>
      <w:r>
        <w:rPr>
          <w:rFonts w:ascii="Times New Roman Regular" w:eastAsiaTheme="minorEastAsia" w:hAnsi="Times New Roman Regular" w:cs="Times New Roman Regular"/>
          <w:kern w:val="21"/>
          <w:szCs w:val="21"/>
        </w:rPr>
        <w:t>Jiaotong</w:t>
      </w:r>
      <w:proofErr w:type="spellEnd"/>
      <w:r>
        <w:rPr>
          <w:rFonts w:ascii="Times New Roman Regular" w:eastAsiaTheme="minorEastAsia" w:hAnsi="Times New Roman Regular" w:cs="Times New Roman Regular"/>
          <w:kern w:val="21"/>
          <w:szCs w:val="21"/>
        </w:rPr>
        <w:t xml:space="preserve"> University, China</w:t>
      </w:r>
    </w:p>
    <w:p w14:paraId="5E3E3DEB" w14:textId="77777777" w:rsidR="00B63F7B" w:rsidRDefault="00B63F7B">
      <w:pPr>
        <w:spacing w:line="360" w:lineRule="auto"/>
      </w:pPr>
    </w:p>
    <w:p w14:paraId="14DA38F0" w14:textId="77777777" w:rsidR="00B63F7B" w:rsidRDefault="00B63F7B">
      <w:pPr>
        <w:spacing w:line="360" w:lineRule="auto"/>
      </w:pPr>
    </w:p>
    <w:p w14:paraId="12C71D7E" w14:textId="77777777" w:rsidR="00B63F7B" w:rsidRDefault="007621C1">
      <w:pPr>
        <w:overflowPunct w:val="0"/>
        <w:snapToGrid w:val="0"/>
        <w:spacing w:line="360" w:lineRule="auto"/>
        <w:ind w:rightChars="100" w:right="210"/>
        <w:rPr>
          <w:rFonts w:eastAsia="黑体"/>
          <w:b/>
          <w:szCs w:val="21"/>
        </w:rPr>
      </w:pPr>
      <w:r>
        <w:rPr>
          <w:rFonts w:eastAsia="黑体"/>
          <w:color w:val="000000"/>
          <w:szCs w:val="21"/>
          <w:vertAlign w:val="superscript"/>
        </w:rPr>
        <w:t>*</w:t>
      </w:r>
      <w:r>
        <w:rPr>
          <w:rFonts w:eastAsia="黑体"/>
          <w:b/>
          <w:szCs w:val="21"/>
        </w:rPr>
        <w:t xml:space="preserve">Corresponding authors: </w:t>
      </w:r>
    </w:p>
    <w:p w14:paraId="7BC31721" w14:textId="77777777" w:rsidR="00B63F7B" w:rsidRDefault="007621C1">
      <w:pPr>
        <w:overflowPunct w:val="0"/>
        <w:snapToGrid w:val="0"/>
        <w:spacing w:line="360" w:lineRule="auto"/>
        <w:ind w:rightChars="100" w:right="210"/>
        <w:rPr>
          <w:rFonts w:eastAsia="黑体"/>
          <w:b/>
          <w:szCs w:val="21"/>
        </w:rPr>
      </w:pPr>
      <w:r>
        <w:rPr>
          <w:rFonts w:eastAsia="黑体"/>
          <w:b/>
          <w:szCs w:val="21"/>
        </w:rPr>
        <w:t xml:space="preserve">Chang-Yu Hsieh </w:t>
      </w:r>
    </w:p>
    <w:p w14:paraId="065B3B36" w14:textId="77777777" w:rsidR="00B63F7B" w:rsidRDefault="007621C1">
      <w:pPr>
        <w:overflowPunct w:val="0"/>
        <w:snapToGrid w:val="0"/>
        <w:spacing w:line="360" w:lineRule="auto"/>
        <w:ind w:rightChars="100" w:right="210"/>
        <w:rPr>
          <w:rFonts w:eastAsia="黑体"/>
          <w:bCs/>
          <w:color w:val="0563C1" w:themeColor="hyperlink"/>
          <w:szCs w:val="21"/>
          <w:u w:val="single"/>
        </w:rPr>
      </w:pPr>
      <w:r>
        <w:rPr>
          <w:rFonts w:eastAsia="黑体"/>
          <w:b/>
          <w:szCs w:val="21"/>
        </w:rPr>
        <w:t xml:space="preserve">E-mail: </w:t>
      </w:r>
      <w:r>
        <w:t>kimhsieh@zju.edu.cn</w:t>
      </w:r>
    </w:p>
    <w:p w14:paraId="74FB4195" w14:textId="77777777" w:rsidR="00B63F7B" w:rsidRDefault="007621C1">
      <w:pPr>
        <w:overflowPunct w:val="0"/>
        <w:snapToGrid w:val="0"/>
        <w:spacing w:line="360" w:lineRule="auto"/>
        <w:ind w:rightChars="100" w:right="210"/>
        <w:rPr>
          <w:rFonts w:eastAsia="黑体"/>
          <w:b/>
          <w:bCs/>
          <w:szCs w:val="21"/>
        </w:rPr>
      </w:pPr>
      <w:proofErr w:type="spellStart"/>
      <w:r>
        <w:rPr>
          <w:rFonts w:eastAsia="黑体"/>
          <w:b/>
          <w:bCs/>
          <w:szCs w:val="21"/>
        </w:rPr>
        <w:t>Tingjun</w:t>
      </w:r>
      <w:proofErr w:type="spellEnd"/>
      <w:r>
        <w:rPr>
          <w:rFonts w:eastAsia="黑体"/>
          <w:b/>
          <w:bCs/>
          <w:szCs w:val="21"/>
        </w:rPr>
        <w:t xml:space="preserve"> Hou</w:t>
      </w:r>
    </w:p>
    <w:p w14:paraId="660FEF75" w14:textId="77777777" w:rsidR="00B63F7B" w:rsidRDefault="007621C1">
      <w:pPr>
        <w:overflowPunct w:val="0"/>
        <w:snapToGrid w:val="0"/>
        <w:spacing w:line="360" w:lineRule="auto"/>
        <w:ind w:rightChars="100" w:right="210"/>
        <w:rPr>
          <w:rFonts w:eastAsia="黑体"/>
          <w:szCs w:val="21"/>
        </w:rPr>
      </w:pPr>
      <w:r>
        <w:rPr>
          <w:rFonts w:eastAsia="黑体"/>
          <w:b/>
          <w:bCs/>
          <w:szCs w:val="21"/>
        </w:rPr>
        <w:t>E-mail:</w:t>
      </w:r>
      <w:r>
        <w:rPr>
          <w:rFonts w:eastAsia="黑体"/>
          <w:szCs w:val="21"/>
        </w:rPr>
        <w:t xml:space="preserve"> </w:t>
      </w:r>
      <w:r>
        <w:t>tingjunhou@zju.edu.cn</w:t>
      </w:r>
    </w:p>
    <w:p w14:paraId="0C623EF0" w14:textId="77777777" w:rsidR="00B63F7B" w:rsidRDefault="007621C1">
      <w:pPr>
        <w:overflowPunct w:val="0"/>
        <w:snapToGrid w:val="0"/>
        <w:spacing w:line="360" w:lineRule="auto"/>
        <w:ind w:rightChars="100" w:right="210"/>
        <w:rPr>
          <w:rFonts w:eastAsia="黑体"/>
          <w:b/>
          <w:szCs w:val="21"/>
        </w:rPr>
      </w:pPr>
      <w:r>
        <w:rPr>
          <w:rFonts w:eastAsia="黑体"/>
          <w:b/>
          <w:szCs w:val="21"/>
        </w:rPr>
        <w:t>Hongbin Pei</w:t>
      </w:r>
    </w:p>
    <w:p w14:paraId="30153217" w14:textId="77777777" w:rsidR="00B63F7B" w:rsidRDefault="007621C1">
      <w:pPr>
        <w:spacing w:line="360" w:lineRule="auto"/>
        <w:jc w:val="left"/>
        <w:rPr>
          <w:rFonts w:eastAsia="黑体"/>
          <w:b/>
          <w:szCs w:val="21"/>
        </w:rPr>
      </w:pPr>
      <w:r>
        <w:rPr>
          <w:rFonts w:eastAsia="黑体"/>
          <w:b/>
          <w:szCs w:val="21"/>
        </w:rPr>
        <w:t xml:space="preserve">E-mail: </w:t>
      </w:r>
      <w:r>
        <w:t>peihongbin@xjtu.edu.cn</w:t>
      </w:r>
    </w:p>
    <w:p w14:paraId="382F58F9" w14:textId="77777777" w:rsidR="00B63F7B" w:rsidRDefault="00B63F7B"/>
    <w:p w14:paraId="0B752047" w14:textId="77777777" w:rsidR="00B63F7B" w:rsidRDefault="00B63F7B"/>
    <w:p w14:paraId="2763F2C6" w14:textId="77777777" w:rsidR="00B63F7B" w:rsidRDefault="00B63F7B"/>
    <w:p w14:paraId="40656B80" w14:textId="77777777" w:rsidR="00B63F7B" w:rsidRDefault="00B63F7B"/>
    <w:p w14:paraId="0DD9D19D" w14:textId="77777777" w:rsidR="00B63F7B" w:rsidRDefault="00B63F7B"/>
    <w:p w14:paraId="784B2BC7" w14:textId="77777777" w:rsidR="00B63F7B" w:rsidRDefault="00B63F7B"/>
    <w:p w14:paraId="76DB76E3" w14:textId="77777777" w:rsidR="00B63F7B" w:rsidRDefault="007621C1">
      <w:pPr>
        <w:pStyle w:val="2"/>
        <w:rPr>
          <w:rFonts w:cs="Times New Roman"/>
        </w:rPr>
      </w:pPr>
      <w:r>
        <w:rPr>
          <w:rFonts w:cs="Times New Roman"/>
        </w:rPr>
        <w:lastRenderedPageBreak/>
        <w:t>Abstract</w:t>
      </w:r>
    </w:p>
    <w:p w14:paraId="151AB1CE" w14:textId="68C5E583" w:rsidR="00922EF8" w:rsidRPr="00922EF8" w:rsidRDefault="00922EF8" w:rsidP="00922EF8">
      <w:r w:rsidRPr="00922EF8">
        <w:t>Rare and transient conformational states play central roles in protein function and druggability but remain difficult to discover systematically. Cryptic allosteric pockets are often invisible in experimentally resolved structures and challenging to capture with conventional molecular dynamics due to the high cost of sampling rare events, while current generative models frequently struggle to predict conformations outside their training distributions.</w:t>
      </w:r>
      <w:r>
        <w:t xml:space="preserve"> </w:t>
      </w:r>
      <w:r w:rsidRPr="00922EF8">
        <w:t xml:space="preserve">Here we introduce AlloDesigner, an end-to-end computational framework that, for the first time, integrates geometric deep learning with physics-based enhanced sampling to progress directly from protein sequence to physically </w:t>
      </w:r>
      <w:r w:rsidR="00076E75">
        <w:t>realistic</w:t>
      </w:r>
      <w:r w:rsidRPr="00922EF8">
        <w:t xml:space="preserve"> open cryptic allosteric states with minimal human intervention. The method generates low-cost conformational ensembles to train a geometric vector perceptron (GVP) network on dynamic labels that identifies residues associated with latent allosteric sites. These learned structural priors are then automatically translated into interpretable residue-level reaction coordinates that inform collective variables for metadynamics, enabling efficient sampling of rare functional conformations. On an independent benchmark of 40 diverse allosteric proteins, AlloDesigner achieves a PR-AUC of 0.701, significantly outperforming the leading structure-based baseline PocketMiner (0.582). The framework demonstrates robust</w:t>
      </w:r>
      <w:r w:rsidR="00076E75">
        <w:t xml:space="preserve"> </w:t>
      </w:r>
      <w:r w:rsidRPr="00922EF8">
        <w:t>generalization to challenging low-homology targets such as GPCRs and PCSK9, successfully sampling previously unresolved open states. As a demonstration of practical utility, the approach supports virtual screening against a newly identified extra-helical allosteric pocket in the GLP-1 receptor, yielding structurally novel candidate ligands.</w:t>
      </w:r>
      <w:r>
        <w:t xml:space="preserve"> </w:t>
      </w:r>
      <w:r w:rsidRPr="00922EF8">
        <w:t>By coupling data-driven structural inference with automated, physically grounded sampling, AlloDesigner establishes a generalizable strategy for exploring the “dark” functional states of biomolecular systems.</w:t>
      </w:r>
    </w:p>
    <w:p w14:paraId="02843270" w14:textId="77777777" w:rsidR="002834A9" w:rsidRPr="002834A9" w:rsidRDefault="002834A9"/>
    <w:p w14:paraId="1A555D0C" w14:textId="77777777" w:rsidR="00B63F7B" w:rsidRDefault="007621C1">
      <w:pPr>
        <w:pStyle w:val="2"/>
        <w:rPr>
          <w:rFonts w:cs="Times New Roman"/>
        </w:rPr>
      </w:pPr>
      <w:r>
        <w:rPr>
          <w:rFonts w:cs="Times New Roman" w:hint="eastAsia"/>
        </w:rPr>
        <w:t>Intro</w:t>
      </w:r>
      <w:r>
        <w:rPr>
          <w:rFonts w:cs="Times New Roman"/>
        </w:rPr>
        <w:t>duction</w:t>
      </w:r>
    </w:p>
    <w:p w14:paraId="0C63F20D" w14:textId="3AE63594" w:rsidR="00076E75" w:rsidRPr="00B24B87" w:rsidRDefault="007621C1" w:rsidP="00B24B87">
      <w:pPr>
        <w:ind w:firstLine="420"/>
      </w:pPr>
      <w:r w:rsidRPr="003C2B71">
        <w:t>Proteins function through dynamic ensembles of conformational states rather than adopting single static structures. Many functionally critical binding sites, particularly cryptic allosteric pockets</w:t>
      </w:r>
      <w:r w:rsidR="0008394F">
        <w:fldChar w:fldCharType="begin"/>
      </w:r>
      <w:r w:rsidR="0008394F">
        <w:instrText xml:space="preserve"> ADDIN ZOTERO_ITEM CSL_CITATION {"citationID":"Wcs3WNBm","properties":{"formattedCitation":"\\super 1\\uc0\\u8211{}6\\nosupersub{}","plainCitation":"1–6","noteIndex":0},"citationItems":[{"id":32,"uris":["http://zotero.org/users/local/AHnUcuem/items/KSPIQWBB"],"itemData":{"id":32,"type":"article-journal","abstract":"The concept of allostery has become a central tenet in the study of biological systems. In parallel, the discovery of allosteric drugs is generating new opportunities to selectively modulate difficult targets involved in pathologic mechanisms. Molecular simulations can provide atomistically detailed insight into the processes involved in allosteric regulation and signaling, and at the same time, they have the potential to unveil regulatory hotspots or cryptic sites that are not immediately evident from the analysis of static structures. In this context, computational approaches should be able to connect the study of allosteric regulation at different scales to the possibility of leveraging this knowledge to expand the chemical space of new, active drugs. Here, we will discuss recent advances in the study of allosteric regulation via computational methods and connect the mechanistic knowledge generated to the possibility of designing new small molecules that can tweak the functions of their receptors.","container-title":"Current Opinion in Structural Biology","DOI":"10.1016/j.sbi.2023.102702","ISSN":"0959440X","journalAbbreviation":"Current Opinion in Structural Biology","language":"en","page":"102702","source":"DOI.org (Crossref)","title":"Computing allostery: from the understanding of biomolecular regulation and the discovery of cryptic sites to molecular design","title-short":"Computing allostery","volume":"83","author":[{"family":"Colombo","given":"Giorgio"}],"issued":{"date-parts":[["2023",12]]}}},{"id":34,"uris":["http://zotero.org/users/local/AHnUcuem/items/8CMV29AP"],"itemData":{"id":34,"type":"article-journal","abstract":"Allosteric drugs are usually more specific and have fewer side effects than orthosteric drugs targeting the same protein. Here, we overview the current knowledge on allosteric signal transmission from the network point of view, and show that most intra-protein conformational changes may be dynamically transmitted across protein-protein interaction and signaling networks of the cell. Allo-network drugs influence the pharmacological target protein indirectly using specific inter-protein network pathways. We show that allo-network drugs may have a higher efficiency to change the networks of human cells than those of other organisms, and can be designed to have specific effects on cells in a diseased state. Finally, we summarize possible methods to identify allo-network drug targets and sites, which may develop to a promising new area of systems-based drug design.","container-title":"Current Topics in Medicinal Chemistry","DOI":"10.2174/1568026611313010007","ISSN":"15680266","issue":"1","journalAbbreviation":"CTMC","language":"en","page":"64-77","source":"DOI.org (Crossref)","title":"Allo-Network Drugs: Extension of the Allosteric Drug Concept to Protein- Protein Interaction and Signaling Networks","title-short":"Allo-Network Drugs","volume":"13","author":[{"family":"Szilagyi","given":"Andras"},{"family":"Nussinov","given":"Ruth"},{"family":"Csermely","given":"Peter"}],"issued":{"date-parts":[["2013",3,1]]}}},{"id":36,"uris":["http://zotero.org/users/local/AHnUcuem/items/ZA3CX6VW"],"itemData":{"id":36,"type":"article-journal","abstract":"Here, we discuss the principles of allosteric activating mutations, propagation downstream of the signals that they prompt, and allosteric drugs, with examples from the Ras signaling network. We focus on Abl kinase where mutations shift the landscape toward the active, imatinib bindingincompetent conformation, likely resulting in the high affinity ATP outcompeting drug binding. Recent pharmacological innovation extends to allosteric inhibitor (GNF-5)-linked PROTAC, targeting Bcr-Abl1 myristoylation site, and broadly, allosteric heterobifunctional degraders that destroy targets, rather than inhibiting them. Designed chemical linkers in bifunctional degraders can connect the allosteric ligand that binds the target protein and the E3 ubiquitin ligase warhead anchor. The physical properties and favored conformational state of the engineered linker can precisely coordinate the distance and orientation between the target and the recruited E3. Allosteric PROTACs, noncompetitive molecular glues, and bitopic ligands, with covalent links of allosteric ligands and orthosteric warheads, increase the effective local concentration of productively oriented and placed ligands. Through covalent chemical or peptide linkers, allosteric drugs can collaborate with competitive drugs, degrader anchors, or other molecules of choice, driving innovative drug discovery.","container-title":"Journal of Molecular Biology","DOI":"10.1016/j.jmb.2022.167569","ISSN":"00222836","issue":"17","journalAbbreviation":"Journal of Molecular Biology","language":"en","page":"167569","source":"DOI.org (Crossref)","title":"Allostery: Allosteric Cancer Drivers and Innovative Allosteric Drugs","title-short":"Allostery","volume":"434","author":[{"family":"Nussinov","given":"Ruth"},{"family":"Zhang","given":"Mingzhen"},{"family":"Maloney","given":"Ryan"},{"family":"Liu","given":"Yonglan"},{"family":"Tsai","given":"Chung-Jung"},{"family":"Jang","given":"Hyunbum"}],"issued":{"date-parts":[["2022",9]]}}},{"id":38,"uris":["http://zotero.org/users/local/AHnUcuem/items/I69CSPPF"],"itemData":{"id":38,"type":"article-journal","abstract":"Recent years have seen an unprecedented level of innovation in allosteric drug discovery and development, with multiple drug candidates advancing into clinical studies. From early examples of allosteric drugs like GABAA receptor modulators (benzodiazepines) in the 1960s to more recent GPCR negative allosteric modulators of CCR5 (maraviroc) approved in 2007, the opportunities for interrogating allosteric sites in drug discovery have expanded to other target classes such as protein−protein interactions, kinases, and nuclear hormone receptors. In this Innovation Letter, the authors highlight the latest advances of allosteric drug discovery from diﬀerent target classes and novel emerging chemical modalities beyond small molecules.","container-title":"ACS Medicinal Chemistry Letters","DOI":"10.1021/acsmedchemlett.9b00655","ISSN":"1948-5875, 1948-5875","issue":"10","journalAbbreviation":"ACS Med. Chem. Lett.","language":"en","license":"https://doi.org/10.15223/policy-029","page":"1810-1819","source":"DOI.org (Crossref)","title":"Impact of Allosteric Modulation in Drug Discovery: Innovation in Emerging Chemical Modalities","title-short":"Impact of Allosteric Modulation in Drug Discovery","volume":"11","author":[{"family":"Han","given":"Bingsong"},{"family":"Salituro","given":"Francesco G."},{"family":"Blanco","given":"Maria-Jesus"}],"issued":{"date-parts":[["2020",10,8]]}}},{"id":40,"uris":["http://zotero.org/users/local/AHnUcuem/items/QGG84FJJ"],"itemData":{"id":40,"type":"article-journal","container-title":"Accounts of Chemical Research","DOI":"10.1021/acs.accounts.1c00065","ISSN":"0001-4842, 1520-4898","issue":"7","journalAbbreviation":"Acc. Chem. Res.","language":"en","license":"https://doi.org/10.15223/policy-029","page":"1801-1813","source":"DOI.org (Crossref)","title":"Reimagining Druggability Using Chemoproteomic Platforms","volume":"54","author":[{"family":"Spradlin","given":"Jessica N."},{"family":"Zhang","given":"Erika"},{"family":"Nomura","given":"Daniel K."}],"issued":{"date-parts":[["2021",4,6]]}}},{"id":42,"uris":["http://zotero.org/users/local/AHnUcuem/items/CIHLSCG8"],"itemData":{"id":42,"type":"article-journal","abstract":"Significance\n            Cryptic binding sites are absent or occluded in unbound proteins but present in ligand-bound structures. They can provide druggable pockets in cases where the main functional site of the protein cannot be targeted with sufficient potency or specificity. We show that unbound structures of proteins with cryptic sites have strong binding hot spots and above-average flexibility around the incipient pockets. Binding hot spots can be easily identified computationally, and protein flexibility can often be assessed by the analysis of X-ray structures of the unbound protein, including structures with low resolution. The approach presented here helps to assess the potential druggability of cryptic sites prior to running expensive screening experiments and reveals information about how cryptic sites form.\n          , \n            Molecular dynamics (MD) simulations of proteins reveal the existence of many transient surface pockets; however, the factors determining what small subset of these represent druggable or functionally relevant ligand binding sites, called “cryptic sites,” are not understood. Here, we examine multiple X-ray structures for a set of proteins with validated cryptic sites, using the computational hot spot identification tool FTMap. The results show that cryptic sites in ligand-free structures generally have a strong binding energy hot spot very close by. As expected, regions around cryptic sites exhibit above-average flexibility, and close to 50% of the proteins studied here have unbound structures that could accommodate the ligand without clashes. Nevertheless, the strong hot spot neighboring each cryptic site is almost always exploited by the bound ligand, suggesting that binding may frequently involve an induced fit component. We additionally evaluated the structural basis for cryptic site formation, by comparing unbound to bound structures. Cryptic sites are most frequently occluded in the unbound structure by intrusion of loops (22.5%), side chains (19.4%), or in some cases entire helices (5.4%), but motions that create sites that are too open can also eliminate pockets (19.4%). The flexibility of cryptic sites frequently leads to missing side chains or loops (12%) that are particularly evident in low resolution crystal structures. An interesting observation is that cryptic sites formed solely by the movement of side chains, or of backbone segments with fewer than five residues, result only in low affinity binding sites with limited use for drug discovery.","container-title":"Proceedings of the National Academy of Sciences","DOI":"10.1073/pnas.1711490115","ISSN":"0027-8424, 1091-6490","issue":"15","journalAbbreviation":"Proc. Natl. Acad. Sci. U.S.A.","language":"en","source":"DOI.org (Crossref)","title":"Exploring the structural origins of cryptic sites on proteins","URL":"https://pnas.org/doi/full/10.1073/pnas.1711490115","volume":"115","author":[{"family":"Beglov","given":"Dmitri"},{"family":"Hall","given":"David R."},{"family":"Wakefield","given":"Amanda E."},{"family":"Luo","given":"Lingqi"},{"family":"Allen","given":"Karen N."},{"family":"Kozakov","given":"Dima"},{"family":"Whitty","given":"Adrian"},{"family":"Vajda","given":"Sandor"}],"accessed":{"date-parts":[["2026",3,4]]},"issued":{"date-parts":[["2018",4,10]]}}}],"schema":"https://github.com/citation-style-language/schema/raw/master/csl-citation.json"} </w:instrText>
      </w:r>
      <w:r w:rsidR="0008394F">
        <w:fldChar w:fldCharType="separate"/>
      </w:r>
      <w:r w:rsidR="0008394F" w:rsidRPr="00DF3F3A">
        <w:rPr>
          <w:rFonts w:cs="Times New Roman"/>
          <w:kern w:val="0"/>
          <w:szCs w:val="24"/>
          <w:vertAlign w:val="superscript"/>
        </w:rPr>
        <w:t>1–6</w:t>
      </w:r>
      <w:r w:rsidR="0008394F">
        <w:fldChar w:fldCharType="end"/>
      </w:r>
      <w:r w:rsidRPr="003C2B71">
        <w:t>, remain invisible or only transiently populated in experimentally determined structures obtained by X-ray crystallography or cryo-EM</w:t>
      </w:r>
      <w:r w:rsidR="00B05EA0">
        <w:fldChar w:fldCharType="begin"/>
      </w:r>
      <w:r w:rsidR="00B05EA0">
        <w:instrText xml:space="preserve"> ADDIN ZOTERO_ITEM CSL_CITATION {"citationID":"Lr8ZVM6q","properties":{"formattedCitation":"\\super 18\\nosupersub{}","plainCitation":"18","noteIndex":0},"citationItems":[{"id":68,"uris":["http://zotero.org/users/local/AHnUcuem/items/62QPAPM8"],"itemData":{"id":68,"type":"article-journal","abstract":"Abstract\n            \n              Coenzyme A (CoA) is a fundamental co-factor for all life, involved in numerous metabolic pathways and cellular processes, and its biosynthetic pathway has raised substantial interest as a drug target against multiple pathogens including\n              Mycobacterium tuberculosis\n              . The biosynthesis of CoA is performed in five steps, with the second and third steps being catalysed in the vast majority of prokaryotes, including\n              M. tuberculosis\n              , by a single bifunctional protein, CoaBC. Depletion of CoaBC was found to be bactericidal in\n              M. tuberculosis\n              . Here we report the first structure of a full-length CoaBC, from the model organism\n              Mycobacterium smegmatis\n              , describe how it is organised as a dodecamer and regulated by CoA thioesters. A high-throughput biochemical screen focusing on CoaB identified two inhibitors with different chemical scaffolds. Hit expansion led to the discovery of potent and selective inhibitors of\n              M. tuberculosis\n              CoaB, which we show to bind to a cryptic allosteric site within CoaB.","container-title":"Nature Communications","DOI":"10.1038/s41467-020-20224-x","ISSN":"2041-1723","issue":"1","journalAbbreviation":"Nat Commun","language":"en","page":"143","source":"DOI.org (Crossref)","title":"Inhibiting Mycobacterium tuberculosis CoaBC by targeting an allosteric site","volume":"12","author":[{"family":"Mendes","given":"Vitor"},{"family":"Green","given":"Simon R."},{"family":"Evans","given":"Joanna C."},{"family":"Hess","given":"Jeannine"},{"family":"Blaszczyk","given":"Michal"},{"family":"Spry","given":"Christina"},{"family":"Bryant","given":"Owain"},{"family":"Cory-Wright","given":"James"},{"family":"Chan","given":"Daniel S-H."},{"family":"Torres","given":"Pedro H. M."},{"family":"Wang","given":"Zhe"},{"family":"Nahiyaan","given":"Navid"},{"family":"O’Neill","given":"Sandra"},{"family":"Damerow","given":"Sebastian"},{"family":"Post","given":"John"},{"family":"Bayliss","given":"Tracy"},{"family":"Lynch","given":"Sasha L."},{"family":"Coyne","given":"Anthony G."},{"family":"Ray","given":"Peter C."},{"family":"Abell","given":"Chris"},{"family":"Rhee","given":"Kyu Y."},{"family":"Boshoff","given":"Helena I. M."},{"family":"Barry","given":"Clifton E."},{"family":"Mizrahi","given":"Valerie"},{"family":"Wyatt","given":"Paul G."},{"family":"Blundell","given":"Tom L."}],"issued":{"date-parts":[["2021",1,8]]}}}],"schema":"https://github.com/citation-style-language/schema/raw/master/csl-citation.json"} </w:instrText>
      </w:r>
      <w:r w:rsidR="00B05EA0">
        <w:fldChar w:fldCharType="separate"/>
      </w:r>
      <w:r w:rsidR="00B05EA0" w:rsidRPr="00906859">
        <w:rPr>
          <w:rFonts w:cs="Times New Roman"/>
          <w:kern w:val="0"/>
          <w:szCs w:val="24"/>
          <w:vertAlign w:val="superscript"/>
        </w:rPr>
        <w:t>18</w:t>
      </w:r>
      <w:r w:rsidR="00B05EA0">
        <w:fldChar w:fldCharType="end"/>
      </w:r>
      <w:r w:rsidRPr="003C2B71">
        <w:t>. These pockets, often absent in the apo state but induced or stabilized upon ligand binding, play central roles in the allosteric regulation of signaling pathways and enzyme activity</w:t>
      </w:r>
      <w:r w:rsidR="00603F4E">
        <w:fldChar w:fldCharType="begin"/>
      </w:r>
      <w:r w:rsidR="00603F4E">
        <w:instrText xml:space="preserve"> ADDIN ZOTERO_ITEM CSL_CITATION {"citationID":"yLCHcRQJ","properties":{"formattedCitation":"\\super 3,4,7\\uc0\\u8211{}17\\nosupersub{}","plainCitation":"3,4,7–17","noteIndex":0},"citationItems":[{"id":36,"uris":["http://zotero.org/users/local/AHnUcuem/items/ZA3CX6VW"],"itemData":{"id":36,"type":"article-journal","abstract":"Here, we discuss the principles of allosteric activating mutations, propagation downstream of the signals that they prompt, and allosteric drugs, with examples from the Ras signaling network. We focus on Abl kinase where mutations shift the landscape toward the active, imatinib bindingincompetent conformation, likely resulting in the high affinity ATP outcompeting drug binding. Recent pharmacological innovation extends to allosteric inhibitor (GNF-5)-linked PROTAC, targeting Bcr-Abl1 myristoylation site, and broadly, allosteric heterobifunctional degraders that destroy targets, rather than inhibiting them. Designed chemical linkers in bifunctional degraders can connect the allosteric ligand that binds the target protein and the E3 ubiquitin ligase warhead anchor. The physical properties and favored conformational state of the engineered linker can precisely coordinate the distance and orientation between the target and the recruited E3. Allosteric PROTACs, noncompetitive molecular glues, and bitopic ligands, with covalent links of allosteric ligands and orthosteric warheads, increase the effective local concentration of productively oriented and placed ligands. Through covalent chemical or peptide linkers, allosteric drugs can collaborate with competitive drugs, degrader anchors, or other molecules of choice, driving innovative drug discovery.","container-title":"Journal of Molecular Biology","DOI":"10.1016/j.jmb.2022.167569","ISSN":"00222836","issue":"17","journalAbbreviation":"Journal of Molecular Biology","language":"en","page":"167569","source":"DOI.org (Crossref)","title":"Allostery: Allosteric Cancer Drivers and Innovative Allosteric Drugs","title-short":"Allostery","volume":"434","author":[{"family":"Nussinov","given":"Ruth"},{"family":"Zhang","given":"Mingzhen"},{"family":"Maloney","given":"Ryan"},{"family":"Liu","given":"Yonglan"},{"family":"Tsai","given":"Chung-Jung"},{"family":"Jang","given":"Hyunbum"}],"issued":{"date-parts":[["2022",9]]}}},{"id":38,"uris":["http://zotero.org/users/local/AHnUcuem/items/I69CSPPF"],"itemData":{"id":38,"type":"article-journal","abstract":"Recent years have seen an unprecedented level of innovation in allosteric drug discovery and development, with multiple drug candidates advancing into clinical studies. From early examples of allosteric drugs like GABAA receptor modulators (benzodiazepines) in the 1960s to more recent GPCR negative allosteric modulators of CCR5 (maraviroc) approved in 2007, the opportunities for interrogating allosteric sites in drug discovery have expanded to other target classes such as protein−protein interactions, kinases, and nuclear hormone receptors. In this Innovation Letter, the authors highlight the latest advances of allosteric drug discovery from diﬀerent target classes and novel emerging chemical modalities beyond small molecules.","container-title":"ACS Medicinal Chemistry Letters","DOI":"10.1021/acsmedchemlett.9b00655","ISSN":"1948-5875, 1948-5875","issue":"10","journalAbbreviation":"ACS Med. Chem. Lett.","language":"en","license":"https://doi.org/10.15223/policy-029","page":"1810-1819","source":"DOI.org (Crossref)","title":"Impact of Allosteric Modulation in Drug Discovery: Innovation in Emerging Chemical Modalities","title-short":"Impact of Allosteric Modulation in Drug Discovery","volume":"11","author":[{"family":"Han","given":"Bingsong"},{"family":"Salituro","given":"Francesco G."},{"family":"Blanco","given":"Maria-Jesus"}],"issued":{"date-parts":[["2020",10,8]]}}},{"id":44,"uris":["http://zotero.org/users/local/AHnUcuem/items/NJNTX36E"],"itemData":{"id":44,"type":"article-journal","language":"en","source":"Zotero","title":"On the Nature of Allosteric Transitions: A Plausible Model","author":[{"family":"Wyman","given":"Jeffries"},{"family":"Changeux","given":"Jean-Pierre"}]}},{"id":46,"uris":["http://zotero.org/users/local/AHnUcuem/items/8I54RJUW"],"itemData":{"id":46,"type":"article-journal","abstract":"Linking cell signaling events to the fundamental physicochemical basis of the conformational behavior of single molecules and ultimately to cellular function is a key challenge facing the life sciences. Here we outline the emerging principles of allosteric interactions in cell signaling, with emphasis on the following points. (1) Allosteric eﬃcacy is not a function of the chemical composition of the allosteric pocket but reﬂects the extent of the population shift between the inactive and active states. That is, the allosteric eﬀect is determined by the extent of preferred binding, not by the overall binding aﬃnity. (2) Coupling between the allosteric and active sites does not decide the allosteric eﬀect; however, it does deﬁne the propagation pathways, the allosteric binding sites, and key on-path residues. (3) Atoms of allosteric eﬀectors can act as “driver” or “anchor” and create attractive “pulling” or repulsive “pushing” interactions. Deciphering, quantifying, and integrating the multiple cooccurring events present daunting challenges to our scientiﬁc community.","container-title":"Journal of the American Chemical Society","DOI":"10.1021/ja510028c","ISSN":"0002-7863, 1520-5126","issue":"51","journalAbbreviation":"J. Am. Chem. Soc.","language":"en","license":"http://pubs.acs.org/page/policy/authorchoice_termsofuse.html","page":"17692-17701","source":"DOI.org (Crossref)","title":"Principles of Allosteric Interactions in Cell Signaling","volume":"136","author":[{"family":"Nussinov","given":"Ruth"},{"family":"Tsai","given":"Chung-Jung"},{"family":"Liu","given":"Jin"}],"issued":{"date-parts":[["2014",12,24]]}}},{"id":50,"uris":["http://zotero.org/users/local/AHnUcuem/items/BJZU2GW2"],"itemData":{"id":50,"type":"article-journal","abstract":"The concept of allostery has evolved in the past century. In this Editorial, we briefly overview the history of allostery, from the pre-allostery nomenclature era starting with the Bohr effect (1904) to the birth of allostery by Monod and Jacob (1961). We describe the evolution of the allostery concept, from a conformational change in a two-state model (1965, 1966) to dynamic allostery in the ensemble model (1999); from multi-subunit (1965) proteins to all proteins (2004). We highlight the current available methods to study allostery and their applications in studies of conformational mechanisms, disease, and allosteric drug discovery. We outline the challenges and future directions that we foresee. Altogether, this Editorial narrates the history of this fundamental concept in the life sciences, its significance, methodologies to detect and predict it, and its application in a broad range of living systems.","container-title":"PLOS Computational Biology","DOI":"10.1371/journal.pcbi.1004966","ISSN":"1553-7358","issue":"6","journalAbbreviation":"PLoS Comput Biol","language":"en","page":"e1004966","source":"DOI.org (Crossref)","title":"Allostery: An Overview of Its History, Concepts, Methods, and Applications","title-short":"Allostery","volume":"12","author":[{"family":"Liu","given":"Jin"},{"family":"Nussinov","given":"Ruth"}],"issued":{"date-parts":[["2016",6,2]]}}},{"id":52,"uris":["http://zotero.org/users/local/AHnUcuem/items/S9JX95TZ"],"itemData":{"id":52,"type":"article-journal","abstract":"Allosteric transition, deﬁned as conformational changes induced by ligand binding, is one of the fundamental properties of proteins. Allostery has been observed and characterized in many proteins, and has been recently utilized to control protein function via regulation of protein activity. Here, we review the physical and evolutionary origin of protein allostery, as well as its importance to protein regulation, drug discovery, and biological processes in living systems. We describe recently developed approaches to identify allosteric pathways, connected sets of pairwise interactions that are responsible for propagation of conformational change from the ligand-binding site to a distal functional site. We then present experimental and computational protein engineering approaches for control of protein function by modulation of allosteric sites. As an example of application of these approaches, we describe a synergistic computational and experimental approach to rescue the cystic-ﬁbrosis-associated protein cystic ﬁbrosis transmembrane conductance regulator, which upon deletion of a single residue misfolds and causes disease. This example demonstrates the power of allosteric manipulation in proteins to both elucidate mechanisms of molecular function and to develop therapeutic strategies that rescue those functions. Allosteric control of proteins provides a tool to shine a light on the complex cascades of cellular processes and facilitate unprecedented interrogation of biological systems.","container-title":"Chemical Reviews","DOI":"10.1021/acs.chemrev.5b00544","ISSN":"0009-2665, 1520-6890","issue":"11","journalAbbreviation":"Chem. Rev.","language":"en","page":"6463-6487","source":"DOI.org (Crossref)","title":"Controlling Allosteric Networks in Proteins","volume":"116","author":[{"family":"Dokholyan","given":"Nikolay V."}],"issued":{"date-parts":[["2016",6,8]]}}},{"id":54,"uris":["http://zotero.org/users/local/AHnUcuem/items/CU73EHQP"],"itemData":{"id":54,"type":"article-journal","abstract":"Although allosteric regulation is the ‘second secret of life’, the molecular mechanisms that give rise to allostery currently elude understanding. In my opinion, experimental progress is hampered by a commonly used but misleading definition of allostery as protein structural changes that are elicited by the binding of a single ligand. Allostery is more strictly defined in functional terms as a comparison of how one ligand binds in the absence, versus the presence, of a second ligand. Therefore, as each of the two binding events involves two protein complexes, a study of allostery must consider four complexes and not just two. Such a comparison can distinguish allosteric from non-allosteric protein changes, the importance of which is frequently overlooked. When a study of all four complexes is not feasible, an alternative, albeit limited, strategy can identify subsets of allosteric-specific changes.","container-title":"Trends in Biochemical Sciences","DOI":"10.1016/j.tibs.2008.05.009","ISSN":"09680004","issue":"9","journalAbbreviation":"Trends in Biochemical Sciences","language":"en","license":"https://www.elsevier.com/tdm/userlicense/1.0/","page":"420-425","source":"DOI.org (Crossref)","title":"Allostery: an illustrated definition for the ‘second secret of life’","title-short":"Allostery","volume":"33","author":[{"family":"Fenton","given":"Aron W."}],"issued":{"date-parts":[["2008",9]]}}},{"id":56,"uris":["http://zotero.org/users/local/AHnUcuem/items/VEKAX334"],"itemData":{"id":56,"type":"article-journal","container-title":"Cell","DOI":"10.1016/j.cell.2016.08.015","ISSN":"00928674","issue":"5","journalAbbreviation":"Cell","language":"en","page":"1084-1102","source":"DOI.org (Crossref)","title":"Allosteric Modulation as a Unifying Mechanism for Receptor Function and Regulation","volume":"166","author":[{"family":"Changeux","given":"Jean-Pierre"},{"family":"Christopoulos","given":"Arthur"}],"issued":{"date-parts":[["2016",8]]}}},{"id":58,"uris":["http://zotero.org/users/local/AHnUcuem/items/NSTI2V9C"],"itemData":{"id":58,"type":"article-journal","container-title":"Nature Reviews Drug Discovery","DOI":"10.1038/nrd4052","ISSN":"1474-1776, 1474-1784","issue":"8","journalAbbreviation":"Nat Rev Drug Discov","language":"en","license":"http://www.springer.com/tdm","page":"630-644","source":"DOI.org (Crossref)","title":"Emerging paradigms in GPCR allostery: implications for drug discovery","title-short":"Emerging paradigms in GPCR allostery","volume":"12","author":[{"family":"Wootten","given":"Denise"},{"family":"Christopoulos","given":"Arthur"},{"family":"Sexton","given":"Patrick M."}],"issued":{"date-parts":[["2013",8]]}}},{"id":60,"uris":["http://zotero.org/users/local/AHnUcuem/items/Q7HDCH7E"],"itemData":{"id":60,"type":"article-journal","abstract":"The FDA approval of imatinib in 2001 was a breakthrough in molecularly targeted cancer therapy and heralded the emergence of kinase inhibitors as a key drug class in the oncology area and beyond. Twenty years on, this article analyses the landscape of approved and investigational therapies that target kinases and trends within it, including the most popular targets of kinase inhibitors and their expanding range of indications. There are currently 71 small-molecule kinase inhibitors (SMKIs) approved by the FDA and an additional 16 SMKIs approved by other regulatory agencies. Although oncology is still the predominant area for their application, there have been important approvals for indications such as rheumatoid arthritis, and one-third of the SMKIs in clinical development address disorders beyond oncology. Information on clinical trials of SMKIs reveals that approximately 110 novel kinases are currently being explored as targets, which together with the approximately 45 targets of approved kinase inhibitors represent only about 30% of the human kinome, indicating that there are still substantial unexplored opportunities for this drug class. We also discuss trends in kinase inhibitor design, including the development of allosteric and covalent inhibitors, bifunctional inhibitors and chemical degraders.","container-title":"Nature Reviews Drug Discovery","DOI":"10.1038/s41573-021-00252-y","ISSN":"1474-1776, 1474-1784","issue":"11","journalAbbreviation":"Nat Rev Drug Discov","language":"en","page":"839-861","source":"DOI.org (Crossref)","title":"Trends in kinase drug discovery: targets, indications and inhibitor design","title-short":"Trends in kinase drug discovery","volume":"20","author":[{"family":"Attwood","given":"Misty M."},{"family":"Fabbro","given":"Doriano"},{"family":"Sokolov","given":"Aleksandr V."},{"family":"Knapp","given":"Stefan"},{"family":"Schiöth","given":"Helgi B."}],"issued":{"date-parts":[["2021",11]]}}},{"id":62,"uris":["http://zotero.org/users/local/AHnUcuem/items/DNQVDWJR"],"itemData":{"id":62,"type":"article-journal","abstract":"Allosteric modulators bound to structurally diverse allosteric sites can achieve better pharmacological advantages than orthosteric ligands. The discovery of allosteric modulators, however, has been traditionally serendipitous, owing to the complex nature of allosteric modulation. Recent advances in the understanding of allosteric regulatory mechanisms and remarkable availability of structural data of allosteric proteins and modulators, as well as their complexes, have greatly contributed to the development of various computational approaches to guide the structure-based discovery of allosteric modulators. This Perspective ﬁrst outlines the evolution of the allosteric concept and describes the advantages and hurdles facing allosteric modulator discovery. The current available computational approaches, together with experimental approaches aiming to highlight allosteric studies, are then highlighted, emphasizing successful examples with their combined applications. We aimed to increase the awareness of the feasibility of the structure-based discovery of allosteric modulators using an integrated computational and experimental paradigm.","container-title":"Journal of Medicinal Chemistry","DOI":"10.1021/acs.jmedchem.8b01749","ISSN":"0022-2623, 1520-4804","issue":"14","journalAbbreviation":"J. Med. Chem.","language":"en","license":"https://doi.org/10.15223/policy-029","page":"6405-6421","source":"DOI.org (Crossref)","title":"Allosteric Modulator Discovery: From Serendipity to Structure-Based Design","title-short":"Allosteric Modulator Discovery","volume":"62","author":[{"family":"Lu","given":"Shaoyong"},{"family":"He","given":"Xinheng"},{"family":"Ni","given":"Duan"},{"family":"Zhang","given":"Jian"}],"issued":{"date-parts":[["2019",7,25]]}}},{"id":64,"uris":["http://zotero.org/users/local/AHnUcuem/items/CAY5WKXU"],"itemData":{"id":64,"type":"article-journal","abstract":"Currently, there are two types of drugs on the market: orthosteric, which bind at the active site; and allosteric, which bind elsewhere on the protein surface, and allosterically change the conformation of the protein binding site. In this perspective we argue that the different mechanisms through which the two drug types affect protein activity and their potential pitfalls call for different considerations in drug design. The key problem facing orthosteric drugs is side effects which can occur by drug binding to homologous proteins sharing a similar binding site. Hence, orthosteric drugs should have very high affinity to the target; this would allow a low dosage to selectively achieve the goal of target-only binding. By contrast, allosteric drugs work by shifting the free energy landscape. Their binding to the protein surface perturbs the protein surface atoms, and the perturbation propagates like waves, finally reaching the binding site. Effective drugs should have atoms in good contact with the ‘right’ protein atoms; that is, the contacts should elicit propagation waves optimally reaching the protein binding site target. While affinity is important, the design should consider the protein conformational ensemble and the preferred propagation states. We provide examples from functional invivoscenarios for both types of cases, and suggest how high potency can be achieved in allosteric drug development.","container-title":"Current Pharmaceutical Design","DOI":"10.2174/138161212799436377","ISSN":"13816128","issue":"9","journalAbbreviation":"CPD","language":"en","page":"1311-1316","source":"DOI.org (Crossref)","title":"The Different Ways through Which Specificity Works in Orthosteric and Allosteric Drugs","volume":"18","author":[{"family":"Nussinov","given":"Ruth"},{"family":"Tsai","given":"Chung-Jung"}],"issued":{"date-parts":[["2012",3,1]]}}},{"id":66,"uris":["http://zotero.org/users/local/AHnUcuem/items/YT89CH8H"],"itemData":{"id":66,"type":"article-journal","container-title":"Current Opinion in Structural Biology","DOI":"10.1016/j.sbi.2020.01.010","ISSN":"0959440X","journalAbbreviation":"Current Opinion in Structural Biology","language":"en","page":"149-157","source":"DOI.org (Crossref)","title":"Allosteric drugs and mutations: chances, challenges, and necessity","title-short":"Allosteric drugs and mutations","volume":"62","author":[{"family":"Guarnera","given":"Enrico"},{"family":"Berezovsky","given":"Igor N"}],"issued":{"date-parts":[["2020",6]]}}}],"schema":"https://github.com/citation-style-language/schema/raw/master/csl-citation.json"} </w:instrText>
      </w:r>
      <w:r w:rsidR="00603F4E">
        <w:fldChar w:fldCharType="separate"/>
      </w:r>
      <w:r w:rsidR="00603F4E" w:rsidRPr="00161234">
        <w:rPr>
          <w:rFonts w:cs="Times New Roman"/>
          <w:kern w:val="0"/>
          <w:szCs w:val="24"/>
          <w:vertAlign w:val="superscript"/>
        </w:rPr>
        <w:t>3,4,7–17</w:t>
      </w:r>
      <w:r w:rsidR="00603F4E">
        <w:fldChar w:fldCharType="end"/>
      </w:r>
      <w:r w:rsidRPr="003C2B71">
        <w:t xml:space="preserve">. Their transient nature makes them promising yet underexplored targets for drug discovery, as they enable selective modulation of disease-associated proteins that are often difficult to address via conventional </w:t>
      </w:r>
      <w:proofErr w:type="spellStart"/>
      <w:r w:rsidRPr="003C2B71">
        <w:t>orthosteric</w:t>
      </w:r>
      <w:proofErr w:type="spellEnd"/>
      <w:r w:rsidRPr="003C2B71">
        <w:t xml:space="preserve"> approaches.</w:t>
      </w:r>
    </w:p>
    <w:p w14:paraId="2F67CF25" w14:textId="19921515" w:rsidR="00525DF6" w:rsidRDefault="007621C1" w:rsidP="00525FD7">
      <w:pPr>
        <w:ind w:firstLine="420"/>
      </w:pPr>
      <w:r w:rsidRPr="003C2B71">
        <w:t>Despite their biological and therapeutic importance, systematic identification of cryptic allosteric pockets faces fundamental computational barriers</w:t>
      </w:r>
      <w:r w:rsidR="001A7F82" w:rsidRPr="001A7F82">
        <w:rPr>
          <w:vertAlign w:val="superscript"/>
        </w:rPr>
        <w:t>19-26</w:t>
      </w:r>
      <w:r w:rsidRPr="003C2B71">
        <w:t>. Conventional all-atom molecular dynamics simulations can, in principle, reveal rare conformational transitions, but high free-energy barriers render exhaustive sampling prohibitively expensive for proteome-scale applications</w:t>
      </w:r>
      <w:r w:rsidR="003A2092">
        <w:fldChar w:fldCharType="begin"/>
      </w:r>
      <w:r w:rsidR="003A2092">
        <w:instrText xml:space="preserve"> ADDIN ZOTERO_ITEM CSL_CITATION {"citationID":"jMaU9bK7","properties":{"formattedCitation":"\\super 27\\uc0\\u8211{}35\\nosupersub{}","plainCitation":"27–35","noteIndex":0},"citationItems":[{"id":84,"uris":["http://zotero.org/users/local/AHnUcuem/items/EBDXXMMT"],"itemData":{"id":84,"type":"article-journal","abstract":"Significance\n            Rational drug design efforts typically focus on identifying inhibitors that bind to protein active sites. Pockets that are not present in crystallographic structures yet can exert allosteric (i.e., long-range) control over distant active sites present an exciting alternative. However, identifying these hidden allosteric sites is extremely challenging because one usually has to simultaneously find a small molecule that binds to and stabilizes the open conformation of the pocket. Here, we present a means of combining advances in computer modeling—using Markov state models to capture long timescale dynamics—with biophysical experiments to identify hidden allosteric sites without requiring the simultaneous discovery of drug-like compounds that bind them. Using this technology, we discover multiple hidden allosteric sites in a single protein.\n          , \n            The discovery of drug-like molecules that bind pockets in proteins that are not present in crystallographic structures yet exert allosteric control over activity has generated great interest in designing pharmaceuticals that exploit allosteric effects. However, there have only been a small number of successes, so the therapeutic potential of these pockets—called hidden allosteric sites—remains unclear. One challenge for assessing their utility is that rational drug design approaches require foreknowledge of the target site, but most hidden allosteric sites are only discovered when a small molecule is found to stabilize them. We present a means of decoupling the identification of hidden allosteric sites from the discovery of drugs that bind them by drawing on new developments in Markov state modeling that provide unprecedented access to microsecond- to millisecond-timescale fluctuations of a protein’s structure. Visualizing these fluctuations allows us to identify potential hidden allosteric sites, which we then test via thiol labeling experiments. Application of these methods reveals multiple hidden allosteric sites in an important antibiotic target—TEM-1 β-lactamase. This result supports the hypothesis that there are many as yet undiscovered hidden allosteric sites and suggests our methodology can identify such sites, providing a starting point for future drug design efforts. More generally, our results demonstrate the power of using Markov state models to guide experiments.","container-title":"Proceedings of the National Academy of Sciences","DOI":"10.1073/pnas.1417811112","ISSN":"0027-8424, 1091-6490","issue":"9","journalAbbreviation":"Proc. Natl. Acad. Sci. U.S.A.","language":"en","page":"2734-2739","source":"DOI.org (Crossref)","title":"Discovery of multiple hidden allosteric sites by combining Markov state models and experiments","volume":"112","author":[{"family":"Bowman","given":"Gregory R."},{"family":"Bolin","given":"Eric R."},{"family":"Hart","given":"Kathryn M."},{"family":"Maguire","given":"Brendan C."},{"family":"Marqusee","given":"Susan"}],"issued":{"date-parts":[["2015",3,3]]}}},{"id":86,"uris":["http://zotero.org/users/local/AHnUcuem/items/SVTLP6QT"],"itemData":{"id":86,"type":"article-journal","abstract":"Cryptic pockets, that is, sites on protein targets that only become apparent when drugs bind, provide a promising alternative to classical binding sites for drug development. Here, we investigate the nature and dynamical properties of cryptic sites in four pharmacologically relevant targets, while comparing the eﬃcacy of various simulationbased approaches in discovering them. We ﬁnd that the studied cryptic sites do not correspond to local minima in the computed conformational free energy landscape of the unliganded proteins. They thus promptly close in all of the molecular dynamics simulations performed, irrespective of the force-ﬁeld used. Temperature-based enhanced sampling approaches, such as Parallel Tempering, do not improve the situation, as the entropic term does not help in the opening of the sites. The use of fragment probes helps, as in long simulations occasionally it leads to the opening and binding to the cryptic sites. Our observed mechanism of cryptic site formation is suggestive of an interplay between two classical mechanisms: induced-ﬁt and conformational selection. Employing this insight, we developed a novel Hamiltonian Replica Exchange-based method “SWISH” (Sampling Water Interfaces through Scaled Hamiltonians), which combined with probes resulted in a promising general approach for cryptic site discovery. We also addressed the issue of “false-positives” and propose a simple approach to distinguish them from druggable cryptic pockets. Our simulations, whose cumulative sampling time was more than 200 μs, help in clarifying the molecular mechanism of pocket formation, providing a solid basis for the choice of an eﬃcient computational method.","container-title":"Journal of the American Chemical Society","DOI":"10.1021/jacs.6b05425","ISSN":"0002-7863, 1520-5126","issue":"43","journalAbbreviation":"J. Am. Chem. Soc.","language":"en","license":"http://pubs.acs.org/page/policy/authorchoice_ccby_termsofuse.html","page":"14257-14263","source":"DOI.org (Crossref)","title":"Understanding Cryptic Pocket Formation in Protein Targets by Enhanced Sampling Simulations","volume":"138","author":[{"family":"Oleinikovas","given":"Vladimiras"},{"family":"Saladino","given":"Giorgio"},{"family":"Cossins","given":"Benjamin P."},{"family":"Gervasio","given":"Francesco L."}],"issued":{"date-parts":[["2016",11,2]]}}},{"id":88,"uris":["http://zotero.org/users/local/AHnUcuem/items/BS56W6G4"],"itemData":{"id":88,"type":"article-journal","abstract":"Cryptic allosteric sites—transient pockets in a folded protein that are invisible to conventional experiments but can alter enzymatic activity via allosteric communication with the active site—are a promising opportunity for facilitating drug design by greatly expanding the repertoire of available drug targets. Unfortunately, identifying these sites is difficult, typically requiring resource-intensive screening of large libraries of small molecules. Here, we demonstrate that Markov state models built from extensive computer simulations (totaling hundreds of microseconds of dynamics) can identify prospective cryptic sites from the equilibrium fluctuations of three medically relevant proteins—β-lactamase, interleukin-2, and RNase H—even in the absence of any ligand. As in previous studies, our methods reveal a surprising variety of conformations—including bound-like configurations—that implies a role for conformational selection in ligand binding. Moreover, our analyses lead to a number of unique insights. First, direct comparison of simulations with and without the ligand reveals that there is still an important role for an induced fit during ligand binding to cryptic sites and suggests new conformations for docking. Second, correlations between amino acid sidechains can convey allosteric signals even in the absence of substantial backbone motions. Most importantly, our extensive sampling reveals a multitude of potential cryptic sites—consisting of transient pockets coupled to the active site—even in a single protein. Based on these observations, we propose that cryptic allosteric sites may be even more ubiquitous than previously thought and that our methods should be a valuable means of guiding the search for such sites.","container-title":"Proceedings of the National Academy of Sciences","DOI":"10.1073/pnas.1209309109","ISSN":"0027-8424, 1091-6490","issue":"29","journalAbbreviation":"Proc. Natl. Acad. Sci. U.S.A.","language":"en","page":"11681-11686","source":"DOI.org (Crossref)","title":"Equilibrium fluctuations of a single folded protein reveal a multitude of potential cryptic allosteric sites","volume":"109","author":[{"family":"Bowman","given":"Gregory R."},{"family":"Geissler","given":"Phillip L."}],"issued":{"date-parts":[["2012",7,17]]}}},{"id":90,"uris":["http://zotero.org/users/local/AHnUcuem/items/IXZ5P3WK"],"itemData":{"id":90,"type":"article-journal","abstract":"The SARS-CoV-2 pandemic has rapidly spread across the globe, posing an urgent health concern. Many quests to computationally identify treatments against the virus rely on in silico small molecule docking to experimentally determined structures of viral proteins. One limit to these approaches is that protein dynamics are often unaccounted for, leading to overlooking transient, druggable conformational states. Using Gaussian accelerated molecular dynamics to enhance sampling of conformational space, we identiﬁed cryptic pockets within the SARS-CoV-2 main protease, including some within regions far from the active site. These simulations sampled comparable dynamics and pocket volumes to conventional brute force simulations carried out on two orders of magnitude greater timescales.","container-title":"Journal of Chemical Information and Modeling","DOI":"10.1021/acs.jcim.1c00140","ISSN":"1549-9596, 1549-960X","issue":"7","journalAbbreviation":"J. Chem. Inf. Model.","language":"en","license":"https://doi.org/10.15223/policy-001","page":"3495-3501","source":"DOI.org (Crossref)","title":"Elucidation of Cryptic and Allosteric Pockets within the SARS-CoV-2 Main Protease","volume":"61","author":[{"family":"Sztain","given":"Terra"},{"family":"Amaro","given":"Rommie"},{"family":"McCammon","given":"J. Andrew"}],"issued":{"date-parts":[["2021",7,26]]}}},{"id":92,"uris":["http://zotero.org/users/local/AHnUcuem/items/RE6WQUW3"],"itemData":{"id":92,"type":"article-journal","abstract":"Identifying binding hotspots on protein surfaces is of prime interest in structure-based drug discovery, either to assess the tractability of pursuing a protein target or to drive improved potency of lead compounds. Computational approaches to detect such regions have traditionally relied on energy minimization of probe molecules onto static protein conformations in the absence of the natural aqueous environment. Advances in high performance computing now allow us to assess hotspots using molecular dynamics (MD) simulations. MD simulations integrate protein ﬂexibility and the complicated role of water, thereby providing a more realistic assessment of the complex kinetics and thermodynamics at play. In this review, we describe the evolution of various cosolvent-based MD techniques and highlight a myriad of potential applications for such technologies in computational drug development.","container-title":"Journal of Medicinal Chemistry","DOI":"10.1021/acs.jmedchem.6b00399","ISSN":"0022-2623, 1520-4804","issue":"23","journalAbbreviation":"J. Med. Chem.","language":"en","page":"10383-10399","source":"DOI.org (Crossref)","title":"Driving Structure-Based Drug Discovery through Cosolvent Molecular Dynamics: Miniperspective","title-short":"Driving Structure-Based Drug Discovery through Cosolvent Molecular Dynamics","volume":"59","author":[{"family":"Ghanakota","given":"Phani"},{"family":"Carlson","given":"Heather A."}],"issued":{"date-parts":[["2016",12,8]]}}},{"id":94,"uris":["http://zotero.org/users/local/AHnUcuem/items/IY7WQ7HT"],"itemData":{"id":94,"type":"article-journal","abstract":"Protein dynamics play an important role in small molecule binding and can pose a signiﬁcant challenge in the identiﬁcation of potential binding sites. Cryptic binding sites have been deﬁned as sites which require signiﬁcant rearrangement of the protein structure to become physically accessible to a ligand. Mixed-solvent MD (MixMD) is a computational protocol which maps the surface of the protein using molecular dynamics (MD) of the unbound protein solvated in a 5% box of probe molecules with explicit water. This method has successfully identiﬁed known active and allosteric sites which did not require reorganization. In this study, we apply the MixMD protocol to identify known cryptic sites of 12 proteins characterized by a wide range of conformational changes. Of these 12 proteins, three require reorganization of side chains, ﬁve require loop movements, and four require movement of more signiﬁcant structures such as whole helices. In ﬁve cases, we ﬁnd that standard MixMD simulations are able to map the cryptic binding sites with at least one probe type. In two cases (guanylate kinase and TIE-2), accelerated MD, which increases sampling of torsional angles, was necessary to achieve mapping of portions of the cryptic binding site missed by standard MixMD. For more complex systems where movement of a helix or domain is necessary, MixMD was unable to map the binding site even with accelerated dynamics, possibly due to the limited timescale (100 ns for individual simulations). In general, similar conformational dynamics are observed in water-only simulations and those with probe molecules. This could imply that the probes are not driving opening events but rather take advantage of mapping sites that spontaneously open as part of their inherent conformational behavior. Finally, we show that docking to an ensemble of conformations from the standard MixMD simulations performs better than docking the apo crystal structure in nine cases and even better than half of the bound crystal structures. Poorer performance was seen in docking to ensembles of conformations from the accelerated MixMD simulations.","container-title":"Journal of Chemical Information and Modeling","DOI":"10.1021/acs.jcim.0c01002","ISSN":"1549-9596, 1549-960X","issue":"3","journalAbbreviation":"J. Chem. Inf. Model.","language":"en","license":"https://doi.org/10.15223/policy-029","page":"1287-1299","source":"DOI.org (Crossref)","title":"Identification of Cryptic Binding Sites Using MixMD with Standard and Accelerated Molecular Dynamics","volume":"61","author":[{"family":"Smith","given":"Richard D."},{"family":"Carlson","given":"Heather A."}],"issued":{"date-parts":[["2021",3,22]]}}},{"id":96,"uris":["http://zotero.org/users/local/AHnUcuem/items/YWWG4I6S"],"itemData":{"id":96,"type":"article-journal","abstract":"Cryptic pockets are protein cavities that remain hidden in resolved apo structures and generally require the presence of a co-crystallized ligand to become visible. Finding new cryptic pockets is crucial for structure-based drug discovery to identify new ways of modulating protein activity and thus expand the druggable space. We present here a new method and associated web application leveraging mixed-solvent molecular dynamics (MD) simulations using benzene as a hydrophobic probe to detect cryptic pockets. Our all-atom MD-based workﬂow was systematically tested on 18 diﬀerent systems and 5 additional kinases and represents the largest validation study of this kind. CrypticScout identiﬁes benzene probe binding hotspots on a protein surface by mapping probe occupancy, residence time, and the benzene occupancy reweighed by the residence time. The method is presented to the scientiﬁc community in a web application available via www.playmolecule.org using a distributed computing infrastructure to perform the simulations.","container-title":"Journal of Chemical Information and Modeling","DOI":"10.1021/acs.jcim.9b01209","ISSN":"1549-9596, 1549-960X","issue":"4","journalAbbreviation":"J. Chem. Inf. Model.","language":"en","license":"https://doi.org/10.15223/policy-029","page":"2314-2324","source":"DOI.org (Crossref)","title":"PlayMolecule CrypticScout: Predicting Protein Cryptic Sites Using Mixed-Solvent Molecular Simulations","title-short":"PlayMolecule CrypticScout","volume":"60","author":[{"family":"Martinez-Rosell","given":"Gerard"},{"family":"Lovera","given":"Silvia"},{"family":"Sands","given":"Zara A."},{"family":"De Fabritiis","given":"Gianni"}],"issued":{"date-parts":[["2020",4,27]]}}},{"id":98,"uris":["http://zotero.org/users/local/AHnUcuem/items/3JVH2JBU"],"itemData":{"id":98,"type":"article-journal","abstract":"In drug design, chemical groups are sequentially added to improve a weak-binding fragment into a tight-binding lead molecule. Often, the direction to make these additions is unclear, and there are numerous chemical modiﬁcations to choose. Lead development can be guided by crystal structures of the fragment-bound protein, but this alone is unable to capture structural changes like closing or opening of the binding site and any side-chain movements. Accounting for adaptation of the site requires a dynamic approach. Here, we use molecular dynamics calculations of small organic solvents with protein-fragment pairs to reveal the nearest “hot spots”. These close hot spots show the direction to make appropriate additions and suggest types of chemical modiﬁcations that could improve binding aﬃnity. Mixed-solvent molecular dynamics (MixMD) is a cosolvent simulation technique that is well established for ﬁnding binding “hot spots” in active sites and allosteric sites of proteins. We simulated 20 fragmentbound and apo forms of key pharmaceutical targets to map out hot spots for potential lead space. Furthermore, we analyzed whether the presence of a fragment facilitates the probes’ binding in the lead space, a type of binding cooperativity. To the best of our knowledge, this is the ﬁrst use of cosolvent MD conducted with bound inhibitors in the simulation. Our work provides a general framework to extract molecular features of binding sites to choose chemical groups for growing lead molecules. Of the 20 systems, 17 systems were well mapped by MixMD. For the three not-mapped systems, two had lead growth out into solution away from the protein, and the third had very small modiﬁcations which indicated no nearby hot spots. Therefore, our lack of mapping in three systems was appropriate given the experimental data (true-negative cases). The simulations are run for very short time scales, making this method tractable for use in the pharmaceutical industry.","container-title":"Journal of Chemical Theory and Computation","DOI":"10.1021/acs.jctc.1c01054","ISSN":"1549-9618, 1549-9626","issue":"6","journalAbbreviation":"J. Chem. Theory Comput.","language":"en","license":"https://doi.org/10.15223/policy-029","page":"3829-3844","source":"DOI.org (Crossref)","title":"Cosolvent Simulations with Fragment-Bound Proteins Identify Hot Spots to Direct Lead Growth","volume":"18","author":[{"family":"Lal Gupta","given":"Pancham"},{"family":"Carlson","given":"Heather A."}],"issued":{"date-parts":[["2022",6,14]]}}},{"id":100,"uris":["http://zotero.org/users/local/AHnUcuem/items/VZ2N5B79"],"itemData":{"id":100,"type":"article-journal","abstract":"Here we describe the development of an improved workflow for utilizing experimental and simulated protein conformations in the structure-based design of inhibitors for anti-apoptotic Bcl-2 family proteins. Traditional structure-based approaches on similar targets are often constrained by the sparsity of available structures and difficulties in finding lead compounds that dock against flat, flexible protein-protein interaction surfaces. By employing computational docking of known small molecule inhibitors, we have demonstrated that structural ensembles derived from either accelerated MD (aMD) or MD in the presence of an organic cosolvent generally give better scores than those assessed from analogous conventional MD. Furthermore, conformations obtained from combined cosolvent aMD simulations started with the apo-Bcl-xL structure yielded better average and minimum docking scores for known binders than an ensemble of 72 experimental apo- and ligand-bound Bcl-xL structures. A detailed analysis of the simulated conformations indicates that the aMD effectively enhanced conformational sampling of the flexible helices flanking the main Bcl-xL binding groove, permitting the cosolvent acting as small ligands to penetrate more deeply into the binding pocket and shape ligand-bound conformations not evident in conventional simulations. We believe this approach could be useful for identifying inhibitors against other protein-protein interaction systems involving highly flexible binding sites, particularly for targets with less accumulated structural data.","container-title":"Biology","DOI":"10.3390/biology4020344","ISSN":"2079-7737","issue":"2","journalAbbreviation":"Biology","language":"en","page":"344-366","source":"DOI.org (Crossref)","title":"Enrichment of Druggable Conformations from Apo Protein Structures Using Cosolvent-Accelerated Molecular Dynamics","volume":"4","author":[{"family":"Kalenkiewicz","given":"Andrew"},{"family":"Grant","given":"Barry"},{"family":"Yang","given":"Chao-Yie"}],"issued":{"date-parts":[["2015",4,21]]}}}],"schema":"https://github.com/citation-style-language/schema/raw/master/csl-citation.json"} </w:instrText>
      </w:r>
      <w:r w:rsidR="003A2092">
        <w:fldChar w:fldCharType="separate"/>
      </w:r>
      <w:r w:rsidR="003A2092" w:rsidRPr="00F66FA0">
        <w:rPr>
          <w:rFonts w:cs="Times New Roman"/>
          <w:kern w:val="0"/>
          <w:szCs w:val="24"/>
          <w:vertAlign w:val="superscript"/>
        </w:rPr>
        <w:t>27–35</w:t>
      </w:r>
      <w:r w:rsidR="003A2092">
        <w:fldChar w:fldCharType="end"/>
      </w:r>
      <w:r w:rsidRPr="003C2B71">
        <w:t xml:space="preserve">. Recent advances in protein structure </w:t>
      </w:r>
      <w:r w:rsidR="00076E75">
        <w:t xml:space="preserve">generations </w:t>
      </w:r>
      <w:r w:rsidRPr="003C2B71">
        <w:t>have improved prediction accuracy for conformations</w:t>
      </w:r>
      <w:r w:rsidR="00B24B87">
        <w:t xml:space="preserve"> accessible via experimental probing (such as more dominant, stable conformations)</w:t>
      </w:r>
      <w:r w:rsidRPr="003C2B71">
        <w:t xml:space="preserve">, yet these models frequently exhibit limited generalization to the low-probability tails of the conformational distribution. Because training data are dominated by stable experimentally resolved </w:t>
      </w:r>
      <w:r w:rsidRPr="003C2B71">
        <w:lastRenderedPageBreak/>
        <w:t>structures, generative approaches</w:t>
      </w:r>
      <w:r w:rsidR="006D20AE" w:rsidRPr="006D20AE">
        <w:rPr>
          <w:vertAlign w:val="superscript"/>
        </w:rPr>
        <w:t>48-54</w:t>
      </w:r>
      <w:r w:rsidRPr="003C2B71">
        <w:t xml:space="preserve"> often fail to capture the rare transient states where cryptic pockets emerge</w:t>
      </w:r>
      <w:r w:rsidR="003A2092" w:rsidRPr="003A2092">
        <w:rPr>
          <w:vertAlign w:val="superscript"/>
        </w:rPr>
        <w:t>36-45</w:t>
      </w:r>
      <w:r w:rsidRPr="003C2B71">
        <w:t>. Consequently, current computational</w:t>
      </w:r>
      <w:r w:rsidR="003A2092" w:rsidRPr="003A2092">
        <w:rPr>
          <w:vertAlign w:val="superscript"/>
        </w:rPr>
        <w:t>46</w:t>
      </w:r>
      <w:r w:rsidR="003A2092">
        <w:rPr>
          <w:rFonts w:hint="eastAsia"/>
          <w:vertAlign w:val="superscript"/>
        </w:rPr>
        <w:t>,</w:t>
      </w:r>
      <w:r w:rsidR="003A2092" w:rsidRPr="003A2092">
        <w:rPr>
          <w:rFonts w:hint="eastAsia"/>
          <w:vertAlign w:val="superscript"/>
        </w:rPr>
        <w:t>4</w:t>
      </w:r>
      <w:r w:rsidR="003A2092" w:rsidRPr="003A2092">
        <w:rPr>
          <w:vertAlign w:val="superscript"/>
        </w:rPr>
        <w:t>7</w:t>
      </w:r>
      <w:r w:rsidRPr="003C2B71">
        <w:t xml:space="preserve"> strategies often face a trade-off between physical rigor at prohibitive cost and efficiency at the expense of reliable access to low-population functional states.</w:t>
      </w:r>
      <w:r w:rsidR="00B24B87">
        <w:t xml:space="preserve"> </w:t>
      </w:r>
      <w:r w:rsidR="00A73553" w:rsidRPr="00A73553">
        <w:t>No existing method has yet provided a seamless, end-to-end workflow that starts from sequence alone and automatically translates data-driven structural priors into physically interpretable collective variables for targeted sampling of cryptic allosteric states.</w:t>
      </w:r>
    </w:p>
    <w:p w14:paraId="23B43105" w14:textId="143F7A55" w:rsidR="00A73553" w:rsidRPr="00525DF6" w:rsidRDefault="00A73553" w:rsidP="00525FD7">
      <w:pPr>
        <w:ind w:firstLine="420"/>
      </w:pPr>
      <w:r w:rsidRPr="00525DF6">
        <w:t>As a result, a gap remains between identifying potential allosteric regions and physically realizing the conformational states in which such pockets emerge. Bridging this gap requires a framework that can (</w:t>
      </w:r>
      <w:proofErr w:type="spellStart"/>
      <w:r w:rsidRPr="00525DF6">
        <w:t>i</w:t>
      </w:r>
      <w:proofErr w:type="spellEnd"/>
      <w:r w:rsidRPr="00525DF6">
        <w:t>) infer functionally relevant structural signals from limited information, (ii) translate these signals into physically meaningful coordinates, and (iii) guide efficient exploration of high-dimensional conformational landscapes without extensive human intervention.</w:t>
      </w:r>
    </w:p>
    <w:p w14:paraId="20D8628D" w14:textId="10D21E9F" w:rsidR="00B63F7B" w:rsidRPr="003C2B71" w:rsidRDefault="00525DF6" w:rsidP="003003DE">
      <w:pPr>
        <w:ind w:firstLine="420"/>
      </w:pPr>
      <w:r>
        <w:t xml:space="preserve">Here, </w:t>
      </w:r>
      <w:r w:rsidR="007621C1" w:rsidRPr="003C2B71">
        <w:t xml:space="preserve">we introduce </w:t>
      </w:r>
      <w:proofErr w:type="spellStart"/>
      <w:r w:rsidR="007621C1" w:rsidRPr="003C2B71">
        <w:t>AlloDesigner</w:t>
      </w:r>
      <w:proofErr w:type="spellEnd"/>
      <w:r w:rsidR="007621C1" w:rsidRPr="003C2B71">
        <w:t xml:space="preserve">, </w:t>
      </w:r>
      <w:r w:rsidR="00F42338">
        <w:t xml:space="preserve">an </w:t>
      </w:r>
      <w:r w:rsidR="00F42338">
        <w:rPr>
          <w:rFonts w:hint="eastAsia"/>
        </w:rPr>
        <w:t>e</w:t>
      </w:r>
      <w:r w:rsidR="00F42338">
        <w:t xml:space="preserve">nd-to-end </w:t>
      </w:r>
      <w:r w:rsidR="007621C1" w:rsidRPr="003C2B71">
        <w:t>computational framework that integrates geometric deep learning with physics-based enhanced sampling</w:t>
      </w:r>
      <w:r w:rsidR="00E41456">
        <w:t xml:space="preserve"> (Fig. 1a)</w:t>
      </w:r>
      <w:r w:rsidR="007621C1" w:rsidRPr="003C2B71">
        <w:t xml:space="preserve">. The method first generates low-cost conformational ensembles along putative pocket opening–closing pathways, which serve as training data for a geometric vector perceptron (GVP) graph neural network. This network learns latent structural signatures associated with cryptic pocket formation and translates these biophysical priors into interpretable residue-level reaction coordinates. These coordinates define physically meaningful collective variables that guide </w:t>
      </w:r>
      <w:proofErr w:type="spellStart"/>
      <w:r w:rsidR="007621C1" w:rsidRPr="003C2B71">
        <w:t>metadynamics</w:t>
      </w:r>
      <w:proofErr w:type="spellEnd"/>
      <w:r w:rsidR="007621C1" w:rsidRPr="003C2B71">
        <w:t xml:space="preserve"> simulations, efficiently directing sampling toward rare functional conformations that harbor cryptic allosteric sites. </w:t>
      </w:r>
      <w:r w:rsidR="007621C1">
        <w:t>This approach illustrates a broader computational paradigm in which machine learning extracts latent structural features from approximate ensembles and converts them into physically meaningful coordinates, enabling the efficient exploration of high-dimensional dynamical systems.</w:t>
      </w:r>
    </w:p>
    <w:p w14:paraId="7149A197" w14:textId="4868EE3C" w:rsidR="00B63F7B" w:rsidRPr="003C2B71" w:rsidRDefault="007621C1" w:rsidP="005300EB">
      <w:pPr>
        <w:ind w:firstLine="420"/>
      </w:pPr>
      <w:r w:rsidRPr="003C2B71">
        <w:t xml:space="preserve">Extensive benchmarking on an independent set of 40 diverse allosteric proteins demonstrates that </w:t>
      </w:r>
      <w:proofErr w:type="spellStart"/>
      <w:r w:rsidRPr="003C2B71">
        <w:t>AlloDesigner</w:t>
      </w:r>
      <w:proofErr w:type="spellEnd"/>
      <w:r w:rsidRPr="003C2B71">
        <w:t xml:space="preserve"> substantially outperforms leading structure-based baselines in identifying functionally relevant cryptic pocket residues. The framework exhibits robust generalization to challenging, low-sequence-similarity targets including GPCRs and PCSK9, successfully recovering key allosteric regions and sampling previously unresolved open conformational states</w:t>
      </w:r>
      <w:r w:rsidR="00E41456">
        <w:t xml:space="preserve"> (Fig. 1b-c)</w:t>
      </w:r>
      <w:r w:rsidRPr="003C2B71">
        <w:t>. As a practical demonstration, the approach supports structure-based virtual screening against a newly identified extra-helical allosteric pocket in the GLP-1 receptor, yielding structurally novel candidate ligands. Beyond allosteric drug design, this integrated strategy provides a generalizable paradigm for modeling rare events in high-dimensional biomolecular systems and highlights the potential of hybrid AI-simulation workflows for exploring complex conformational landscapes.</w:t>
      </w:r>
    </w:p>
    <w:p w14:paraId="30C92241" w14:textId="7C88458A" w:rsidR="00B63F7B" w:rsidRPr="005300EB" w:rsidRDefault="005300EB" w:rsidP="005300EB">
      <w:pPr>
        <w:widowControl/>
        <w:spacing w:before="100" w:beforeAutospacing="1" w:after="100" w:afterAutospacing="1"/>
        <w:jc w:val="left"/>
        <w:rPr>
          <w:rFonts w:ascii="宋体" w:eastAsia="宋体" w:hAnsi="宋体" w:cs="宋体"/>
          <w:kern w:val="0"/>
          <w:sz w:val="24"/>
          <w:szCs w:val="24"/>
        </w:rPr>
      </w:pPr>
      <w:r w:rsidRPr="005300EB">
        <w:rPr>
          <w:rFonts w:ascii="宋体" w:eastAsia="宋体" w:hAnsi="宋体" w:cs="宋体"/>
          <w:noProof/>
          <w:kern w:val="0"/>
          <w:sz w:val="24"/>
          <w:szCs w:val="24"/>
        </w:rPr>
        <w:drawing>
          <wp:inline distT="0" distB="0" distL="0" distR="0" wp14:anchorId="24085363" wp14:editId="1162F359">
            <wp:extent cx="5274310" cy="18307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hqprint">
                      <a:extLst>
                        <a:ext uri="{28A0092B-C50C-407E-A947-70E740481C1C}">
                          <a14:useLocalDpi xmlns:a14="http://schemas.microsoft.com/office/drawing/2010/main" val="0"/>
                        </a:ext>
                      </a:extLst>
                    </a:blip>
                    <a:srcRect/>
                    <a:stretch>
                      <a:fillRect/>
                    </a:stretch>
                  </pic:blipFill>
                  <pic:spPr bwMode="auto">
                    <a:xfrm>
                      <a:off x="0" y="0"/>
                      <a:ext cx="5274310" cy="1830705"/>
                    </a:xfrm>
                    <a:prstGeom prst="rect">
                      <a:avLst/>
                    </a:prstGeom>
                    <a:noFill/>
                    <a:ln>
                      <a:noFill/>
                    </a:ln>
                  </pic:spPr>
                </pic:pic>
              </a:graphicData>
            </a:graphic>
          </wp:inline>
        </w:drawing>
      </w:r>
    </w:p>
    <w:p w14:paraId="5687A567" w14:textId="6679F6E2" w:rsidR="006A63CD" w:rsidRDefault="007621C1">
      <w:r>
        <w:rPr>
          <w:b/>
          <w:bCs/>
        </w:rPr>
        <w:t>Figure 1.</w:t>
      </w:r>
      <w:r>
        <w:t xml:space="preserve"> </w:t>
      </w:r>
      <w:r w:rsidR="006A63CD" w:rsidRPr="006A63CD">
        <w:t xml:space="preserve">The </w:t>
      </w:r>
      <w:proofErr w:type="spellStart"/>
      <w:r w:rsidR="006A63CD" w:rsidRPr="006A63CD">
        <w:t>AlloDesigner</w:t>
      </w:r>
      <w:proofErr w:type="spellEnd"/>
      <w:r w:rsidR="006A63CD" w:rsidRPr="006A63CD">
        <w:t xml:space="preserve"> computational framework and application in </w:t>
      </w:r>
      <w:r w:rsidR="00206989" w:rsidRPr="003C2B71">
        <w:t>cryptic</w:t>
      </w:r>
      <w:r w:rsidR="006A63CD" w:rsidRPr="006A63CD">
        <w:t xml:space="preserve"> allosteric pocket </w:t>
      </w:r>
      <w:r w:rsidR="006A63CD" w:rsidRPr="006A63CD">
        <w:lastRenderedPageBreak/>
        <w:t xml:space="preserve">design. </w:t>
      </w:r>
      <w:r w:rsidR="006A63CD" w:rsidRPr="001218DF">
        <w:rPr>
          <w:b/>
          <w:bCs/>
        </w:rPr>
        <w:t>a</w:t>
      </w:r>
      <w:r w:rsidR="006A63CD" w:rsidRPr="001218DF">
        <w:rPr>
          <w:rFonts w:hint="eastAsia"/>
          <w:b/>
          <w:bCs/>
        </w:rPr>
        <w:t>.</w:t>
      </w:r>
      <w:r w:rsidR="006A63CD" w:rsidRPr="006A63CD">
        <w:t xml:space="preserve"> illustrates the framework</w:t>
      </w:r>
      <w:r w:rsidR="006A63CD">
        <w:t>’</w:t>
      </w:r>
      <w:r w:rsidR="006A63CD" w:rsidRPr="006A63CD">
        <w:t xml:space="preserve">s three core mechanisms unifying geometric deep learning and physical enhanced sampling: at the sequence level, machine learning derives the probability of each residue forming a cryptic site; at the ensemble level, this probability signal acts as a physical collective variable (CV) guiding </w:t>
      </w:r>
      <w:proofErr w:type="spellStart"/>
      <w:r w:rsidR="006A63CD" w:rsidRPr="006A63CD">
        <w:t>metadynamics</w:t>
      </w:r>
      <w:proofErr w:type="spellEnd"/>
      <w:r w:rsidR="006A63CD" w:rsidRPr="006A63CD">
        <w:t xml:space="preserve"> to sample functionally preferred conformations; at the functional level, potential pockets are geometrically clustered and consensus-ranked using </w:t>
      </w:r>
      <w:proofErr w:type="spellStart"/>
      <w:r w:rsidR="006A63CD" w:rsidRPr="006A63CD">
        <w:t>DeepAllo</w:t>
      </w:r>
      <w:proofErr w:type="spellEnd"/>
      <w:r w:rsidR="006A63CD" w:rsidRPr="006A63CD">
        <w:t xml:space="preserve"> and PLB </w:t>
      </w:r>
      <w:proofErr w:type="spellStart"/>
      <w:r w:rsidR="006A63CD" w:rsidRPr="006A63CD">
        <w:t>druggability</w:t>
      </w:r>
      <w:proofErr w:type="spellEnd"/>
      <w:r w:rsidR="006A63CD" w:rsidRPr="006A63CD">
        <w:t xml:space="preserve"> scores. </w:t>
      </w:r>
      <w:r w:rsidR="00342AC3" w:rsidRPr="001218DF">
        <w:rPr>
          <w:b/>
          <w:bCs/>
        </w:rPr>
        <w:t>b.</w:t>
      </w:r>
      <w:r w:rsidR="006A63CD" w:rsidRPr="006A63CD">
        <w:t xml:space="preserve"> validates the model</w:t>
      </w:r>
      <w:r w:rsidR="00342AC3">
        <w:t>’</w:t>
      </w:r>
      <w:r w:rsidR="006A63CD" w:rsidRPr="006A63CD">
        <w:t>s precision on multi-type targets with low sequence similarity. The left panel shows the successful identification of a</w:t>
      </w:r>
      <w:r w:rsidR="00342AC3" w:rsidRPr="003C2B71">
        <w:t xml:space="preserve"> cryptic</w:t>
      </w:r>
      <w:r w:rsidR="00342AC3" w:rsidRPr="006A63CD">
        <w:t xml:space="preserve"> </w:t>
      </w:r>
      <w:r w:rsidR="006A63CD" w:rsidRPr="006A63CD">
        <w:t xml:space="preserve">lipid-facing pocket outside the transmembrane helices (TM5 cyan, TM6 pink, TM7 light blue) of the flexible GLP-1 receptor. The right panel demonstrates accurate coverage of three known allosteric pockets (loop, hinge, and </w:t>
      </w:r>
      <w:r w:rsidR="006E2BDD">
        <w:t>β</w:t>
      </w:r>
      <w:r w:rsidR="006A63CD" w:rsidRPr="006A63CD">
        <w:t>-sheet regions) in PCSK9</w:t>
      </w:r>
      <w:r w:rsidR="00711746" w:rsidRPr="00711746">
        <w:rPr>
          <w:vertAlign w:val="superscript"/>
        </w:rPr>
        <w:t>55-58</w:t>
      </w:r>
      <w:r w:rsidR="006A63CD" w:rsidRPr="006A63CD">
        <w:t>. The precise spatial overlap between known key residues (red sticks) and predicted sites (yellow sticks) confirms the paradigm</w:t>
      </w:r>
      <w:r w:rsidR="00365F7F">
        <w:t>’</w:t>
      </w:r>
      <w:r w:rsidR="006A63CD" w:rsidRPr="006A63CD">
        <w:t>s accuracy.</w:t>
      </w:r>
      <w:r w:rsidR="00365F7F">
        <w:t xml:space="preserve"> </w:t>
      </w:r>
      <w:r w:rsidR="00365F7F" w:rsidRPr="001218DF">
        <w:rPr>
          <w:b/>
          <w:bCs/>
        </w:rPr>
        <w:t>c.</w:t>
      </w:r>
      <w:r w:rsidR="006A63CD" w:rsidRPr="001218DF">
        <w:rPr>
          <w:b/>
          <w:bCs/>
        </w:rPr>
        <w:t xml:space="preserve"> </w:t>
      </w:r>
      <w:r w:rsidR="006A63CD" w:rsidRPr="006A63CD">
        <w:t>displays translucent 3D surface models to intuitively visualize the geometric spatial topologies of the targeted allosteric pockets for the GLP-1 receptor (top) and PCSK9 (bottom).</w:t>
      </w:r>
    </w:p>
    <w:p w14:paraId="76894365" w14:textId="77777777" w:rsidR="00B63F7B" w:rsidRDefault="007621C1">
      <w:pPr>
        <w:pStyle w:val="2"/>
        <w:rPr>
          <w:rFonts w:cs="Times New Roman"/>
        </w:rPr>
      </w:pPr>
      <w:r>
        <w:rPr>
          <w:rFonts w:cs="Times New Roman"/>
        </w:rPr>
        <w:t>Results</w:t>
      </w:r>
    </w:p>
    <w:p w14:paraId="4E3DE9EE" w14:textId="4BBEF9C3" w:rsidR="00E06A63" w:rsidRDefault="007621C1" w:rsidP="00105BC1">
      <w:pPr>
        <w:pStyle w:val="3"/>
      </w:pPr>
      <w:r>
        <w:t>Identification of Potential Implicit Allosteric Binding Sites</w:t>
      </w:r>
    </w:p>
    <w:p w14:paraId="3A7708CD" w14:textId="271AB74B" w:rsidR="00525DF6" w:rsidRDefault="00E06A63" w:rsidP="0051209A">
      <w:pPr>
        <w:ind w:firstLine="420"/>
      </w:pPr>
      <w:r w:rsidRPr="00E06A63">
        <w:t xml:space="preserve">To address the computational demands of targeting </w:t>
      </w:r>
      <w:r w:rsidR="00A10A56" w:rsidRPr="006A63CD">
        <w:t>cryptic</w:t>
      </w:r>
      <w:r w:rsidRPr="00E06A63">
        <w:t xml:space="preserve"> allosteric proteins in real-world drug design scenarios, the field currently faces fundamental challenges, including the scarcity of structural data, the prohibitive costs of acquiring dynamic information, and the incomplete annotation of key functional sites. Constrained by these bottlenecks, traditional methods relying on static structures or explicit annotations suffer severe performance degradation in learning environments characterized by small sample sizes, high noise levels, and extreme class imbalance. For instance, models fine-tuned solely on limited static HOLO (ligand-bound) conformations and fragmentary annotations exhibit preliminary residue ranking capabilities (AUROC = 0.71) but fail to effectively identify critical functional sites (AUPR = 0.13, Recall = 0.09). To overcome this, we propose a novel Graph Neural Network (GNN)-based computational paradigm (Fig. 2a). By learning from conformational ensembles of allosteric pocket opening and closing events generated via rapid linear sampling, this approach enables the precise identification of potential </w:t>
      </w:r>
      <w:r w:rsidR="00530AB5" w:rsidRPr="006A63CD">
        <w:t>cryptic</w:t>
      </w:r>
      <w:r w:rsidRPr="00E06A63">
        <w:t xml:space="preserve"> binding sites.</w:t>
      </w:r>
    </w:p>
    <w:p w14:paraId="0EC9FE99" w14:textId="3987BAEC" w:rsidR="00525DF6" w:rsidRPr="00525DF6" w:rsidRDefault="00525DF6" w:rsidP="00525DF6">
      <w:pPr>
        <w:ind w:firstLine="420"/>
      </w:pPr>
      <w:r w:rsidRPr="00525DF6">
        <w:t>Distinct from traditional strategies that rely on computationally expensive molecular dynamics (MD) simulations, we constructed conformational ensembles spanning putative pocket opening and closing configurations using a computationally efficient interpolation-based approach (see Methods). We emphasize that these ensembles are not intended to reproduce physically accurate transition pathways. Instead, they are designed to provide a diverse set of geometrically plausible intermediate states that expose the model to rare and transient structural patterns associated with cryptic pocket formation (see SI Data).</w:t>
      </w:r>
    </w:p>
    <w:p w14:paraId="7638F404" w14:textId="77777777" w:rsidR="00525DF6" w:rsidRPr="00525DF6" w:rsidRDefault="00525DF6" w:rsidP="00525DF6">
      <w:pPr>
        <w:ind w:firstLine="420"/>
      </w:pPr>
      <w:r w:rsidRPr="00525DF6">
        <w:t>Specifically, linear interpolation between HOLO and APO conformations was combined with energy minimization to remove steric artifacts while preserving structural diversity. This strategy enables efficient exploration of a broad conformational space, including strained or high-energy states that may correspond to low-population functional configurations.</w:t>
      </w:r>
    </w:p>
    <w:p w14:paraId="1E812559" w14:textId="46F67DA1" w:rsidR="00525DF6" w:rsidRPr="00525DF6" w:rsidRDefault="00525DF6" w:rsidP="0051209A">
      <w:pPr>
        <w:ind w:firstLine="420"/>
      </w:pPr>
      <w:r w:rsidRPr="00525DF6">
        <w:t xml:space="preserve">This design reflects the objective of the first-stage learning task, which is to identify structural </w:t>
      </w:r>
      <w:r w:rsidRPr="00525DF6">
        <w:lastRenderedPageBreak/>
        <w:t>determinants of cryptic pocket formation rather than to model the underlying kinetics. In contrast to short unbiased molecular dynamics simulations, which often fail to access such conformations within tractable timescales, this approach provides a practical mechanism to generate informative training data without introducing strong assumptions about transition pathways.</w:t>
      </w:r>
    </w:p>
    <w:p w14:paraId="11C7613A" w14:textId="25662972" w:rsidR="00105BC1" w:rsidRDefault="00525DF6" w:rsidP="0051209A">
      <w:pPr>
        <w:ind w:firstLine="420"/>
      </w:pPr>
      <w:r w:rsidRPr="00525DF6">
        <w:t xml:space="preserve">Using this ensemble, we then applied </w:t>
      </w:r>
      <w:r w:rsidR="00105BC1" w:rsidRPr="00105BC1">
        <w:t>LIGSITE</w:t>
      </w:r>
      <w:r w:rsidR="00684AE8" w:rsidRPr="00684AE8">
        <w:rPr>
          <w:vertAlign w:val="superscript"/>
        </w:rPr>
        <w:t>59</w:t>
      </w:r>
      <w:r w:rsidR="00105BC1" w:rsidRPr="00105BC1">
        <w:t xml:space="preserve"> to quantitatively monitor pocket dynamics (Fig. S1), this sampling strategy not only approximates rigorous physical dynamics but also leverages superior computational efficiency and conformational coverage. It effectively captures the geometric statistical signals of spatial residue distribution changes during the "open-close" transitions of allosteric pockets (Fig. 2b), thereby establishing a high-quality, physics-rich training data foundation for the neural network.</w:t>
      </w:r>
    </w:p>
    <w:p w14:paraId="71440F92" w14:textId="5E2FC88F" w:rsidR="00530AB5" w:rsidRDefault="00105BC1">
      <w:pPr>
        <w:ind w:firstLine="420"/>
      </w:pPr>
      <w:r w:rsidRPr="00105BC1">
        <w:t xml:space="preserve">To effectively model allosteric dynamics and provide physically meaningful supervisory signals, we defined </w:t>
      </w:r>
      <w:r w:rsidRPr="006A63CD">
        <w:t>cryptic</w:t>
      </w:r>
      <w:r w:rsidRPr="00105BC1">
        <w:t xml:space="preserve"> pocket residues (termed LIGSITE labels, Fig. 2c) based on the aforementioned ensembles. Specifically, we first extracted pocket grid points </w:t>
      </w:r>
      <w:r w:rsidRPr="00105BC1">
        <w:rPr>
          <w:rFonts w:hint="eastAsia"/>
        </w:rPr>
        <w:t>using the LIGSITE algorithm</w:t>
      </w:r>
      <w:r w:rsidR="00684AE8" w:rsidRPr="00684AE8">
        <w:rPr>
          <w:vertAlign w:val="superscript"/>
        </w:rPr>
        <w:t>59</w:t>
      </w:r>
      <w:r w:rsidRPr="00105BC1">
        <w:rPr>
          <w:rFonts w:hint="eastAsia"/>
        </w:rPr>
        <w:t xml:space="preserve"> and mapped them to surrounding residues based on spatial proximity (</w:t>
      </w:r>
      <w:r w:rsidRPr="00105BC1">
        <w:rPr>
          <w:rFonts w:hint="eastAsia"/>
        </w:rPr>
        <w:t>≤</w:t>
      </w:r>
      <w:r w:rsidRPr="00105BC1">
        <w:rPr>
          <w:rFonts w:hint="eastAsia"/>
        </w:rPr>
        <w:t xml:space="preserve"> 5 Å). Subsequently, residues exhibiting significant perturbations along the allosteric pathway (defined as a grid point fluctuation count &gt; 20) were desi</w:t>
      </w:r>
      <w:r w:rsidRPr="00105BC1">
        <w:t xml:space="preserve">gnated as </w:t>
      </w:r>
      <w:r w:rsidR="0051209A" w:rsidRPr="006A63CD">
        <w:t>cryptic</w:t>
      </w:r>
      <w:r w:rsidRPr="00105BC1">
        <w:t xml:space="preserve"> allosteric sites (see Methods). Systematic comparisons with classical pocket recognition methods reveal that this labeling scheme offers three major advantages: (1) significantly reducing false positives caused by non-functional surface concavities; (2) improving the coverage of known key allosteric sites; and (3) effectively capturing the conformation-dependent dynamic </w:t>
      </w:r>
      <w:r w:rsidR="009F3427" w:rsidRPr="00427ADE">
        <w:t>transition</w:t>
      </w:r>
      <w:r w:rsidRPr="00105BC1">
        <w:t xml:space="preserve"> of pockets (detailed in the SI section </w:t>
      </w:r>
      <w:r w:rsidR="001C06AF">
        <w:t>“</w:t>
      </w:r>
      <w:r w:rsidRPr="00105BC1">
        <w:t>Rationality and Dynamics Analysis of the LIGSITE Label</w:t>
      </w:r>
      <w:r w:rsidR="001C06AF">
        <w:t>”</w:t>
      </w:r>
      <w:r w:rsidRPr="00105BC1">
        <w:t xml:space="preserve">). Biologically, this label not only comprehensively explores potential allosteric regions but also provides crucial priors for extracting physical collective variables (CVs) to guide subsequent </w:t>
      </w:r>
      <w:proofErr w:type="spellStart"/>
      <w:r w:rsidRPr="00105BC1">
        <w:t>metadynamics</w:t>
      </w:r>
      <w:proofErr w:type="spellEnd"/>
      <w:r w:rsidRPr="00105BC1">
        <w:t xml:space="preserve"> simulations, thereby facilitating highly efficient, progressive sampling of complex allosteric processes.</w:t>
      </w:r>
    </w:p>
    <w:p w14:paraId="4C051FFE" w14:textId="6634CE6C" w:rsidR="00105BC1" w:rsidRDefault="0051209A">
      <w:pPr>
        <w:ind w:firstLine="420"/>
      </w:pPr>
      <w:r w:rsidRPr="0051209A">
        <w:t xml:space="preserve">Building upon this innovative paradigm, we employed a Graph Neural Network enhanced by Geometric Vector </w:t>
      </w:r>
      <w:proofErr w:type="spellStart"/>
      <w:r w:rsidRPr="0051209A">
        <w:t>Perceptrons</w:t>
      </w:r>
      <w:proofErr w:type="spellEnd"/>
      <w:r w:rsidRPr="0051209A">
        <w:t xml:space="preserve"> (GVP)</w:t>
      </w:r>
      <w:r w:rsidR="007857A3" w:rsidRPr="007857A3">
        <w:rPr>
          <w:vertAlign w:val="superscript"/>
        </w:rPr>
        <w:t>60</w:t>
      </w:r>
      <w:r w:rsidRPr="0051209A">
        <w:t xml:space="preserve"> to conduct supervised fine-tuning on the LIGSITE labels. On an independent test set (Table 1), the model demonstrated outstanding predictive performance for implicit binding sites (PR-AUC = 0.701, Precision = 0.688, Recall = 0.572), achieving a 50% coverage rate for experimentally annotated allosteric sites. In contrast, the state-of-the-art general cryptic pocket prediction baseline, PocketMiner</w:t>
      </w:r>
      <w:r w:rsidR="00465E97" w:rsidRPr="00465E97">
        <w:rPr>
          <w:vertAlign w:val="superscript"/>
        </w:rPr>
        <w:t>37</w:t>
      </w:r>
      <w:r w:rsidRPr="0051209A">
        <w:t xml:space="preserve">, not only exhibited weaker performance on the test set (PR-AUC = 0.582) but also revealed limitations in residue discriminability and recall when confronted with challenging targets such as GPCRs, KRAS, and PCSK9. The significant superiority of our model on allosteric targets provides compelling evidence that it has successfully captured allostery-specific prior knowledge (detailed in the SI sections </w:t>
      </w:r>
      <w:r w:rsidR="00C44576">
        <w:t>“</w:t>
      </w:r>
      <w:r w:rsidRPr="0051209A">
        <w:t>Design Philosophy of Supervised Learning for Implicit Pocket Residues</w:t>
      </w:r>
      <w:r w:rsidR="00C44576">
        <w:t>”</w:t>
      </w:r>
      <w:r w:rsidRPr="0051209A">
        <w:t xml:space="preserve"> and </w:t>
      </w:r>
      <w:r w:rsidR="00C44576">
        <w:t>“</w:t>
      </w:r>
      <w:r w:rsidRPr="0051209A">
        <w:t>Evaluation of Model Generalization Performance</w:t>
      </w:r>
      <w:r w:rsidR="00C44576">
        <w:t>”</w:t>
      </w:r>
      <w:r w:rsidRPr="0051209A">
        <w:t>).</w:t>
      </w:r>
    </w:p>
    <w:p w14:paraId="26A44725" w14:textId="6389B139" w:rsidR="00105BC1" w:rsidRDefault="00362DC7">
      <w:pPr>
        <w:ind w:firstLine="420"/>
      </w:pPr>
      <w:r w:rsidRPr="00362DC7">
        <w:t xml:space="preserve">In summary, the computational paradigm proposed in this study demonstrates three prominent advantages that collectively advance the field of structure-based drug design. First, the method exhibits broader generalizability by operating completely independently of prior knowledge regarding HOLO conformations, rendering it highly applicable and seamlessly aligned with the practical constraints of real-world drug discovery scenarios. Furthermore, it achieves enhanced computational efficiency; in stark contrast to traditional molecular dynamics simulation paradigms, our approach requires significantly less computational overhead and facilitates the direct identification of binding sites without relying on subsequent, independent pocket detection algorithms. Finally, the framework provides profound mechanistic interpretability. Distinct from </w:t>
      </w:r>
      <w:r w:rsidRPr="00362DC7">
        <w:lastRenderedPageBreak/>
        <w:t xml:space="preserve">conventional protein language models (PLMs) that rely exclusively on one-dimensional sequence information, this approach deeply integrates the biophysical dynamics of the allosteric pocket </w:t>
      </w:r>
      <w:r>
        <w:t>“</w:t>
      </w:r>
      <w:r w:rsidRPr="00362DC7">
        <w:t>open-close</w:t>
      </w:r>
      <w:r>
        <w:t>”</w:t>
      </w:r>
      <w:r w:rsidRPr="00362DC7">
        <w:t xml:space="preserve"> process with learnable biological mechanisms directly into the neural network architecture. This crucial integration ultimately endows the model with superior functional orientation and robust mechanistic transparency for the precise identification of </w:t>
      </w:r>
      <w:r w:rsidR="00E00D0D" w:rsidRPr="006A63CD">
        <w:t>cryptic</w:t>
      </w:r>
      <w:r w:rsidRPr="00362DC7">
        <w:t xml:space="preserve"> allosteric sites.</w:t>
      </w:r>
    </w:p>
    <w:p w14:paraId="4FE7CD54" w14:textId="0E0C1B04" w:rsidR="00B63F7B" w:rsidRDefault="00B63F7B" w:rsidP="00362DC7"/>
    <w:p w14:paraId="0ABCE0F7" w14:textId="77777777" w:rsidR="00B63F7B" w:rsidRDefault="007621C1">
      <w:pPr>
        <w:ind w:firstLine="420"/>
      </w:pPr>
      <w:r>
        <w:rPr>
          <w:rFonts w:cs="Times New Roman"/>
          <w:noProof/>
        </w:rPr>
        <w:drawing>
          <wp:inline distT="0" distB="0" distL="0" distR="0" wp14:anchorId="2AF7C600" wp14:editId="7E73C80F">
            <wp:extent cx="5274310" cy="432181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cstate="hqprint">
                      <a:extLst>
                        <a:ext uri="{28A0092B-C50C-407E-A947-70E740481C1C}">
                          <a14:useLocalDpi xmlns:a14="http://schemas.microsoft.com/office/drawing/2010/main" val="0"/>
                        </a:ext>
                      </a:extLst>
                    </a:blip>
                    <a:srcRect/>
                    <a:stretch>
                      <a:fillRect/>
                    </a:stretch>
                  </pic:blipFill>
                  <pic:spPr>
                    <a:xfrm>
                      <a:off x="0" y="0"/>
                      <a:ext cx="5274310" cy="4321810"/>
                    </a:xfrm>
                    <a:prstGeom prst="rect">
                      <a:avLst/>
                    </a:prstGeom>
                    <a:noFill/>
                    <a:ln>
                      <a:noFill/>
                    </a:ln>
                  </pic:spPr>
                </pic:pic>
              </a:graphicData>
            </a:graphic>
          </wp:inline>
        </w:drawing>
      </w:r>
    </w:p>
    <w:p w14:paraId="3A206E6A" w14:textId="6361534A" w:rsidR="001218DF" w:rsidRDefault="007621C1">
      <w:r>
        <w:rPr>
          <w:b/>
          <w:bCs/>
        </w:rPr>
        <w:t>Figure 2.</w:t>
      </w:r>
      <w:r>
        <w:t xml:space="preserve"> </w:t>
      </w:r>
      <w:r w:rsidR="00EA5C80" w:rsidRPr="00EA5C80">
        <w:t xml:space="preserve">Architecture of the </w:t>
      </w:r>
      <w:proofErr w:type="spellStart"/>
      <w:r w:rsidR="00EA5C80" w:rsidRPr="00EA5C80">
        <w:t>AlloDesigner</w:t>
      </w:r>
      <w:proofErr w:type="spellEnd"/>
      <w:r w:rsidR="00EA5C80" w:rsidRPr="00EA5C80">
        <w:t xml:space="preserve"> model, construction of the allosteric dynamic conformational ensemble, and label generation strategy. </w:t>
      </w:r>
      <w:r w:rsidR="00EA5C80" w:rsidRPr="00EA5C80">
        <w:rPr>
          <w:b/>
          <w:bCs/>
        </w:rPr>
        <w:t>a.</w:t>
      </w:r>
      <w:r w:rsidR="00EA5C80" w:rsidRPr="00EA5C80">
        <w:t xml:space="preserve"> illustrates the model architecture, which utilizes a series of Geometric Vector Perceptron (GVP) message-passing layers to exchange residue information, thereby generating encoded representations for the prediction of cryptic allosteric sites. Specifically, the input protein structure is transformed into a graph representation via GVPs, where node features encompass backbone dihedral angles and </w:t>
      </w:r>
      <w:r w:rsidR="007B4BD8">
        <w:t>Cα</w:t>
      </w:r>
      <w:r w:rsidR="00EA5C80" w:rsidRPr="00EA5C80">
        <w:t xml:space="preserve"> reverse unit vectors, while edge features incorporate radial basis function (RBF) encodings of inter-residue distances alongside unit vectors between </w:t>
      </w:r>
      <w:r w:rsidR="00564C33">
        <w:t>Cα</w:t>
      </w:r>
      <w:r w:rsidR="00EA5C80" w:rsidRPr="00EA5C80">
        <w:t xml:space="preserve"> atoms. During the message-passing phase, the model deeply aggregates neighborhood embeddings, which are ultimately processed by an output GVP layer to execute the precise prediction of potential allosteric sites. </w:t>
      </w:r>
      <w:r w:rsidR="00F62E1D" w:rsidRPr="00F62E1D">
        <w:rPr>
          <w:b/>
          <w:bCs/>
        </w:rPr>
        <w:t>b.</w:t>
      </w:r>
      <w:r w:rsidR="00EA5C80" w:rsidRPr="00EA5C80">
        <w:t xml:space="preserve"> details the construction workflow for the dynamic conformational ensemble of the allosteric pocket. Based on the experimentally resolved ligand-bound (HOLO) structure, rapid sampling is first employed to acquire a cluster of ligand-free (APO) conformations that strictly adhere to the Boltzmann distribution. Subsequently, multiple linear interpolation pathways are established between the APO and HOLO states to uniformly sample intermediate conformations. To ensure physical plausibility, all sampled intermediates undergo </w:t>
      </w:r>
      <w:r w:rsidR="00EA5C80" w:rsidRPr="00EA5C80">
        <w:lastRenderedPageBreak/>
        <w:t xml:space="preserve">rigorous energy minimization to effectively eliminate unphysical steric clashes potentially introduced by the linear interpolation, ultimately integrating them into a high-quality conformational ensemble that authentically reflects the dynamic opening and closing processes of the allosteric pocket. </w:t>
      </w:r>
      <w:r w:rsidR="00EA5C80" w:rsidRPr="00170855">
        <w:rPr>
          <w:b/>
          <w:bCs/>
        </w:rPr>
        <w:t>c</w:t>
      </w:r>
      <w:r w:rsidR="00170855" w:rsidRPr="00170855">
        <w:rPr>
          <w:b/>
          <w:bCs/>
        </w:rPr>
        <w:t>.</w:t>
      </w:r>
      <w:r w:rsidR="00EA5C80" w:rsidRPr="00EA5C80">
        <w:t xml:space="preserve"> presents the dynamic annotation strategy for the conformational ensemble based on LIGSITE. To circumvent the reliance on existing static site annotations, this study leverages the LIGSITE algorithm to dynamically annotate every conformation along the </w:t>
      </w:r>
      <w:r w:rsidR="0043537B" w:rsidRPr="00427ADE">
        <w:t>transition</w:t>
      </w:r>
      <w:r w:rsidR="00EA5C80" w:rsidRPr="00EA5C80">
        <w:t xml:space="preserve">ary trajectory, precisely defining cryptic pockets by calculating and assigning the number of associated grid points to each residue. Taking the allosteric pocket formed by a bifunctional domain (Domain A in light blue and Domain B in pink) as an illustrative example, the yellow surfaces indicate the potential cryptic pocket residues dynamically annotated by LIGSITE along the conformational </w:t>
      </w:r>
      <w:r w:rsidR="00ED1479" w:rsidRPr="00427ADE">
        <w:t>transition</w:t>
      </w:r>
      <w:r w:rsidR="00EA5C80" w:rsidRPr="00EA5C80">
        <w:t>ary path, whereas the red regions represent known key allosteric residues. The visual comparison clearly demonstrates that this dynamic annotation strategy not only effectively covers the known key residues and accurately captures the transient opening and closing dynamics of the pocket but also comprehensively reveals the deep topological features of the target protein</w:t>
      </w:r>
      <w:r w:rsidR="00B46827">
        <w:t>’</w:t>
      </w:r>
      <w:r w:rsidR="00EA5C80" w:rsidRPr="00EA5C80">
        <w:t>s ensemble across multiple HOLO-APO conformational transition pathways.</w:t>
      </w:r>
    </w:p>
    <w:p w14:paraId="5F86A091" w14:textId="77777777" w:rsidR="00B63F7B" w:rsidRDefault="00B63F7B"/>
    <w:p w14:paraId="4ACACBAB" w14:textId="77777777" w:rsidR="00B63F7B" w:rsidRDefault="007621C1">
      <w:r>
        <w:rPr>
          <w:b/>
          <w:bCs/>
        </w:rPr>
        <w:t>Table 1.</w:t>
      </w:r>
      <w:r>
        <w:t xml:space="preserve"> Performance evaluation of the model for cryptic allosteric pocket prediction based on LIGSITE-derived labels.</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1122"/>
        <w:gridCol w:w="1122"/>
        <w:gridCol w:w="1122"/>
        <w:gridCol w:w="1166"/>
        <w:gridCol w:w="1302"/>
        <w:gridCol w:w="1123"/>
      </w:tblGrid>
      <w:tr w:rsidR="00B63F7B" w14:paraId="142174DD" w14:textId="77777777">
        <w:tc>
          <w:tcPr>
            <w:tcW w:w="1185" w:type="dxa"/>
            <w:tcBorders>
              <w:top w:val="single" w:sz="4" w:space="0" w:color="auto"/>
              <w:bottom w:val="single" w:sz="4" w:space="0" w:color="auto"/>
            </w:tcBorders>
          </w:tcPr>
          <w:p w14:paraId="60F435A9" w14:textId="77777777" w:rsidR="00B63F7B" w:rsidRDefault="00B63F7B">
            <w:pPr>
              <w:rPr>
                <w:rFonts w:cs="Times New Roman"/>
              </w:rPr>
            </w:pPr>
          </w:p>
        </w:tc>
        <w:tc>
          <w:tcPr>
            <w:tcW w:w="1185" w:type="dxa"/>
            <w:tcBorders>
              <w:top w:val="single" w:sz="4" w:space="0" w:color="auto"/>
              <w:bottom w:val="single" w:sz="4" w:space="0" w:color="auto"/>
            </w:tcBorders>
          </w:tcPr>
          <w:p w14:paraId="13BB8CBB" w14:textId="77777777" w:rsidR="00B63F7B" w:rsidRDefault="007621C1">
            <w:pPr>
              <w:rPr>
                <w:rFonts w:cs="Times New Roman"/>
              </w:rPr>
            </w:pPr>
            <w:r>
              <w:rPr>
                <w:rFonts w:cs="Times New Roman"/>
              </w:rPr>
              <w:t>AUC</w:t>
            </w:r>
          </w:p>
        </w:tc>
        <w:tc>
          <w:tcPr>
            <w:tcW w:w="1185" w:type="dxa"/>
            <w:tcBorders>
              <w:top w:val="single" w:sz="4" w:space="0" w:color="auto"/>
              <w:bottom w:val="single" w:sz="4" w:space="0" w:color="auto"/>
            </w:tcBorders>
          </w:tcPr>
          <w:p w14:paraId="1D12B0D6" w14:textId="77777777" w:rsidR="00B63F7B" w:rsidRDefault="007621C1">
            <w:pPr>
              <w:rPr>
                <w:rFonts w:cs="Times New Roman"/>
              </w:rPr>
            </w:pPr>
            <w:r>
              <w:rPr>
                <w:rFonts w:cs="Times New Roman"/>
              </w:rPr>
              <w:t>PR-AUC</w:t>
            </w:r>
          </w:p>
        </w:tc>
        <w:tc>
          <w:tcPr>
            <w:tcW w:w="1185" w:type="dxa"/>
            <w:tcBorders>
              <w:top w:val="single" w:sz="4" w:space="0" w:color="auto"/>
              <w:bottom w:val="single" w:sz="4" w:space="0" w:color="auto"/>
            </w:tcBorders>
          </w:tcPr>
          <w:p w14:paraId="7116BF7B" w14:textId="77777777" w:rsidR="00B63F7B" w:rsidRDefault="007621C1">
            <w:pPr>
              <w:rPr>
                <w:rFonts w:cs="Times New Roman"/>
              </w:rPr>
            </w:pPr>
            <w:r>
              <w:rPr>
                <w:rFonts w:cs="Times New Roman"/>
              </w:rPr>
              <w:t>F1</w:t>
            </w:r>
          </w:p>
        </w:tc>
        <w:tc>
          <w:tcPr>
            <w:tcW w:w="1185" w:type="dxa"/>
            <w:tcBorders>
              <w:top w:val="single" w:sz="4" w:space="0" w:color="auto"/>
              <w:bottom w:val="single" w:sz="4" w:space="0" w:color="auto"/>
            </w:tcBorders>
          </w:tcPr>
          <w:p w14:paraId="10BCC54D" w14:textId="77777777" w:rsidR="00B63F7B" w:rsidRDefault="007621C1">
            <w:pPr>
              <w:rPr>
                <w:rFonts w:cs="Times New Roman"/>
              </w:rPr>
            </w:pPr>
            <w:r>
              <w:rPr>
                <w:rFonts w:cs="Times New Roman"/>
              </w:rPr>
              <w:t>RECALL</w:t>
            </w:r>
          </w:p>
        </w:tc>
        <w:tc>
          <w:tcPr>
            <w:tcW w:w="1185" w:type="dxa"/>
            <w:tcBorders>
              <w:top w:val="single" w:sz="4" w:space="0" w:color="auto"/>
              <w:bottom w:val="single" w:sz="4" w:space="0" w:color="auto"/>
            </w:tcBorders>
          </w:tcPr>
          <w:p w14:paraId="34E9D8F0" w14:textId="77777777" w:rsidR="00B63F7B" w:rsidRDefault="007621C1">
            <w:pPr>
              <w:rPr>
                <w:rFonts w:cs="Times New Roman"/>
              </w:rPr>
            </w:pPr>
            <w:r>
              <w:rPr>
                <w:rFonts w:cs="Times New Roman"/>
              </w:rPr>
              <w:t>PRECISION</w:t>
            </w:r>
          </w:p>
        </w:tc>
        <w:tc>
          <w:tcPr>
            <w:tcW w:w="1186" w:type="dxa"/>
            <w:tcBorders>
              <w:top w:val="single" w:sz="4" w:space="0" w:color="auto"/>
              <w:bottom w:val="single" w:sz="4" w:space="0" w:color="auto"/>
            </w:tcBorders>
          </w:tcPr>
          <w:p w14:paraId="0A345159" w14:textId="77777777" w:rsidR="00B63F7B" w:rsidRDefault="007621C1">
            <w:pPr>
              <w:rPr>
                <w:rFonts w:cs="Times New Roman"/>
              </w:rPr>
            </w:pPr>
            <w:r>
              <w:rPr>
                <w:rFonts w:cs="Times New Roman"/>
              </w:rPr>
              <w:t>FPR</w:t>
            </w:r>
          </w:p>
        </w:tc>
      </w:tr>
      <w:tr w:rsidR="00B63F7B" w14:paraId="38DCCDDE" w14:textId="77777777">
        <w:tc>
          <w:tcPr>
            <w:tcW w:w="1185" w:type="dxa"/>
            <w:tcBorders>
              <w:top w:val="single" w:sz="4" w:space="0" w:color="auto"/>
            </w:tcBorders>
          </w:tcPr>
          <w:p w14:paraId="628CF83B" w14:textId="77777777" w:rsidR="00B63F7B" w:rsidRDefault="007621C1">
            <w:pPr>
              <w:rPr>
                <w:rFonts w:cs="Times New Roman"/>
              </w:rPr>
            </w:pPr>
            <w:proofErr w:type="spellStart"/>
            <w:r>
              <w:rPr>
                <w:rFonts w:cs="Times New Roman"/>
              </w:rPr>
              <w:t>AlloDesigner</w:t>
            </w:r>
            <w:proofErr w:type="spellEnd"/>
          </w:p>
        </w:tc>
        <w:tc>
          <w:tcPr>
            <w:tcW w:w="1185" w:type="dxa"/>
            <w:tcBorders>
              <w:top w:val="single" w:sz="4" w:space="0" w:color="auto"/>
            </w:tcBorders>
          </w:tcPr>
          <w:p w14:paraId="551BE73E" w14:textId="7938C4C3" w:rsidR="00B63F7B" w:rsidRDefault="007621C1">
            <w:pPr>
              <w:rPr>
                <w:rFonts w:cs="Times New Roman"/>
              </w:rPr>
            </w:pPr>
            <w:r>
              <w:rPr>
                <w:rFonts w:cs="Times New Roman"/>
              </w:rPr>
              <w:t>0.84</w:t>
            </w:r>
            <w:r w:rsidR="00494180">
              <w:rPr>
                <w:rFonts w:cs="Times New Roman"/>
              </w:rPr>
              <w:t>2</w:t>
            </w:r>
          </w:p>
        </w:tc>
        <w:tc>
          <w:tcPr>
            <w:tcW w:w="1185" w:type="dxa"/>
            <w:tcBorders>
              <w:top w:val="single" w:sz="4" w:space="0" w:color="auto"/>
            </w:tcBorders>
          </w:tcPr>
          <w:p w14:paraId="2A83205F" w14:textId="77777777" w:rsidR="00B63F7B" w:rsidRDefault="007621C1">
            <w:pPr>
              <w:rPr>
                <w:rFonts w:cs="Times New Roman"/>
              </w:rPr>
            </w:pPr>
            <w:r>
              <w:rPr>
                <w:rFonts w:cs="Times New Roman"/>
              </w:rPr>
              <w:t>0.701</w:t>
            </w:r>
          </w:p>
        </w:tc>
        <w:tc>
          <w:tcPr>
            <w:tcW w:w="1185" w:type="dxa"/>
            <w:tcBorders>
              <w:top w:val="single" w:sz="4" w:space="0" w:color="auto"/>
            </w:tcBorders>
          </w:tcPr>
          <w:p w14:paraId="037DB71B" w14:textId="77777777" w:rsidR="00B63F7B" w:rsidRDefault="007621C1">
            <w:pPr>
              <w:rPr>
                <w:rFonts w:cs="Times New Roman"/>
              </w:rPr>
            </w:pPr>
            <w:r>
              <w:rPr>
                <w:rFonts w:cs="Times New Roman"/>
              </w:rPr>
              <w:t>0.625</w:t>
            </w:r>
          </w:p>
        </w:tc>
        <w:tc>
          <w:tcPr>
            <w:tcW w:w="1185" w:type="dxa"/>
            <w:tcBorders>
              <w:top w:val="single" w:sz="4" w:space="0" w:color="auto"/>
            </w:tcBorders>
          </w:tcPr>
          <w:p w14:paraId="08E62B14" w14:textId="77777777" w:rsidR="00B63F7B" w:rsidRDefault="007621C1">
            <w:pPr>
              <w:rPr>
                <w:rFonts w:cs="Times New Roman"/>
              </w:rPr>
            </w:pPr>
            <w:r>
              <w:rPr>
                <w:rFonts w:cs="Times New Roman"/>
              </w:rPr>
              <w:t>0.572</w:t>
            </w:r>
          </w:p>
        </w:tc>
        <w:tc>
          <w:tcPr>
            <w:tcW w:w="1185" w:type="dxa"/>
            <w:tcBorders>
              <w:top w:val="single" w:sz="4" w:space="0" w:color="auto"/>
            </w:tcBorders>
          </w:tcPr>
          <w:p w14:paraId="010F4E73" w14:textId="77777777" w:rsidR="00B63F7B" w:rsidRDefault="007621C1">
            <w:pPr>
              <w:rPr>
                <w:rFonts w:cs="Times New Roman"/>
              </w:rPr>
            </w:pPr>
            <w:r>
              <w:rPr>
                <w:rFonts w:cs="Times New Roman"/>
              </w:rPr>
              <w:t>0.688</w:t>
            </w:r>
          </w:p>
        </w:tc>
        <w:tc>
          <w:tcPr>
            <w:tcW w:w="1186" w:type="dxa"/>
            <w:tcBorders>
              <w:top w:val="single" w:sz="4" w:space="0" w:color="auto"/>
            </w:tcBorders>
          </w:tcPr>
          <w:p w14:paraId="43413D63" w14:textId="77777777" w:rsidR="00B63F7B" w:rsidRDefault="007621C1">
            <w:pPr>
              <w:rPr>
                <w:rFonts w:cs="Times New Roman"/>
              </w:rPr>
            </w:pPr>
            <w:r>
              <w:rPr>
                <w:rFonts w:cs="Times New Roman"/>
              </w:rPr>
              <w:t>0.093</w:t>
            </w:r>
          </w:p>
        </w:tc>
      </w:tr>
      <w:tr w:rsidR="00B63F7B" w14:paraId="577F1019" w14:textId="77777777">
        <w:tc>
          <w:tcPr>
            <w:tcW w:w="1185" w:type="dxa"/>
          </w:tcPr>
          <w:p w14:paraId="09D286DB" w14:textId="77777777" w:rsidR="00B63F7B" w:rsidRDefault="007621C1">
            <w:pPr>
              <w:rPr>
                <w:rFonts w:cs="Times New Roman"/>
              </w:rPr>
            </w:pPr>
            <w:proofErr w:type="spellStart"/>
            <w:r>
              <w:rPr>
                <w:rFonts w:cs="Times New Roman"/>
              </w:rPr>
              <w:t>PocketMiner</w:t>
            </w:r>
            <w:proofErr w:type="spellEnd"/>
          </w:p>
        </w:tc>
        <w:tc>
          <w:tcPr>
            <w:tcW w:w="1185" w:type="dxa"/>
          </w:tcPr>
          <w:p w14:paraId="6C8C44CA" w14:textId="77777777" w:rsidR="00B63F7B" w:rsidRDefault="007621C1">
            <w:pPr>
              <w:rPr>
                <w:rFonts w:cs="Times New Roman"/>
              </w:rPr>
            </w:pPr>
            <w:r>
              <w:rPr>
                <w:rFonts w:cs="Times New Roman"/>
              </w:rPr>
              <w:t>0.783</w:t>
            </w:r>
          </w:p>
        </w:tc>
        <w:tc>
          <w:tcPr>
            <w:tcW w:w="1185" w:type="dxa"/>
          </w:tcPr>
          <w:p w14:paraId="5C37F34A" w14:textId="77777777" w:rsidR="00B63F7B" w:rsidRDefault="007621C1">
            <w:pPr>
              <w:rPr>
                <w:rFonts w:cs="Times New Roman"/>
              </w:rPr>
            </w:pPr>
            <w:r>
              <w:rPr>
                <w:rFonts w:cs="Times New Roman"/>
              </w:rPr>
              <w:t>0.582</w:t>
            </w:r>
          </w:p>
        </w:tc>
        <w:tc>
          <w:tcPr>
            <w:tcW w:w="1185" w:type="dxa"/>
          </w:tcPr>
          <w:p w14:paraId="697D4C1A" w14:textId="77777777" w:rsidR="00B63F7B" w:rsidRDefault="007621C1">
            <w:pPr>
              <w:rPr>
                <w:rFonts w:cs="Times New Roman"/>
              </w:rPr>
            </w:pPr>
            <w:r>
              <w:rPr>
                <w:rFonts w:cs="Times New Roman"/>
              </w:rPr>
              <w:t>0.523</w:t>
            </w:r>
          </w:p>
        </w:tc>
        <w:tc>
          <w:tcPr>
            <w:tcW w:w="1185" w:type="dxa"/>
          </w:tcPr>
          <w:p w14:paraId="06DD62B5" w14:textId="77777777" w:rsidR="00B63F7B" w:rsidRDefault="007621C1">
            <w:pPr>
              <w:rPr>
                <w:rFonts w:cs="Times New Roman"/>
              </w:rPr>
            </w:pPr>
            <w:r>
              <w:rPr>
                <w:rFonts w:cs="Times New Roman"/>
              </w:rPr>
              <w:t>0.467</w:t>
            </w:r>
          </w:p>
        </w:tc>
        <w:tc>
          <w:tcPr>
            <w:tcW w:w="1185" w:type="dxa"/>
          </w:tcPr>
          <w:p w14:paraId="76206463" w14:textId="77777777" w:rsidR="00B63F7B" w:rsidRDefault="007621C1">
            <w:pPr>
              <w:rPr>
                <w:rFonts w:cs="Times New Roman"/>
              </w:rPr>
            </w:pPr>
            <w:r>
              <w:rPr>
                <w:rFonts w:cs="Times New Roman"/>
              </w:rPr>
              <w:t>0.595</w:t>
            </w:r>
          </w:p>
        </w:tc>
        <w:tc>
          <w:tcPr>
            <w:tcW w:w="1186" w:type="dxa"/>
          </w:tcPr>
          <w:p w14:paraId="53B8115D" w14:textId="77777777" w:rsidR="00B63F7B" w:rsidRDefault="007621C1">
            <w:pPr>
              <w:rPr>
                <w:rFonts w:cs="Times New Roman"/>
              </w:rPr>
            </w:pPr>
            <w:r>
              <w:rPr>
                <w:rFonts w:cs="Times New Roman"/>
              </w:rPr>
              <w:t>0.121</w:t>
            </w:r>
          </w:p>
        </w:tc>
      </w:tr>
    </w:tbl>
    <w:p w14:paraId="40997DD4" w14:textId="77777777" w:rsidR="00B63F7B" w:rsidRDefault="00B63F7B"/>
    <w:p w14:paraId="5B7CF353" w14:textId="77777777" w:rsidR="00B63F7B" w:rsidRDefault="007621C1">
      <w:pPr>
        <w:pStyle w:val="3"/>
      </w:pPr>
      <w:r>
        <w:t xml:space="preserve">AI-Prior–Guided </w:t>
      </w:r>
      <w:proofErr w:type="spellStart"/>
      <w:r>
        <w:t>Metadynamics</w:t>
      </w:r>
      <w:proofErr w:type="spellEnd"/>
      <w:r>
        <w:t xml:space="preserve"> for Preference-Oriented Conformational Sampling</w:t>
      </w:r>
    </w:p>
    <w:p w14:paraId="1A575271" w14:textId="7B519A8F" w:rsidR="00B63F7B" w:rsidRDefault="00D40048">
      <w:pPr>
        <w:ind w:firstLine="420"/>
      </w:pPr>
      <w:r w:rsidRPr="00D40048">
        <w:t xml:space="preserve">In capturing rare conformations such as cryptic allosteric pockets, the </w:t>
      </w:r>
      <w:r>
        <w:t>“</w:t>
      </w:r>
      <w:r w:rsidRPr="00D40048">
        <w:t>AI-guided physical simulation</w:t>
      </w:r>
      <w:r>
        <w:t>”</w:t>
      </w:r>
      <w:r w:rsidRPr="00D40048">
        <w:t xml:space="preserve"> paradigm has garnered significant attention for its ability to balance atomic-level realism with efficient conformational sampling. However, its core computational bottleneck lies in the generation of high-quality, structurally diverse initial conformations. Although existing studies have attempted to expand conformational coverage through multiple sequence alignment (MSA) subsampling (e.g., AFCluster</w:t>
      </w:r>
      <w:r w:rsidR="00A82C85">
        <w:fldChar w:fldCharType="begin"/>
      </w:r>
      <w:r w:rsidR="00A82C85">
        <w:instrText xml:space="preserve"> ADDIN ZOTERO_ITEM CSL_CITATION {"citationID":"a76E98cz","properties":{"formattedCitation":"\\super 61\\nosupersub{}","plainCitation":"61","noteIndex":0},"citationItems":[{"id":154,"uris":["http://zotero.org/users/local/AHnUcuem/items/743Y6IM5"],"itemData":{"id":154,"type":"article-journal","abstract":"Abstract\n            \n              AlphaFold2 (ref. \n              1\n              ) has revolutionized structural biology by accurately predicting single structures of proteins. However, a protein’s biological function often depends on multiple conformational substates\n              2\n              , and disease-causing point mutations often cause population changes within these substates\n              3,4\n              . We demonstrate that clustering a multiple-sequence alignment by sequence similarity enables AlphaFold2 to sample alternative states of known metamorphic proteins with high confidence. Using this method, named AF-Cluster, we investigated the evolutionary distribution of predicted structures for the metamorphic protein KaiB\n              5\n              and found that predictions of both conformations were distributed in clusters across the KaiB family. We used nuclear magnetic resonance spectroscopy to confirm an AF-Cluster prediction: a cyanobacteria KaiB variant is stabilized in the opposite state compared with the more widely studied variant. To test AF-Cluster’s sensitivity to point mutations, we designed and experimentally verified a set of three mutations predicted to flip KaiB from\n              Rhodobacter sphaeroides\n              from the ground to the fold-switched state. Finally, screening for alternative states in protein families without known fold switching identified a putative alternative state for the oxidoreductase Mpt53 in\n              Mycobacterium tuberculosis\n              . Further development of such bioinformatic methods in tandem with experiments will probably have a considerable impact on predicting protein energy landscapes, essential for illuminating biological function.","container-title":"Nature","DOI":"10.1038/s41586-023-06832-9","ISSN":"0028-0836, 1476-4687","issue":"7996","journalAbbreviation":"Nature","language":"en","page":"832-839","source":"DOI.org (Crossref)","title":"Predicting multiple conformations via sequence clustering and AlphaFold2","volume":"625","author":[{"family":"Wayment-Steele","given":"Hannah K."},{"family":"Ojoawo","given":"Adedolapo"},{"family":"Otten","given":"Renee"},{"family":"Apitz","given":"Julia M."},{"family":"Pitsawong","given":"Warintra"},{"family":"Hömberger","given":"Marc"},{"family":"Ovchinnikov","given":"Sergey"},{"family":"Colwell","given":"Lucy"},{"family":"Kern","given":"Dorothee"}],"issued":{"date-parts":[["2024",1,25]]}}}],"schema":"https://github.com/citation-style-language/schema/raw/master/csl-citation.json"} </w:instrText>
      </w:r>
      <w:r w:rsidR="00A82C85">
        <w:fldChar w:fldCharType="separate"/>
      </w:r>
      <w:r w:rsidR="00A82C85" w:rsidRPr="00A30D76">
        <w:rPr>
          <w:rFonts w:cs="Times New Roman"/>
          <w:kern w:val="0"/>
          <w:szCs w:val="24"/>
          <w:vertAlign w:val="superscript"/>
        </w:rPr>
        <w:t>61</w:t>
      </w:r>
      <w:r w:rsidR="00A82C85">
        <w:fldChar w:fldCharType="end"/>
      </w:r>
      <w:r w:rsidR="002D0927">
        <w:t xml:space="preserve">, </w:t>
      </w:r>
      <w:r w:rsidR="002D0927" w:rsidRPr="001C4A52">
        <w:t>AFsample3</w:t>
      </w:r>
      <w:r w:rsidR="002D0927">
        <w:fldChar w:fldCharType="begin"/>
      </w:r>
      <w:r w:rsidR="002D0927">
        <w:instrText xml:space="preserve"> ADDIN ZOTERO_ITEM CSL_CITATION {"citationID":"1ij7WWN9","properties":{"formattedCitation":"\\super 62\\nosupersub{}","plainCitation":"62","noteIndex":0},"citationItems":[{"id":167,"uris":["http://zotero.org/users/local/AHnUcuem/items/PC6A6E6C"],"itemData":{"id":167,"type":"article-journal","language":"en","source":"Zotero","title":"AFsample3: Generating and selecting multiple conformational states with Alphafold3","author":[{"family":"Kalakoti","given":"Yogesh"},{"family":"Wallner","given":"Björn"}]}}],"schema":"https://github.com/citation-style-language/schema/raw/master/csl-citation.json"} </w:instrText>
      </w:r>
      <w:r w:rsidR="002D0927">
        <w:fldChar w:fldCharType="separate"/>
      </w:r>
      <w:r w:rsidR="002D0927" w:rsidRPr="00A30D76">
        <w:rPr>
          <w:rFonts w:cs="Times New Roman"/>
          <w:kern w:val="0"/>
          <w:szCs w:val="24"/>
          <w:vertAlign w:val="superscript"/>
        </w:rPr>
        <w:t>62</w:t>
      </w:r>
      <w:r w:rsidR="002D0927">
        <w:fldChar w:fldCharType="end"/>
      </w:r>
      <w:r w:rsidRPr="00D40048">
        <w:t>), flow-based generative models (e.g., AlphaFlow</w:t>
      </w:r>
      <w:r w:rsidR="00A82C85">
        <w:fldChar w:fldCharType="begin"/>
      </w:r>
      <w:r w:rsidR="00A82C85">
        <w:instrText xml:space="preserve"> ADDIN ZOTERO_ITEM CSL_CITATION {"citationID":"Sk4IUrTz","properties":{"formattedCitation":"\\super 63\\nosupersub{}","plainCitation":"63","noteIndex":0},"citationItems":[{"id":156,"uris":["http://zotero.org/users/local/AHnUcuem/items/PPW7HLG6"],"itemData":{"id":156,"type":"article","abstract":"The biological functions of proteins often depend on dynamic structural ensembles. In this work, we develop a flow-based generative modeling approach for learning and sampling the conformational landscapes of proteins. We repurpose highly accurate single-state predictors such as AlphaFold and ESMFold and fine-tune them under a custom flow matching framework to obtain sequence-conditioned generative models of protein structure called AlphaFLOW and ESMFLOW. When trained and evaluated on the PDB, our method provides a superior combination of precision and diversity compared to AlphaFold with MSA subsampling. When further trained on ensembles from all-atom MD, our method accurately captures conformational flexibility, positional distributions, and higherorder ensemble observables for unseen proteins. Moreover, our method can diversify a static PDB structure with faster wall-clock convergence to certain equilibrium properties than replicate MD trajectories, demonstrating its potential as a proxy for expensive physics-based simulations. Code is available at https://github.com/ bjing2016/alphaflow.","DOI":"10.48550/arXiv.2402.04845","language":"en","note":"arXiv:2402.04845 [q-bio]","number":"arXiv:2402.04845","publisher":"arXiv","source":"arXiv.org","title":"AlphaFold Meets Flow Matching for Generating Protein Ensembles","URL":"http://arxiv.org/abs/2402.04845","author":[{"family":"Jing","given":"Bowen"},{"family":"Berger","given":"Bonnie"},{"family":"Jaakkola","given":"Tommi"}],"accessed":{"date-parts":[["2026",3,4]]},"issued":{"date-parts":[["2024",9,2]]}}}],"schema":"https://github.com/citation-style-language/schema/raw/master/csl-citation.json"} </w:instrText>
      </w:r>
      <w:r w:rsidR="00A82C85">
        <w:fldChar w:fldCharType="separate"/>
      </w:r>
      <w:r w:rsidR="00A82C85" w:rsidRPr="00A30D76">
        <w:rPr>
          <w:rFonts w:cs="Times New Roman"/>
          <w:kern w:val="0"/>
          <w:szCs w:val="24"/>
          <w:vertAlign w:val="superscript"/>
        </w:rPr>
        <w:t>63</w:t>
      </w:r>
      <w:r w:rsidR="00A82C85">
        <w:fldChar w:fldCharType="end"/>
      </w:r>
      <w:r w:rsidRPr="00D40048">
        <w:t>), or ligand-induced co-folding</w:t>
      </w:r>
      <w:r w:rsidR="00A82C85">
        <w:fldChar w:fldCharType="begin"/>
      </w:r>
      <w:r w:rsidR="00A82C85">
        <w:instrText xml:space="preserve"> ADDIN ZOTERO_ITEM CSL_CITATION {"citationID":"fqh6zdp8","properties":{"formattedCitation":"\\super 53,54\\nosupersub{}","plainCitation":"53,54","noteIndex":0},"citationItems":[{"id":128,"uris":["http://zotero.org/users/local/AHnUcuem/items/ZWMVKYWW"],"itemData":{"id":128,"type":"article-journal","abstract":"Abstract\n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M."}],"issued":{"date-parts":[["2024",6,13]]}}},{"id":130,"uris":["http://zotero.org/users/local/AHnUcuem/items/A8M2WIMH"],"itemData":{"id":130,"type":"article-journal","abstract":"Accurately modeling biomolecular interactions is a central challenge in modern biology. While recent advances, such as AlphaFold3 and Boltz-1, have substantially improved our ability to predict biomolecular complex structures, these models still fall short in predicting binding affinity, a critical property underlying molecular function and therapeutic efficacy. Here, we present Boltz-2, a new structural biology foundation model that exhibits strong performance for both structure and affinity prediction. Boltz-2 introduces controllability features including experimental method conditioning, distance constraints, and multi-chain template integration for structure prediction, and is, to our knowledge, the first AI model to approach the performance of free-energy perturbation (FEP) methods in estimating small molecule–protein binding affinity. Crucially, it achieves strong correlation with experimental readouts on many benchmarks, while being at least 1000× more computationally efficient than FEP. By coupling Boltz-2 with a generative model for small molecules, we demonstrate an effective workflow to find diverse, synthesizable, high-affinity binders, as estimated by absolute FEP simulations on the TYK2 target. To foster broad adoption and further innovation at the intersection of machine learning and biology, we are releasing Boltz-2 weights, inference, and training code 1 under a permissive open license, providing a robust and extensible foundation for both academic and industrial research.","language":"en","source":"Zotero","title":"Boltz-2: Towards Accurate and Efficient Binding Affinity Prediction"}}],"schema":"https://github.com/citation-style-language/schema/raw/master/csl-citation.json"} </w:instrText>
      </w:r>
      <w:r w:rsidR="00A82C85">
        <w:fldChar w:fldCharType="separate"/>
      </w:r>
      <w:r w:rsidR="00A82C85" w:rsidRPr="00A30D76">
        <w:rPr>
          <w:rFonts w:cs="Times New Roman"/>
          <w:kern w:val="0"/>
          <w:szCs w:val="24"/>
          <w:vertAlign w:val="superscript"/>
        </w:rPr>
        <w:t>53,54</w:t>
      </w:r>
      <w:r w:rsidR="00A82C85">
        <w:fldChar w:fldCharType="end"/>
      </w:r>
      <w:r w:rsidRPr="00D40048">
        <w:t>, these methods are fundamentally constrained by their reliance on known structural or ligand priors. Consequently, their capacity for targeted sampling and rational design remains severely limited when addressing functionally specific cryptic allosteric pockets (for a detailed evaluation of these limitations, see SI and Fig. S4).</w:t>
      </w:r>
    </w:p>
    <w:p w14:paraId="6C9555A4" w14:textId="20F58DC0" w:rsidR="0015495A" w:rsidRDefault="00AA2E53">
      <w:pPr>
        <w:ind w:firstLine="420"/>
      </w:pPr>
      <w:r w:rsidRPr="00AA2E53">
        <w:t>Inspired by co-evolutionary information purification strategies</w:t>
      </w:r>
      <w:r w:rsidR="003F093D">
        <w:fldChar w:fldCharType="begin"/>
      </w:r>
      <w:r w:rsidR="003F093D">
        <w:instrText xml:space="preserve"> ADDIN ZOTERO_ITEM CSL_CITATION {"citationID":"bAxQfLrm","properties":{"formattedCitation":"\\super 64\\nosupersub{}","plainCitation":"64","noteIndex":0},"citationItems":[{"id":159,"uris":["http://zotero.org/users/local/AHnUcuem/items/GQDB6HYB"],"itemData":{"id":159,"type":"article","abstract":"AlphaFold2 (AF2) has transformed protein structure prediction by harnessing co-evolutionary constraints embedded in multiple sequence alignments (MSAs). MSAs not only encode static structural information, but also hold critical details about protein dynamics, which underpin biological functions. However, these subtle coevolutionary signatures, which dictate conformational state preferences, are often obscured by noise within MSA data and thus remain challenging to decipher. Here, we introduce AF-ClaSeq, a systematic framework that isolates these co-evolutionary signals through sequence purification and iterative enrichment. By extracting sequence subsets that preferentially encode distinct structural states, AF-ClaSeq enables high-confidence predictions of alternative conformations. Our findings reveal that the successful sampling of alternative states depends not on MSA depth but on sequence purity. Intriguingly, purified sequences encoding specific structural states are distributed across phylogenetic clades and superfamilies, rather than confined to specific lineages. Expanding upon AF2's transformative capabilities, AF-ClaSeq provides a powerful approach for uncovering hidden structural plasticity, advancing allosteric protein and drug design, and facilitating dynamics-based protein function annotation.","DOI":"10.21203/rs.3.rs-6087969/v1","language":"en","license":"https://creativecommons.org/licenses/by/4.0/","publisher":"In Review","source":"DOI.org (Crossref)","title":"Leveraging Sequence Purification for Accurate Prediction of Multiple Conformational States with AlphaFold2","URL":"https://www.researchsquare.com/article/rs-6087969/v1","author":[{"family":"Cheng","given":"Xiaolin"},{"family":"Xing","given":"Enming"},{"family":"Zhang","given":"Junjie"},{"family":"Wang","given":"Shen"}],"accessed":{"date-parts":[["2026",3,4]]},"issued":{"date-parts":[["2025",3,4]]}}}],"schema":"https://github.com/citation-style-language/schema/raw/master/csl-citation.json"} </w:instrText>
      </w:r>
      <w:r w:rsidR="003F093D">
        <w:fldChar w:fldCharType="separate"/>
      </w:r>
      <w:r w:rsidR="003F093D" w:rsidRPr="00A30D76">
        <w:rPr>
          <w:rFonts w:cs="Times New Roman"/>
          <w:kern w:val="0"/>
          <w:szCs w:val="24"/>
          <w:vertAlign w:val="superscript"/>
        </w:rPr>
        <w:t>64</w:t>
      </w:r>
      <w:r w:rsidR="003F093D">
        <w:fldChar w:fldCharType="end"/>
      </w:r>
      <w:r w:rsidRPr="00AA2E53">
        <w:t xml:space="preserve">, we propose a novel computational paradigm that utilizes potential cryptic allosteric sites—predicted via deep learning—as spatial priors to guide the preference sampling of functionally specific pockets. Building upon the large-scale identification of potential allosteric residues, this paradigm first integrates a multi-metric consensus evaluation system (see Methods) with biological priors to precisely filter key residue combinations associated with specific allosteric functions (Fig. 3a-b). Subsequently, pocket-like distance metrics are constructed based on the spatial distance features of </w:t>
      </w:r>
      <w:r w:rsidRPr="00AA2E53">
        <w:lastRenderedPageBreak/>
        <w:t>these key residues to perform iterative enrichment and cross-group sampling on the original MSA. By incorporating a sequence-conformation preference voting mechanism (see Methods), we ultimately purify a sequence subset with explicit functional tendencies, thereby acquiring preferred initial conformations strictly directed toward specific cryptic allosteric pockets (Fig. 3c-d). This pipeline successfully bridges the gap from broad prediction to functional focusing in an end-to-end manner, providing a highly directional structural starting point for downstream physical simulations.</w:t>
      </w:r>
    </w:p>
    <w:p w14:paraId="2D230363" w14:textId="38C6BAB0" w:rsidR="00AA2E53" w:rsidRDefault="00AA2E53">
      <w:pPr>
        <w:ind w:firstLine="420"/>
      </w:pPr>
      <w:r w:rsidRPr="00AA2E53">
        <w:t>To further enhance the physical reliability of the conformations and maximize sampling efficiency at the atomic scale, we employ metadynamics</w:t>
      </w:r>
      <w:r w:rsidR="007D6889">
        <w:fldChar w:fldCharType="begin"/>
      </w:r>
      <w:r w:rsidR="007D6889">
        <w:instrText xml:space="preserve"> ADDIN ZOTERO_ITEM CSL_CITATION {"citationID":"MMAOQN0Y","properties":{"formattedCitation":"\\super 39\\nosupersub{}","plainCitation":"39","noteIndex":0},"citationItems":[{"id":110,"uris":["http://zotero.org/users/local/AHnUcuem/items/F833HG7F"],"itemData":{"id":110,"type":"article-journal","abstract":"While AlphaFold2 is rapidly being adopted as a new standard in protein structure predictions, it is limited to single structures. This can be insufficient for the inherently dynamic world of biomolecules. In this Letter, we propose AlphaFold2-RAVE, an efficient protocol for obtaining Boltzmannranked ensembles from sequence. The method uses structural outputs from AlphaFold2 as initializations for artificial intelligence-augmented molecular dynamics. We release the method as an open-source code and demonstrate results on different proteins.","container-title":"Journal of Chemical Theory and Computation","DOI":"10.1021/acs.jctc.3c00290","ISSN":"1549-9618, 1549-9626","issue":"14","journalAbbreviation":"J. Chem. Theory Comput.","language":"en","license":"https://doi.org/10.15223/policy-029","page":"4351-4354","source":"DOI.org (Crossref)","title":"AlphaFold2-RAVE: From Sequence to Boltzmann Ranking","title-short":"AlphaFold2-RAVE","volume":"19","author":[{"family":"Vani","given":"Bodhi P."},{"family":"Aranganathan","given":"Akashnathan"},{"family":"Wang","given":"Dedi"},{"family":"Tiwary","given":"Pratyush"}],"issued":{"date-parts":[["2023",7,25]]}}}],"schema":"https://github.com/citation-style-language/schema/raw/master/csl-citation.json"} </w:instrText>
      </w:r>
      <w:r w:rsidR="007D6889">
        <w:fldChar w:fldCharType="separate"/>
      </w:r>
      <w:r w:rsidR="007D6889" w:rsidRPr="00A30D76">
        <w:rPr>
          <w:rFonts w:cs="Times New Roman"/>
          <w:kern w:val="0"/>
          <w:szCs w:val="24"/>
          <w:vertAlign w:val="superscript"/>
        </w:rPr>
        <w:t>39</w:t>
      </w:r>
      <w:r w:rsidR="007D6889">
        <w:fldChar w:fldCharType="end"/>
      </w:r>
      <w:r w:rsidRPr="00AA2E53">
        <w:t xml:space="preserve"> to perform enhanced sampling on the aforementioned initial preferred conformations (Fig. 4a). Specifically, centered on the key site residues enriched by the machine learning module, we define their solvent-accessible surface area (SASA) or inter-residue pair distances as collective variables (CVs; see Methods). By applying bias potentials along these customized, physics-informed CVs, the simulation is effectively guided to evolve along functionally preferred structural pathways, enabling the highly efficient acquisition of allosteric pocket conformations that possess both atomic precision and explicit functional directionality.</w:t>
      </w:r>
    </w:p>
    <w:p w14:paraId="734B8060" w14:textId="6D05967B" w:rsidR="0015495A" w:rsidRDefault="00AA2E53">
      <w:pPr>
        <w:ind w:firstLine="420"/>
      </w:pPr>
      <w:r w:rsidRPr="00AA2E53">
        <w:t xml:space="preserve">To rigorously validate the necessity of each core component within this </w:t>
      </w:r>
      <w:r>
        <w:t>“</w:t>
      </w:r>
      <w:r w:rsidRPr="00AA2E53">
        <w:t>AI-guided physical sampling</w:t>
      </w:r>
      <w:r>
        <w:t>”</w:t>
      </w:r>
      <w:r w:rsidRPr="00AA2E53">
        <w:t xml:space="preserve"> strategy, we conducted systematic ablation studies. This pipeline innovatively integrates GVP score-guided MSA enrichment, the automated definition of interpretable CVs, and SPIB-optimized </w:t>
      </w:r>
      <w:proofErr w:type="spellStart"/>
      <w:r w:rsidRPr="00AA2E53">
        <w:t>metadynamics</w:t>
      </w:r>
      <w:proofErr w:type="spellEnd"/>
      <w:r w:rsidRPr="00AA2E53">
        <w:t xml:space="preserve"> simulations, with empirical results proving that all these components are absolutely indispensable to the overall paradigm. For instance, </w:t>
      </w:r>
      <w:r w:rsidR="006A27C3">
        <w:t>u</w:t>
      </w:r>
      <w:r w:rsidR="006A27C3" w:rsidRPr="006A27C3">
        <w:t xml:space="preserve">nbiased MD </w:t>
      </w:r>
      <w:r w:rsidR="005D4218">
        <w:t>s</w:t>
      </w:r>
      <w:r w:rsidR="006A27C3" w:rsidRPr="006A27C3">
        <w:t xml:space="preserve">imulations </w:t>
      </w:r>
      <w:r w:rsidR="005D4218">
        <w:t>l</w:t>
      </w:r>
      <w:r w:rsidR="006A27C3" w:rsidRPr="006A27C3">
        <w:t xml:space="preserve">acking CV </w:t>
      </w:r>
      <w:r w:rsidR="005D4218">
        <w:t>g</w:t>
      </w:r>
      <w:r w:rsidR="006A27C3" w:rsidRPr="006A27C3">
        <w:t>uidance</w:t>
      </w:r>
      <w:r w:rsidR="006A27C3">
        <w:t xml:space="preserve">: </w:t>
      </w:r>
      <w:r w:rsidRPr="00AA2E53">
        <w:t xml:space="preserve">when utilizing the preferred conformation as a starting point for conventional unbiased molecular dynamics simulations of identical duration, the sampling success rate for the target pocket is significantly lower compared to the CV-guided biased simulations (Fig. 4d). Furthermore, </w:t>
      </w:r>
      <w:r w:rsidR="005D4218">
        <w:t>g</w:t>
      </w:r>
      <w:r w:rsidR="005D4218" w:rsidRPr="005D4218">
        <w:t xml:space="preserve">uidance </w:t>
      </w:r>
      <w:r w:rsidR="005D4218">
        <w:t>u</w:t>
      </w:r>
      <w:r w:rsidR="005D4218" w:rsidRPr="005D4218">
        <w:t xml:space="preserve">tilizing </w:t>
      </w:r>
      <w:r w:rsidR="005D4218">
        <w:t>h</w:t>
      </w:r>
      <w:r w:rsidR="005D4218" w:rsidRPr="005D4218">
        <w:t>igh-</w:t>
      </w:r>
      <w:r w:rsidR="005D4218">
        <w:t>d</w:t>
      </w:r>
      <w:r w:rsidR="005D4218" w:rsidRPr="005D4218">
        <w:t xml:space="preserve">imensional </w:t>
      </w:r>
      <w:r w:rsidR="005D4218">
        <w:t>r</w:t>
      </w:r>
      <w:r w:rsidR="005D4218" w:rsidRPr="005D4218">
        <w:t>andom CVs</w:t>
      </w:r>
      <w:r w:rsidR="005D4218">
        <w:t xml:space="preserve">: </w:t>
      </w:r>
      <w:r w:rsidRPr="00AA2E53">
        <w:t xml:space="preserve">extracting the sine and cosine values of all 438 rotatable dihedral angles of a target (e.g., the GLP-1 protein) to serve as high-dimensional random CVs for SPIB-optimized biased simulations proves to be extremely computationally exhaustive; this approach yields a mere 1 to 2 ns/day, effectively reducing sampling efficiency by nearly 50-fold relative to our optimized method. The necessity of deriving an initial preferred conformation is also starkly evident: relying directly on conformations sampled from the source MSA almost completely fails to capture fully open pocket states (volume &gt; 500 Å³; Fig. S5f). Similarly, employing the highest-confidence predicted conformation as the starting point for identical biased simulations restricts the resulting sampled pocket volumes to strictly below 250 Å³ (Fig. 4c). As an additional benchmark, utilizing general conformational generative models like </w:t>
      </w:r>
      <w:proofErr w:type="spellStart"/>
      <w:r w:rsidRPr="00AA2E53">
        <w:t>AlphaFlow</w:t>
      </w:r>
      <w:proofErr w:type="spellEnd"/>
      <w:r w:rsidRPr="00AA2E53">
        <w:t xml:space="preserve"> yields ensembles where only approximately 10% of the generated conformations achieve a pocket volume greater than 400 Å³. Comprehensive analyses of specific targets such as GLP-1 (Fig. S5) definitively show that all these comparative schemes are significantly inferior to our proposed computational framework—which sustains a sampling efficiency of 50 to 70 ns/day (Fig. 4b)—in terms of both the average sampled dimensions of the target cryptic pocket and overarching computational efficiency. These findings unequivocally establish that standard structure prediction, unbiased simulations, or general generative models alone are insufficient for capturing the precise structural nuances of rare events like functionally relevant cryptic allosteric pockets, powerfully highlighting the critical synergy between targeted preference guidance and physical enhanced sampling.</w:t>
      </w:r>
    </w:p>
    <w:p w14:paraId="03D49F2F" w14:textId="5F39B3A7" w:rsidR="0015495A" w:rsidRDefault="002D0708" w:rsidP="002D0708">
      <w:pPr>
        <w:ind w:firstLine="420"/>
      </w:pPr>
      <w:r w:rsidRPr="002D0708">
        <w:t xml:space="preserve">In summary, the end-to-end computational framework constructed in this study, </w:t>
      </w:r>
      <w:proofErr w:type="spellStart"/>
      <w:r w:rsidRPr="002D0708">
        <w:t>AlloDesigner</w:t>
      </w:r>
      <w:proofErr w:type="spellEnd"/>
      <w:r w:rsidRPr="002D0708">
        <w:t xml:space="preserve">, </w:t>
      </w:r>
      <w:r w:rsidRPr="002D0708">
        <w:lastRenderedPageBreak/>
        <w:t xml:space="preserve">realizes the integrated design of a </w:t>
      </w:r>
      <w:r w:rsidR="007271CB">
        <w:t>“</w:t>
      </w:r>
      <w:r w:rsidRPr="002D0708">
        <w:t>sequence-conformational ensemble-function</w:t>
      </w:r>
      <w:r w:rsidR="007271CB">
        <w:t>”</w:t>
      </w:r>
      <w:r w:rsidRPr="002D0708">
        <w:t xml:space="preserve"> pipeline for cryptic allosteric proteins for the first time. Representing the first known method to directly translate machine learning sequence scores into interpretable </w:t>
      </w:r>
      <w:r w:rsidR="001F5B2C" w:rsidRPr="001F5B2C">
        <w:t>residue-level</w:t>
      </w:r>
      <w:r w:rsidR="001F5B2C">
        <w:t xml:space="preserve"> </w:t>
      </w:r>
      <w:r w:rsidRPr="002D0708">
        <w:t xml:space="preserve">collective variables (CVs) through automated MSA purification and conformational selection, this paradigm successfully achieves highly efficient, targeted exploration of rare cryptic states relying solely on a single primary sequence. By systematically unifying deep learning predictions, co-evolutionary preference sampling, and </w:t>
      </w:r>
      <w:proofErr w:type="spellStart"/>
      <w:r w:rsidRPr="002D0708">
        <w:t>metadynamics</w:t>
      </w:r>
      <w:proofErr w:type="spellEnd"/>
      <w:r w:rsidRPr="002D0708">
        <w:t xml:space="preserve"> simulations, this work not only provides a robust, physics-grounded computational solution for allosteric regulation research but also significantly broadens the methodological boundaries for the structural exploration and design of other complex, highly dynamic </w:t>
      </w:r>
      <w:proofErr w:type="spellStart"/>
      <w:r w:rsidRPr="002D0708">
        <w:t>biomacromolecular</w:t>
      </w:r>
      <w:proofErr w:type="spellEnd"/>
      <w:r w:rsidRPr="002D0708">
        <w:t xml:space="preserve"> systems.</w:t>
      </w:r>
    </w:p>
    <w:p w14:paraId="7BECCEDB" w14:textId="77777777" w:rsidR="0015495A" w:rsidRDefault="0015495A">
      <w:pPr>
        <w:ind w:firstLine="420"/>
      </w:pPr>
    </w:p>
    <w:p w14:paraId="2302888D" w14:textId="77777777" w:rsidR="00B63F7B" w:rsidRDefault="007621C1">
      <w:pPr>
        <w:ind w:firstLine="420"/>
      </w:pPr>
      <w:r>
        <w:rPr>
          <w:rFonts w:cs="Times New Roman"/>
          <w:noProof/>
        </w:rPr>
        <w:drawing>
          <wp:inline distT="0" distB="0" distL="0" distR="0" wp14:anchorId="3ACEF464" wp14:editId="30826D6E">
            <wp:extent cx="5274310" cy="390652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hqprint">
                      <a:extLst>
                        <a:ext uri="{28A0092B-C50C-407E-A947-70E740481C1C}">
                          <a14:useLocalDpi xmlns:a14="http://schemas.microsoft.com/office/drawing/2010/main" val="0"/>
                        </a:ext>
                      </a:extLst>
                    </a:blip>
                    <a:srcRect/>
                    <a:stretch>
                      <a:fillRect/>
                    </a:stretch>
                  </pic:blipFill>
                  <pic:spPr>
                    <a:xfrm>
                      <a:off x="0" y="0"/>
                      <a:ext cx="5274310" cy="3906520"/>
                    </a:xfrm>
                    <a:prstGeom prst="rect">
                      <a:avLst/>
                    </a:prstGeom>
                    <a:noFill/>
                    <a:ln>
                      <a:noFill/>
                    </a:ln>
                  </pic:spPr>
                </pic:pic>
              </a:graphicData>
            </a:graphic>
          </wp:inline>
        </w:drawing>
      </w:r>
    </w:p>
    <w:p w14:paraId="333D5859" w14:textId="77777777" w:rsidR="00B63F7B" w:rsidRDefault="00B63F7B">
      <w:pPr>
        <w:ind w:firstLine="420"/>
      </w:pPr>
    </w:p>
    <w:p w14:paraId="2CFB9FDE" w14:textId="762F03FA" w:rsidR="007621C1" w:rsidRDefault="007621C1">
      <w:r>
        <w:rPr>
          <w:b/>
          <w:bCs/>
        </w:rPr>
        <w:t>Figure 3.</w:t>
      </w:r>
      <w:r>
        <w:t xml:space="preserve"> </w:t>
      </w:r>
      <w:r w:rsidR="0022094C" w:rsidRPr="0022094C">
        <w:t>Functional preference-guided enhanced sampling directed by the prior of cryptic allosteric site predictions.</w:t>
      </w:r>
      <w:r w:rsidR="0022094C">
        <w:t xml:space="preserve"> </w:t>
      </w:r>
      <w:r w:rsidR="0022094C" w:rsidRPr="0022094C">
        <w:rPr>
          <w:b/>
          <w:bCs/>
        </w:rPr>
        <w:t>a.</w:t>
      </w:r>
      <w:r w:rsidR="0022094C" w:rsidRPr="0022094C">
        <w:t xml:space="preserve"> illustrates the spatial clustering analysis of potential allosteric pockets. Leveraging a metastable conformational ensemble generated through random sub-sampling of the multiple sequence alignment (MSA) (Fig. S6), the DBSCAN algorithm</w:t>
      </w:r>
      <w:r w:rsidR="00EC0E32">
        <w:fldChar w:fldCharType="begin"/>
      </w:r>
      <w:r w:rsidR="00EC0E32">
        <w:instrText xml:space="preserve"> ADDIN ZOTERO_ITEM CSL_CITATION {"citationID":"6D6koTDz","properties":{"formattedCitation":"\\super 65\\nosupersub{}","plainCitation":"65","noteIndex":0},"citationItems":[{"id":161,"uris":["http://zotero.org/users/local/AHnUcuem/items/KJFVJUZE"],"itemData":{"id":161,"type":"article-journal","abstract":"At SIGMOD 2015, an article was presented with the title “DBSCAN Revisited: Mis-Claim, Un-Fixability, and Approximation” that won the conference’s best paper award. In this technical correspondence, we want to point out some inaccuracies in the way DBSCAN was represented, and why the criticism should have been directed at the assumption about the performance of spatial index structures such as R-trees and not at an algorithm that can use such indexes. We will also discuss the relationship of DBSCAN performance and the indexability of the dataset, and discuss some heuristics for choosing appropriate DBSCAN parameters. Some indicators of bad parameters will be proposed to help guide future users of this algorithm in choosing parameters such as to obtain both meaningful results and good performance. In new experiments, we show that the new SIGMOD 2015 methods do not appear to offer practical benefits if the DBSCAN parameters are well chosen and thus they are primarily of theoretical interest. In conclusion, the original DBSCAN algorithm with effective indexes and reasonably chosen parameter values performs competitively compared to the method proposed by Gan and Tao.","container-title":"ACM Transactions on Database Systems","DOI":"10.1145/3068335","ISSN":"0362-5915, 1557-4644","issue":"3","journalAbbreviation":"ACM Trans. Database Syst.","language":"en","page":"1-21","source":"DOI.org (Crossref)","title":"DBSCAN Revisited, Revisited: Why and How You Should (Still) Use DBSCAN","title-short":"DBSCAN Revisited, Revisited","volume":"42","author":[{"family":"Schubert","given":"Erich"},{"family":"Sander","given":"Jörg"},{"family":"Ester","given":"Martin"},{"family":"Kriegel","given":"Hans Peter"},{"family":"Xu","given":"Xiaowei"}],"issued":{"date-parts":[["2017",9,30]]}}}],"schema":"https://github.com/citation-style-language/schema/raw/master/csl-citation.json"} </w:instrText>
      </w:r>
      <w:r w:rsidR="00EC0E32">
        <w:fldChar w:fldCharType="separate"/>
      </w:r>
      <w:r w:rsidR="00EC0E32" w:rsidRPr="00A30D76">
        <w:rPr>
          <w:rFonts w:cs="Times New Roman"/>
          <w:kern w:val="0"/>
          <w:szCs w:val="24"/>
          <w:vertAlign w:val="superscript"/>
        </w:rPr>
        <w:t>65</w:t>
      </w:r>
      <w:r w:rsidR="00EC0E32">
        <w:fldChar w:fldCharType="end"/>
      </w:r>
      <w:r w:rsidR="0022094C" w:rsidRPr="0022094C">
        <w:t xml:space="preserve"> is employed to perform geometric spatial clustering on the deep learning-predicted cryptic allosteric residues, thereby identifying the spatial distribution patterns of potential pockets. </w:t>
      </w:r>
      <w:r w:rsidR="00093247" w:rsidRPr="00093247">
        <w:rPr>
          <w:b/>
          <w:bCs/>
        </w:rPr>
        <w:t>b.</w:t>
      </w:r>
      <w:r w:rsidR="0022094C" w:rsidRPr="0022094C">
        <w:t xml:space="preserve"> presents a dual-dimensional functional evaluation system for these identified regions. By synergistically integrating the </w:t>
      </w:r>
      <w:proofErr w:type="spellStart"/>
      <w:r w:rsidR="0022094C" w:rsidRPr="0022094C">
        <w:t>DeepAllo</w:t>
      </w:r>
      <w:proofErr w:type="spellEnd"/>
      <w:r w:rsidR="0022094C" w:rsidRPr="0022094C">
        <w:t xml:space="preserve"> score</w:t>
      </w:r>
      <w:r w:rsidR="008B6313">
        <w:fldChar w:fldCharType="begin"/>
      </w:r>
      <w:r w:rsidR="008B6313">
        <w:instrText xml:space="preserve"> ADDIN ZOTERO_ITEM CSL_CITATION {"citationID":"J7Dy8ca7","properties":{"formattedCitation":"\\super 66\\nosupersub{}","plainCitation":"66","noteIndex":0},"citationItems":[{"id":163,"uris":["http://zotero.org/users/local/AHnUcuem/items/DMTWEN68"],"itemData":{"id":163,"type":"article","abstract":"Allostery, the process by which binding at one site perturbs a distant site, is being rendered as a key focus in the field of drug development with its substantial impact on protein function. The identification of allosteric sites is a challenging task and several techniques have been developed, including Machine Learning (ML) to predict allosteric sites that utilize both static and pocket features. Our work, DeepAllo, is the first study that combines fine-tuned protein language model (pLM) with FPocket features and shows an increase in prediction performance of allosteric sites over previous studies. The pLM model was fine-tuned on Allosteric Dataset (ASD) in Multitask Learning (MTL) setting and was further used as a feature extractor to train XGBoost and AutoML models. The best model predicts allosteric pockets with 89.66% F1 score and 90.5% of allosteric pockets in the top 3 positions, outperforming previous results. A case study has been performed on proteins with known allosteric sites, which shows the proof of our approach. Moreover, an effort was made to explain the pLM by visualizing its attention mechanism among allosteric and non-allosteric residues.","DOI":"10.1101/2024.10.09.617427","language":"en","license":"http://creativecommons.org/licenses/by/4.0/","publisher":"Bioinformatics","source":"DOI.org (Crossref)","title":"DeepAllo: Allosteric Site Prediction using Protein Language Model (pLM) with Multitask Learning","title-short":"DeepAllo","URL":"http://biorxiv.org/lookup/doi/10.1101/2024.10.09.617427","author":[{"family":"Khokhar","given":"Moaaz"},{"family":"Keskin","given":"Ozlem"},{"family":"Gursoy","given":"Attila"}],"accessed":{"date-parts":[["2026",3,4]]},"issued":{"date-parts":[["2024",10,13]]}}}],"schema":"https://github.com/citation-style-language/schema/raw/master/csl-citation.json"} </w:instrText>
      </w:r>
      <w:r w:rsidR="008B6313">
        <w:fldChar w:fldCharType="separate"/>
      </w:r>
      <w:r w:rsidR="008B6313" w:rsidRPr="00A30D76">
        <w:rPr>
          <w:rFonts w:cs="Times New Roman"/>
          <w:kern w:val="0"/>
          <w:szCs w:val="24"/>
          <w:vertAlign w:val="superscript"/>
        </w:rPr>
        <w:t>66</w:t>
      </w:r>
      <w:r w:rsidR="008B6313">
        <w:fldChar w:fldCharType="end"/>
      </w:r>
      <w:r w:rsidR="0022094C" w:rsidRPr="0022094C">
        <w:t>, which measures allosteric regulatory characteristics, and the PLB score</w:t>
      </w:r>
      <w:r w:rsidR="008B6313">
        <w:fldChar w:fldCharType="begin"/>
      </w:r>
      <w:r w:rsidR="008B6313">
        <w:instrText xml:space="preserve"> ADDIN ZOTERO_ITEM CSL_CITATION {"citationID":"tvKltftF","properties":{"formattedCitation":"\\super 67\\nosupersub{}","plainCitation":"67","noteIndex":0},"citationItems":[{"id":165,"uris":["http://zotero.org/users/local/AHnUcuem/items/MWM3C4EX"],"itemData":{"id":165,"type":"article-journal","container-title":"Journal of Chemical Information and Modeling","DOI":"10.1021/ci6002202","ISSN":"1549-9596, 1549-960X","issue":"2","journalAbbreviation":"J. Chem. Inf. Model.","language":"en","page":"400-406","source":"DOI.org (Crossref)","title":"Use of Amino Acid Composition to Predict Ligand-Binding Sites","volume":"47","author":[{"family":"Soga","given":"Shinji"},{"family":"Shirai","given":"Hiroki"},{"family":"Kobori","given":"Masato"},{"family":"Hirayama","given":"Noriaki"}],"issued":{"date-parts":[["2007",3,1]]}}}],"schema":"https://github.com/citation-style-language/schema/raw/master/csl-citation.json"} </w:instrText>
      </w:r>
      <w:r w:rsidR="008B6313">
        <w:fldChar w:fldCharType="separate"/>
      </w:r>
      <w:r w:rsidR="008B6313" w:rsidRPr="00A30D76">
        <w:rPr>
          <w:rFonts w:cs="Times New Roman"/>
          <w:kern w:val="0"/>
          <w:szCs w:val="24"/>
          <w:vertAlign w:val="superscript"/>
        </w:rPr>
        <w:t>67</w:t>
      </w:r>
      <w:r w:rsidR="008B6313">
        <w:fldChar w:fldCharType="end"/>
      </w:r>
      <w:r w:rsidR="0022094C" w:rsidRPr="0022094C">
        <w:t xml:space="preserve">, which evaluates binding compatibility, the clustered pockets are quantitatively assessed to enable the precise screening of high-potential functional allosteric cavities. Building upon this, </w:t>
      </w:r>
      <w:r w:rsidR="00093247" w:rsidRPr="00093247">
        <w:rPr>
          <w:b/>
          <w:bCs/>
        </w:rPr>
        <w:t>c.</w:t>
      </w:r>
      <w:r w:rsidR="0022094C" w:rsidRPr="0022094C">
        <w:t xml:space="preserve"> details the quantitative evaluation of conformational preference. Based on the key residues of the specifically screened functional pockets, the Euclidean distance (denoted as the distance score) between their </w:t>
      </w:r>
      <w:r w:rsidR="0022094C" w:rsidRPr="0022094C">
        <w:lastRenderedPageBreak/>
        <w:t>geometric center and the pocket center identified by the Fpocket algorithm</w:t>
      </w:r>
      <w:r w:rsidR="00BD60FD">
        <w:fldChar w:fldCharType="begin"/>
      </w:r>
      <w:r w:rsidR="00BD60FD">
        <w:instrText xml:space="preserve"> ADDIN ZOTERO_ITEM CSL_CITATION {"citationID":"KBU5f8VN","properties":{"formattedCitation":"\\super 68\\nosupersub{}","plainCitation":"68","noteIndex":0},"citationItems":[{"id":172,"uris":["http://zotero.org/users/local/AHnUcuem/items/JPM3JINA"],"itemData":{"id":172,"type":"article-journal","abstract":"Background: Virtual screening methods start to be well established as effective approaches to identify hits, candidates and leads for drug discovery research. Among those, structure based virtual screening (SBVS) approaches aim at docking collections of small compounds in the target structure to identify potent compounds. For SBVS, the identification of candidate pockets in protein structures is a key feature, and the recent years have seen increasing interest in developing methods for pocket and cavity detection on protein surfaces.\nResults: Fpocket is an open source pocket detection package based on Voronoi tessellation and alpha spheres built on top of the publicly available package Qhull. The modular source code is organised around a central library of functions, a basis for three main programs: (i) Fpocket, to perform pocket identification, (ii) Tpocket, to organise pocket detection benchmarking on a set of known protein-ligand complexes, and (iii) Dpocket, to collect pocket descriptor values on a set of proteins. Fpocket is written in the C programming language, which makes it a platform well suited for the scientific community willing to develop new scoring functions and extract various pocket descriptors on a large scale level. Fpocket 1.0, relying on a simple scoring function, is able to detect 94% and 92% of the pockets within the best three ranked pockets from the holo and apo proteins respectively, outperforming the standards of the field, while being faster.\nConclusion: Fpocket provides a rapid, open source and stable basis for further developments related to protein pocket detection, efficient pocket descriptor extraction, or drugablity prediction purposes. Fpocket is freely available under the GNU GPL license at http://fpocket.sourceforge.net.","container-title":"BMC Bioinformatics","DOI":"10.1186/1471-2105-10-168","ISSN":"1471-2105","issue":"1","journalAbbreviation":"BMC Bioinformatics","language":"en","page":"168","source":"DOI.org (Crossref)","title":"Fpocket: An open source platform for ligand pocket detection","title-short":"Fpocket","volume":"10","author":[{"family":"Le Guilloux","given":"Vincent"},{"family":"Schmidtke","given":"Peter"},{"family":"Tuffery","given":"Pierre"}],"issued":{"date-parts":[["2009",12]]}}}],"schema":"https://github.com/citation-style-language/schema/raw/master/csl-citation.json"} </w:instrText>
      </w:r>
      <w:r w:rsidR="00BD60FD">
        <w:fldChar w:fldCharType="separate"/>
      </w:r>
      <w:r w:rsidR="00BD60FD" w:rsidRPr="00A30D76">
        <w:rPr>
          <w:rFonts w:cs="Times New Roman"/>
          <w:kern w:val="0"/>
          <w:szCs w:val="24"/>
          <w:vertAlign w:val="superscript"/>
        </w:rPr>
        <w:t>68</w:t>
      </w:r>
      <w:r w:rsidR="00BD60FD">
        <w:fldChar w:fldCharType="end"/>
      </w:r>
      <w:r w:rsidR="0022094C" w:rsidRPr="0022094C">
        <w:t xml:space="preserve"> is calculated. This metric rigorously quantifies the degree of preference of each conformation toward the target pocket, effectively tracking the conformational distribution shift towards the desired functional state. </w:t>
      </w:r>
      <w:r w:rsidR="0034230A" w:rsidRPr="0034230A">
        <w:rPr>
          <w:b/>
          <w:bCs/>
        </w:rPr>
        <w:t>d.</w:t>
      </w:r>
      <w:r w:rsidR="0022094C" w:rsidRPr="0022094C">
        <w:t xml:space="preserve"> outlines the iterative enrichment and purification of functionally preferred sequences. A multi-round iterative enrichment and cross-group sampling strategy is applied to process the source MSA. In each iteration, sequences are rigorously filtered based on their conformational preference scores, and a cross-group voting mechanism is introduced to classify and purify the co-evolutionary signals. This systematic process ultimately extracts a subset of functionally preferred sequences explicitly directed toward the specific cryptic allosteric pocket. </w:t>
      </w:r>
    </w:p>
    <w:p w14:paraId="07EBA53F" w14:textId="77777777" w:rsidR="007621C1" w:rsidRDefault="007621C1"/>
    <w:p w14:paraId="5A53DDEA" w14:textId="77777777" w:rsidR="00B63F7B" w:rsidRDefault="007621C1">
      <w:r>
        <w:rPr>
          <w:noProof/>
        </w:rPr>
        <w:drawing>
          <wp:inline distT="0" distB="0" distL="0" distR="0" wp14:anchorId="16ACEB48" wp14:editId="02CAE63A">
            <wp:extent cx="5274310" cy="361950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 cstate="hqprint">
                      <a:extLst>
                        <a:ext uri="{28A0092B-C50C-407E-A947-70E740481C1C}">
                          <a14:useLocalDpi xmlns:a14="http://schemas.microsoft.com/office/drawing/2010/main" val="0"/>
                        </a:ext>
                      </a:extLst>
                    </a:blip>
                    <a:srcRect/>
                    <a:stretch>
                      <a:fillRect/>
                    </a:stretch>
                  </pic:blipFill>
                  <pic:spPr>
                    <a:xfrm>
                      <a:off x="0" y="0"/>
                      <a:ext cx="5274310" cy="3619500"/>
                    </a:xfrm>
                    <a:prstGeom prst="rect">
                      <a:avLst/>
                    </a:prstGeom>
                    <a:noFill/>
                    <a:ln>
                      <a:noFill/>
                    </a:ln>
                  </pic:spPr>
                </pic:pic>
              </a:graphicData>
            </a:graphic>
          </wp:inline>
        </w:drawing>
      </w:r>
    </w:p>
    <w:p w14:paraId="5E7550FF" w14:textId="77777777" w:rsidR="00B63F7B" w:rsidRDefault="00B63F7B"/>
    <w:p w14:paraId="412A5F98" w14:textId="48EA9DA7" w:rsidR="000E1BEE" w:rsidRDefault="007621C1">
      <w:r>
        <w:rPr>
          <w:b/>
          <w:bCs/>
        </w:rPr>
        <w:t>Figure 4.</w:t>
      </w:r>
      <w:r>
        <w:t xml:space="preserve"> </w:t>
      </w:r>
      <w:r w:rsidR="000E1BEE" w:rsidRPr="000E1BEE">
        <w:t xml:space="preserve">Pipeline for the acquisition of stable equilibrium conformations via preference-guided enhanced sampling and corresponding ablation studies. </w:t>
      </w:r>
      <w:r w:rsidR="000E1BEE" w:rsidRPr="000E1BEE">
        <w:rPr>
          <w:b/>
          <w:bCs/>
        </w:rPr>
        <w:t>a.</w:t>
      </w:r>
      <w:r w:rsidR="000E1BEE" w:rsidRPr="000E1BEE">
        <w:t xml:space="preserve"> illustrates the workflow for State Predictive Information Bottleneck (SPIB)-optimized biased sampling. Initiated from the predicted structure derived from the purified, functionally preferred sequence, an initial trajectory is first generated via an unbiased molecular dynamics simulation. Subsequently, physical metrics such as key inter-residue distances or solvent-accessible surface areas (SASA) are extracted to formulate interpretable residue-level reaction coordinates. These coordinates then undergo dimensionality reduction utilizing the SPIB method, followed by the execution of biased molecular dynamics simulations to accelerate directed sampling and efficiently yield a stable, functionally preferred conformational ensemble. </w:t>
      </w:r>
      <w:r w:rsidR="000E1BEE" w:rsidRPr="000E1BEE">
        <w:rPr>
          <w:b/>
          <w:bCs/>
        </w:rPr>
        <w:t>b.</w:t>
      </w:r>
      <w:r w:rsidR="000E1BEE" w:rsidRPr="000E1BEE">
        <w:t xml:space="preserve"> presents the trajectory analysis of this preference-guided enhanced sampling, utilizing the GLP-1 receptor as a representative system. The left subfigure displays the volume distribution of the target cryptic allosteric pocket, where a substantial number of conformational frames exhibit volumes exceeding 500 Å³, confirming the robust formation of a distinct and stable functional cavity; meanwhile, the right subfigure details the root-mean-square </w:t>
      </w:r>
      <w:r w:rsidR="000E1BEE" w:rsidRPr="000E1BEE">
        <w:lastRenderedPageBreak/>
        <w:t xml:space="preserve">deviation (RMSD) analysis of backbone atoms within the critical transmembrane region (TM6-ECL3-TM7), demonstrating conformational convergence within a mere 50 ns and thereby validating the extreme efficiency of this sampling pipeline. To rigorously assess the indispensable nature of these core components, </w:t>
      </w:r>
      <w:r w:rsidR="000E1BEE" w:rsidRPr="000E1BEE">
        <w:rPr>
          <w:b/>
          <w:bCs/>
        </w:rPr>
        <w:t>c.</w:t>
      </w:r>
      <w:r w:rsidR="000E1BEE" w:rsidRPr="000E1BEE">
        <w:t xml:space="preserve"> provides an ablation control regarding the initial conformation. Under identical biased simulation parameters, initiating the simulation from the highest-confidence predicted structure derived from the unpurified source MSA restricts the pocket volumes of the vast majority of sampled conformations to strictly below 250 Å³. This stark contrast underscores that selecting an initial structure imbued with an explicit functional preference is absolutely paramount for efficiently capturing the target cryptic pocket. </w:t>
      </w:r>
      <w:r w:rsidR="000E1BEE" w:rsidRPr="000E1BEE">
        <w:rPr>
          <w:b/>
          <w:bCs/>
        </w:rPr>
        <w:t>d.</w:t>
      </w:r>
      <w:r w:rsidR="000E1BEE" w:rsidRPr="000E1BEE">
        <w:t xml:space="preserve"> delineates the ablation control for the sampling strategy itself. Even when utilizing the optimal preferred conformation as the structural starting point, conventional unbiased molecular dynamics simulations fundamentally fail to effectively drive the required conformational distribution shift, rendering the capture of large-volume pocket conformations (&gt; 500 Å³) an exceedingly rare event. This outcome unequivocally highlights the critical necessity of deploying AI-customized, preference-guided enhanced sampling to successfully navigate and sample complex structural transitions within cryptic allosteric landscapes.</w:t>
      </w:r>
    </w:p>
    <w:p w14:paraId="0779D705" w14:textId="77777777" w:rsidR="00B63F7B" w:rsidRDefault="00B63F7B"/>
    <w:p w14:paraId="683AA225" w14:textId="77777777" w:rsidR="00B63F7B" w:rsidRDefault="007621C1">
      <w:pPr>
        <w:pStyle w:val="3"/>
      </w:pPr>
      <w:r>
        <w:t>Computational Validation of Classical Allosteric Pocket Identification and Virtual Screening Applications</w:t>
      </w:r>
    </w:p>
    <w:p w14:paraId="5460FF2E" w14:textId="7E539D51" w:rsidR="00B63F7B" w:rsidRDefault="00D93213">
      <w:pPr>
        <w:ind w:firstLine="420"/>
      </w:pPr>
      <w:r w:rsidRPr="00D93213">
        <w:t>To rigorously validate the generalization performance of our computational framework, we conducted systematic retrospective testing across a diverse array of challenging targets (Fig. 1b and Fig. S3). The results demonstrate the model's exceptional generalizability across multiple scenarios. In cross-pocket evaluations of structurally similar proteins (e.g., 4DLV), the model achieved a positive predictive value (PPV) of 14.3% and a recall of 33%. When confronted with the CB1R, a G protein-coupled receptor (GPCR) target sharing a remarkably low sequence similarity of 0.38, the framework delivered precise recognition that significantly outperformed the baseline (PPV of 18.5% and recall of 51.7%). Most crucially, for the PCSK9 target, which exhibits an extremely low sequence similarity (&lt;0.1) to the training set, the model successfully pinpointed key residues across three distinct, experimentally validated allosteric regions. This robustly confirms its strict zero-shot generalization capabilities, establishing that the proposed paradigm can effectively identify cryptic allosteric pockets under highly challenging conditions and possesses broad real-world applicability.</w:t>
      </w:r>
    </w:p>
    <w:p w14:paraId="57120F95" w14:textId="0F1DAB6B" w:rsidR="00D93213" w:rsidRDefault="00D93213" w:rsidP="00760773">
      <w:pPr>
        <w:ind w:firstLine="420"/>
      </w:pPr>
      <w:r>
        <w:t xml:space="preserve">We subsequently applied this framework to a real-world drug design task targeting the GLP-1 receptor (GLP-1R). Focusing on the cryptic allosteric pocket situated on the extracellular face of the transmembrane helices, the model successfully enriched 14 key residues (see SI for GLP-1 details), achieving a 50% recall rate for previously annotated critical sites. Following a comprehensive multi-dimensional assessment of the pocket's physicochemical properties and ligand accommodation capacity, the optimal conformation selected by our framework yielded an </w:t>
      </w:r>
      <w:proofErr w:type="spellStart"/>
      <w:r>
        <w:t>AutoDock</w:t>
      </w:r>
      <w:proofErr w:type="spellEnd"/>
      <w:r>
        <w:t xml:space="preserve"> Vina score</w:t>
      </w:r>
      <w:r w:rsidR="00117A52">
        <w:fldChar w:fldCharType="begin"/>
      </w:r>
      <w:r w:rsidR="00117A52">
        <w:instrText xml:space="preserve"> ADDIN ZOTERO_ITEM CSL_CITATION {"citationID":"T2zrnpP8","properties":{"formattedCitation":"\\super 69\\nosupersub{}","plainCitation":"69","noteIndex":0},"citationItems":[{"id":174,"uris":["http://zotero.org/users/local/AHnUcuem/items/VMBNRW6U"],"itemData":{"id":174,"type":"article-journal","abstract":"AutoDock Vina, a new program for molecular docking and virtual screening, is presented. AutoDock Vina achieves an approximately two orders of magnitude speed-up compared to the molecular docking software previously developed in our lab (AutoDock 4), while also significantly improving the accuracy of the binding mode predictions, judging by our tests on the training set used in AutoDock 4 development. Further speed-up is achieved from parallelism, by using multithreading on multi-core machines. AutoDock Vina automatically calculates the grid maps and clusters the results in a way transparent to the user.","container-title":"Journal of Computational Chemistry","DOI":"10.1002/jcc.21334","ISSN":"0192-8651, 1096-987X","issue":"2","journalAbbreviation":"J Comput Chem","language":"en","license":"http://onlinelibrary.wiley.com/termsAndConditions#vor","page":"455-461","source":"DOI.org (Crossref)","title":"AutoDock Vina: Improving the speed and accuracy of docking with a new scoring function, efficient optimization, and multithreading","title-short":"AutoDock Vina","volume":"31","author":[{"family":"Trott","given":"Oleg"},{"family":"Olson","given":"Arthur J."}],"issued":{"date-parts":[["2010",1,30]]}}}],"schema":"https://github.com/citation-style-language/schema/raw/master/csl-citation.json"} </w:instrText>
      </w:r>
      <w:r w:rsidR="00117A52">
        <w:fldChar w:fldCharType="separate"/>
      </w:r>
      <w:r w:rsidR="00117A52" w:rsidRPr="00962613">
        <w:rPr>
          <w:rFonts w:cs="Times New Roman"/>
          <w:kern w:val="0"/>
          <w:szCs w:val="24"/>
          <w:vertAlign w:val="superscript"/>
        </w:rPr>
        <w:t>69</w:t>
      </w:r>
      <w:r w:rsidR="00117A52">
        <w:fldChar w:fldCharType="end"/>
      </w:r>
      <w:r>
        <w:t xml:space="preserve"> of -9.636, significantly outperforming the HOLO reference conformation (-8.983) (Fig. 5a-b). Leveraging this preferred conformation, we executed a hierarchical virtual screening campaign against the 1.4 million-compound </w:t>
      </w:r>
      <w:proofErr w:type="spellStart"/>
      <w:r>
        <w:t>ChemDiv</w:t>
      </w:r>
      <w:proofErr w:type="spellEnd"/>
      <w:r>
        <w:t xml:space="preserve"> library (progressing from KarmaDock</w:t>
      </w:r>
      <w:r w:rsidR="00117A52">
        <w:fldChar w:fldCharType="begin"/>
      </w:r>
      <w:r w:rsidR="00117A52">
        <w:instrText xml:space="preserve"> ADDIN ZOTERO_ITEM CSL_CITATION {"citationID":"zmKOdUp3","properties":{"formattedCitation":"\\super 70\\nosupersub{}","plainCitation":"70","noteIndex":0},"citationItems":[{"id":176,"uris":["http://zotero.org/users/local/AHnUcuem/items/WV8GA2KR"],"itemData":{"id":176,"type":"article-journal","container-title":"Nature Computational Science","DOI":"10.1038/s43588-023-00511-5","ISSN":"2662-8457","issue":"9","journalAbbreviation":"Nat Comput Sci","language":"en","page":"789-804","source":"DOI.org (Crossref)","title":"Efficient and accurate large library ligand docking with KarmaDock","volume":"3","author":[{"family":"Zhang","given":"Xujun"},{"family":"Zhang","given":"Odin"},{"family":"Shen","given":"Chao"},{"family":"Qu","given":"Wanglin"},{"family":"Chen","given":"Shicheng"},{"family":"Cao","given":"Hanqun"},{"family":"Kang","given":"Yu"},{"family":"Wang","given":"Zhe"},{"family":"Wang","given":"Ercheng"},{"family":"Zhang","given":"Jintu"},{"family":"Deng","given":"Yafeng"},{"family":"Liu","given":"Furui"},{"family":"Wang","given":"Tianyue"},{"family":"Du","given":"Hongyan"},{"family":"Wang","given":"Langcheng"},{"family":"Pan","given":"Peichen"},{"family":"Chen","given":"Guangyong"},{"family":"Hsieh","given":"Chang-Yu"},{"family":"Hou","given":"Tingjun"}],"issued":{"date-parts":[["2023",9,21]]}}}],"schema":"https://github.com/citation-style-language/schema/raw/master/csl-citation.json"} </w:instrText>
      </w:r>
      <w:r w:rsidR="00117A52">
        <w:fldChar w:fldCharType="separate"/>
      </w:r>
      <w:r w:rsidR="00117A52" w:rsidRPr="00962613">
        <w:rPr>
          <w:rFonts w:cs="Times New Roman"/>
          <w:kern w:val="0"/>
          <w:szCs w:val="24"/>
          <w:vertAlign w:val="superscript"/>
        </w:rPr>
        <w:t>70</w:t>
      </w:r>
      <w:r w:rsidR="00117A52">
        <w:fldChar w:fldCharType="end"/>
      </w:r>
      <w:r>
        <w:t xml:space="preserve"> to Glide</w:t>
      </w:r>
      <w:r w:rsidR="00117A52">
        <w:fldChar w:fldCharType="begin"/>
      </w:r>
      <w:r w:rsidR="00117A52">
        <w:instrText xml:space="preserve"> ADDIN ZOTERO_ITEM CSL_CITATION {"citationID":"5sdr6nNH","properties":{"formattedCitation":"\\super 71\\uc0\\u8211{}73\\nosupersub{}","plainCitation":"71–73","noteIndex":0},"citationItems":[{"id":178,"uris":["http://zotero.org/users/local/AHnUcuem/items/I4NWF9NU"],"itemData":{"id":178,"type":"article-journal","container-title":"Journal of Medicinal Chemistry","DOI":"10.1021/jm0306430","ISSN":"0022-2623, 1520-4804","issue":"7","journalAbbreviation":"J. Med. Chem.","language":"en","page":"1739-1749","source":"DOI.org (Crossref)","title":"Glide: A New Approach for Rapid, Accurate Docking and Scoring. 1. Method and Assessment of Docking Accuracy","title-short":"Glide","volume":"47","author":[{"family":"Friesner","given":"Richard A."},{"family":"Banks","given":"Jay L."},{"family":"Murphy","given":"Robert B."},{"family":"Halgren","given":"Thomas A."},{"family":"Klicic","given":"Jasna J."},{"family":"Mainz","given":"Daniel T."},{"family":"Repasky","given":"Matthew P."},{"family":"Knoll","given":"Eric H."},{"family":"Shelley","given":"Mee"},{"family":"Perry","given":"Jason K."},{"family":"Shaw","given":"David E."},{"family":"Francis","given":"Perry"},{"family":"Shenkin","given":"Peter S."}],"issued":{"date-parts":[["2004",3,1]]}}},{"id":186,"uris":["http://zotero.org/users/local/AHnUcuem/items/8KWRVDFE"],"itemData":{"id":186,"type":"article-journal","container-title":"Journal of Medicinal Chemistry","DOI":"10.1021/jm030644s","ISSN":"0022-2623, 1520-4804","issue":"7","journalAbbreviation":"J. Med. Chem.","language":"en","page":"1750-1759","source":"DOI.org (Crossref)","title":"Glide: A New Approach for Rapid, Accurate Docking and Scoring. 2. Enrichment Factors in Database Screening","title-short":"Glide","volume":"47","author":[{"family":"Halgren","given":"Thomas A."},{"family":"Murphy","given":"Robert B."},{"family":"Friesner","given":"Richard A."},{"family":"Beard","given":"Hege S."},{"family":"Frye","given":"Leah L."},{"family":"Pollard","given":"W. Thomas"},{"family":"Banks","given":"Jay L."}],"issued":{"date-parts":[["2004",3,1]]}}},{"id":188,"uris":["http://zotero.org/users/local/AHnUcuem/items/7APY7PM9"],"itemData":{"id":188,"type":"article-journal","container-title":"Journal of Medicinal Chemistry","DOI":"10.1021/jm051256o","ISSN":"0022-2623, 1520-4804","issue":"21","journalAbbreviation":"J. Med. Chem.","language":"en","page":"6177-6196","source":"DOI.org (Crossref)","title":"Extra Precision Glide: Docking and Scoring Incorporating a Model of Hydrophobic Enclosure for Protein−Ligand Complexes","title-short":"Extra Precision Glide","volume":"49","author":[{"family":"Friesner","given":"Richard A."},{"family":"Murphy","given":"Robert B."},{"family":"Repasky","given":"Matthew P."},{"family":"Frye","given":"Leah L."},{"family":"Greenwood","given":"Jeremy R."},{"family":"Halgren","given":"Thomas A."},{"family":"Sanschagrin","given":"Paul C."},{"family":"Mainz","given":"Daniel T."}],"issued":{"date-parts":[["2006",10,1]]}}}],"schema":"https://github.com/citation-style-language/schema/raw/master/csl-citation.json"} </w:instrText>
      </w:r>
      <w:r w:rsidR="00117A52">
        <w:fldChar w:fldCharType="separate"/>
      </w:r>
      <w:r w:rsidR="00117A52" w:rsidRPr="00962613">
        <w:rPr>
          <w:rFonts w:cs="Times New Roman"/>
          <w:kern w:val="0"/>
          <w:szCs w:val="24"/>
          <w:vertAlign w:val="superscript"/>
        </w:rPr>
        <w:t>71–73</w:t>
      </w:r>
      <w:r w:rsidR="00117A52">
        <w:fldChar w:fldCharType="end"/>
      </w:r>
      <w:r>
        <w:t xml:space="preserve"> SP and finally Glide XP), which successfully yielded multiple candidate molecules with outstanding predicted binding affinities (optimal XP score of -9.32, Fig. 5c). </w:t>
      </w:r>
      <w:r>
        <w:lastRenderedPageBreak/>
        <w:t xml:space="preserve">Furthermore, the top 50 hit compounds exhibited an extremely low average Tanimoto similarity (0.0924) to known allosteric modulators, indicating the discovery of entirely novel chemical scaffolds. As a strict negative control, we utilized static APO conformations generated by </w:t>
      </w:r>
      <w:proofErr w:type="spellStart"/>
      <w:r>
        <w:t>AlphaFlow</w:t>
      </w:r>
      <w:proofErr w:type="spellEnd"/>
      <w:r>
        <w:t xml:space="preserve">; after energy minimization to eliminate steric clashes, these yielded an average Vina score of only -4.94. Performing an identical screening protocol on the median </w:t>
      </w:r>
      <w:proofErr w:type="spellStart"/>
      <w:r>
        <w:t>AlphaFlow</w:t>
      </w:r>
      <w:proofErr w:type="spellEnd"/>
      <w:r>
        <w:t xml:space="preserve"> conformation (-7.02) failed to identify a single compound with a Glide XP score of -8.0 or better. This control experiment compellingly demonstrates that relying solely on static APO structures is fundamentally inadequate for drug discovery targeting cryptic allosteric pockets, thereby underscoring the absolute indispensability of our preference-guided enhanced sampling strategy.</w:t>
      </w:r>
    </w:p>
    <w:p w14:paraId="16C4EF48" w14:textId="48960825" w:rsidR="00D93213" w:rsidRDefault="00D93213" w:rsidP="00760773">
      <w:pPr>
        <w:ind w:firstLine="420"/>
      </w:pPr>
      <w:r>
        <w:t>As a complementary evaluation, we deployed the ultra-high-throughput model DrugCLIP</w:t>
      </w:r>
      <w:r w:rsidR="00117A52">
        <w:fldChar w:fldCharType="begin"/>
      </w:r>
      <w:r w:rsidR="00117A52">
        <w:instrText xml:space="preserve"> ADDIN ZOTERO_ITEM CSL_CITATION {"citationID":"Fyi5bxH2","properties":{"formattedCitation":"\\super 74\\nosupersub{}","plainCitation":"74","noteIndex":0},"citationItems":[{"id":184,"uris":["http://zotero.org/users/local/AHnUcuem/items/H2ABFK7I"],"itemData":{"id":184,"type":"article","abstract":"Abstract\n          \n            Numerous protein-coding genes are associated with human diseases, yet approximately 90% of them lack targeted therapeutic intervention. While conventional computational methods, such as molecular docking, have facilitated the discovery of potential hit compounds, the development of genome-wide virtual screening against the expansive chemical space remains a formidable challenge. Here we introduce DrugCLIP, a novel framework that combines contrastive learning and dense retrieval to achieve rapid and accurate virtual screening. Compared to traditional docking methods, DrugCLIP improves the speed of virtual screening by up to seven orders of magnitude. In terms of performance, DrugCLIP not only surpasses docking and other deep learning-based methods across two standard benchmark datasets, but also demonstrates high efficacy in wet-lab experiments. Specifically, DrugCLIP successfully identified agonists with &lt; 100 nM affinities for 5HT\n            2A\n            R, a key target in psychiatric diseases. For another target NET, whose structure is newly solved and not included in the training set, our method achieved a hit rate of 15%, with 12 diverse molecules exhibiting affinities better than bupropion. Additionally, two chemically novel inhibitors were validated by structure determination with Cryo-EM. Finally, a novel potential drug target TRIP12, with no experimental structures and inhibitors for reference, was used to challenge DrugCLIP. DrugCLIP achieved a hit rate of 17.5% by screening a pocket identified on an AlphaFold2-predicted structure, verified with multi-cycle SPR assays. Molecules with the highest affinities also showed a dose-dependent inhibition to the enzymatic function of TRIP12. Building on this foundation, we present the results of a pioneering trillion-scale genome-wide virtual screening, encompassing approximately 10,000 AlphaFold2 predicted proteins within the human genome and 500 million molecules from the ZINC and Enamine REAL database. This work provides an innovative perspective on drug discovery in the post-AlphaFold era, where comprehensive targeting of all disease-related proteins is within reach.","DOI":"10.1101/2024.09.02.610777","language":"en","license":"http://creativecommons.org/licenses/by/4.0/","publisher":"Bioinformatics","source":"DOI.org (Crossref)","title":"Deep contrastive learning enables genome-wide virtual screening","URL":"http://biorxiv.org/lookup/doi/10.1101/2024.09.02.610777","author":[{"family":"Jia","given":"Yinjun"},{"family":"Gao","given":"Bowen"},{"family":"Tan","given":"Jiaxin"},{"family":"Zheng","given":"Jiqing"},{"family":"Hong","given":"Xin"},{"family":"Zhu","given":"Wenyu"},{"family":"Tan","given":"Haichuan"},{"family":"Xiao","given":"Yuan"},{"family":"Tan","given":"Liping"},{"family":"Cai","given":"Hongyi"},{"family":"Huang","given":"Yanwen"},{"family":"Deng","given":"Zhiheng"},{"family":"Wu","given":"Xiangwei"},{"family":"Jin","given":"Yue"},{"family":"Yuan","given":"Yafei"},{"family":"Tian","given":"Jiekang"},{"family":"He","given":"Wei"},{"family":"Ma","given":"Weiying"},{"family":"Zhang","given":"Yaqin"},{"family":"Zhang","given":"Wei"},{"family":"Liu","given":"Lei"},{"family":"Yan","given":"Chuangye"},{"family":"Lan","given":"Yanyan"}],"accessed":{"date-parts":[["2026",3,4]]},"issued":{"date-parts":[["2024",9,3]]}}}],"schema":"https://github.com/citation-style-language/schema/raw/master/csl-citation.json"} </w:instrText>
      </w:r>
      <w:r w:rsidR="00117A52">
        <w:fldChar w:fldCharType="separate"/>
      </w:r>
      <w:r w:rsidR="00117A52" w:rsidRPr="00962613">
        <w:rPr>
          <w:rFonts w:cs="Times New Roman"/>
          <w:kern w:val="0"/>
          <w:szCs w:val="24"/>
          <w:vertAlign w:val="superscript"/>
        </w:rPr>
        <w:t>74</w:t>
      </w:r>
      <w:r w:rsidR="00117A52">
        <w:fldChar w:fldCharType="end"/>
      </w:r>
      <w:r>
        <w:t xml:space="preserve"> to conduct virtual screening across a massive library of 500 million molecules. The results revealed that the optimal score for our sampled conformation (3.86) was significantly superior to that of the APO reference conformation (3.12). More importantly, within the top 10,000 high-scoring candidates, the screening hit overlap rate between the sampled conformation and the HOLO reference conformation reached a remarkable 17.5%. Evaluated across an ultra-large-scale chemical space, these findings further corroborate the high reliability of the conformations generated by our framework in preserving the core functional binding features essential for target modulation.</w:t>
      </w:r>
    </w:p>
    <w:p w14:paraId="0587A5F1" w14:textId="06520236" w:rsidR="00D93213" w:rsidRDefault="00D93213" w:rsidP="00760773">
      <w:pPr>
        <w:ind w:firstLine="420"/>
      </w:pPr>
      <w:r>
        <w:t xml:space="preserve">To deeply investigate the kinetic stability of the ligand-bound states, we clustered a 10 ns molecular dynamics trajectory of the GLP-1 system utilizing Vina scores as a guiding metric, extracting two structurally distinct representative conformations for comparative analysis. The first, a stable binding state (Frame 141), exhibited exceptional binding affinity (-9.6 kcal/mol); within this conformation, the ligand underwent only minor thermal fluctuations and rapidly relaxed into an optimal docking pose, demonstrating an extraordinarily high degree of structural complementarity. In stark contrast, the second, a conformationally deviated state (Frame 24), displayed a significantly reduced affinity (-6.1 kcal/mol); although the receptor backbone remained relatively stable, the ligand experienced a pronounced longitudinal spatial displacement downwards (detailed in the SI). The mutual corroboration between the stable residence of high-scoring conformations and the spatial deviation of low-scoring ones definitively proves that the cryptic allosteric pocket identified by our study possesses the specific geometric characteristics and physical stability required for robust ligand accommodation. This stable binding mode not only explicitly validates the </w:t>
      </w:r>
      <w:proofErr w:type="spellStart"/>
      <w:r>
        <w:t>druggability</w:t>
      </w:r>
      <w:proofErr w:type="spellEnd"/>
      <w:r>
        <w:t xml:space="preserve"> of the targeted site but also provides a highly reliable structural template for subsequent rational molecular optimization.</w:t>
      </w:r>
    </w:p>
    <w:p w14:paraId="68C71912" w14:textId="2826AE9C" w:rsidR="00D93213" w:rsidRDefault="00D93213" w:rsidP="00D93213">
      <w:pPr>
        <w:ind w:firstLine="420"/>
      </w:pPr>
      <w:r>
        <w:t>To elucidate the underlying signal transduction mechanisms within the receptor, we conducted a linear mutual information (LMI) and cross-correlation analysis on the GLP-1 system based on the biased simulation trajectories derived from our preference-guided enhanced sampling (detailed in Methods). By defining interpretable residue-level reaction coordinates, our analysis focused intensively on the interface between the TM6 and TM7 helices—where the cryptic allosteric pocket resides—and its adjacent structural extensions. As illustrated in Figure S10a, the high-correlation network preliminarily unveils a critical set of allosteric residues that mediate local interaction clusters. Furthermore, the long-range correlation analysis (Figure S10b) maps a comprehensive interaction network, strongly suggesting a potential communication pathway extending distally from the allosteric site. To investigate the remodeling effects of ligand binding on the receptor's dynamic network, we compared the residue interaction difference map before and after ligand binding (A</w:t>
      </w:r>
      <w:r w:rsidR="00760773">
        <w:t>PO</w:t>
      </w:r>
      <w:r>
        <w:t xml:space="preserve"> vs. H</w:t>
      </w:r>
      <w:r w:rsidR="00760773">
        <w:t>OLO</w:t>
      </w:r>
      <w:r>
        <w:t xml:space="preserve">, Figure S11). The diagonal regions of the difference map (indicated by </w:t>
      </w:r>
      <w:r>
        <w:lastRenderedPageBreak/>
        <w:t>black boxes) primarily reflect the relatively conserved contacts within individual transmembrane helices or between spatially adjacent ones, which are fundamental for maintaining the receptor's basal topology. Notably, the off-diagonal regions (indicated by blue boxes) exhibit profound dynamic changes, explicitly capturing a widespread conformational distribution shift. The simulation results suggest that, under the regulation of this key residue network, TM6 and TM7 undergo substantial relative displacement and conformational rearrangement; critically, these structural perturbations are not isolated but propagate through the helical contact interfaces to induce concerted conformational adjustments in TM5 and TM1. Ultimately, this concerted movement of the TM5-TM6-TM7-TM1 helical bundle, as observed through computational simulation, aligns perfectly with the established functional mechanism of allosteric inhibitors—specifically, preventing the outward rotation of the TM6 helix. This provides a compelling mechanistic pathway for allosteric signal transmission from the binding pocket to the intracellular effector domain (for detailed results, see the "Structure-Based Virtual Screening and Ligand Discovery" section in the SI). Recognizing that these allosteric networks and signal transduction mechanisms are primarily extrapolated from computational simulations, their precise molecular details and global structural implications await exhaustive validation through future biological mechanism experiments.</w:t>
      </w:r>
    </w:p>
    <w:p w14:paraId="11B42457" w14:textId="77777777" w:rsidR="00D93213" w:rsidRDefault="00D93213" w:rsidP="00D93213">
      <w:pPr>
        <w:ind w:firstLine="420"/>
      </w:pPr>
    </w:p>
    <w:p w14:paraId="282A6A05" w14:textId="77777777" w:rsidR="00B63F7B" w:rsidRDefault="007621C1">
      <w:pPr>
        <w:ind w:firstLine="420"/>
      </w:pPr>
      <w:r>
        <w:rPr>
          <w:noProof/>
        </w:rPr>
        <w:lastRenderedPageBreak/>
        <w:drawing>
          <wp:inline distT="0" distB="0" distL="0" distR="0" wp14:anchorId="3CEEF3F8" wp14:editId="36125414">
            <wp:extent cx="5232400" cy="5542915"/>
            <wp:effectExtent l="0" t="0" r="635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cstate="hqprint">
                      <a:extLst>
                        <a:ext uri="{28A0092B-C50C-407E-A947-70E740481C1C}">
                          <a14:useLocalDpi xmlns:a14="http://schemas.microsoft.com/office/drawing/2010/main" val="0"/>
                        </a:ext>
                      </a:extLst>
                    </a:blip>
                    <a:srcRect/>
                    <a:stretch>
                      <a:fillRect/>
                    </a:stretch>
                  </pic:blipFill>
                  <pic:spPr>
                    <a:xfrm>
                      <a:off x="0" y="0"/>
                      <a:ext cx="5243261" cy="5554474"/>
                    </a:xfrm>
                    <a:prstGeom prst="rect">
                      <a:avLst/>
                    </a:prstGeom>
                    <a:noFill/>
                    <a:ln>
                      <a:noFill/>
                    </a:ln>
                  </pic:spPr>
                </pic:pic>
              </a:graphicData>
            </a:graphic>
          </wp:inline>
        </w:drawing>
      </w:r>
    </w:p>
    <w:p w14:paraId="7E320147" w14:textId="77777777" w:rsidR="00B63F7B" w:rsidRDefault="00B63F7B">
      <w:pPr>
        <w:ind w:firstLine="420"/>
      </w:pPr>
    </w:p>
    <w:p w14:paraId="1D6D368F" w14:textId="6DFF8E78" w:rsidR="003B2CA8" w:rsidRDefault="007621C1">
      <w:r>
        <w:rPr>
          <w:b/>
          <w:bCs/>
        </w:rPr>
        <w:t>Figure 5.</w:t>
      </w:r>
      <w:r>
        <w:t xml:space="preserve"> </w:t>
      </w:r>
      <w:r w:rsidR="003B2CA8" w:rsidRPr="003B2CA8">
        <w:t xml:space="preserve">Hierarchical virtual screening and lead compound discovery based on generated conformations. </w:t>
      </w:r>
      <w:r w:rsidR="003B2CA8" w:rsidRPr="009274EE">
        <w:rPr>
          <w:b/>
          <w:bCs/>
        </w:rPr>
        <w:t>a</w:t>
      </w:r>
      <w:r w:rsidR="009274EE" w:rsidRPr="009274EE">
        <w:rPr>
          <w:b/>
          <w:bCs/>
        </w:rPr>
        <w:t>.</w:t>
      </w:r>
      <w:r w:rsidR="003B2CA8" w:rsidRPr="003B2CA8">
        <w:t xml:space="preserve"> illustrates the docking-based evaluation of conformational trajectories. Utilizing a known allosteric ligand as a structural probe, </w:t>
      </w:r>
      <w:proofErr w:type="spellStart"/>
      <w:r w:rsidR="003B2CA8" w:rsidRPr="003B2CA8">
        <w:t>AutoDock</w:t>
      </w:r>
      <w:proofErr w:type="spellEnd"/>
      <w:r w:rsidR="003B2CA8" w:rsidRPr="003B2CA8">
        <w:t xml:space="preserve"> Vina was employed to score molecular dynamics trajectory frames by performing localized spatial sampling around the geometric center of the allosteric pocket. </w:t>
      </w:r>
      <w:r w:rsidR="009274EE" w:rsidRPr="009274EE">
        <w:rPr>
          <w:b/>
          <w:bCs/>
        </w:rPr>
        <w:t>b.</w:t>
      </w:r>
      <w:r w:rsidR="003B2CA8" w:rsidRPr="003B2CA8">
        <w:t xml:space="preserve"> compares the ligand binding modes and docking scores of representative conformations. The left panel displays the HOLO crystal reference conformation (Vina score = -8.983). The middle panel highlights the conformation with the optimal trajectory score (Frame 500, -10.573); however, its binding pose exhibits a pronounced bias toward the TM7 helix, and its overall pocket geometry deviates significantly from the reference state. The right panel demonstrates that, following a comprehensive assessment of pocket geometric features, ligand accommodation capacity, and docking score consistency, Frame 141 was strategically selected as the definitive receptor model for subsequent large-scale virtual screening. </w:t>
      </w:r>
      <w:r w:rsidR="003B2CA8" w:rsidRPr="009274EE">
        <w:rPr>
          <w:b/>
          <w:bCs/>
        </w:rPr>
        <w:t>c</w:t>
      </w:r>
      <w:r w:rsidR="009274EE" w:rsidRPr="009274EE">
        <w:rPr>
          <w:b/>
          <w:bCs/>
        </w:rPr>
        <w:t>.</w:t>
      </w:r>
      <w:r w:rsidR="003B2CA8" w:rsidRPr="003B2CA8">
        <w:t xml:space="preserve"> details the hierarchical virtual screening pipeline and the identification of high-scoring hit compounds. Targeting the 1.4-million-compound </w:t>
      </w:r>
      <w:proofErr w:type="spellStart"/>
      <w:r w:rsidR="003B2CA8" w:rsidRPr="003B2CA8">
        <w:t>ChemDiv</w:t>
      </w:r>
      <w:proofErr w:type="spellEnd"/>
      <w:r w:rsidR="003B2CA8" w:rsidRPr="003B2CA8">
        <w:t xml:space="preserve"> library, a sequential protocol was executed: an initial high-throughput screen via </w:t>
      </w:r>
      <w:proofErr w:type="spellStart"/>
      <w:r w:rsidR="003B2CA8" w:rsidRPr="003B2CA8">
        <w:t>KarmaDock</w:t>
      </w:r>
      <w:proofErr w:type="spellEnd"/>
      <w:r w:rsidR="003B2CA8" w:rsidRPr="003B2CA8">
        <w:t xml:space="preserve"> (retaining the top 100,000 candidates), followed by standard-precision (SP) Glide </w:t>
      </w:r>
      <w:r w:rsidR="003B2CA8" w:rsidRPr="003B2CA8">
        <w:lastRenderedPageBreak/>
        <w:t>docking (retaining the top 10,000), and concluding with an extra-precision (XP) Glide final screen. The right section showcases a selection of high-affinity, structurally novel molecules successfully enriched through this rigorous computational workflow.</w:t>
      </w:r>
    </w:p>
    <w:p w14:paraId="09EAC994" w14:textId="77777777" w:rsidR="003B2CA8" w:rsidRDefault="003B2CA8"/>
    <w:p w14:paraId="331DB26B" w14:textId="77777777" w:rsidR="00B63F7B" w:rsidRDefault="007621C1">
      <w:pPr>
        <w:pStyle w:val="2"/>
      </w:pPr>
      <w:bookmarkStart w:id="0" w:name="_Hlk216021837"/>
      <w:r>
        <w:rPr>
          <w:rFonts w:hint="eastAsia"/>
        </w:rPr>
        <w:t>Di</w:t>
      </w:r>
      <w:r>
        <w:t>scussion</w:t>
      </w:r>
      <w:bookmarkEnd w:id="0"/>
    </w:p>
    <w:p w14:paraId="18C22CC0" w14:textId="08BFC8D6" w:rsidR="00DB75B7" w:rsidRDefault="007621C1" w:rsidP="00AA4220">
      <w:pPr>
        <w:ind w:firstLine="420"/>
      </w:pPr>
      <w:r w:rsidRPr="003C2B71">
        <w:t xml:space="preserve">The systematic discovery of cryptic allosteric pockets remains a major challenge in computational structural biology because functional conformational states are both high-dimensional and rarely populated. In this work, we introduced </w:t>
      </w:r>
      <w:proofErr w:type="spellStart"/>
      <w:r w:rsidRPr="003C2B71">
        <w:t>AlloDesigner</w:t>
      </w:r>
      <w:proofErr w:type="spellEnd"/>
      <w:r w:rsidRPr="003C2B71">
        <w:t>, a</w:t>
      </w:r>
      <w:r w:rsidR="001707F6">
        <w:rPr>
          <w:rFonts w:hint="eastAsia"/>
        </w:rPr>
        <w:t>n</w:t>
      </w:r>
      <w:r w:rsidRPr="003C2B71">
        <w:t xml:space="preserve"> </w:t>
      </w:r>
      <w:r w:rsidR="001707F6">
        <w:rPr>
          <w:rFonts w:hint="eastAsia"/>
        </w:rPr>
        <w:t>e</w:t>
      </w:r>
      <w:r w:rsidR="001707F6">
        <w:t>nd-to-end</w:t>
      </w:r>
      <w:r w:rsidRPr="003C2B71">
        <w:t xml:space="preserve"> framework that integrates geometric deep learning with physics-based enhanced sampling to enable efficient exploration of such rare states. By linking data-driven structural inference with targeted molecular simulation, the framework addresses the longstanding trade-off between predictive efficiency and physical rigor in computational protein modeling.</w:t>
      </w:r>
    </w:p>
    <w:p w14:paraId="0584DA75" w14:textId="2488A686" w:rsidR="005A20AE" w:rsidRDefault="005A20AE" w:rsidP="00672089">
      <w:pPr>
        <w:ind w:firstLine="420"/>
      </w:pPr>
      <w:r w:rsidRPr="005A20AE">
        <w:t>The integrated design of the framework links data-driven structural inference with physically grounded sampling, enabling the identification and exploration of cryptic allosteric states within a unified workflow. Rather than relying on predefined collective variables or ligand priors, the approach leverages learned residue-level signals to guide enhanced sampling toward functionally relevant conformations. While the observed performance across diverse targets supports the effectiveness of this strategy, further validation will be required to fully establish the functional relevance of the sampled states and to assess performance across broader classes of proteins.</w:t>
      </w:r>
    </w:p>
    <w:p w14:paraId="41D40B25" w14:textId="77777777" w:rsidR="0085015B" w:rsidRPr="0085015B" w:rsidRDefault="0085015B" w:rsidP="00672089">
      <w:pPr>
        <w:ind w:firstLine="420"/>
      </w:pPr>
      <w:r w:rsidRPr="0085015B">
        <w:t>As a result, these models may have limited ability to capture the low-population conformational states in which cryptic pockets emerge. In contrast, AlloDesigner leverages low-cost, dynamics-informed ensembles to learn structural signatures associated with pocket formation and converts these learned representations into interpretable reaction coordinates that guide enhanced sampling simulations. This strategy allows the search for cryptic pockets to be constrained by physically meaningful variables, improving the efficiency of conformational exploration.</w:t>
      </w:r>
    </w:p>
    <w:p w14:paraId="009CD475" w14:textId="2748F2CE" w:rsidR="00DB75B7" w:rsidRDefault="00846EE5" w:rsidP="00846EE5">
      <w:pPr>
        <w:ind w:firstLine="420"/>
      </w:pPr>
      <w:r w:rsidRPr="00846EE5">
        <w:t xml:space="preserve">The end-to-end architecture of this framework effectively mitigates the error propagation commonly encountered in traditional sequential computational pipelines. Predictions generated by the deep learning module are systematically translated into interpretable residue-level reaction coordinates, which are immediately subjected to rigorous validation via preference-guided enhanced sampling. By introducing strict energetic and kinetic constraints to drive the required conformational distribution shift, this physical integration not only effectively filters out spurious structural signals but also fundamentally suppresses the memorization bias inherent to neural networks over-relying on static training data. This integrated strategy, which deeply fuses data-driven priors with rigorous physical laws, exhibits exceptional generalization capabilities and robustness when confronting challenging scenarios characterized by low sequence similarity or complex topological architectures. For instance, the framework successfully identified key allosteric regions within highly flexible targets such as PCSK9 and G protein-coupled receptors (GPCRs). Specifically, it recovered 33% and 52% of the annotated residues within the extra-helical pockets of GLP-1R and CB1R, respectively, at a positive predictive value of &lt;25%, substantially outperforming the </w:t>
      </w:r>
      <w:proofErr w:type="spellStart"/>
      <w:r w:rsidRPr="00846EE5">
        <w:t>PocketMiner</w:t>
      </w:r>
      <w:proofErr w:type="spellEnd"/>
      <w:r w:rsidRPr="00846EE5">
        <w:t xml:space="preserve"> baseline in regimes where traditional homology-based methods routinely fail. Furthermore, the successful delineation of the extra-helical pocket in the GLP-1 receptor and the subsequent virtual screening campaign compellingly demonstrate how this </w:t>
      </w:r>
      <w:r w:rsidRPr="00846EE5">
        <w:lastRenderedPageBreak/>
        <w:t>framework facilitates the structural discovery and pharmacological targeting of previously uncharacterized cryptic allosteric sites.</w:t>
      </w:r>
    </w:p>
    <w:p w14:paraId="63429E96" w14:textId="6078120F" w:rsidR="00DB75B7" w:rsidRDefault="007621C1" w:rsidP="00561896">
      <w:pPr>
        <w:ind w:firstLine="420"/>
      </w:pPr>
      <w:r w:rsidRPr="003C2B71">
        <w:t xml:space="preserve">Despite these advances, several limitations remain. The current framework relies on the availability of reasonable structural models and may be sensitive to inaccuracies in initial conformational ensembles. In particular, targets with shallow multiple sequence alignments or regions of high intrinsic disorder occasionally produced linear-interpolation pathways containing unphysical clashes that propagated noise into the GVP training. </w:t>
      </w:r>
      <w:r w:rsidR="00846EE5" w:rsidRPr="00846EE5">
        <w:t xml:space="preserve">Although the incorporation of rigorous energy minimization effectively resolves these potential steric clashes, this heuristic strategy—fundamentally a structural compromise reliant on linear interpolation and subsequent minimization—may inherently constrain the model from achieving optimal predictive fidelity when navigating the complex conformational landscapes of highly flexible </w:t>
      </w:r>
      <w:proofErr w:type="spellStart"/>
      <w:r w:rsidR="00846EE5" w:rsidRPr="00846EE5">
        <w:t>biomacromolecular</w:t>
      </w:r>
      <w:proofErr w:type="spellEnd"/>
      <w:r w:rsidR="00846EE5" w:rsidRPr="00846EE5">
        <w:t xml:space="preserve"> systems.</w:t>
      </w:r>
      <w:r w:rsidR="00846EE5">
        <w:rPr>
          <w:rFonts w:hint="eastAsia"/>
        </w:rPr>
        <w:t xml:space="preserve"> </w:t>
      </w:r>
      <w:r w:rsidRPr="003C2B71">
        <w:t>In addition, while enhanced sampling improves exploration of rare states, complete coverage of complex conformational landscapes remains computationally demanding. Future work may further improve the approach by incorporating adaptive sampling strategies or integrating experimental constraints such as hydrogen–deuterium exchange or cryo-EM ensemble data.</w:t>
      </w:r>
    </w:p>
    <w:p w14:paraId="36FA7DD4" w14:textId="269AFDDB" w:rsidR="00B63F7B" w:rsidRDefault="007621C1" w:rsidP="00C55549">
      <w:pPr>
        <w:ind w:firstLine="420"/>
      </w:pPr>
      <w:r w:rsidRPr="003C2B71">
        <w:t>Beyond the specific problem of allosteric pocket discovery, this work highlights the broader potential of combining machine learning with physically grounded simulation to explore rare functional states in biomolecular systems. Extracting interpretable reaction coordinates from learned structural representations may provide a powerful approach for studying diverse phenomena including intrinsically disordered proteins, transient protein–protein interactions, and ligand-induced conformational transitions. More broadly, hybrid strategies that integrate data-driven models with mechanistic simulation—particularly those capable of deriving interpretable, physics-aligned reaction coordinates—may represent an important direction for advancing computational approaches in molecular science.</w:t>
      </w:r>
    </w:p>
    <w:p w14:paraId="42B9EFE1" w14:textId="77777777" w:rsidR="00B63F7B" w:rsidRDefault="007621C1">
      <w:pPr>
        <w:pStyle w:val="2"/>
        <w:tabs>
          <w:tab w:val="left" w:pos="2361"/>
        </w:tabs>
      </w:pPr>
      <w:r>
        <w:rPr>
          <w:rFonts w:hint="eastAsia"/>
        </w:rPr>
        <w:t>M</w:t>
      </w:r>
      <w:r>
        <w:t>ethods</w:t>
      </w:r>
      <w:r>
        <w:tab/>
      </w:r>
    </w:p>
    <w:p w14:paraId="7234579D" w14:textId="156A6403" w:rsidR="00B63F7B" w:rsidRDefault="00134477">
      <w:pPr>
        <w:pStyle w:val="3"/>
      </w:pPr>
      <w:r w:rsidRPr="00134477">
        <w:t xml:space="preserve"> Construction of the Dynamic Conformational Ensemble for Cryptic Allosteric Pockets</w:t>
      </w:r>
    </w:p>
    <w:p w14:paraId="09CCE01B" w14:textId="0DC7B923" w:rsidR="00292DF9" w:rsidRDefault="00292DF9" w:rsidP="00E15B76">
      <w:pPr>
        <w:ind w:firstLine="420"/>
      </w:pPr>
      <w:r>
        <w:t>To elucidate the opening and closing dynamics of cryptic allosteric pockets and to acquire physically plausible transition-state conformations of proteins, this study engineered a linear sampling workflow that seamlessly integrates deep learning-based conformational generation with physics-based energy minimization. This robust strategy systematically captures metastable and transient intermediate conformations through the following specific procedures.</w:t>
      </w:r>
    </w:p>
    <w:p w14:paraId="0277C607" w14:textId="2889C442" w:rsidR="00292DF9" w:rsidRDefault="00292DF9" w:rsidP="00E15B76">
      <w:pPr>
        <w:ind w:firstLine="420"/>
      </w:pPr>
      <w:r>
        <w:t>Initial Structure Preparation and APO State Sampling: Drawing upon annotation data from the ASD2023 database</w:t>
      </w:r>
      <w:r w:rsidR="00F4055D">
        <w:fldChar w:fldCharType="begin"/>
      </w:r>
      <w:r w:rsidR="00F4055D">
        <w:instrText xml:space="preserve"> ADDIN ZOTERO_ITEM CSL_CITATION {"citationID":"cNRkjTH9","properties":{"formattedCitation":"\\super 76\\nosupersub{}","plainCitation":"76","noteIndex":0},"citationItems":[{"id":180,"uris":["http://zotero.org/users/local/AHnUcuem/items/5W48MNGU"],"itemData":{"id":180,"type":"article-journal","abstract":"Allosteric regulation, induced by perturbations at an allosteric site topographically distinct from the orthosteric site, is one of the most direct and efficient ways to fine-tune macromolecular function. The Allosteric Database (ASD; accessible online at http://mdl.shsmu.edu.cn/ASD) has been systematically developed since 2009 to provide comprehensive information on allosteric regulation. In recent years, allostery has seen sustained growth and wide-ranging applications in life sciences, from basic research to new therapeutics development, while also elucidating emerging obstacles across allosteric research stages. To overcome these challenges and maintain high-quality data center services, novel features were curated in the ASD2023 update: (i) 66 589 potential allosteric sites, covering &gt; 80% of the human proteome and constituting the human allosteric pocketome; (ii) 748 allosteric protein–protein interaction (PPI) modulators with clear mechanisms, aiding protein machine studies and PPI-targeted drug discovery; (iii) ‘Allosteric Hit-to-Lead,’ a pioneering dataset providing panoramic views from 87 well-defined allosteric hits to 6565 leads and (iv) 456 dualsteric modulators for exploring the simultaneous regulation of allosteric and orthosteric sites. Meanwhile, ASD2023 maintains a significant growth of foundational allosteric data. Based on these efforts, the allosteric knowledgebase is progressively evolving towards an integrated landscape, facilitating advancements in allosteric target identification, mechanistic exploration and drug discovery.","container-title":"Nucleic Acids Research","DOI":"10.1093/nar/gkad915","ISSN":"0305-1048, 1362-4962","issue":"D1","language":"en","license":"https://creativecommons.org/licenses/by/4.0/","page":"D376-D383","source":"DOI.org (Crossref)","title":"ASD2023: towards the integrating landscapes of allosteric knowledgebase","title-short":"ASD2023","volume":"52","author":[{"family":"He","given":"Jixiao"},{"family":"Liu","given":"Xinyi"},{"family":"Zhu","given":"Chunhao"},{"family":"Zha","given":"Jinyin"},{"family":"Li","given":"Qian"},{"family":"Zhao","given":"Mingzhu"},{"family":"Wei","given":"Jiacheng"},{"family":"Li","given":"Mingyu"},{"family":"Wu","given":"Chengwei"},{"family":"Wang","given":"Junyuan"},{"family":"Jiao","given":"Yonglai"},{"family":"Ning","given":"Shaobo"},{"family":"Zhou","given":"Jiamin"},{"family":"Hong","given":"Yue"},{"family":"Liu","given":"Yonghui"},{"family":"He","given":"Hongxi"},{"family":"Zhang","given":"Mingyang"},{"family":"Chen","given":"Feiying"},{"family":"Li","given":"Yanxiu"},{"family":"He","given":"Xinheng"},{"family":"Wu","given":"Jing"},{"family":"Lu","given":"Shaoyong"},{"family":"Song","given":"Kun"},{"family":"Lu","given":"Xuefeng"},{"family":"Zhang","given":"Jian"}],"issued":{"date-parts":[["2024",1,5]]}}}],"schema":"https://github.com/citation-style-language/schema/raw/master/csl-citation.json"} </w:instrText>
      </w:r>
      <w:r w:rsidR="00F4055D">
        <w:fldChar w:fldCharType="separate"/>
      </w:r>
      <w:r w:rsidR="00F4055D" w:rsidRPr="00430DF0">
        <w:rPr>
          <w:rFonts w:cs="Times New Roman"/>
          <w:kern w:val="0"/>
          <w:szCs w:val="24"/>
          <w:vertAlign w:val="superscript"/>
        </w:rPr>
        <w:t>76</w:t>
      </w:r>
      <w:r w:rsidR="00F4055D">
        <w:fldChar w:fldCharType="end"/>
      </w:r>
      <w:r>
        <w:t xml:space="preserve">, the biopolymer sequence of the target allosteric protein and its corresponding ligand-bound (HOLO) crystal structure were first extracted. </w:t>
      </w:r>
      <w:proofErr w:type="spellStart"/>
      <w:r>
        <w:t>PDBFixer</w:t>
      </w:r>
      <w:proofErr w:type="spellEnd"/>
      <w:r>
        <w:t xml:space="preserve"> was employed to automatically model any missing residues within the HOLO structure, thereby establishing a complete and rigorous atomic coordinate system. Subsequently, utilizing the full-length sequence of the target protein as input, the </w:t>
      </w:r>
      <w:proofErr w:type="spellStart"/>
      <w:r>
        <w:t>AlphaFlow</w:t>
      </w:r>
      <w:proofErr w:type="spellEnd"/>
      <w:r>
        <w:t xml:space="preserve"> generative model was deployed to conduct extensive conformational sampling. This rapid generation yielded a highly diverse set of stable, ligand-free </w:t>
      </w:r>
      <w:r>
        <w:lastRenderedPageBreak/>
        <w:t>(APO) conformations that strictly adhere to a Boltzmann distribution. This generative step effectively expands the breadth of the conformational space, providing a reliable and structurally diverse initial ensemble for the subsequent construction of transition pathways.</w:t>
      </w:r>
    </w:p>
    <w:p w14:paraId="086D1040" w14:textId="77777777" w:rsidR="00E65FCF" w:rsidRDefault="00E65FCF" w:rsidP="00E15B76">
      <w:pPr>
        <w:ind w:firstLine="420"/>
      </w:pPr>
    </w:p>
    <w:p w14:paraId="4494B6EE" w14:textId="3B4B0A27" w:rsidR="00E65FCF" w:rsidRPr="00E65FCF" w:rsidRDefault="00E65FCF" w:rsidP="00E65FCF">
      <w:pPr>
        <w:ind w:firstLine="420"/>
      </w:pPr>
      <w:r w:rsidRPr="00E65FCF">
        <w:t>Construction of Allosteric Transition Pathways and Linear Interpolation</w:t>
      </w:r>
      <w:r>
        <w:t xml:space="preserve">: </w:t>
      </w:r>
      <w:r w:rsidRPr="00E65FCF">
        <w:t>To generate training data rich in pocket opening–closing signals, all APO conformations were first structurally aligned to the corresponding HOLO reference structure using backbone atoms, placing all states in a common coordinate frame. For each aligned HOLO–APO pair, a linear transition trajectory was defined and 18 intermediate conformations were uniformly sampled using linear interpolation (Equation 1). These intermediates were then subjected to energy minimization to eliminate steric clashes while preserving geometric diversity.</w:t>
      </w:r>
    </w:p>
    <w:p w14:paraId="18D2B021" w14:textId="2145E5C3" w:rsidR="00E65FCF" w:rsidRPr="00E65FCF" w:rsidRDefault="00E65FCF" w:rsidP="00E15B76">
      <w:pPr>
        <w:ind w:firstLine="420"/>
      </w:pPr>
      <w:r w:rsidRPr="00E65FCF">
        <w:t>Importantly, the resulting ensembles are not intended to represent physically accurate equilibrium or kinetic pathways. Rather, they serve as a computationally efficient data-augmentation strategy that exposes the downstream GVP network to a wide range of structurally plausible yet low-population conformations associated with cryptic pocket formation. By combining linear interpolation with energy minimization, we achieve local physical plausibility without sacrificing the conformational diversity required for learning subtle structural signatures of allosteric sites. This deliberate separation—using approximate ensembles for representation learning and rigorous physics-based enhanced sampling for functional-state exploration—forms a central design principle of the AlloDesigner framework.</w:t>
      </w:r>
    </w:p>
    <w:p w14:paraId="1CB64809" w14:textId="06F2FBBF" w:rsidR="00292DF9" w:rsidRDefault="00292DF9" w:rsidP="00F7729B">
      <w:pPr>
        <w:ind w:firstLine="420"/>
      </w:pPr>
      <w:r>
        <w:t xml:space="preserve">Structural Repair and Energy Minimization: To explicitly eliminate unphysical atomic steric clashes inherently introduced by the linear interpolation process and to significantly enhance the physical validity of the intermediate states, rigorous post-processing was executed on all sampled transition conformations. Initially, </w:t>
      </w:r>
      <w:proofErr w:type="spellStart"/>
      <w:r>
        <w:t>PDBFixer</w:t>
      </w:r>
      <w:proofErr w:type="spellEnd"/>
      <w:r>
        <w:t xml:space="preserve"> was re-applied to refine the atomic coordinates of the intermediates. Following this, the steepest descent algorithm was employed to perform energy minimization on each interpolated conformation. The convergence criteria for this energetic optimization were strictly set to either a maximum system force below 500 kJ/(</w:t>
      </w:r>
      <w:proofErr w:type="spellStart"/>
      <w:r>
        <w:t>mol·nm</w:t>
      </w:r>
      <w:proofErr w:type="spellEnd"/>
      <w:r>
        <w:t>) or a maximum limit of 5000 iteration steps. Through this exhaustive structural relaxation, the intermediate conformations were successfully driven to local energy minima, ensuring that the final generated ensemble possesses strict geometric topological rationality and robust physical stability. Ultimately, this high-fidelity dynamic ensemble provides highly reliable structural starting points for downstream preference-guided enhanced sampling.</w:t>
      </w:r>
    </w:p>
    <w:p w14:paraId="5F20E171" w14:textId="77777777" w:rsidR="00B63F7B" w:rsidRDefault="00AA40FC">
      <m:oMathPara>
        <m:oMathParaPr>
          <m:jc m:val="center"/>
        </m:oMathParaPr>
        <m:oMath>
          <m:sSub>
            <m:sSubPr>
              <m:ctrlPr>
                <w:rPr>
                  <w:rFonts w:ascii="Cambria Math" w:eastAsia="宋体" w:hAnsi="Cambria Math" w:cs="宋体"/>
                  <w:i/>
                </w:rPr>
              </m:ctrlPr>
            </m:sSubPr>
            <m:e>
              <m:r>
                <w:rPr>
                  <w:rFonts w:ascii="Cambria Math" w:eastAsia="Cambria Math" w:hAnsi="Cambria Math" w:cs="Cambria Math"/>
                </w:rPr>
                <m:t>φ</m:t>
              </m:r>
            </m:e>
            <m:sub>
              <m:r>
                <w:rPr>
                  <w:rFonts w:ascii="Cambria Math" w:eastAsia="宋体" w:hAnsi="Cambria Math" w:cs="宋体"/>
                </w:rPr>
                <m:t>intermediate state</m:t>
              </m:r>
              <m:d>
                <m:dPr>
                  <m:ctrlPr>
                    <w:rPr>
                      <w:rFonts w:ascii="Cambria Math" w:eastAsia="宋体" w:hAnsi="Cambria Math" w:cs="宋体"/>
                      <w:i/>
                    </w:rPr>
                  </m:ctrlPr>
                </m:dPr>
                <m:e>
                  <m:r>
                    <w:rPr>
                      <w:rFonts w:ascii="Cambria Math" w:eastAsia="宋体" w:hAnsi="Cambria Math" w:cs="宋体"/>
                    </w:rPr>
                    <m:t>α</m:t>
                  </m:r>
                </m:e>
              </m:d>
            </m:sub>
          </m:sSub>
          <m:r>
            <m:rPr>
              <m:sty m:val="p"/>
            </m:rPr>
            <w:rPr>
              <w:rFonts w:ascii="Cambria Math" w:eastAsia="Cambria Math" w:hAnsi="Cambria Math" w:cs="Cambria Math"/>
            </w:rPr>
            <m:t>=</m:t>
          </m:r>
          <m:d>
            <m:dPr>
              <m:ctrlPr>
                <w:rPr>
                  <w:rFonts w:ascii="Cambria Math" w:hAnsi="Cambria Math"/>
                  <w:i/>
                </w:rPr>
              </m:ctrlPr>
            </m:dPr>
            <m:e>
              <m:r>
                <w:rPr>
                  <w:rFonts w:ascii="Cambria Math" w:hAnsi="Cambria Math"/>
                </w:rPr>
                <m:t>1-α</m:t>
              </m:r>
            </m:e>
          </m:d>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apo</m:t>
              </m:r>
            </m:sub>
          </m:sSub>
          <m:r>
            <w:rPr>
              <w:rFonts w:ascii="Cambria Math" w:hAnsi="Cambria Math"/>
            </w:rPr>
            <m:t xml:space="preserve">+ α* </m:t>
          </m:r>
          <m:sSub>
            <m:sSubPr>
              <m:ctrlPr>
                <w:rPr>
                  <w:rFonts w:ascii="Cambria Math" w:hAnsi="Cambria Math"/>
                  <w:i/>
                </w:rPr>
              </m:ctrlPr>
            </m:sSubPr>
            <m:e>
              <m:r>
                <w:rPr>
                  <w:rFonts w:ascii="Cambria Math" w:hAnsi="Cambria Math"/>
                </w:rPr>
                <m:t>φ</m:t>
              </m:r>
            </m:e>
            <m:sub>
              <m:r>
                <w:rPr>
                  <w:rFonts w:ascii="Cambria Math" w:eastAsia="MS Gothic" w:hAnsi="Cambria Math" w:cs="MS Gothic"/>
                </w:rPr>
                <m:t>h</m:t>
              </m:r>
              <m:r>
                <w:rPr>
                  <w:rFonts w:ascii="Cambria Math" w:hAnsi="Cambria Math" w:hint="eastAsia"/>
                </w:rPr>
                <m:t>ol</m:t>
              </m:r>
              <m:r>
                <w:rPr>
                  <w:rFonts w:ascii="Cambria Math" w:hAnsi="Cambria Math"/>
                </w:rPr>
                <m:t>o</m:t>
              </m:r>
            </m:sub>
          </m:sSub>
          <m:r>
            <w:rPr>
              <w:rFonts w:ascii="Cambria Math" w:hAnsi="Cambria Math"/>
            </w:rPr>
            <m:t xml:space="preserve">               </m:t>
          </m:r>
          <m:d>
            <m:dPr>
              <m:ctrlPr>
                <w:rPr>
                  <w:rFonts w:ascii="Cambria Math" w:hAnsi="Cambria Math"/>
                  <w:i/>
                </w:rPr>
              </m:ctrlPr>
            </m:dPr>
            <m:e>
              <m:r>
                <w:rPr>
                  <w:rFonts w:ascii="Cambria Math" w:hAnsi="Cambria Math"/>
                </w:rPr>
                <m:t>1</m:t>
              </m:r>
            </m:e>
          </m:d>
        </m:oMath>
      </m:oMathPara>
    </w:p>
    <w:p w14:paraId="0B758A9D" w14:textId="77777777" w:rsidR="00B63F7B" w:rsidRDefault="00B63F7B"/>
    <w:p w14:paraId="3753655A" w14:textId="77777777" w:rsidR="00B63F7B" w:rsidRDefault="007621C1">
      <w:pPr>
        <w:pStyle w:val="3"/>
      </w:pPr>
      <w:r>
        <w:t>LIGSITE-based annotation of potential cryptic pocket residues</w:t>
      </w:r>
    </w:p>
    <w:p w14:paraId="2EFF2826" w14:textId="6D6806AE" w:rsidR="00AC728F" w:rsidRDefault="00AC728F" w:rsidP="00AC728F">
      <w:pPr>
        <w:ind w:firstLine="420"/>
      </w:pPr>
      <w:r w:rsidRPr="00AC728F">
        <w:t>To effectively translate the dynamic features of allosteric systems into biophysically meaningful supervision signals, this study systematically annotated cryptic allosteric residues across the constructed conformational ensembles utilizing the LIGSITE algorithm integrated within ENSPARA</w:t>
      </w:r>
      <w:r w:rsidR="00D81EB8">
        <w:fldChar w:fldCharType="begin"/>
      </w:r>
      <w:r w:rsidR="00D81EB8">
        <w:instrText xml:space="preserve"> ADDIN ZOTERO_ITEM CSL_CITATION {"citationID":"ztqJaQpa","properties":{"formattedCitation":"\\super 77\\nosupersub{}","plainCitation":"77","noteIndex":0},"citationItems":[{"id":182,"uris":["http://zotero.org/users/local/AHnUcuem/items/IJZUSPQK"],"itemData":{"id":182,"type":"article-journal","abstract":"Markov state models (MSMs) are quantitative models of protein dynamics that are useful for uncovering the structural ﬂuctuations that proteins undergo, as well as the mechanisms of these conformational changes. Given the enormity of conformational space, there has been ongoing interest in identifying a small number of states that capture the essential features of a protein. Generally, this is achieved by making assumptions about the properties of relevant features—for example, that the most important features are those that change slowly. An alternative strategy is to keep as many degrees of freedom as possible and subsequently learn from the model which of the features are most important. In these larger models, however, traditional approaches quickly become computationally intractable. In this paper, we present enspara, a library for working with MSMs that provides several novel algorithms and specialized data structures that dramatically improve the scalability of traditional MSM methods. This includes ragged arrays for minimizing memory requirements, message passing interface-parallelized implementations of compute-intensive operations, and a ﬂexible framework for model construction and analysis.","container-title":"The Journal of Chemical Physics","DOI":"10.1063/1.5063794","ISSN":"0021-9606, 1089-7690","issue":"4","language":"en","page":"044108","source":"DOI.org (Crossref)","title":"&lt;b&gt;Enspara&lt;/b&gt; : Modeling molecular ensembles with scalable data structures and parallel computing","title-short":"&lt;b&gt;Enspara&lt;/b&gt;","volume":"150","author":[{"family":"Porter","given":"J. R."},{"family":"Zimmerman","given":"M. I."},{"family":"Bowman","given":"G. R."}],"issued":{"date-parts":[["2019",1,28]]}}}],"schema":"https://github.com/citation-style-language/schema/raw/master/csl-citation.json"} </w:instrText>
      </w:r>
      <w:r w:rsidR="00D81EB8">
        <w:fldChar w:fldCharType="separate"/>
      </w:r>
      <w:r w:rsidR="00D81EB8" w:rsidRPr="00430DF0">
        <w:rPr>
          <w:rFonts w:cs="Times New Roman"/>
          <w:kern w:val="0"/>
          <w:szCs w:val="24"/>
          <w:vertAlign w:val="superscript"/>
        </w:rPr>
        <w:t>77</w:t>
      </w:r>
      <w:r w:rsidR="00D81EB8">
        <w:fldChar w:fldCharType="end"/>
      </w:r>
      <w:r w:rsidRPr="00AC728F">
        <w:t xml:space="preserve">. The procedure initiated with rigorous parameter configuration and grid generation; through a systematic parameter search along a randomly selected HOLO-APO </w:t>
      </w:r>
      <w:r w:rsidR="00587037" w:rsidRPr="00427ADE">
        <w:t>transition</w:t>
      </w:r>
      <w:r w:rsidRPr="00AC728F">
        <w:t xml:space="preserve">ary </w:t>
      </w:r>
      <w:r w:rsidRPr="00AC728F">
        <w:lastRenderedPageBreak/>
        <w:t xml:space="preserve">pathway for all target proteins, an optimal configuration was established comprising a minimum rank of 7, a grid spacing of 0.7 Å, a probe radius of 1.4 Å, and a minimum cluster size of 3 grid points. This precise parameter combination successfully maximized the coverage of experimentally known allosteric sites while maintaining a strictly reasonable proportion of positive labels. Subsequently, for residue mapping and dynamic determination, the algorithm assigns the computed pocket grid points to spatially adjacent amino acid residues within a proximity </w:t>
      </w:r>
      <w:r w:rsidRPr="00AC728F">
        <w:rPr>
          <w:rFonts w:hint="eastAsia"/>
        </w:rPr>
        <w:t xml:space="preserve">threshold of </w:t>
      </w:r>
      <w:r w:rsidRPr="00AC728F">
        <w:rPr>
          <w:rFonts w:hint="eastAsia"/>
        </w:rPr>
        <w:t>≤</w:t>
      </w:r>
      <w:r w:rsidRPr="00AC728F">
        <w:rPr>
          <w:rFonts w:hint="eastAsia"/>
        </w:rPr>
        <w:t xml:space="preserve"> 5 Å for each distinct conformation. Crucially, if the fluctuation amplitude of the assigned grid points for a specific residue exceeds a variance threshold of 20 across the entire HOLO-APO structural trajectory, it is formally designated as </w:t>
      </w:r>
      <w:r w:rsidRPr="00AC728F">
        <w:t>a dynamic cryptic pocket residue for that specific pathway. To further eliminate the stochastic noise inherent to single-pathway sampling and guarantee the absolute robustness of the annotations, a multi-pathway consensus integration strategy was enforced for the terminal HOLO conformation labels. Under this rigorous statistical criterion, a residue is definitively confirmed as a key cryptic allosteric residue for the holistic HOLO system only if it is consistently identified as a cryptic binding site across more than 50% of the independent sampling pathways. Ultimately, the robust identification of these dynamic cryptic residues lays the essential structural groundwork for formulating interpretable residue-level reaction coordinates, which are fundamentally required to explicitly drive the downstream preference-guided enhanced sampling pipeline and comprehensively capture the functionally relevant conformational distribution shift.</w:t>
      </w:r>
    </w:p>
    <w:p w14:paraId="25A0676D" w14:textId="435EA6CC" w:rsidR="008216A6" w:rsidRDefault="00AC728F" w:rsidP="008216A6">
      <w:pPr>
        <w:pStyle w:val="3"/>
      </w:pPr>
      <w:r w:rsidRPr="00AC728F">
        <w:t>Definition and Extraction of Allosteric Binding Sites</w:t>
      </w:r>
    </w:p>
    <w:p w14:paraId="08A05E8A" w14:textId="2CB96078" w:rsidR="008216A6" w:rsidRDefault="008216A6" w:rsidP="00EF518F">
      <w:pPr>
        <w:ind w:firstLine="420"/>
      </w:pPr>
      <w:r w:rsidRPr="008216A6">
        <w:t>To construct a high-confidence benchmark dataset for rigorous model training and performance evaluation, this study systematically annotated allosteric binding sites utilizing experimentally resolved protein-ligand (HOLO) complex structures. The precise operational workflow commenced with the deployment of the Fpocket algorithm to conduct exhaustive global spatial probing across the target HOLO conformations, thereby identifying all potential surface cavities. Subsequently, these computationally delineated pockets were subjected to rigorous spatial cross-referencing against experimentally annotated allosteric sites cataloged within the ASD 2023 (</w:t>
      </w:r>
      <w:proofErr w:type="spellStart"/>
      <w:r w:rsidRPr="008216A6">
        <w:t>AlloSteric</w:t>
      </w:r>
      <w:proofErr w:type="spellEnd"/>
      <w:r w:rsidRPr="008216A6">
        <w:t xml:space="preserve"> Database). To ensure absolute labeling fidelity, this study established a strict spatial overlap threshold of nine atoms: if a detected potential pocket exhibited an overlap of nine or more atoms with a historically known allosteric site from the database, the cavity was definitively classified as an authentic allosteric pocket. Consequently, all amino acid residues spatially localized within this validated cavity were officially labeled as true allosteric binding sites, providing a highly reliable and clean structural ground truth for downstream machine learning tasks.</w:t>
      </w:r>
    </w:p>
    <w:p w14:paraId="7DC3F335" w14:textId="77777777" w:rsidR="00B63F7B" w:rsidRDefault="007621C1">
      <w:pPr>
        <w:pStyle w:val="3"/>
      </w:pPr>
      <w:r>
        <w:t>Model architecture</w:t>
      </w:r>
    </w:p>
    <w:p w14:paraId="61562FD6" w14:textId="77777777" w:rsidR="00B63F7B" w:rsidRDefault="007621C1">
      <w:pPr>
        <w:rPr>
          <w:b/>
          <w:bCs/>
        </w:rPr>
      </w:pPr>
      <w:r>
        <w:rPr>
          <w:b/>
          <w:bCs/>
        </w:rPr>
        <w:t>Geometric vector perceptron–based graph neural networks (GVP-GNNs)</w:t>
      </w:r>
    </w:p>
    <w:p w14:paraId="4276210C" w14:textId="77777777" w:rsidR="00B63F7B" w:rsidRDefault="007621C1">
      <w:pPr>
        <w:ind w:firstLine="420"/>
      </w:pPr>
      <w:r>
        <w:t>Geometric Vector Perceptron–based graph neural networks (GVP-GNNs) were originally designed to learn protein-level representations. In this work, we adapted this architecture to learn residue-level representations, enabling the inference of the probability that each residue participates in the formation of cryptic pockets along conformational transition pathways.</w:t>
      </w:r>
    </w:p>
    <w:p w14:paraId="48DEB050" w14:textId="77777777" w:rsidR="00B63F7B" w:rsidRDefault="007621C1">
      <w:pPr>
        <w:ind w:firstLine="420"/>
      </w:pPr>
      <w:r>
        <w:t xml:space="preserve">GVP-GNNs learn representations of the chemical and topological environment of individual </w:t>
      </w:r>
      <w:r>
        <w:lastRenderedPageBreak/>
        <w:t>residues through information exchange between neighboring residues. The network input consists of node features and edge features, where node features describe intrinsic residue properties and edge features encode inter-residue relationships.</w:t>
      </w:r>
    </w:p>
    <w:p w14:paraId="221EB692" w14:textId="77777777" w:rsidR="00B63F7B" w:rsidRDefault="007621C1">
      <w:pPr>
        <w:ind w:firstLine="420"/>
      </w:pPr>
      <w:r>
        <w:t>Node features include:</w:t>
      </w:r>
      <w:r>
        <w:rPr>
          <w:rFonts w:hint="eastAsia"/>
        </w:rPr>
        <w:t xml:space="preserve"> </w:t>
      </w:r>
      <w:r>
        <w:t xml:space="preserve">(1) scalar features given by {sin, cos} </w:t>
      </w:r>
      <w:r>
        <w:rPr>
          <w:rFonts w:ascii="MS Gothic" w:eastAsia="MS Gothic" w:hAnsi="MS Gothic" w:cs="MS Gothic" w:hint="eastAsia"/>
        </w:rPr>
        <w:t>∘</w:t>
      </w:r>
      <w:r>
        <w:t xml:space="preserve"> {φ, </w:t>
      </w:r>
      <w:r>
        <w:rPr>
          <w:rFonts w:hint="eastAsia"/>
        </w:rPr>
        <w:t>ψ</w:t>
      </w:r>
      <w:r>
        <w:t xml:space="preserve">, </w:t>
      </w:r>
      <w:r>
        <w:rPr>
          <w:rFonts w:hint="eastAsia"/>
        </w:rPr>
        <w:t>ω</w:t>
      </w:r>
      <w:r>
        <w:t xml:space="preserve">}, where φ, ψ, and ω are backbone dihedral angles computed from atoms </w:t>
      </w: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i-1</m:t>
            </m:r>
          </m:sub>
        </m:sSub>
      </m:oMath>
      <w:r>
        <w:rPr>
          <w:iCs/>
        </w:rPr>
        <w:t xml:space="preserve">, N, </w:t>
      </w: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αi</m:t>
            </m:r>
          </m:sub>
        </m:sSub>
      </m:oMath>
      <w:r>
        <w:rPr>
          <w:rFonts w:hint="eastAsia"/>
          <w:iCs/>
        </w:rPr>
        <w:t>,</w:t>
      </w:r>
      <w:r>
        <w:rPr>
          <w:iCs/>
        </w:rPr>
        <w:t xml:space="preserve"> </w:t>
      </w: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i</m:t>
            </m:r>
          </m:sub>
        </m:sSub>
      </m:oMath>
      <w:r>
        <w:rPr>
          <w:rFonts w:hint="eastAsia"/>
          <w:iCs/>
        </w:rPr>
        <w:t>,</w:t>
      </w:r>
      <w:r>
        <w:rPr>
          <w:iCs/>
        </w:rPr>
        <w:t xml:space="preserve"> </w:t>
      </w:r>
      <m:oMath>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i+1</m:t>
            </m:r>
          </m:sub>
        </m:sSub>
      </m:oMath>
      <w:r>
        <w:t>;</w:t>
      </w:r>
      <w:r>
        <w:rPr>
          <w:rFonts w:hint="eastAsia"/>
        </w:rPr>
        <w:t xml:space="preserve"> </w:t>
      </w:r>
      <w:r>
        <w:t xml:space="preserve">(2) a unit vector along the </w:t>
      </w: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βi</m:t>
            </m:r>
          </m:sub>
        </m:sSub>
      </m:oMath>
      <w:r>
        <w:t>-</w:t>
      </w: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αi</m:t>
            </m:r>
          </m:sub>
        </m:sSub>
      </m:oMath>
      <w:r>
        <w:t xml:space="preserve"> direction, obtained by imputing the </w:t>
      </w: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β</m:t>
            </m:r>
          </m:sub>
        </m:sSub>
      </m:oMath>
      <w:r>
        <w:t xml:space="preserve"> atom assuming tetrahedral geometry and normalizing the resulting vector;</w:t>
      </w:r>
      <w:r>
        <w:rPr>
          <w:rFonts w:hint="eastAsia"/>
        </w:rPr>
        <w:t xml:space="preserve"> </w:t>
      </w:r>
      <w:r>
        <w:t>(3) forward and reverse unit vectors; and</w:t>
      </w:r>
      <w:r>
        <w:rPr>
          <w:rFonts w:hint="eastAsia"/>
        </w:rPr>
        <w:t xml:space="preserve"> </w:t>
      </w:r>
      <w:r>
        <w:t>(4) a one-hot encoding of the amino acid type.</w:t>
      </w:r>
    </w:p>
    <w:p w14:paraId="0F4EB9C9" w14:textId="77777777" w:rsidR="00B63F7B" w:rsidRDefault="007621C1">
      <w:pPr>
        <w:ind w:firstLine="420"/>
      </w:pPr>
      <w:r>
        <w:t>Edge features were computed for the 30 nearest neighbors of each residue and include:</w:t>
      </w:r>
      <w:r>
        <w:rPr>
          <w:rFonts w:hint="eastAsia"/>
        </w:rPr>
        <w:t xml:space="preserve"> </w:t>
      </w:r>
      <w:r>
        <w:t xml:space="preserve">(1) a unit vector pointing from </w:t>
      </w: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αj</m:t>
            </m:r>
          </m:sub>
        </m:sSub>
      </m:oMath>
      <w:r>
        <w:t xml:space="preserve"> - </w:t>
      </w: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αi</m:t>
            </m:r>
          </m:sub>
        </m:sSub>
      </m:oMath>
      <w:r>
        <w:t>;</w:t>
      </w:r>
      <w:r>
        <w:rPr>
          <w:rFonts w:hint="eastAsia"/>
        </w:rPr>
        <w:t xml:space="preserve"> </w:t>
      </w:r>
      <w:r>
        <w:t xml:space="preserve">(2) a Gaussian radial basis function (RBF) encoding of the Euclidean distance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αj</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αi</m:t>
                    </m:r>
                  </m:sub>
                </m:sSub>
                <m:r>
                  <w:rPr>
                    <w:rFonts w:ascii="Cambria Math" w:hAnsi="Cambria Math"/>
                  </w:rPr>
                  <m:t>|</m:t>
                </m:r>
              </m:e>
            </m:d>
          </m:e>
          <m:sub>
            <m:r>
              <w:rPr>
                <w:rFonts w:ascii="Cambria Math" w:hAnsi="Cambria Math"/>
              </w:rPr>
              <m:t>2</m:t>
            </m:r>
          </m:sub>
        </m:sSub>
      </m:oMath>
      <w:r>
        <w:t>; and</w:t>
      </w:r>
      <w:r>
        <w:rPr>
          <w:rFonts w:hint="eastAsia"/>
        </w:rPr>
        <w:t xml:space="preserve"> </w:t>
      </w:r>
      <w:r>
        <w:t xml:space="preserve">(3) a sinusoidal encoding of </w:t>
      </w:r>
      <w:r>
        <w:rPr>
          <w:i/>
          <w:iCs/>
        </w:rPr>
        <w:t xml:space="preserve">j - </w:t>
      </w:r>
      <w:proofErr w:type="spellStart"/>
      <w:r>
        <w:rPr>
          <w:i/>
          <w:iCs/>
        </w:rPr>
        <w:t>i</w:t>
      </w:r>
      <w:proofErr w:type="spellEnd"/>
      <w:r>
        <w:t xml:space="preserve"> to represent sequence separation along the backbone.</w:t>
      </w:r>
    </w:p>
    <w:p w14:paraId="5A3A1714" w14:textId="77777777" w:rsidR="00B63F7B" w:rsidRDefault="007621C1">
      <w:pPr>
        <w:ind w:firstLine="420"/>
      </w:pPr>
      <w:r>
        <w:t>Here we provide an intuitive description of how the network learns residue representations through inter-residue information exchange; rigorous mathematical definitions and derivations can be found in the original GVP literature.</w:t>
      </w:r>
    </w:p>
    <w:p w14:paraId="019449EA" w14:textId="77777777" w:rsidR="00B63F7B" w:rsidRDefault="007621C1">
      <w:pPr>
        <w:ind w:firstLine="420"/>
      </w:pPr>
      <w:r>
        <w:t xml:space="preserve">At each graph propagation step, the representation of residue </w:t>
      </w:r>
      <w:proofErr w:type="spellStart"/>
      <w:r>
        <w:t>i</w:t>
      </w:r>
      <w:proofErr w:type="spellEnd"/>
      <w:r>
        <w:t xml:space="preserve"> is updated based on the properties of its 30 nearest neighbors and the corresponding spatial and sequential relationships. Specifically, for each neighbor, its node features are concatenated with the associated edge features, resulting in 30 feature vectors that are processed by a Geometric Vector Perceptron (GVP) to perform nonlinear transformations. The outputs of the 30 GVPs are averaged and added to a self-representation derived from the node features of residue </w:t>
      </w:r>
      <w:proofErr w:type="spellStart"/>
      <w:r>
        <w:t>i</w:t>
      </w:r>
      <w:proofErr w:type="spellEnd"/>
      <w:r>
        <w:t xml:space="preserve">, yielding an updated representation. This update is performed simultaneously for all residues in the protein and repeated for n propagation steps. Through this iterative message-passing process, the representation of residue </w:t>
      </w:r>
      <w:proofErr w:type="spellStart"/>
      <w:r>
        <w:t>i</w:t>
      </w:r>
      <w:proofErr w:type="spellEnd"/>
      <w:r>
        <w:t xml:space="preserve"> integrates information not only from its direct neighbors but also implicitly from more distant residues, as neighbor representations themselves already encode information from their respective neighborhoods. Ultimately, each residue acquires a high-level representation that captures both the global protein topology and its local chemical environment.</w:t>
      </w:r>
    </w:p>
    <w:p w14:paraId="30E43BD9" w14:textId="46AD9E0B" w:rsidR="00B63F7B" w:rsidRDefault="007621C1">
      <w:pPr>
        <w:ind w:firstLine="420"/>
      </w:pPr>
      <w:r>
        <w:t>Based on this architecture, we trained the GVP-GNN model using the following hyperparameters: node features with 8-dimensional vector channels and 50-dimensional scalar channels; edge features with 1-dimensional vector channels and 32-dimensional scalar channels; GVP hidden layers with 16-dimensional vector channels and 100-dimensional scalar channels; 4 encoding layers; 30 nearest neighbors selected per residue during graph propagation; and a dropout rate of 0.1. Except for minor differences, these hyperparameters are consistent with those used by Jing et al.</w:t>
      </w:r>
      <w:r>
        <w:fldChar w:fldCharType="begin"/>
      </w:r>
      <w:r>
        <w:instrText xml:space="preserve"> ADDIN ZOTERO_ITEM CSL_CITATION {"citationID":"ShubsyDJ","properties":{"formattedCitation":"\\super 60\\nosupersub{}","plainCitation":"60","noteIndex":0},"citationItems":[{"id":151,"uris":["http://zotero.org/users/local/AHnUcuem/items/2TCHKLXU"],"itemData":{"id":151,"type":"article","abstract":"Learning on 3D structures of large biomolecules is emerging as a distinct area in machine learning, but there has yet to emerge a unifying network architecture that simultaneously leverages the geometric and relational aspects of the problem domain. To address this gap, we introduce geometric vector perceptrons, which extend standard dense layers to operate on collections of Euclidean vectors. Graph neural networks equipped with such layers are able to perform both geometric and relational reasoning on efﬁcient representations of macromolecules. We demonstrate our approach on two important problems in learning from protein structure: model quality assessment and computational protein design. Our approach improves over existing classes of architectures on both problems, including state-ofthe-art convolutional neural networks and graph neural networks. We release our code at https://github.com/drorlab/gvp.","DOI":"10.48550/arXiv.2009.01411","language":"en","note":"arXiv:2009.01411 [q-bio]","number":"arXiv:2009.01411","publisher":"arXiv","source":"arXiv.org","title":"Learning from Protein Structure with Geometric Vector Perceptrons","URL":"http://arxiv.org/abs/2009.01411","author":[{"family":"Jing","given":"Bowen"},{"family":"Eismann","given":"Stephan"},{"family":"Suriana","given":"Patricia"},{"family":"Townshend","given":"Raphael J. L."},{"family":"Dror","given":"Ron"}],"accessed":{"date-parts":[["2026",3,4]]},"issued":{"date-parts":[["2021",5,16]]}}}],"schema":"https://github.com/citation-style-language/schema/raw/master/csl-citation.json"} </w:instrText>
      </w:r>
      <w:r>
        <w:fldChar w:fldCharType="separate"/>
      </w:r>
      <w:r>
        <w:rPr>
          <w:rFonts w:cs="Times New Roman"/>
          <w:kern w:val="0"/>
          <w:szCs w:val="24"/>
          <w:vertAlign w:val="superscript"/>
        </w:rPr>
        <w:t>60</w:t>
      </w:r>
      <w:r>
        <w:fldChar w:fldCharType="end"/>
      </w:r>
      <w:r>
        <w:t xml:space="preserve"> in their model quality assessment framework.</w:t>
      </w:r>
    </w:p>
    <w:p w14:paraId="0D94D940" w14:textId="58D0569F" w:rsidR="00F576F1" w:rsidRDefault="00F576F1" w:rsidP="00F576F1">
      <w:pPr>
        <w:pStyle w:val="3"/>
      </w:pPr>
      <w:r>
        <w:t>Model Fine-Tuning and Hyperparameter Settings</w:t>
      </w:r>
    </w:p>
    <w:p w14:paraId="097EF752" w14:textId="13997246" w:rsidR="00F576F1" w:rsidRPr="00F576F1" w:rsidRDefault="00F576F1" w:rsidP="002C3E46">
      <w:pPr>
        <w:ind w:firstLine="420"/>
      </w:pPr>
      <w:r w:rsidRPr="00F576F1">
        <w:t xml:space="preserve">In this study, we fine-tuned the pre-trained </w:t>
      </w:r>
      <w:proofErr w:type="spellStart"/>
      <w:r w:rsidRPr="00F576F1">
        <w:t>PocketMiner</w:t>
      </w:r>
      <w:proofErr w:type="spellEnd"/>
      <w:r w:rsidRPr="00F576F1">
        <w:t xml:space="preserve">-GVP model architecture specifically for our curated allosteric dataset. The core architecture of the model comprises four message-passing layers. Regarding feature mapping, both node and edge features are embedded into hidden layers with a dimensionality configured to (16, 100). To effectively mitigate overfitting during the training phase, a Dropout mechanism was incorporated into the network with a dropout rate set to 0.1. Given the pronounced class imbalance between allosteric sites (positive samples) and non-allosteric sites </w:t>
      </w:r>
      <w:r w:rsidRPr="00F576F1">
        <w:lastRenderedPageBreak/>
        <w:t>(negative samples) within protein sequences, we formulated a customized composite loss function (Dice + BCE Loss) to guide model optimization. This loss function directly sums the traditional Binary Cross-Entropy (BCE) loss and the Dice Coefficient loss (with a smooth factor set to 1 × 10⁻⁶). While the BCE loss provides fundamental probabilistic classification supervision at the residue level, the Dice loss—evaluating from the perspective of global intersection over union—substantially amplifies the model</w:t>
      </w:r>
      <w:r w:rsidR="00335A00">
        <w:t>’</w:t>
      </w:r>
      <w:r w:rsidRPr="00F576F1">
        <w:t>s attention toward the sparse positive samples (i.e., cryptic allosteric pocket residues) and sharpens the accuracy of the prediction boundaries. For the training configuration, the Adam optimizer was employed for gradient descent and parameter updating, with the initial learning rate strictly controlled at 2 × 10⁻⁵ to ensure the stability of the fine-tuning process. The training batch size was set to 16, and the entire training regimen spanned 20 epochs. To comprehensively evaluate model performance, the Area Under the Receiver Operating Characteristic Curve (ROC-AUC) and the Area Under the Precision-Recall Curve (PR-AUC) were calculated during the validation phase. Because allosteric site recognition is a quintessential machine learning task characterized by extreme positive-negative sample imbalance, this study ultimately selected the validation set PR-AUC as the primary monitoring metric for optimal model screening. The model checkpoint from the epoch achieving the highest PR-AUC score was saved as the definitive predictive model. Ultimately, this finely tuned network seamlessly informs downstream virtual screening and conformational analyses, providing the highly reliable structural priors needed to formulate interpretable residue-level reaction coordinates, which subsequently drive the preference-guided enhanced sampling pipeline to successfully capture the targeted conformational distribution shift.</w:t>
      </w:r>
    </w:p>
    <w:p w14:paraId="3ED8C342" w14:textId="77777777" w:rsidR="00B63F7B" w:rsidRDefault="007621C1">
      <w:pPr>
        <w:pStyle w:val="3"/>
      </w:pPr>
      <w:r>
        <w:t>Conformational ensemble generation based on MSA sequences</w:t>
      </w:r>
    </w:p>
    <w:p w14:paraId="1CC78EA3" w14:textId="77777777" w:rsidR="00B63F7B" w:rsidRDefault="007621C1">
      <w:pPr>
        <w:rPr>
          <w:b/>
          <w:bCs/>
        </w:rPr>
      </w:pPr>
      <w:r>
        <w:rPr>
          <w:b/>
          <w:bCs/>
        </w:rPr>
        <w:t>Multiple sequence alignment acquisition</w:t>
      </w:r>
    </w:p>
    <w:p w14:paraId="2EB7C24E" w14:textId="77777777" w:rsidR="00B63F7B" w:rsidRDefault="007621C1">
      <w:pPr>
        <w:ind w:firstLine="420"/>
      </w:pPr>
      <w:r>
        <w:t xml:space="preserve">All multiple sequence alignments (MSAs) used in this study were generated using the built-in MMseqs2 pipeline in </w:t>
      </w:r>
      <w:proofErr w:type="spellStart"/>
      <w:r>
        <w:t>ColabFold</w:t>
      </w:r>
      <w:proofErr w:type="spellEnd"/>
      <w:r>
        <w:t xml:space="preserve"> v1.5.5</w:t>
      </w:r>
      <w:r>
        <w:fldChar w:fldCharType="begin"/>
      </w:r>
      <w:r>
        <w:instrText xml:space="preserve"> ADDIN ZOTERO_ITEM CSL_CITATION {"citationID":"GrOqV5Rn","properties":{"formattedCitation":"\\super 78,79\\nosupersub{}","plainCitation":"78,79","noteIndex":0},"citationItems":[{"id":190,"uris":["http://zotero.org/users/local/AHnUcuem/items/I6R95JZW"],"itemData":{"id":190,"type":"article-journal","abstract":"Abstract\n            \n              ColabFold offers accelerated prediction of protein structures and complexes by combining the fast homology search of MMseqs2 with AlphaFold2 or RoseTTAFold. ColabFold’s 40−60-fold faster search and optimized model utilization enables prediction of close to 1,000 structures per day on a server with one graphics processing unit. Coupled with Google Colaboratory, ColabFold becomes a free and accessible platform for protein folding. ColabFold is open-source software available at\n              https://github.com/sokrypton/ColabFold\n              and its novel environmental databases are available at\n              https://colabfold.mmseqs.com\n              .","container-title":"Nature Methods","DOI":"10.1038/s41592-022-01488-1","ISSN":"1548-7091, 1548-7105","issue":"6","journalAbbreviation":"Nat Methods","language":"en","page":"679-682","source":"DOI.org (Crossref)","title":"ColabFold: making protein folding accessible to all","title-short":"ColabFold","volume":"19","author":[{"family":"Mirdita","given":"Milot"},{"family":"Schütze","given":"Konstantin"},{"family":"Moriwaki","given":"Yoshitaka"},{"family":"Heo","given":"Lim"},{"family":"Ovchinnikov","given":"Sergey"},{"family":"Steinegger","given":"Martin"}],"issued":{"date-parts":[["2022",6]]}}},{"id":192,"uris":["http://zotero.org/users/local/AHnUcuem/items/DJM2A8UB"],"itemData":{"id":192,"type":"article-journal","container-title":"Nature Protocols","DOI":"10.1038/s41596-024-01060-5","ISSN":"1754-2189, 1750-2799","issue":"3","journalAbbreviation":"Nat Protoc","language":"en","page":"620-642","source":"DOI.org (Crossref)","title":"Easy and accurate protein structure prediction using ColabFold","volume":"20","author":[{"family":"Kim","given":"Gyuri"},{"family":"Lee","given":"Sewon"},{"family":"Levy Karin","given":"Eli"},{"family":"Kim","given":"Hyunbin"},{"family":"Moriwaki","given":"Yoshitaka"},{"family":"Ovchinnikov","given":"Sergey"},{"family":"Steinegger","given":"Martin"},{"family":"Mirdita","given":"Milot"}],"issued":{"date-parts":[["2025",3]]}}}],"schema":"https://github.com/citation-style-language/schema/raw/master/csl-citation.json"} </w:instrText>
      </w:r>
      <w:r>
        <w:fldChar w:fldCharType="separate"/>
      </w:r>
      <w:r>
        <w:rPr>
          <w:rFonts w:cs="Times New Roman"/>
          <w:kern w:val="0"/>
          <w:szCs w:val="24"/>
          <w:vertAlign w:val="superscript"/>
        </w:rPr>
        <w:t>78,79</w:t>
      </w:r>
      <w:r>
        <w:fldChar w:fldCharType="end"/>
      </w:r>
      <w:r>
        <w:t>. Sequence searches were performed against the UniRef30_2302</w:t>
      </w:r>
      <w:r>
        <w:fldChar w:fldCharType="begin"/>
      </w:r>
      <w:r>
        <w:instrText xml:space="preserve"> ADDIN ZOTERO_ITEM CSL_CITATION {"citationID":"5cNVpy6U","properties":{"formattedCitation":"\\super 80\\nosupersub{}","plainCitation":"80","noteIndex":0},"citationItems":[{"id":196,"uris":["http://zotero.org/users/local/AHnUcuem/items/A3LEN673"],"itemData":{"id":196,"type":"article-journal","abstract":"We present three clustered protein sequence databases, Uniclust90, Uniclust50, Uniclust30 and three databases of multiple sequence alignments (MSAs), Uniboost10, Uniboost20 and Uniboost30, as a resource for protein sequence analysis, function prediction and sequence searches. The Uniclust databases cluster UniProtKB sequences at the level of 90%, 50% and 30% pairwise sequence identity. Uniclust90 and Uniclust50 clusters showed better consistency of functional annotation than those of UniRef90 and UniRef50, owing to an optimised clustering pipeline that runs with our MMseqs2 software for fast and sensitive protein sequence searching and clustering. Uniclust sequences are annotated with matches to Pfam, SCOP domains, and proteins in the PDB, using our HHblits homology detection tool. Due to its high sensitivity, Uniclust contains 17% more Pfam domain annotations than UniProt. Uniboost MSAs of three diversities are built by enriching the Uniclust30 MSAs with local sequence matches from MMseqs2 proﬁle searches through Uniclust30. All databases can be downloaded from the Uniclust server at uniclust.mmseqs.com. Users can search clusters by keywords and explore their MSAs, taxonomic representation, and annotations. Uniclust is updated every two months with the new UniProt release.","container-title":"Nucleic Acids Research","DOI":"10.1093/nar/gkw1081","ISSN":"0305-1048, 1362-4962","issue":"D1","journalAbbreviation":"Nucleic Acids Res","language":"en","license":"http://creativecommons.org/licenses/by/4.0/","page":"D170-D176","source":"DOI.org (Crossref)","title":"Uniclust databases of clustered and deeply annotated protein sequences and alignments","volume":"45","author":[{"family":"Mirdita","given":"Milot"},{"family":"von den Driesch","given":"Lars"},{"family":"Galiez","given":"Clovis"},{"family":"Martin","given":"Maria J."},{"family":"Söding","given":"Johannes"},{"family":"Steinegger","given":"Martin"}],"issued":{"date-parts":[["2017",1,4]]}}}],"schema":"https://github.com/citation-style-language/schema/raw/master/csl-citation.json"} </w:instrText>
      </w:r>
      <w:r>
        <w:fldChar w:fldCharType="separate"/>
      </w:r>
      <w:r>
        <w:rPr>
          <w:rFonts w:cs="Times New Roman"/>
          <w:kern w:val="0"/>
          <w:szCs w:val="24"/>
          <w:vertAlign w:val="superscript"/>
        </w:rPr>
        <w:t>80</w:t>
      </w:r>
      <w:r>
        <w:fldChar w:fldCharType="end"/>
      </w:r>
      <w:r>
        <w:t>, colabfold_envdb_202108</w:t>
      </w:r>
      <w:r>
        <w:fldChar w:fldCharType="begin"/>
      </w:r>
      <w:r>
        <w:instrText xml:space="preserve"> ADDIN ZOTERO_ITEM CSL_CITATION {"citationID":"k9uF0xpU","properties":{"formattedCitation":"\\super 79\\nosupersub{}","plainCitation":"79","noteIndex":0},"citationItems":[{"id":192,"uris":["http://zotero.org/users/local/AHnUcuem/items/DJM2A8UB"],"itemData":{"id":192,"type":"article-journal","container-title":"Nature Protocols","DOI":"10.1038/s41596-024-01060-5","ISSN":"1754-2189, 1750-2799","issue":"3","journalAbbreviation":"Nat Protoc","language":"en","page":"620-642","source":"DOI.org (Crossref)","title":"Easy and accurate protein structure prediction using ColabFold","volume":"20","author":[{"family":"Kim","given":"Gyuri"},{"family":"Lee","given":"Sewon"},{"family":"Levy Karin","given":"Eli"},{"family":"Kim","given":"Hyunbin"},{"family":"Moriwaki","given":"Yoshitaka"},{"family":"Ovchinnikov","given":"Sergey"},{"family":"Steinegger","given":"Martin"},{"family":"Mirdita","given":"Milot"}],"issued":{"date-parts":[["2025",3]]}}}],"schema":"https://github.com/citation-style-language/schema/raw/master/csl-citation.json"} </w:instrText>
      </w:r>
      <w:r>
        <w:fldChar w:fldCharType="separate"/>
      </w:r>
      <w:r>
        <w:rPr>
          <w:rFonts w:cs="Times New Roman"/>
          <w:kern w:val="0"/>
          <w:szCs w:val="24"/>
          <w:vertAlign w:val="superscript"/>
        </w:rPr>
        <w:t>79</w:t>
      </w:r>
      <w:r>
        <w:fldChar w:fldCharType="end"/>
      </w:r>
      <w:r>
        <w:t>, pdb100_230517</w:t>
      </w:r>
      <w:r>
        <w:fldChar w:fldCharType="begin"/>
      </w:r>
      <w:r>
        <w:instrText xml:space="preserve"> ADDIN ZOTERO_ITEM CSL_CITATION {"citationID":"7FKqpLtx","properties":{"formattedCitation":"\\super 79\\nosupersub{}","plainCitation":"79","noteIndex":0},"citationItems":[{"id":192,"uris":["http://zotero.org/users/local/AHnUcuem/items/DJM2A8UB"],"itemData":{"id":192,"type":"article-journal","container-title":"Nature Protocols","DOI":"10.1038/s41596-024-01060-5","ISSN":"1754-2189, 1750-2799","issue":"3","journalAbbreviation":"Nat Protoc","language":"en","page":"620-642","source":"DOI.org (Crossref)","title":"Easy and accurate protein structure prediction using ColabFold","volume":"20","author":[{"family":"Kim","given":"Gyuri"},{"family":"Lee","given":"Sewon"},{"family":"Levy Karin","given":"Eli"},{"family":"Kim","given":"Hyunbin"},{"family":"Moriwaki","given":"Yoshitaka"},{"family":"Ovchinnikov","given":"Sergey"},{"family":"Steinegger","given":"Martin"},{"family":"Mirdita","given":"Milot"}],"issued":{"date-parts":[["2025",3]]}}}],"schema":"https://github.com/citation-style-language/schema/raw/master/csl-citation.json"} </w:instrText>
      </w:r>
      <w:r>
        <w:fldChar w:fldCharType="separate"/>
      </w:r>
      <w:r>
        <w:rPr>
          <w:rFonts w:cs="Times New Roman"/>
          <w:kern w:val="0"/>
          <w:szCs w:val="24"/>
          <w:vertAlign w:val="superscript"/>
        </w:rPr>
        <w:t>79</w:t>
      </w:r>
      <w:r>
        <w:fldChar w:fldCharType="end"/>
      </w:r>
      <w:r>
        <w:t xml:space="preserve"> , and pdb100_foldseek_230517</w:t>
      </w:r>
      <w:r>
        <w:fldChar w:fldCharType="begin"/>
      </w:r>
      <w:r>
        <w:instrText xml:space="preserve"> ADDIN ZOTERO_ITEM CSL_CITATION {"citationID":"60ynM2fJ","properties":{"formattedCitation":"\\super 79\\nosupersub{}","plainCitation":"79","noteIndex":0},"citationItems":[{"id":192,"uris":["http://zotero.org/users/local/AHnUcuem/items/DJM2A8UB"],"itemData":{"id":192,"type":"article-journal","container-title":"Nature Protocols","DOI":"10.1038/s41596-024-01060-5","ISSN":"1754-2189, 1750-2799","issue":"3","journalAbbreviation":"Nat Protoc","language":"en","page":"620-642","source":"DOI.org (Crossref)","title":"Easy and accurate protein structure prediction using ColabFold","volume":"20","author":[{"family":"Kim","given":"Gyuri"},{"family":"Lee","given":"Sewon"},{"family":"Levy Karin","given":"Eli"},{"family":"Kim","given":"Hyunbin"},{"family":"Moriwaki","given":"Yoshitaka"},{"family":"Ovchinnikov","given":"Sergey"},{"family":"Steinegger","given":"Martin"},{"family":"Mirdita","given":"Milot"}],"issued":{"date-parts":[["2025",3]]}}}],"schema":"https://github.com/citation-style-language/schema/raw/master/csl-citation.json"} </w:instrText>
      </w:r>
      <w:r>
        <w:fldChar w:fldCharType="separate"/>
      </w:r>
      <w:r>
        <w:rPr>
          <w:rFonts w:cs="Times New Roman"/>
          <w:kern w:val="0"/>
          <w:szCs w:val="24"/>
          <w:vertAlign w:val="superscript"/>
        </w:rPr>
        <w:t>79</w:t>
      </w:r>
      <w:r>
        <w:fldChar w:fldCharType="end"/>
      </w:r>
      <w:r>
        <w:t xml:space="preserve"> databases to ensure comprehensive coverage and high-quality evolutionary homologs.</w:t>
      </w:r>
    </w:p>
    <w:p w14:paraId="5AA601ED" w14:textId="77777777" w:rsidR="00B63F7B" w:rsidRDefault="007621C1">
      <w:pPr>
        <w:rPr>
          <w:b/>
          <w:bCs/>
        </w:rPr>
      </w:pPr>
      <w:r>
        <w:rPr>
          <w:b/>
          <w:bCs/>
        </w:rPr>
        <w:t>Structure prediction and parameter settings</w:t>
      </w:r>
    </w:p>
    <w:p w14:paraId="2DA4C7E7" w14:textId="77777777" w:rsidR="00B63F7B" w:rsidRDefault="007621C1">
      <w:pPr>
        <w:ind w:firstLine="420"/>
      </w:pPr>
      <w:r>
        <w:t>All protein structure predictions were carried out using the AlphaFold2</w:t>
      </w:r>
      <w:r>
        <w:fldChar w:fldCharType="begin"/>
      </w:r>
      <w:r>
        <w:instrText xml:space="preserve"> ADDIN ZOTERO_ITEM CSL_CITATION {"citationID":"y7plDfpB","properties":{"formattedCitation":"\\super 81\\nosupersub{}","plainCitation":"81","noteIndex":0},"citationItems":[{"id":198,"uris":["http://zotero.org/users/local/AHnUcuem/items/I3PNKMP2"],"itemData":{"id":198,"type":"article-journal","abstract":"Abstract\n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W."},{"family":"Kavukcuoglu","given":"Koray"},{"family":"Kohli","given":"Pushmeet"},{"family":"Hassabis","given":"Demis"}],"issued":{"date-parts":[["2021",8,26]]}}}],"schema":"https://github.com/citation-style-language/schema/raw/master/csl-citation.json"} </w:instrText>
      </w:r>
      <w:r>
        <w:fldChar w:fldCharType="separate"/>
      </w:r>
      <w:r>
        <w:rPr>
          <w:rFonts w:cs="Times New Roman"/>
          <w:kern w:val="0"/>
          <w:szCs w:val="24"/>
          <w:vertAlign w:val="superscript"/>
        </w:rPr>
        <w:t>81</w:t>
      </w:r>
      <w:r>
        <w:fldChar w:fldCharType="end"/>
      </w:r>
      <w:r>
        <w:t xml:space="preserve"> implementation within the </w:t>
      </w:r>
      <w:proofErr w:type="spellStart"/>
      <w:r>
        <w:t>ColabFold</w:t>
      </w:r>
      <w:proofErr w:type="spellEnd"/>
      <w:r>
        <w:t xml:space="preserve"> platform. During the iterative enrichment and sampling of MSA sequences, a single structure was generated for each input MSA file. To ensure reproducibility, a fixed random seed of 42 was used throughout this process. For each final, purified MSA subcluster, additional structure predictions were performed to further assess prediction robustness and explore conformational diversity. Specifically, eight different random seeds were applied, and five structural models were generated per seed, yielding a total of 40 predicted conformations for downstream analyses. In all structure prediction tasks, the number of </w:t>
      </w:r>
      <w:proofErr w:type="gramStart"/>
      <w:r>
        <w:t>model</w:t>
      </w:r>
      <w:proofErr w:type="gramEnd"/>
      <w:r>
        <w:t xml:space="preserve"> recycles was fixed to three.</w:t>
      </w:r>
    </w:p>
    <w:p w14:paraId="2595A47D" w14:textId="77777777" w:rsidR="00B63F7B" w:rsidRDefault="007621C1">
      <w:r>
        <w:t xml:space="preserve">For predictions during sampling: </w:t>
      </w:r>
    </w:p>
    <w:p w14:paraId="78D41265" w14:textId="77777777" w:rsidR="00B63F7B" w:rsidRDefault="007621C1">
      <w:proofErr w:type="spellStart"/>
      <w:r>
        <w:t>colabfold_batch</w:t>
      </w:r>
      <w:proofErr w:type="spellEnd"/>
      <w:r>
        <w:t xml:space="preserve"> </w:t>
      </w:r>
      <w:proofErr w:type="spellStart"/>
      <w:r>
        <w:t>input_dir_with_msas</w:t>
      </w:r>
      <w:proofErr w:type="spellEnd"/>
      <w:r>
        <w:t xml:space="preserve">/ </w:t>
      </w:r>
      <w:proofErr w:type="spellStart"/>
      <w:r>
        <w:t>output_dir</w:t>
      </w:r>
      <w:proofErr w:type="spellEnd"/>
      <w:r>
        <w:t xml:space="preserve">/ --num-models 1 --random-seed 42 --num-recycle 3 </w:t>
      </w:r>
    </w:p>
    <w:p w14:paraId="7AD2955D" w14:textId="77777777" w:rsidR="00B63F7B" w:rsidRDefault="007621C1">
      <w:r>
        <w:t xml:space="preserve">For predictions after sequence purification: </w:t>
      </w:r>
    </w:p>
    <w:p w14:paraId="7BB9078B" w14:textId="77777777" w:rsidR="00B63F7B" w:rsidRDefault="007621C1">
      <w:proofErr w:type="spellStart"/>
      <w:r>
        <w:lastRenderedPageBreak/>
        <w:t>colabfold_batch</w:t>
      </w:r>
      <w:proofErr w:type="spellEnd"/>
      <w:r>
        <w:t xml:space="preserve"> </w:t>
      </w:r>
      <w:proofErr w:type="spellStart"/>
      <w:r>
        <w:t>input_dir_with_msas</w:t>
      </w:r>
      <w:proofErr w:type="spellEnd"/>
      <w:r>
        <w:t xml:space="preserve">/ </w:t>
      </w:r>
      <w:proofErr w:type="spellStart"/>
      <w:r>
        <w:t>output_dir</w:t>
      </w:r>
      <w:proofErr w:type="spellEnd"/>
      <w:r>
        <w:t>/ --num-models 5 --num-seeds 8 --num-recycle 3</w:t>
      </w:r>
    </w:p>
    <w:p w14:paraId="1E245D59" w14:textId="4D2B3EAD" w:rsidR="00AA1584" w:rsidRDefault="00F8032C" w:rsidP="00AA1584">
      <w:pPr>
        <w:pStyle w:val="3"/>
      </w:pPr>
      <w:r w:rsidRPr="00F8032C">
        <w:t>Allosteric Pocket Evaluation and Ranking System Based on Multi-Metric Consensus</w:t>
      </w:r>
    </w:p>
    <w:p w14:paraId="38A88FCD" w14:textId="1452F26F" w:rsidR="00AA1584" w:rsidRDefault="00AA1584">
      <w:pPr>
        <w:ind w:firstLine="420"/>
      </w:pPr>
      <w:r w:rsidRPr="00AA1584">
        <w:t xml:space="preserve">To systematically evaluate and prioritize the candidate allosteric pockets identified by our model, this study constructed a multi-metric consensus evaluation system that integrates both allosteric propensity and </w:t>
      </w:r>
      <w:proofErr w:type="spellStart"/>
      <w:r w:rsidRPr="00AA1584">
        <w:t>druggability</w:t>
      </w:r>
      <w:proofErr w:type="spellEnd"/>
      <w:r w:rsidRPr="00AA1584">
        <w:t xml:space="preserve">. This framework conducts quantitative scoring and comprehensive ranking on spatially clustered candidate pockets by specifically integrating two core metrics. The first is the </w:t>
      </w:r>
      <w:proofErr w:type="spellStart"/>
      <w:r w:rsidRPr="00AA1584">
        <w:t>DeepAllo</w:t>
      </w:r>
      <w:proofErr w:type="spellEnd"/>
      <w:r w:rsidRPr="00AA1584">
        <w:t xml:space="preserve"> Score, utilized to quantify the allosteric regulatory potential of the pocket. Derived from the </w:t>
      </w:r>
      <w:proofErr w:type="spellStart"/>
      <w:r w:rsidRPr="00AA1584">
        <w:t>DeepAllo</w:t>
      </w:r>
      <w:proofErr w:type="spellEnd"/>
      <w:r w:rsidRPr="00AA1584">
        <w:t xml:space="preserve"> model, this score effectively fuses 19 physicochemical features extracted by Fpocket with deep residue representations learned by Protein Language Models (PLMs). Given that the output of Fpocket consists of discrete geometric cavities whereas our predictions manifest as residue clusters, we achieved precise score mapping by calculating the spatial Euclidean distance between the geometric center of each residue cluster and the geometric centers of all Fpocket cavities, subsequently assigning the physicochemical feature score of the nearest-neighbor Fpocket cavity to the corresponding residue cluster. The second metric is the Protein-Ligand Binding (PLB) Score, employed to directly assess the </w:t>
      </w:r>
      <w:proofErr w:type="spellStart"/>
      <w:r w:rsidRPr="00AA1584">
        <w:t>druggability</w:t>
      </w:r>
      <w:proofErr w:type="spellEnd"/>
      <w:r w:rsidRPr="00AA1584">
        <w:t xml:space="preserve"> and ligand-binding probability of the pocket using machine learning algorithms based primarily on features such as the amino acid composition of the clustered residues. During the consensus ranking and residue scoring phase, we calculated the respective </w:t>
      </w:r>
      <w:proofErr w:type="spellStart"/>
      <w:r w:rsidRPr="00AA1584">
        <w:t>DeepAllo</w:t>
      </w:r>
      <w:proofErr w:type="spellEnd"/>
      <w:r w:rsidRPr="00AA1584">
        <w:t xml:space="preserve"> and PLB scores for each predicted cryptic binding site residue cluster within the conformational ensemble. Subsequently, the evaluation results across all conformations were aggregated, and the top seven high-scoring clusters based on this comprehensive ranking were extracted. For each individual residue, the score of the highest-rated cluster to which it belongs was assigned as its definitive score. Ultimately, by fusing these two categories of scores, a rigorous consensus ranking list was constructed to serve as the quantitative decision-making basis for screening high-confidence, druggable combinations of allosteric pocket residues. The robust identification of these optimal residue combinations serves as a critical prerequisite for defining interpretable residue-level reaction coordinates. These coordinates are, in turn, absolutely essential to accurately characterize the functional conformational distribution shift and to efficiently drive the downstream preference-guided enhanced sampling pipeline.</w:t>
      </w:r>
    </w:p>
    <w:p w14:paraId="015108C2" w14:textId="6D149A2B" w:rsidR="00B63F7B" w:rsidRDefault="00013D9B">
      <w:pPr>
        <w:pStyle w:val="3"/>
      </w:pPr>
      <w:r w:rsidRPr="00013D9B">
        <w:t>Quantitative Evaluation and Measurement of Conformational Quality</w:t>
      </w:r>
    </w:p>
    <w:p w14:paraId="4A54724B" w14:textId="77F28191" w:rsidR="005D5A71" w:rsidRPr="005D5A71" w:rsidRDefault="005D5A71" w:rsidP="0033074B">
      <w:pPr>
        <w:ind w:firstLine="420"/>
      </w:pPr>
      <w:r w:rsidRPr="005D5A71">
        <w:t xml:space="preserve">To quantitatively evaluate the formation propensity and structural integrity of candidate cryptic allosteric pockets within specific conformations, this study proposes a rigorous conformational quality scoring method predicated on the spatial compactness of key residues. Specifically, known key allosteric residues are first mapped onto the target conformation, enabling the precise calculation of the geometric center of this functional residue cluster following spatial clustering. </w:t>
      </w:r>
      <w:r w:rsidRPr="005D5A71">
        <w:lastRenderedPageBreak/>
        <w:t>Simultaneously, the Fpocket algorithm is employed to execute global pocket detection across the full-protein conformation, extracting the geometric center of the computationally identified pocket most proximal to this targeted residue cluster. Subsequently, the Euclidean distance between these two geometric centers is calculated to serve as the definitive quality score for the given conformation. A lower Euclidean distance unequivocally indicates that the key functional residues converge to form a compact, morphologically objective, and continuous cavity, thereby signifying a substantially higher probability that the conformation supports the robust formation of a functional binding pocket. Structural states exhibiting these low distance values are explicitly defined as preferred conformations, successfully capturing the functionally critical conformational distribution shift. Crucially, this geometric distance metric effectively functions as interpretable residue-level reaction coordinates, establishing the core evaluation criterion for subsequent sequence enrichment and conformational screening. This rigorous quantification not only ensures that the selected conformational models possess profound allosteric binding potential but also provides the high-fidelity structural foundation required to seamlessly drive the downstream preference-guided enhanced sampling pipeline.</w:t>
      </w:r>
    </w:p>
    <w:p w14:paraId="00B8B498" w14:textId="4F5EEF4D" w:rsidR="00B63F7B" w:rsidRDefault="007621C1">
      <w:pPr>
        <w:pStyle w:val="3"/>
      </w:pPr>
      <w:r>
        <w:t>Iterative shuffling and enrichment of conformation-preferred sequences in MSA</w:t>
      </w:r>
    </w:p>
    <w:p w14:paraId="080F443A" w14:textId="25A3CAF3" w:rsidR="00191CFA" w:rsidRPr="00191CFA" w:rsidRDefault="00191CFA" w:rsidP="00191CFA">
      <w:pPr>
        <w:ind w:firstLine="420"/>
      </w:pPr>
      <w:r w:rsidRPr="00191CFA">
        <w:t xml:space="preserve">To mitigate noise introduced by alignment gaps and ensure the utmost quality of input information, this study initially subjected the raw multiple sequence alignment (MSA) to rigorous preprocessing, utilizing a strict coverage threshold of 0.8. Subsequently, to definitively extract a sequence subset highly prone to adopting the target functional state, we implemented a sophisticated, structure-guided iterative sequence enrichment workflow. In each round of this iterative purification, the system first randomly shuffles the current MSA sequence pool and partitions it into multiple fixed-size subsets, a strategy explicitly designed to exhaustively explore the evolutionary combinatorial space. </w:t>
      </w:r>
      <w:proofErr w:type="spellStart"/>
      <w:r w:rsidRPr="00191CFA">
        <w:t>ColabFold</w:t>
      </w:r>
      <w:proofErr w:type="spellEnd"/>
      <w:r w:rsidRPr="00191CFA">
        <w:t xml:space="preserve"> is then deployed to execute high-throughput structure prediction across these discrete subsets. All generated conformations are subsequently subjected to rigorous quantitative evaluation and sorted in descending order based on the previously established metric for conformational quality, a step crucial for actively tracking the desired conformational distribution shift. Following this evaluation, the raw sequences corresponding to the top 20% of high-quality conformations are precisely extracted; post-deduplication, these sequences are seamlessly merged and recombined to constitute the enriched sequence pool entering the next iteration. This robust feedback loop, strictly driven by structural predictions, is executed for a pre-defined number of cycles. Ultimately, by aggregating the optimally recovered sequences across all iterations, we successfully construct a highly purified MSA set that exhibits a pronounced propensity to form the target cryptic allosteric conformation. Serving as a high-fidelity structural prior, this purified ensemble provides the essential topological foundation required to accurately formulate interpretable residue-level reaction coordinates, which subsequently and directly drive the downstream preference-guided enhanced sampling to achieve optimal deep conformational exploration and physical simulation.</w:t>
      </w:r>
    </w:p>
    <w:p w14:paraId="4078E778" w14:textId="0604D76F" w:rsidR="00B63F7B" w:rsidRDefault="007621C1">
      <w:pPr>
        <w:pStyle w:val="3"/>
      </w:pPr>
      <w:r>
        <w:lastRenderedPageBreak/>
        <w:t>Cross-Group Sampling and Sequence Voting–Based Purification</w:t>
      </w:r>
    </w:p>
    <w:p w14:paraId="02C96C29" w14:textId="439849D9" w:rsidR="002440AA" w:rsidRPr="002440AA" w:rsidRDefault="002440AA" w:rsidP="002440AA">
      <w:pPr>
        <w:ind w:firstLine="420"/>
      </w:pPr>
      <w:r w:rsidRPr="002440AA">
        <w:t xml:space="preserve">To further elucidate the correlation between specific sequences within the enriched multiple sequence alignment (MSA) and distinct conformational states, and to meticulously purify sequence subsets exhibiting high conformational specificity, this study adopted a sophisticated purification mechanism integrating leave-one-group-out cross-sampling with sequence consensus voting. Specifically, the enriched MSA sequences are initially partitioned into M + 1 mutually exclusive, non-overlapping groups. By systematically excluding one group while combinatorially assembling the remaining M groups, the system constructs M × (M + 1) overlapping MSA subsets, rigorously ensuring that each original sequence appears exactly M times across the newly generated subsets. By deconstructing the massive global MSA into smaller, overlapping subsets, this resampling architecture effectively amplifies the contribution weight of individual sequences toward the final structural prediction, thereby unmasking weak sequence-conformation associations that are typically obscured within the macroscopic global alignment. Subsequently, </w:t>
      </w:r>
      <w:proofErr w:type="spellStart"/>
      <w:r w:rsidRPr="002440AA">
        <w:t>ColabFold</w:t>
      </w:r>
      <w:proofErr w:type="spellEnd"/>
      <w:r w:rsidRPr="002440AA">
        <w:t xml:space="preserve"> is deployed to execute independent structure predictions for each discrete MSA subset. All resulting predictions are then systematically binned based on the conformational quality scores of the target residues, definitively establishing the statistical distribution of distinct conformational states. Building upon this structural landscape, the study introduces a rigorous sequence voting mechanism for precise sequence categorization. For any given original sequence, the system comprehensively tracks and tallies the conformational bins corresponding to all MSA subsets in which that sequence participates; the bin with the highest frequency of occurrence is subsequently defined as the definitive preferred conformational state for that specific sequence. This consensus voting process, strictly anchored in statistical frequency, effectively filters out prediction fluctuations induced by evolutionary noise or contextual dependencies, thereby cleanly stratifying the initial sequence pool into several high-purity, conformation-specific MSA subsets. Ultimately, the purified MSA subset perfectly representing the target functional conformation—specifically, the bin achieving the optimal conformational quality score—is extracted. This highly refined subset provides exceptionally reliable, statistically significant sequence priors that are fundamentally critical for defining interpretable residue-level reaction coordinates, actively tracking the targeted conformational distribution shift, and ultimately driving the downstream preference-guided enhanced sampling and rigorous physical simulations of the allosteric system.</w:t>
      </w:r>
    </w:p>
    <w:p w14:paraId="0F933EF9" w14:textId="77777777" w:rsidR="00B63F7B" w:rsidRDefault="007621C1">
      <w:pPr>
        <w:pStyle w:val="3"/>
      </w:pPr>
      <w:r>
        <w:t xml:space="preserve">Biased </w:t>
      </w:r>
      <w:proofErr w:type="spellStart"/>
      <w:r>
        <w:t>Metadynamics</w:t>
      </w:r>
      <w:proofErr w:type="spellEnd"/>
      <w:r>
        <w:t xml:space="preserve"> Simulations</w:t>
      </w:r>
    </w:p>
    <w:p w14:paraId="1EE3800B" w14:textId="247FB2DD" w:rsidR="00B63F7B" w:rsidRDefault="004E5019">
      <w:pPr>
        <w:rPr>
          <w:b/>
          <w:bCs/>
        </w:rPr>
      </w:pPr>
      <w:r w:rsidRPr="004E5019">
        <w:rPr>
          <w:b/>
          <w:bCs/>
        </w:rPr>
        <w:t>System Preparation, Equilibration, and Preference-Guided Enhanced Sampling</w:t>
      </w:r>
    </w:p>
    <w:p w14:paraId="624D7D25" w14:textId="0C72229A" w:rsidR="004E5019" w:rsidRPr="004E5019" w:rsidRDefault="004E5019" w:rsidP="004E5019">
      <w:pPr>
        <w:ind w:firstLine="420"/>
      </w:pPr>
      <w:r w:rsidRPr="004E5019">
        <w:t>All-atom simulation systems were constructed from the target conformations using CHARMM-GUI with the AMBER20 force field and the TIP3P water model. For membrane proteins such as GPCRs, the protein was embedded in a POPC bilayer, whereas this step was omitted for soluble proteins. A 10 Å water layer was added on both sides of the system, followed by the addition of 0.15 mol L⁻¹ KCl and neutralizing counterions. All simulations were performed in GROMACS.</w:t>
      </w:r>
      <w:r>
        <w:rPr>
          <w:rFonts w:hint="eastAsia"/>
        </w:rPr>
        <w:t xml:space="preserve"> </w:t>
      </w:r>
      <w:r w:rsidRPr="004E5019">
        <w:t xml:space="preserve">Each system was energy-minimized using the steepest descent algorithm until the maximum force </w:t>
      </w:r>
      <w:r w:rsidRPr="004E5019">
        <w:lastRenderedPageBreak/>
        <w:t>was below 1000 kJ mol⁻¹ nm⁻¹ or 5000 steps were reached. During minimization, positional restraints were applied to the backbone, side chains, and lipids with force constants of 4000, 2000, and 1000 kJ mol⁻¹ nm⁻², respectively, together with backbone dihedral restraints of 1000 kJ mol⁻¹ rad⁻². Electrostatic and van der Waals interactions were truncated at 0.9 nm, and long-range electrostatics were treated using PME.</w:t>
      </w:r>
      <w:r>
        <w:rPr>
          <w:rFonts w:hint="eastAsia"/>
        </w:rPr>
        <w:t xml:space="preserve"> </w:t>
      </w:r>
      <w:r w:rsidRPr="004E5019">
        <w:t xml:space="preserve">After minimization, the systems were equilibrated at 310.15 K through a multistep restrained protocol. Two 125 </w:t>
      </w:r>
      <w:proofErr w:type="spellStart"/>
      <w:r w:rsidRPr="004E5019">
        <w:t>ps</w:t>
      </w:r>
      <w:proofErr w:type="spellEnd"/>
      <w:r w:rsidRPr="004E5019">
        <w:t xml:space="preserve"> NVT stages were first performed with a 1 fs timestep, using restraint sets of 4000/2000/1000 and 2000/1000/400 kJ mol⁻¹ nm⁻² for backbone/side chains/lipids, respectively. This was followed by three NPT stages under the v-rescale thermostat (τ = 1.0 </w:t>
      </w:r>
      <w:proofErr w:type="spellStart"/>
      <w:r w:rsidRPr="004E5019">
        <w:t>ps</w:t>
      </w:r>
      <w:proofErr w:type="spellEnd"/>
      <w:r w:rsidRPr="004E5019">
        <w:t xml:space="preserve">) and semi-isotropic C-rescale </w:t>
      </w:r>
      <w:proofErr w:type="spellStart"/>
      <w:r w:rsidRPr="004E5019">
        <w:t>barostat</w:t>
      </w:r>
      <w:proofErr w:type="spellEnd"/>
      <w:r w:rsidRPr="004E5019">
        <w:t xml:space="preserve"> (τ = 5.0 </w:t>
      </w:r>
      <w:proofErr w:type="spellStart"/>
      <w:r w:rsidRPr="004E5019">
        <w:t>ps</w:t>
      </w:r>
      <w:proofErr w:type="spellEnd"/>
      <w:r w:rsidRPr="004E5019">
        <w:t xml:space="preserve">): 125 </w:t>
      </w:r>
      <w:proofErr w:type="spellStart"/>
      <w:r w:rsidRPr="004E5019">
        <w:t>ps</w:t>
      </w:r>
      <w:proofErr w:type="spellEnd"/>
      <w:r w:rsidRPr="004E5019">
        <w:t xml:space="preserve"> at 1 fs with restraints of 1000/500/400 kJ mol⁻¹ nm⁻², 500 </w:t>
      </w:r>
      <w:proofErr w:type="spellStart"/>
      <w:r w:rsidRPr="004E5019">
        <w:t>ps</w:t>
      </w:r>
      <w:proofErr w:type="spellEnd"/>
      <w:r w:rsidRPr="004E5019">
        <w:t xml:space="preserve"> at 2 fs with restraints of 500/200/200 kJ mol⁻¹ nm⁻², and 500 </w:t>
      </w:r>
      <w:proofErr w:type="spellStart"/>
      <w:r w:rsidRPr="004E5019">
        <w:t>ps</w:t>
      </w:r>
      <w:proofErr w:type="spellEnd"/>
      <w:r w:rsidRPr="004E5019">
        <w:t xml:space="preserve"> at 2 fs with restraints of 200/50/40 kJ mol⁻¹ nm⁻² while maintaining a backbone dihedral restraint of 100 kJ mol⁻¹ rad⁻². A final 500 </w:t>
      </w:r>
      <w:proofErr w:type="spellStart"/>
      <w:r w:rsidRPr="004E5019">
        <w:t>ps</w:t>
      </w:r>
      <w:proofErr w:type="spellEnd"/>
      <w:r w:rsidRPr="004E5019">
        <w:t xml:space="preserve"> weakly restrained NPT equilibration was then performed with only a 50 kJ mol⁻</w:t>
      </w:r>
      <w:r w:rsidRPr="004E5019">
        <w:rPr>
          <w:rFonts w:ascii="Calibri" w:hAnsi="Calibri" w:cs="Calibri"/>
        </w:rPr>
        <w:t>¹</w:t>
      </w:r>
      <w:r w:rsidRPr="004E5019">
        <w:t xml:space="preserve"> nm⁻² positional restraint on the backbone. Bonds involving hydrogen atoms were constrained using LINCS throughout equilibration.</w:t>
      </w:r>
    </w:p>
    <w:p w14:paraId="774E279E" w14:textId="775973E5" w:rsidR="00B63F7B" w:rsidRDefault="004E5019" w:rsidP="00910ADA">
      <w:pPr>
        <w:ind w:firstLine="420"/>
      </w:pPr>
      <w:r w:rsidRPr="004E5019">
        <w:t>Production simulations were subsequently carried out for 100 ns in the unrestrained NPT ensemble at 310.15 K and 1 bar with a 2 fs timestep. Trajectories were collected for downstream conformational analysis.</w:t>
      </w:r>
      <w:r>
        <w:rPr>
          <w:rFonts w:hint="eastAsia"/>
        </w:rPr>
        <w:t xml:space="preserve"> </w:t>
      </w:r>
      <w:r w:rsidRPr="004E5019">
        <w:t xml:space="preserve">To enhance exploration of the conformational landscape associated with cryptic allosteric pockets, </w:t>
      </w:r>
      <w:proofErr w:type="spellStart"/>
      <w:r w:rsidRPr="004E5019">
        <w:t>metadynamics</w:t>
      </w:r>
      <w:proofErr w:type="spellEnd"/>
      <w:r w:rsidRPr="004E5019">
        <w:t>-based sampling was combined with SPIB to iteratively optimize the reaction coordinates. The initial collective variables included the total solvent-accessible surface area of allosteric residues and distances between selected residue pairs. Biased simulations were run for 50 ns using a Gaussian width of 1.0, a hill height of 0.72 kJ mol⁻¹, a bias factor of 25, and hill deposition every 500 steps, while COLVAR and HILLS files were recorded.</w:t>
      </w:r>
      <w:r>
        <w:t xml:space="preserve"> </w:t>
      </w:r>
      <w:r w:rsidRPr="004E5019">
        <w:t>For SPIB training, a 50 ns unbiased trajectory was used with a time delay of 145 steps to learn a two-dimensional reaction-coordinate space. The model consisted of a linear encoder and a nonlinear decoder with 32 hidden neurons, and was trained using Adam with an initial learning rate of 0.01 and a batch size of 300. Convergence was defined by a state-distribution change threshold of 0.0001. After eight rounds of iterative refinement with dynamic state-label updates, SPIB identified the most discriminative CV combinations, yielding interpretable residue-level reaction coordinates that capture the conformational distribution shift underlying cryptic pocket formation and support subsequent preference-guided enhanced sampling.</w:t>
      </w:r>
    </w:p>
    <w:p w14:paraId="0C52D60F" w14:textId="77777777" w:rsidR="00B63F7B" w:rsidRDefault="007621C1">
      <w:pPr>
        <w:pStyle w:val="3"/>
      </w:pPr>
      <w:r>
        <w:t xml:space="preserve">Residue-Residue Dynamic Correlation Analysis Using </w:t>
      </w:r>
      <w:proofErr w:type="spellStart"/>
      <w:r>
        <w:t>CorrelationPlus</w:t>
      </w:r>
      <w:proofErr w:type="spellEnd"/>
    </w:p>
    <w:p w14:paraId="60EAA216" w14:textId="77777777" w:rsidR="00B63F7B" w:rsidRDefault="007621C1">
      <w:pPr>
        <w:ind w:firstLine="420"/>
      </w:pPr>
      <w:r>
        <w:t xml:space="preserve">We employed the </w:t>
      </w:r>
      <w:proofErr w:type="spellStart"/>
      <w:r>
        <w:t>CorrelationPlus</w:t>
      </w:r>
      <w:proofErr w:type="spellEnd"/>
      <w:r>
        <w:t xml:space="preserve"> package</w:t>
      </w:r>
      <w:r>
        <w:fldChar w:fldCharType="begin"/>
      </w:r>
      <w:r>
        <w:instrText xml:space="preserve"> ADDIN ZOTERO_ITEM CSL_CITATION {"citationID":"p6Q6MraW","properties":{"formattedCitation":"\\super 82\\nosupersub{}","plainCitation":"82","noteIndex":0},"citationItems":[{"id":200,"uris":["http://zotero.org/users/local/AHnUcuem/items/562NHIUA"],"itemData":{"id":200,"type":"article-journal","abstract":"Extracting dynamical pairwise correlations and identifying key residues from large molecular dynamics trajectories or normal-mode analysis of coarse-grained models are important for explaining various processes like ligand binding, mutational eﬀects, and long-distance interactions. Eﬃcient and ﬂexible tools to perform this task can provide new insights about residues involved in allosteric regulation and protein function. In addition, combining and comparing dynamical coupling information with sequence coevolution data can help to understand better protein function. To this aim, we developed a Python package called correlationplus to calculate, visualize, and analyze pairwise correlations. In this way, the package aids to identify key residues and interactions in proteins. The source code of correlationplus is available under LGPL version 3 at https://github.com/tekpinar/correlationplus. The current version of the package (0.2.0) can be installed with common installation methods like conda or pip in addition to source code installation. Moreover, docker images are also available for usage of the code without installation.","container-title":"Journal of Chemical Information and Modeling","DOI":"10.1021/acs.jcim.1c00742","ISSN":"1549-9596, 1549-960X","issue":"10","journalAbbreviation":"J. Chem. Inf. Model.","language":"en","license":"https://doi.org/10.15223/policy-029","page":"4832-4838","source":"DOI.org (Crossref)","title":"Extracting Dynamical Correlations and Identifying Key Residues for Allosteric Communication in Proteins by &lt;i&gt;correlationplus&lt;/i&gt;","volume":"61","author":[{"family":"Tekpinar","given":"Mustafa"},{"family":"Neron","given":"Bertrand"},{"family":"Delarue","given":"Marc"}],"issued":{"date-parts":[["2021",10,25]]}}}],"schema":"https://github.com/citation-style-language/schema/raw/master/csl-citation.json"} </w:instrText>
      </w:r>
      <w:r>
        <w:fldChar w:fldCharType="separate"/>
      </w:r>
      <w:r>
        <w:rPr>
          <w:rFonts w:cs="Times New Roman"/>
          <w:kern w:val="0"/>
          <w:szCs w:val="24"/>
          <w:vertAlign w:val="superscript"/>
        </w:rPr>
        <w:t>82</w:t>
      </w:r>
      <w:r>
        <w:fldChar w:fldCharType="end"/>
      </w:r>
      <w:r>
        <w:t xml:space="preserve"> to perform network-based dynamic correlation and allosteric communication analyses. This approach allows for the calculation, visualization, and analysis of pairwise residue correlations within the simulation trajectories, thereby precisely identifying key residues associated with protein structural conformational changes. The analysis utilized the normalized Linear Mutual Information (</w:t>
      </w:r>
      <w:proofErr w:type="spellStart"/>
      <w:r>
        <w:t>nLMI</w:t>
      </w:r>
      <w:proofErr w:type="spellEnd"/>
      <w:r>
        <w:t xml:space="preserve">) metric. To calculate the LMI between any two residues, </w:t>
      </w:r>
      <w:proofErr w:type="spellStart"/>
      <w:r>
        <w:rPr>
          <w:rFonts w:hint="eastAsia"/>
          <w:i/>
          <w:iCs/>
        </w:rPr>
        <w:t>i</w:t>
      </w:r>
      <w:proofErr w:type="spellEnd"/>
      <w:r>
        <w:t xml:space="preserve"> and </w:t>
      </w:r>
      <w:r>
        <w:rPr>
          <w:i/>
          <w:iCs/>
        </w:rPr>
        <w:t>j</w:t>
      </w:r>
      <w:r>
        <w:t xml:space="preserve">, the determination of their respective covariance matrices is required first. The covariance matrix of residue </w:t>
      </w:r>
      <w:proofErr w:type="spellStart"/>
      <w:r>
        <w:rPr>
          <w:rFonts w:hint="eastAsia"/>
          <w:i/>
          <w:iCs/>
        </w:rPr>
        <w:t>i</w:t>
      </w:r>
      <w:proofErr w:type="spellEnd"/>
      <w:r>
        <w:t xml:space="preserve"> is defined as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 xml:space="preserve"> = </m:t>
        </m:r>
        <m:d>
          <m:dPr>
            <m:begChr m:val="〈"/>
            <m:endChr m:val="〉"/>
            <m:ctrlPr>
              <w:rPr>
                <w:rFonts w:ascii="Cambria Math" w:hAnsi="Cambria Math" w:cs="Times New Roman"/>
                <w:i/>
              </w:rPr>
            </m:ctrlPr>
          </m:dPr>
          <m:e>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sup>
                <m:r>
                  <w:rPr>
                    <w:rFonts w:ascii="Cambria Math" w:hAnsi="Cambria Math" w:cs="Times New Roman"/>
                  </w:rPr>
                  <m:t>T</m:t>
                </m:r>
              </m:sup>
            </m:s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w:r>
        <w:t xml:space="preserve">, 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hint="eastAsia"/>
        </w:rPr>
        <w:t xml:space="preserve"> </w:t>
      </w:r>
      <w:r>
        <w:t xml:space="preserve">denotes the atomic position deviation vector from the mean conformation (i.e.,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oMath>
      <w:r>
        <w:t xml:space="preserve">). The joint covariance </w:t>
      </w:r>
      <w:r>
        <w:lastRenderedPageBreak/>
        <w:t xml:space="preserve">matrix for the residue pair </w:t>
      </w:r>
      <w:r>
        <w:rPr>
          <w:rFonts w:hint="eastAsia"/>
        </w:rPr>
        <w:t>(</w:t>
      </w:r>
      <w:proofErr w:type="spellStart"/>
      <w:r>
        <w:rPr>
          <w:i/>
          <w:iCs/>
        </w:rPr>
        <w:t>i</w:t>
      </w:r>
      <w:proofErr w:type="spellEnd"/>
      <w:r>
        <w:rPr>
          <w:rFonts w:hint="eastAsia"/>
        </w:rPr>
        <w:t>,</w:t>
      </w:r>
      <w:r>
        <w:t xml:space="preserve"> </w:t>
      </w:r>
      <w:r>
        <w:rPr>
          <w:i/>
          <w:iCs/>
        </w:rPr>
        <w:t>j</w:t>
      </w:r>
      <w:r>
        <w:t xml:space="preserve">) is given by </w:t>
      </w:r>
      <m:oMath>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d>
      </m:oMath>
      <w:r>
        <w:t>. Subsequently, these matrices are used to compute the LMI value according to the following equation:</w:t>
      </w:r>
    </w:p>
    <w:p w14:paraId="24591F61" w14:textId="77777777" w:rsidR="00B63F7B" w:rsidRDefault="00AA40FC">
      <m:oMathPara>
        <m:oMath>
          <m:sSub>
            <m:sSubPr>
              <m:ctrlPr>
                <w:rPr>
                  <w:rFonts w:ascii="Cambria Math" w:hAnsi="Cambria Math"/>
                  <w:i/>
                </w:rPr>
              </m:ctrlPr>
            </m:sSubPr>
            <m:e>
              <m:r>
                <w:rPr>
                  <w:rFonts w:ascii="Cambria Math" w:hAnsi="Cambria Math"/>
                </w:rPr>
                <m:t>LMI</m:t>
              </m:r>
            </m:e>
            <m:sub>
              <m:r>
                <w:rPr>
                  <w:rFonts w:ascii="Cambria Math" w:hAnsi="Cambria Math" w:hint="eastAsia"/>
                </w:rPr>
                <m:t>i</m:t>
              </m:r>
              <m:r>
                <w:rPr>
                  <w:rFonts w:ascii="Cambria Math" w:hAnsi="Cambria Math"/>
                </w:rPr>
                <m:t>,j</m:t>
              </m:r>
            </m:sub>
          </m:sSub>
          <m:r>
            <w:rPr>
              <w:rFonts w:ascii="Cambria Math" w:hAnsi="Cambria Math"/>
            </w:rPr>
            <m:t>=0.5</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det</m:t>
                      </m:r>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det</m:t>
                          </m:r>
                          <m:sSub>
                            <m:sSubPr>
                              <m:ctrlPr>
                                <w:rPr>
                                  <w:rFonts w:ascii="Cambria Math" w:hAnsi="Cambria Math"/>
                                  <w:i/>
                                </w:rPr>
                              </m:ctrlPr>
                            </m:sSubPr>
                            <m:e>
                              <m:r>
                                <w:rPr>
                                  <w:rFonts w:ascii="Cambria Math" w:hAnsi="Cambria Math"/>
                                </w:rPr>
                                <m:t>C</m:t>
                              </m:r>
                            </m:e>
                            <m:sub>
                              <m:r>
                                <w:rPr>
                                  <w:rFonts w:ascii="Cambria Math" w:hAnsi="Cambria Math"/>
                                </w:rPr>
                                <m:t>j</m:t>
                              </m:r>
                            </m:sub>
                          </m:sSub>
                        </m:e>
                      </m:d>
                    </m:e>
                  </m:func>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det</m:t>
                          </m:r>
                          <m:sSub>
                            <m:sSubPr>
                              <m:ctrlPr>
                                <w:rPr>
                                  <w:rFonts w:ascii="Cambria Math" w:hAnsi="Cambria Math"/>
                                  <w:i/>
                                </w:rPr>
                              </m:ctrlPr>
                            </m:sSubPr>
                            <m:e>
                              <m:r>
                                <w:rPr>
                                  <w:rFonts w:ascii="Cambria Math" w:hAnsi="Cambria Math"/>
                                </w:rPr>
                                <m:t>C</m:t>
                              </m:r>
                            </m:e>
                            <m:sub>
                              <m:r>
                                <w:rPr>
                                  <w:rFonts w:ascii="Cambria Math" w:hAnsi="Cambria Math"/>
                                </w:rPr>
                                <m:t>ij</m:t>
                              </m:r>
                            </m:sub>
                          </m:sSub>
                        </m:e>
                      </m:d>
                    </m:e>
                  </m:func>
                </m:e>
              </m:func>
            </m:e>
          </m:d>
          <m:r>
            <w:rPr>
              <w:rFonts w:ascii="Cambria Math" w:hAnsi="Cambria Math"/>
            </w:rPr>
            <m:t xml:space="preserve"> </m:t>
          </m:r>
        </m:oMath>
      </m:oMathPara>
    </w:p>
    <w:p w14:paraId="0A15899C" w14:textId="77777777" w:rsidR="00B63F7B" w:rsidRDefault="007621C1">
      <w:pPr>
        <w:ind w:firstLine="420"/>
      </w:pPr>
      <w:r>
        <w:t>The computed LMI values were subsequently normalized, mapping them to the [0, 1] numerical interval. On this scale, 0 corresponds to completely independent motions between residues, while 1 represents fully correlated motions.</w:t>
      </w:r>
    </w:p>
    <w:p w14:paraId="774CD014" w14:textId="77777777" w:rsidR="00B63F7B" w:rsidRDefault="00B63F7B"/>
    <w:p w14:paraId="58D78820" w14:textId="77777777" w:rsidR="00B63F7B" w:rsidRDefault="00B63F7B"/>
    <w:p w14:paraId="74CC217B" w14:textId="77777777" w:rsidR="00494180" w:rsidRDefault="00494180" w:rsidP="00494180">
      <w:pPr>
        <w:pStyle w:val="2"/>
      </w:pPr>
      <w:r>
        <w:rPr>
          <w:rFonts w:hint="eastAsia"/>
        </w:rPr>
        <w:t>C</w:t>
      </w:r>
      <w:r>
        <w:t>ode availability</w:t>
      </w:r>
    </w:p>
    <w:p w14:paraId="562D563B" w14:textId="77777777" w:rsidR="00494180" w:rsidRPr="00F93A01" w:rsidRDefault="00494180" w:rsidP="00494180">
      <w:proofErr w:type="spellStart"/>
      <w:r>
        <w:t>AlloDesigner</w:t>
      </w:r>
      <w:proofErr w:type="spellEnd"/>
      <w:r>
        <w:t xml:space="preserve"> is publicly available via GitHub (</w:t>
      </w:r>
      <w:hyperlink r:id="rId11" w:history="1">
        <w:r w:rsidRPr="00A90933">
          <w:rPr>
            <w:rStyle w:val="ae"/>
            <w:rFonts w:cstheme="minorBidi"/>
          </w:rPr>
          <w:t>https://github.com/TriYangZhang/AlloDesigner</w:t>
        </w:r>
      </w:hyperlink>
      <w:r>
        <w:rPr>
          <w:rFonts w:hint="eastAsia"/>
        </w:rPr>
        <w:t>).</w:t>
      </w:r>
    </w:p>
    <w:p w14:paraId="2451FAAA" w14:textId="77777777" w:rsidR="00494180" w:rsidRPr="005451C0" w:rsidRDefault="00494180" w:rsidP="00494180"/>
    <w:p w14:paraId="5F8E0D03" w14:textId="77777777" w:rsidR="00B63F7B" w:rsidRPr="00494180" w:rsidRDefault="00B63F7B"/>
    <w:p w14:paraId="679620AD" w14:textId="77777777" w:rsidR="00B63F7B" w:rsidRDefault="00B63F7B"/>
    <w:p w14:paraId="05707EF8" w14:textId="77777777" w:rsidR="00B63F7B" w:rsidRDefault="00B63F7B"/>
    <w:p w14:paraId="47C395B5" w14:textId="77777777" w:rsidR="00B63F7B" w:rsidRDefault="00B63F7B"/>
    <w:p w14:paraId="355321A3" w14:textId="77777777" w:rsidR="00B63F7B" w:rsidRDefault="00B63F7B"/>
    <w:p w14:paraId="513E3EBC" w14:textId="77777777" w:rsidR="00B63F7B" w:rsidRDefault="00B63F7B"/>
    <w:p w14:paraId="5BF987F0" w14:textId="77777777" w:rsidR="00B63F7B" w:rsidRDefault="00B63F7B"/>
    <w:p w14:paraId="0EE0F3A2" w14:textId="77777777" w:rsidR="00B63F7B" w:rsidRDefault="00B63F7B"/>
    <w:p w14:paraId="66EF417A" w14:textId="77777777" w:rsidR="00B63F7B" w:rsidRDefault="00B63F7B"/>
    <w:p w14:paraId="03AFC4EF" w14:textId="77777777" w:rsidR="00B63F7B" w:rsidRDefault="00B63F7B"/>
    <w:p w14:paraId="0922AF9D" w14:textId="77777777" w:rsidR="00B63F7B" w:rsidRDefault="00B63F7B"/>
    <w:p w14:paraId="12B7C2A6" w14:textId="77777777" w:rsidR="00B63F7B" w:rsidRDefault="00B63F7B"/>
    <w:p w14:paraId="2EB31F04" w14:textId="77777777" w:rsidR="00B63F7B" w:rsidRDefault="00B63F7B"/>
    <w:p w14:paraId="28B9A596" w14:textId="77777777" w:rsidR="00B63F7B" w:rsidRDefault="00B63F7B"/>
    <w:p w14:paraId="528F0388" w14:textId="77777777" w:rsidR="00B63F7B" w:rsidRDefault="00B63F7B"/>
    <w:p w14:paraId="53875371" w14:textId="77777777" w:rsidR="00B63F7B" w:rsidRDefault="007621C1">
      <w:pPr>
        <w:pStyle w:val="2"/>
      </w:pPr>
      <w:r>
        <w:t>References</w:t>
      </w:r>
    </w:p>
    <w:p w14:paraId="09990A7E" w14:textId="77777777" w:rsidR="00B63F7B" w:rsidRDefault="007621C1">
      <w:pPr>
        <w:pStyle w:val="Bibliography1"/>
      </w:pPr>
      <w:r>
        <w:fldChar w:fldCharType="begin"/>
      </w:r>
      <w:r>
        <w:instrText xml:space="preserve"> ADDIN ZOTERO_BIBL {"uncited":[],"omitted":[],"custom":[]} CSL_BIBLIOGRAPHY </w:instrText>
      </w:r>
      <w:r>
        <w:fldChar w:fldCharType="separate"/>
      </w:r>
      <w:r>
        <w:t>1.</w:t>
      </w:r>
      <w:r>
        <w:tab/>
        <w:t xml:space="preserve">Colombo G. Computing allostery: from the understanding of biomolecular regulation and the discovery of cryptic sites to molecular design. </w:t>
      </w:r>
      <w:r>
        <w:rPr>
          <w:i/>
          <w:iCs/>
        </w:rPr>
        <w:t>Current Opinion in Structural Biology</w:t>
      </w:r>
      <w:r>
        <w:t>. 2023;83:102702. doi:10.1016/j.sbi.2023.102702</w:t>
      </w:r>
    </w:p>
    <w:p w14:paraId="4F344197" w14:textId="77777777" w:rsidR="00B63F7B" w:rsidRDefault="007621C1">
      <w:pPr>
        <w:pStyle w:val="Bibliography1"/>
      </w:pPr>
      <w:r>
        <w:t>2.</w:t>
      </w:r>
      <w:r>
        <w:tab/>
        <w:t xml:space="preserve">Szilagyi A, Nussinov R, Csermely P. Allo-Network Drugs: Extension of the Allosteric Drug Concept to Protein- Protein Interaction and Signaling Networks. </w:t>
      </w:r>
      <w:r>
        <w:rPr>
          <w:i/>
          <w:iCs/>
        </w:rPr>
        <w:t>CTMC</w:t>
      </w:r>
      <w:r>
        <w:t>. 2013;13(1):64-77. doi:10.2174/1568026611313010007</w:t>
      </w:r>
    </w:p>
    <w:p w14:paraId="22C51214" w14:textId="77777777" w:rsidR="00B63F7B" w:rsidRDefault="007621C1">
      <w:pPr>
        <w:pStyle w:val="Bibliography1"/>
      </w:pPr>
      <w:r>
        <w:t>3.</w:t>
      </w:r>
      <w:r>
        <w:tab/>
        <w:t xml:space="preserve">Nussinov R, Zhang M, Maloney R, Liu Y, Tsai CJ, Jang H. Allostery: Allosteric Cancer Drivers and Innovative Allosteric Drugs. </w:t>
      </w:r>
      <w:r>
        <w:rPr>
          <w:i/>
          <w:iCs/>
        </w:rPr>
        <w:t>Journal of Molecular Biology</w:t>
      </w:r>
      <w:r>
        <w:t>. 2022;434(17):167569. doi:10.1016/j.jmb.2022.167569</w:t>
      </w:r>
    </w:p>
    <w:p w14:paraId="7D534308" w14:textId="77777777" w:rsidR="00B63F7B" w:rsidRDefault="007621C1">
      <w:pPr>
        <w:pStyle w:val="Bibliography1"/>
      </w:pPr>
      <w:r>
        <w:lastRenderedPageBreak/>
        <w:t>4.</w:t>
      </w:r>
      <w:r>
        <w:tab/>
        <w:t xml:space="preserve">Han B, Salituro FG, Blanco MJ. Impact of Allosteric Modulation in Drug Discovery: Innovation in Emerging Chemical Modalities. </w:t>
      </w:r>
      <w:r>
        <w:rPr>
          <w:i/>
          <w:iCs/>
        </w:rPr>
        <w:t>ACS Med Chem Lett</w:t>
      </w:r>
      <w:r>
        <w:t>. 2020;11(10):1810-1819. doi:10.1021/acsmedchemlett.9b00655</w:t>
      </w:r>
    </w:p>
    <w:p w14:paraId="7E3F8BD4" w14:textId="77777777" w:rsidR="00B63F7B" w:rsidRDefault="007621C1">
      <w:pPr>
        <w:pStyle w:val="Bibliography1"/>
      </w:pPr>
      <w:r>
        <w:t>5.</w:t>
      </w:r>
      <w:r>
        <w:tab/>
        <w:t xml:space="preserve">Spradlin JN, Zhang E, Nomura DK. Reimagining Druggability Using Chemoproteomic Platforms. </w:t>
      </w:r>
      <w:r>
        <w:rPr>
          <w:i/>
          <w:iCs/>
        </w:rPr>
        <w:t>Acc Chem Res</w:t>
      </w:r>
      <w:r>
        <w:t>. 2021;54(7):1801-1813. doi:10.1021/acs.accounts.1c00065</w:t>
      </w:r>
    </w:p>
    <w:p w14:paraId="66E44304" w14:textId="77777777" w:rsidR="00B63F7B" w:rsidRDefault="007621C1">
      <w:pPr>
        <w:pStyle w:val="Bibliography1"/>
      </w:pPr>
      <w:r>
        <w:t>6.</w:t>
      </w:r>
      <w:r>
        <w:tab/>
        <w:t xml:space="preserve">Beglov D, Hall DR, Wakefield AE, et al. Exploring the structural origins of cryptic sites on proteins. </w:t>
      </w:r>
      <w:r>
        <w:rPr>
          <w:i/>
          <w:iCs/>
        </w:rPr>
        <w:t>Proc Natl Acad Sci USA</w:t>
      </w:r>
      <w:r>
        <w:t>. 2018;115(15). doi:10.1073/pnas.1711490115</w:t>
      </w:r>
    </w:p>
    <w:p w14:paraId="5DEBEC29" w14:textId="77777777" w:rsidR="00B63F7B" w:rsidRDefault="007621C1">
      <w:pPr>
        <w:pStyle w:val="Bibliography1"/>
      </w:pPr>
      <w:r>
        <w:t>7.</w:t>
      </w:r>
      <w:r>
        <w:tab/>
        <w:t>Wyman J, Changeux JP. On the Nature of Allosteric Transitions: A Plausible Model.</w:t>
      </w:r>
    </w:p>
    <w:p w14:paraId="3ECFB677" w14:textId="77777777" w:rsidR="00B63F7B" w:rsidRDefault="007621C1">
      <w:pPr>
        <w:pStyle w:val="Bibliography1"/>
      </w:pPr>
      <w:r>
        <w:t>8.</w:t>
      </w:r>
      <w:r>
        <w:tab/>
        <w:t xml:space="preserve">Nussinov R, Tsai CJ, Liu J. Principles of Allosteric Interactions in Cell Signaling. </w:t>
      </w:r>
      <w:r>
        <w:rPr>
          <w:i/>
          <w:iCs/>
        </w:rPr>
        <w:t>J Am Chem Soc</w:t>
      </w:r>
      <w:r>
        <w:t>. 2014;136(51):17692-17701. doi:10.1021/ja510028c</w:t>
      </w:r>
    </w:p>
    <w:p w14:paraId="4197B757" w14:textId="77777777" w:rsidR="00B63F7B" w:rsidRDefault="007621C1">
      <w:pPr>
        <w:pStyle w:val="Bibliography1"/>
      </w:pPr>
      <w:r>
        <w:t>9.</w:t>
      </w:r>
      <w:r>
        <w:tab/>
        <w:t xml:space="preserve">Liu J, Nussinov R. Allostery: An Overview of Its History, Concepts, Methods, and Applications. </w:t>
      </w:r>
      <w:r>
        <w:rPr>
          <w:i/>
          <w:iCs/>
        </w:rPr>
        <w:t>PLoS Comput Biol</w:t>
      </w:r>
      <w:r>
        <w:t>. 2016;12(6):e1004966. doi:10.1371/journal.pcbi.1004966</w:t>
      </w:r>
    </w:p>
    <w:p w14:paraId="746162B6" w14:textId="77777777" w:rsidR="00B63F7B" w:rsidRDefault="007621C1">
      <w:pPr>
        <w:pStyle w:val="Bibliography1"/>
      </w:pPr>
      <w:r>
        <w:t>10.</w:t>
      </w:r>
      <w:r>
        <w:tab/>
        <w:t xml:space="preserve">Dokholyan NV. Controlling Allosteric Networks in Proteins. </w:t>
      </w:r>
      <w:r>
        <w:rPr>
          <w:i/>
          <w:iCs/>
        </w:rPr>
        <w:t>Chem Rev</w:t>
      </w:r>
      <w:r>
        <w:t>. 2016;116(11):6463-6487. doi:10.1021/acs.chemrev.5b00544</w:t>
      </w:r>
    </w:p>
    <w:p w14:paraId="5714E5B7" w14:textId="77777777" w:rsidR="00B63F7B" w:rsidRDefault="007621C1">
      <w:pPr>
        <w:pStyle w:val="Bibliography1"/>
      </w:pPr>
      <w:r>
        <w:t>11.</w:t>
      </w:r>
      <w:r>
        <w:tab/>
        <w:t xml:space="preserve">Fenton AW. Allostery: an illustrated definition for the ‘second secret of life.’ </w:t>
      </w:r>
      <w:r>
        <w:rPr>
          <w:i/>
          <w:iCs/>
        </w:rPr>
        <w:t>Trends in Biochemical Sciences</w:t>
      </w:r>
      <w:r>
        <w:t>. 2008;33(9):420-425. doi:10.1016/j.tibs.2008.05.009</w:t>
      </w:r>
    </w:p>
    <w:p w14:paraId="57BD7239" w14:textId="77777777" w:rsidR="00B63F7B" w:rsidRDefault="007621C1">
      <w:pPr>
        <w:pStyle w:val="Bibliography1"/>
      </w:pPr>
      <w:r>
        <w:t>12.</w:t>
      </w:r>
      <w:r>
        <w:tab/>
        <w:t xml:space="preserve">Changeux JP, Christopoulos A. Allosteric Modulation as a Unifying Mechanism for Receptor Function and Regulation. </w:t>
      </w:r>
      <w:r>
        <w:rPr>
          <w:i/>
          <w:iCs/>
        </w:rPr>
        <w:t>Cell</w:t>
      </w:r>
      <w:r>
        <w:t>. 2016;166(5):1084-1102. doi:10.1016/j.cell.2016.08.015</w:t>
      </w:r>
    </w:p>
    <w:p w14:paraId="19D3DF42" w14:textId="77777777" w:rsidR="00B63F7B" w:rsidRDefault="007621C1">
      <w:pPr>
        <w:pStyle w:val="Bibliography1"/>
      </w:pPr>
      <w:r>
        <w:t>13.</w:t>
      </w:r>
      <w:r>
        <w:tab/>
        <w:t xml:space="preserve">Wootten D, Christopoulos A, Sexton PM. Emerging paradigms in GPCR allostery: implications for drug discovery. </w:t>
      </w:r>
      <w:r>
        <w:rPr>
          <w:i/>
          <w:iCs/>
        </w:rPr>
        <w:t>Nat Rev Drug Discov</w:t>
      </w:r>
      <w:r>
        <w:t>. 2013;12(8):630-644. doi:10.1038/nrd4052</w:t>
      </w:r>
    </w:p>
    <w:p w14:paraId="7028A5B0" w14:textId="77777777" w:rsidR="00B63F7B" w:rsidRDefault="007621C1">
      <w:pPr>
        <w:pStyle w:val="Bibliography1"/>
      </w:pPr>
      <w:r>
        <w:t>14.</w:t>
      </w:r>
      <w:r>
        <w:tab/>
        <w:t xml:space="preserve">Attwood MM, Fabbro D, Sokolov AV, Knapp S, Schiöth HB. Trends in kinase drug discovery: targets, indications and inhibitor design. </w:t>
      </w:r>
      <w:r>
        <w:rPr>
          <w:i/>
          <w:iCs/>
        </w:rPr>
        <w:t>Nat Rev Drug Discov</w:t>
      </w:r>
      <w:r>
        <w:t>. 2021;20(11):839-861. doi:10.1038/s41573-021-00252-y</w:t>
      </w:r>
    </w:p>
    <w:p w14:paraId="62695269" w14:textId="77777777" w:rsidR="00B63F7B" w:rsidRDefault="007621C1">
      <w:pPr>
        <w:pStyle w:val="Bibliography1"/>
      </w:pPr>
      <w:r>
        <w:t>15.</w:t>
      </w:r>
      <w:r>
        <w:tab/>
        <w:t xml:space="preserve">Lu S, He X, Ni D, Zhang J. Allosteric Modulator Discovery: From Serendipity to Structure-Based Design. </w:t>
      </w:r>
      <w:r>
        <w:rPr>
          <w:i/>
          <w:iCs/>
        </w:rPr>
        <w:t>J Med Chem</w:t>
      </w:r>
      <w:r>
        <w:t>. 2019;62(14):6405-6421. doi:10.1021/acs.jmedchem.8b01749</w:t>
      </w:r>
    </w:p>
    <w:p w14:paraId="7D8B818C" w14:textId="77777777" w:rsidR="00B63F7B" w:rsidRDefault="007621C1">
      <w:pPr>
        <w:pStyle w:val="Bibliography1"/>
      </w:pPr>
      <w:r>
        <w:t>16.</w:t>
      </w:r>
      <w:r>
        <w:tab/>
        <w:t xml:space="preserve">Nussinov R, Tsai CJ. The Different Ways through Which Specificity Works in Orthosteric and Allosteric Drugs. </w:t>
      </w:r>
      <w:r>
        <w:rPr>
          <w:i/>
          <w:iCs/>
        </w:rPr>
        <w:t>CPD</w:t>
      </w:r>
      <w:r>
        <w:t>. 2012;18(9):1311-1316. doi:10.2174/138161212799436377</w:t>
      </w:r>
    </w:p>
    <w:p w14:paraId="6BF5DE47" w14:textId="77777777" w:rsidR="00B63F7B" w:rsidRDefault="007621C1">
      <w:pPr>
        <w:pStyle w:val="Bibliography1"/>
      </w:pPr>
      <w:r>
        <w:t>17.</w:t>
      </w:r>
      <w:r>
        <w:tab/>
        <w:t xml:space="preserve">Guarnera E, Berezovsky IN. Allosteric drugs and mutations: chances, challenges, and necessity. </w:t>
      </w:r>
      <w:r>
        <w:rPr>
          <w:i/>
          <w:iCs/>
        </w:rPr>
        <w:t>Current Opinion in Structural Biology</w:t>
      </w:r>
      <w:r>
        <w:t>. 2020;62:149-157. doi:10.1016/j.sbi.2020.01.010</w:t>
      </w:r>
    </w:p>
    <w:p w14:paraId="525D44E6" w14:textId="77777777" w:rsidR="00B63F7B" w:rsidRDefault="007621C1">
      <w:pPr>
        <w:pStyle w:val="Bibliography1"/>
      </w:pPr>
      <w:r>
        <w:t>18.</w:t>
      </w:r>
      <w:r>
        <w:tab/>
        <w:t xml:space="preserve">Mendes V, Green SR, Evans JC, et al. Inhibiting Mycobacterium tuberculosis CoaBC by targeting an allosteric site. </w:t>
      </w:r>
      <w:r>
        <w:rPr>
          <w:i/>
          <w:iCs/>
        </w:rPr>
        <w:t>Nat Commun</w:t>
      </w:r>
      <w:r>
        <w:t>. 2021;12(1):143. doi:10.1038/s41467-020-20224-x</w:t>
      </w:r>
    </w:p>
    <w:p w14:paraId="5F29162D" w14:textId="77777777" w:rsidR="00B63F7B" w:rsidRDefault="007621C1">
      <w:pPr>
        <w:pStyle w:val="Bibliography1"/>
      </w:pPr>
      <w:r>
        <w:t>19.</w:t>
      </w:r>
      <w:r>
        <w:tab/>
        <w:t xml:space="preserve">Wagner JR, Lee CT, Durrant JD, Malmstrom RD, Feher VA, Amaro RE. Emerging Computational Methods for the Rational Discovery of Allosteric Drugs. </w:t>
      </w:r>
      <w:r>
        <w:rPr>
          <w:i/>
          <w:iCs/>
        </w:rPr>
        <w:t>Chem Rev</w:t>
      </w:r>
      <w:r>
        <w:t xml:space="preserve">. </w:t>
      </w:r>
      <w:r>
        <w:lastRenderedPageBreak/>
        <w:t>2016;116(11):6370-6390. doi:10.1021/acs.chemrev.5b00631</w:t>
      </w:r>
    </w:p>
    <w:p w14:paraId="4644A865" w14:textId="77777777" w:rsidR="00B63F7B" w:rsidRDefault="007621C1">
      <w:pPr>
        <w:pStyle w:val="Bibliography1"/>
      </w:pPr>
      <w:r>
        <w:t>20.</w:t>
      </w:r>
      <w:r>
        <w:tab/>
        <w:t xml:space="preserve">Meng H, McClendon CL, Dai Z, et al. Discovery of Novel 15-Lipoxygenase Activators To Shift the Human Arachidonic Acid Metabolic Network toward Inflammation Resolution. </w:t>
      </w:r>
      <w:r>
        <w:rPr>
          <w:i/>
          <w:iCs/>
        </w:rPr>
        <w:t>J Med Chem</w:t>
      </w:r>
      <w:r>
        <w:t>. 2016;59(9):4202-4209. doi:10.1021/acs.jmedchem.5b01011</w:t>
      </w:r>
    </w:p>
    <w:p w14:paraId="52FD01AF" w14:textId="77777777" w:rsidR="00B63F7B" w:rsidRDefault="007621C1">
      <w:pPr>
        <w:pStyle w:val="Bibliography1"/>
      </w:pPr>
      <w:r>
        <w:t>21.</w:t>
      </w:r>
      <w:r>
        <w:tab/>
        <w:t xml:space="preserve">Huang Z, Zhao J, Deng W, et al. Identification of a cellularly active SIRT6 allosteric activator. </w:t>
      </w:r>
      <w:r>
        <w:rPr>
          <w:i/>
          <w:iCs/>
        </w:rPr>
        <w:t>Nat Chem Biol</w:t>
      </w:r>
      <w:r>
        <w:t>. 2018;14(12):1118-1126. doi:10.1038/s41589-018-0150-0</w:t>
      </w:r>
    </w:p>
    <w:p w14:paraId="4F366BFE" w14:textId="77777777" w:rsidR="00B63F7B" w:rsidRDefault="007621C1">
      <w:pPr>
        <w:pStyle w:val="Bibliography1"/>
      </w:pPr>
      <w:r>
        <w:t>22.</w:t>
      </w:r>
      <w:r>
        <w:tab/>
        <w:t xml:space="preserve">Li C, Deng X, Zhang W, et al. Novel Allosteric Activators for Ferroptosis Regulator Glutathione Peroxidase 4. </w:t>
      </w:r>
      <w:r>
        <w:rPr>
          <w:i/>
          <w:iCs/>
        </w:rPr>
        <w:t>J Med Chem</w:t>
      </w:r>
      <w:r>
        <w:t>. 2019;62(1):266-275. doi:10.1021/acs.jmedchem.8b00315</w:t>
      </w:r>
    </w:p>
    <w:p w14:paraId="75D9CBCF" w14:textId="77777777" w:rsidR="00B63F7B" w:rsidRDefault="007621C1">
      <w:pPr>
        <w:pStyle w:val="Bibliography1"/>
      </w:pPr>
      <w:r>
        <w:t>23.</w:t>
      </w:r>
      <w:r>
        <w:tab/>
        <w:t xml:space="preserve">Ni D, Wei J, He X, et al. Discovery of cryptic allosteric sites using reversed allosteric communication by a combined computational and experimental strategy. </w:t>
      </w:r>
      <w:r>
        <w:rPr>
          <w:i/>
          <w:iCs/>
        </w:rPr>
        <w:t>Chem Sci</w:t>
      </w:r>
      <w:r>
        <w:t>. 2021;12(1):464-476. doi:10.1039/D0SC05131D</w:t>
      </w:r>
    </w:p>
    <w:p w14:paraId="3F6CAA8D" w14:textId="77777777" w:rsidR="00B63F7B" w:rsidRDefault="007621C1">
      <w:pPr>
        <w:pStyle w:val="Bibliography1"/>
      </w:pPr>
      <w:r>
        <w:t>24.</w:t>
      </w:r>
      <w:r>
        <w:tab/>
        <w:t xml:space="preserve">Wenthur CJ, Gentry PR, Mathews TP, Lindsley CW. Drugs for Allosteric Sites on Receptors. </w:t>
      </w:r>
      <w:r>
        <w:rPr>
          <w:i/>
          <w:iCs/>
        </w:rPr>
        <w:t>Annu Rev Pharmacol Toxicol</w:t>
      </w:r>
      <w:r>
        <w:t>. 2014;54(1):165-184. doi:10.1146/annurev-pharmtox-010611-134525</w:t>
      </w:r>
    </w:p>
    <w:p w14:paraId="46D7C1DB" w14:textId="77777777" w:rsidR="00B63F7B" w:rsidRDefault="007621C1">
      <w:pPr>
        <w:pStyle w:val="Bibliography1"/>
      </w:pPr>
      <w:r>
        <w:t>25.</w:t>
      </w:r>
      <w:r>
        <w:tab/>
        <w:t xml:space="preserve">Scarabelli G, Morra G, Colombo G. Predicting Interaction Sites from the Energetics of Isolated Proteins: A New Approach to Epitope Mapping. </w:t>
      </w:r>
      <w:r>
        <w:rPr>
          <w:i/>
          <w:iCs/>
        </w:rPr>
        <w:t>Biophysical Journal</w:t>
      </w:r>
      <w:r>
        <w:t>. 2010;98(9):1966-1975. doi:10.1016/j.bpj.2010.01.014</w:t>
      </w:r>
    </w:p>
    <w:p w14:paraId="5E34D835" w14:textId="77777777" w:rsidR="00B63F7B" w:rsidRDefault="007621C1">
      <w:pPr>
        <w:pStyle w:val="Bibliography1"/>
      </w:pPr>
      <w:r>
        <w:t>26.</w:t>
      </w:r>
      <w:r>
        <w:tab/>
        <w:t>Riedlová K, Škrhák V, Gatlin W, et al. Protein Language Models and Structure-Based Machine Learning for Prediction of Allosteric Binding Sites in Protein Kinases: An Explainable AI Framework Grounded in Energy Landscape-Encoded Frustration.</w:t>
      </w:r>
    </w:p>
    <w:p w14:paraId="2C574771" w14:textId="77777777" w:rsidR="00B63F7B" w:rsidRDefault="007621C1">
      <w:pPr>
        <w:pStyle w:val="Bibliography1"/>
      </w:pPr>
      <w:r>
        <w:t>27.</w:t>
      </w:r>
      <w:r>
        <w:tab/>
        <w:t xml:space="preserve">Bowman GR, Bolin ER, Hart KM, Maguire BC, Marqusee S. Discovery of multiple hidden allosteric sites by combining Markov state models and experiments. </w:t>
      </w:r>
      <w:r>
        <w:rPr>
          <w:i/>
          <w:iCs/>
        </w:rPr>
        <w:t>Proc Natl Acad Sci USA</w:t>
      </w:r>
      <w:r>
        <w:t>. 2015;112(9):2734-2739. doi:10.1073/pnas.1417811112</w:t>
      </w:r>
    </w:p>
    <w:p w14:paraId="2B5C79E4" w14:textId="77777777" w:rsidR="00B63F7B" w:rsidRDefault="007621C1">
      <w:pPr>
        <w:pStyle w:val="Bibliography1"/>
      </w:pPr>
      <w:r>
        <w:t>28.</w:t>
      </w:r>
      <w:r>
        <w:tab/>
        <w:t xml:space="preserve">Oleinikovas V, Saladino G, Cossins BP, Gervasio FL. Understanding Cryptic Pocket Formation in Protein Targets by Enhanced Sampling Simulations. </w:t>
      </w:r>
      <w:r>
        <w:rPr>
          <w:i/>
          <w:iCs/>
        </w:rPr>
        <w:t>J Am Chem Soc</w:t>
      </w:r>
      <w:r>
        <w:t>. 2016;138(43):14257-14263. doi:10.1021/jacs.6b05425</w:t>
      </w:r>
    </w:p>
    <w:p w14:paraId="15BCF061" w14:textId="77777777" w:rsidR="00B63F7B" w:rsidRDefault="007621C1">
      <w:pPr>
        <w:pStyle w:val="Bibliography1"/>
      </w:pPr>
      <w:r>
        <w:t>29.</w:t>
      </w:r>
      <w:r>
        <w:tab/>
        <w:t xml:space="preserve">Bowman GR, Geissler PL. Equilibrium fluctuations of a single folded protein reveal a multitude of potential cryptic allosteric sites. </w:t>
      </w:r>
      <w:r>
        <w:rPr>
          <w:i/>
          <w:iCs/>
        </w:rPr>
        <w:t>Proc Natl Acad Sci USA</w:t>
      </w:r>
      <w:r>
        <w:t>. 2012;109(29):11681-11686. doi:10.1073/pnas.1209309109</w:t>
      </w:r>
    </w:p>
    <w:p w14:paraId="0C5E76D5" w14:textId="77777777" w:rsidR="00B63F7B" w:rsidRDefault="007621C1">
      <w:pPr>
        <w:pStyle w:val="Bibliography1"/>
      </w:pPr>
      <w:r>
        <w:t>30.</w:t>
      </w:r>
      <w:r>
        <w:tab/>
        <w:t xml:space="preserve">Sztain T, Amaro R, McCammon JA. Elucidation of Cryptic and Allosteric Pockets within the SARS-CoV-2 Main Protease. </w:t>
      </w:r>
      <w:r>
        <w:rPr>
          <w:i/>
          <w:iCs/>
        </w:rPr>
        <w:t>J Chem Inf Model</w:t>
      </w:r>
      <w:r>
        <w:t>. 2021;61(7):3495-3501. doi:10.1021/acs.jcim.1c00140</w:t>
      </w:r>
    </w:p>
    <w:p w14:paraId="1F0188B2" w14:textId="77777777" w:rsidR="00B63F7B" w:rsidRDefault="007621C1">
      <w:pPr>
        <w:pStyle w:val="Bibliography1"/>
      </w:pPr>
      <w:r>
        <w:t>31.</w:t>
      </w:r>
      <w:r>
        <w:tab/>
        <w:t xml:space="preserve">Ghanakota P, Carlson HA. Driving Structure-Based Drug Discovery through Cosolvent Molecular Dynamics: Miniperspective. </w:t>
      </w:r>
      <w:r>
        <w:rPr>
          <w:i/>
          <w:iCs/>
        </w:rPr>
        <w:t>J Med Chem</w:t>
      </w:r>
      <w:r>
        <w:t>. 2016;59(23):10383-10399. doi:10.1021/acs.jmedchem.6b00399</w:t>
      </w:r>
    </w:p>
    <w:p w14:paraId="18E5DACD" w14:textId="77777777" w:rsidR="00B63F7B" w:rsidRDefault="007621C1">
      <w:pPr>
        <w:pStyle w:val="Bibliography1"/>
      </w:pPr>
      <w:r>
        <w:lastRenderedPageBreak/>
        <w:t>32.</w:t>
      </w:r>
      <w:r>
        <w:tab/>
        <w:t xml:space="preserve">Smith RD, Carlson HA. Identification of Cryptic Binding Sites Using MixMD with Standard and Accelerated Molecular Dynamics. </w:t>
      </w:r>
      <w:r>
        <w:rPr>
          <w:i/>
          <w:iCs/>
        </w:rPr>
        <w:t>J Chem Inf Model</w:t>
      </w:r>
      <w:r>
        <w:t>. 2021;61(3):1287-1299. doi:10.1021/acs.jcim.0c01002</w:t>
      </w:r>
    </w:p>
    <w:p w14:paraId="45079E8C" w14:textId="77777777" w:rsidR="00B63F7B" w:rsidRDefault="007621C1">
      <w:pPr>
        <w:pStyle w:val="Bibliography1"/>
      </w:pPr>
      <w:r>
        <w:t>33.</w:t>
      </w:r>
      <w:r>
        <w:tab/>
        <w:t xml:space="preserve">Martinez-Rosell G, Lovera S, Sands ZA, De Fabritiis G. PlayMolecule CrypticScout: Predicting Protein Cryptic Sites Using Mixed-Solvent Molecular Simulations. </w:t>
      </w:r>
      <w:r>
        <w:rPr>
          <w:i/>
          <w:iCs/>
        </w:rPr>
        <w:t>J Chem Inf Model</w:t>
      </w:r>
      <w:r>
        <w:t>. 2020;60(4):2314-2324. doi:10.1021/acs.jcim.9b01209</w:t>
      </w:r>
    </w:p>
    <w:p w14:paraId="505A43EA" w14:textId="77777777" w:rsidR="00B63F7B" w:rsidRDefault="007621C1">
      <w:pPr>
        <w:pStyle w:val="Bibliography1"/>
      </w:pPr>
      <w:r>
        <w:t>34.</w:t>
      </w:r>
      <w:r>
        <w:tab/>
        <w:t xml:space="preserve">Lal Gupta P, Carlson HA. Cosolvent Simulations with Fragment-Bound Proteins Identify Hot Spots to Direct Lead Growth. </w:t>
      </w:r>
      <w:r>
        <w:rPr>
          <w:i/>
          <w:iCs/>
        </w:rPr>
        <w:t>J Chem Theory Comput</w:t>
      </w:r>
      <w:r>
        <w:t>. 2022;18(6):3829-3844. doi:10.1021/acs.jctc.1c01054</w:t>
      </w:r>
    </w:p>
    <w:p w14:paraId="31EC46CB" w14:textId="77777777" w:rsidR="00B63F7B" w:rsidRDefault="007621C1">
      <w:pPr>
        <w:pStyle w:val="Bibliography1"/>
      </w:pPr>
      <w:r>
        <w:t>35.</w:t>
      </w:r>
      <w:r>
        <w:tab/>
        <w:t xml:space="preserve">Kalenkiewicz A, Grant B, Yang CY. Enrichment of Druggable Conformations from Apo Protein Structures Using Cosolvent-Accelerated Molecular Dynamics. </w:t>
      </w:r>
      <w:r>
        <w:rPr>
          <w:i/>
          <w:iCs/>
        </w:rPr>
        <w:t>Biology</w:t>
      </w:r>
      <w:r>
        <w:t>. 2015;4(2):344-366. doi:10.3390/biology4020344</w:t>
      </w:r>
    </w:p>
    <w:p w14:paraId="5064AAF8" w14:textId="77777777" w:rsidR="00B63F7B" w:rsidRDefault="007621C1">
      <w:pPr>
        <w:pStyle w:val="Bibliography1"/>
      </w:pPr>
      <w:r>
        <w:t>36.</w:t>
      </w:r>
      <w:r>
        <w:tab/>
        <w:t xml:space="preserve">Meller A, Bhakat S, Solieva S, Bowman GR. Accelerating Cryptic Pocket Discovery Using AlphaFold. </w:t>
      </w:r>
      <w:r>
        <w:rPr>
          <w:i/>
          <w:iCs/>
        </w:rPr>
        <w:t>J Chem Theory Comput</w:t>
      </w:r>
      <w:r>
        <w:t>. 2023;19(14):4355-4363. doi:10.1021/acs.jctc.2c01189</w:t>
      </w:r>
    </w:p>
    <w:p w14:paraId="40FFC209" w14:textId="77777777" w:rsidR="00B63F7B" w:rsidRDefault="007621C1">
      <w:pPr>
        <w:pStyle w:val="Bibliography1"/>
      </w:pPr>
      <w:r>
        <w:t>37.</w:t>
      </w:r>
      <w:r>
        <w:tab/>
        <w:t xml:space="preserve">Meller A, Ward M, Borowsky J, et al. Predicting locations of cryptic pockets from single protein structures using the PocketMiner graph neural network. </w:t>
      </w:r>
      <w:r>
        <w:rPr>
          <w:i/>
          <w:iCs/>
        </w:rPr>
        <w:t>Nat Commun</w:t>
      </w:r>
      <w:r>
        <w:t>. 2023;14(1):1177. doi:10.1038/s41467-023-36699-3</w:t>
      </w:r>
    </w:p>
    <w:p w14:paraId="2EC3BA39" w14:textId="77777777" w:rsidR="00B63F7B" w:rsidRDefault="007621C1">
      <w:pPr>
        <w:pStyle w:val="Bibliography1"/>
      </w:pPr>
      <w:r>
        <w:t>38.</w:t>
      </w:r>
      <w:r>
        <w:tab/>
        <w:t xml:space="preserve">Abi Hussein H, Geneix C, Petitjean M, Borrel A, Flatters D, Camproux AC. Global vision of druggability issues: applications and perspectives. </w:t>
      </w:r>
      <w:r>
        <w:rPr>
          <w:i/>
          <w:iCs/>
        </w:rPr>
        <w:t>Drug Discovery Today</w:t>
      </w:r>
      <w:r>
        <w:t>. 2017;22(2):404-415. doi:10.1016/j.drudis.2016.11.021</w:t>
      </w:r>
    </w:p>
    <w:p w14:paraId="25CBE637" w14:textId="77777777" w:rsidR="00B63F7B" w:rsidRDefault="007621C1">
      <w:pPr>
        <w:pStyle w:val="Bibliography1"/>
      </w:pPr>
      <w:r>
        <w:t>39.</w:t>
      </w:r>
      <w:r>
        <w:tab/>
        <w:t xml:space="preserve">Vani BP, Aranganathan A, Wang D, Tiwary P. AlphaFold2-RAVE: From Sequence to Boltzmann Ranking. </w:t>
      </w:r>
      <w:r>
        <w:rPr>
          <w:i/>
          <w:iCs/>
        </w:rPr>
        <w:t>J Chem Theory Comput</w:t>
      </w:r>
      <w:r>
        <w:t>. 2023;19(14):4351-4354. doi:10.1021/acs.jctc.3c00290</w:t>
      </w:r>
    </w:p>
    <w:p w14:paraId="1A4B86BA" w14:textId="77777777" w:rsidR="00B63F7B" w:rsidRDefault="007621C1">
      <w:pPr>
        <w:pStyle w:val="Bibliography1"/>
      </w:pPr>
      <w:r>
        <w:t>40.</w:t>
      </w:r>
      <w:r>
        <w:tab/>
        <w:t xml:space="preserve">Evangelista Falcon W, Ellingson SR, Smith JC, Baudry J. Ensemble Docking in Drug Discovery: How Many Protein Configurations from Molecular Dynamics Simulations are Needed To Reproduce Known Ligand Binding? </w:t>
      </w:r>
      <w:r>
        <w:rPr>
          <w:i/>
          <w:iCs/>
        </w:rPr>
        <w:t>J Phys Chem B</w:t>
      </w:r>
      <w:r>
        <w:t>. 2019;123(25):5189-5195. doi:10.1021/acs.jpcb.8b11491</w:t>
      </w:r>
    </w:p>
    <w:p w14:paraId="5E7C50A1" w14:textId="77777777" w:rsidR="00B63F7B" w:rsidRDefault="007621C1">
      <w:pPr>
        <w:pStyle w:val="Bibliography1"/>
      </w:pPr>
      <w:r>
        <w:t>41.</w:t>
      </w:r>
      <w:r>
        <w:tab/>
        <w:t xml:space="preserve">Amaro RE, Mulholland AJ. Multiscale methods in drug design bridge chemical and biological complexity in the search for cures. </w:t>
      </w:r>
      <w:r>
        <w:rPr>
          <w:i/>
          <w:iCs/>
        </w:rPr>
        <w:t>Nat Rev Chem</w:t>
      </w:r>
      <w:r>
        <w:t>. 2018;2(4):0148. doi:10.1038/s41570-018-0148</w:t>
      </w:r>
    </w:p>
    <w:p w14:paraId="622E2021" w14:textId="77777777" w:rsidR="00B63F7B" w:rsidRDefault="007621C1">
      <w:pPr>
        <w:pStyle w:val="Bibliography1"/>
      </w:pPr>
      <w:r>
        <w:t>42.</w:t>
      </w:r>
      <w:r>
        <w:tab/>
        <w:t xml:space="preserve">Comitani F, Gervasio FL. Exploring Cryptic Pockets Formation in Targets of Pharmaceutical Interest with SWISH. </w:t>
      </w:r>
      <w:r>
        <w:rPr>
          <w:i/>
          <w:iCs/>
        </w:rPr>
        <w:t>J Chem Theory Comput</w:t>
      </w:r>
      <w:r>
        <w:t>. 2018;14(6):3321-3331. doi:10.1021/acs.jctc.8b00263</w:t>
      </w:r>
    </w:p>
    <w:p w14:paraId="1E93848E" w14:textId="77777777" w:rsidR="00B63F7B" w:rsidRDefault="007621C1">
      <w:pPr>
        <w:pStyle w:val="Bibliography1"/>
      </w:pPr>
      <w:r>
        <w:t>43.</w:t>
      </w:r>
      <w:r>
        <w:tab/>
        <w:t xml:space="preserve">Guvench O, MacKerell AD. Computational Fragment-Based Binding Site Identification by Ligand Competitive Saturation. Jacobson MP, ed. </w:t>
      </w:r>
      <w:r>
        <w:rPr>
          <w:i/>
          <w:iCs/>
        </w:rPr>
        <w:t>PLoS Comput Biol</w:t>
      </w:r>
      <w:r>
        <w:t>. 2009;5(7):e1000435. doi:10.1371/journal.pcbi.1000435</w:t>
      </w:r>
    </w:p>
    <w:p w14:paraId="1C510B03" w14:textId="77777777" w:rsidR="00B63F7B" w:rsidRDefault="007621C1">
      <w:pPr>
        <w:pStyle w:val="Bibliography1"/>
      </w:pPr>
      <w:r>
        <w:lastRenderedPageBreak/>
        <w:t>44.</w:t>
      </w:r>
      <w:r>
        <w:tab/>
        <w:t xml:space="preserve">Vats S, Bobrovs R, Söderhjelm P, Bhakat S. AlphaFold-SFA: Accelerated sampling of cryptic pocket opening, protein-ligand binding and allostery by AlphaFold, slow feature analysis and metadynamics. Chu X, ed. </w:t>
      </w:r>
      <w:r>
        <w:rPr>
          <w:i/>
          <w:iCs/>
        </w:rPr>
        <w:t>PLoS ONE</w:t>
      </w:r>
      <w:r>
        <w:t>. 2024;19(8):e0307226. doi:10.1371/journal.pone.0307226</w:t>
      </w:r>
    </w:p>
    <w:p w14:paraId="6C203A3E" w14:textId="77777777" w:rsidR="00B63F7B" w:rsidRDefault="007621C1">
      <w:pPr>
        <w:pStyle w:val="Bibliography1"/>
      </w:pPr>
      <w:r>
        <w:t>45.</w:t>
      </w:r>
      <w:r>
        <w:tab/>
        <w:t xml:space="preserve">Li Y, Song L, Dong Y, Hao GF. Comparative study of innovative computational methods for identifying cryptic pockets. </w:t>
      </w:r>
      <w:r>
        <w:rPr>
          <w:i/>
          <w:iCs/>
        </w:rPr>
        <w:t>Drug Discovery Today</w:t>
      </w:r>
      <w:r>
        <w:t>. 2025;30(8):104430. doi:10.1016/j.drudis.2025.104430</w:t>
      </w:r>
    </w:p>
    <w:p w14:paraId="2B6759A8" w14:textId="77777777" w:rsidR="00B63F7B" w:rsidRDefault="007621C1">
      <w:pPr>
        <w:pStyle w:val="Bibliography1"/>
      </w:pPr>
      <w:r>
        <w:t>46.</w:t>
      </w:r>
      <w:r>
        <w:tab/>
        <w:t xml:space="preserve">Knoverek CR, Amarasinghe GK, Bowman GR. Advanced Methods for Accessing Protein Shape-Shifting Present New Therapeutic Opportunities. </w:t>
      </w:r>
      <w:r>
        <w:rPr>
          <w:i/>
          <w:iCs/>
        </w:rPr>
        <w:t>Trends in Biochemical Sciences</w:t>
      </w:r>
      <w:r>
        <w:t>. 2019;44(4):351-364. doi:10.1016/j.tibs.2018.11.007</w:t>
      </w:r>
    </w:p>
    <w:p w14:paraId="36E742B2" w14:textId="77777777" w:rsidR="00B63F7B" w:rsidRDefault="007621C1">
      <w:pPr>
        <w:pStyle w:val="Bibliography1"/>
      </w:pPr>
      <w:r>
        <w:t>47.</w:t>
      </w:r>
      <w:r>
        <w:tab/>
        <w:t xml:space="preserve">Haldar S, Comitani F, Saladino G, et al. A Multiscale Simulation Approach to Modeling Drug–Protein Binding Kinetics. </w:t>
      </w:r>
      <w:r>
        <w:rPr>
          <w:i/>
          <w:iCs/>
        </w:rPr>
        <w:t>J Chem Theory Comput</w:t>
      </w:r>
      <w:r>
        <w:t>. 2018;14(11):6093-6101. doi:10.1021/acs.jctc.8b00687</w:t>
      </w:r>
    </w:p>
    <w:p w14:paraId="60F67723" w14:textId="77777777" w:rsidR="00B63F7B" w:rsidRDefault="007621C1">
      <w:pPr>
        <w:pStyle w:val="Bibliography1"/>
      </w:pPr>
      <w:r>
        <w:t>48.</w:t>
      </w:r>
      <w:r>
        <w:tab/>
        <w:t xml:space="preserve">Nittinger E, Yoluk Ö, Tibo A, Olanders G, Tyrchan C. Co-folding, the future of docking – prediction of allosteric and orthosteric ligands. </w:t>
      </w:r>
      <w:r>
        <w:rPr>
          <w:i/>
          <w:iCs/>
        </w:rPr>
        <w:t>Artificial Intelligence in the Life Sciences</w:t>
      </w:r>
      <w:r>
        <w:t>. 2025;8:100136. doi:10.1016/j.ailsci.2025.100136</w:t>
      </w:r>
    </w:p>
    <w:p w14:paraId="6A4556B3" w14:textId="77777777" w:rsidR="00B63F7B" w:rsidRDefault="007621C1">
      <w:pPr>
        <w:pStyle w:val="Bibliography1"/>
      </w:pPr>
      <w:r>
        <w:t>49.</w:t>
      </w:r>
      <w:r>
        <w:tab/>
        <w:t>Zheng H, Lin H, Alade AA, Chen J, Monroy EY, Wang J. AlphaFold3 in Drug Discovery: A Comprehensive Assessment of Capabilities, Limitations, and Applications.</w:t>
      </w:r>
    </w:p>
    <w:p w14:paraId="011BFAD5" w14:textId="77777777" w:rsidR="00B63F7B" w:rsidRDefault="007621C1">
      <w:pPr>
        <w:pStyle w:val="Bibliography1"/>
      </w:pPr>
      <w:r>
        <w:t>50.</w:t>
      </w:r>
      <w:r>
        <w:tab/>
        <w:t xml:space="preserve">Lin G, Zhang X, Ren Z, et al. TAPB: an interventional debiasing framework for alleviating target prior bias in drug-target interaction prediction. </w:t>
      </w:r>
      <w:r>
        <w:rPr>
          <w:i/>
          <w:iCs/>
        </w:rPr>
        <w:t>Nat Commun</w:t>
      </w:r>
      <w:r>
        <w:t>. 2025;16(1):10867. doi:10.1038/s41467-025-66915-1</w:t>
      </w:r>
    </w:p>
    <w:p w14:paraId="29725CC7" w14:textId="77777777" w:rsidR="00B63F7B" w:rsidRDefault="007621C1">
      <w:pPr>
        <w:pStyle w:val="Bibliography1"/>
      </w:pPr>
      <w:r>
        <w:t>51.</w:t>
      </w:r>
      <w:r>
        <w:tab/>
        <w:t xml:space="preserve">Masters MR, Mahmoud AH, Lill MA. Investigating whether deep learning models for co-folding learn the physics of protein-ligand interactions. </w:t>
      </w:r>
      <w:r>
        <w:rPr>
          <w:i/>
          <w:iCs/>
        </w:rPr>
        <w:t>Nat Commun</w:t>
      </w:r>
      <w:r>
        <w:t>. 2025;16(1):8854. doi:10.1038/s41467-025-63947-5</w:t>
      </w:r>
    </w:p>
    <w:p w14:paraId="235DF5E5" w14:textId="77777777" w:rsidR="00B63F7B" w:rsidRDefault="007621C1">
      <w:pPr>
        <w:pStyle w:val="Bibliography1"/>
      </w:pPr>
      <w:r>
        <w:t>52.</w:t>
      </w:r>
      <w:r>
        <w:tab/>
        <w:t xml:space="preserve">Škrinjar P, Eberhardt J, Tauriello G, Schwede T, Durairaj J. Have protein-ligand cofolding methods moved beyond memorisation? </w:t>
      </w:r>
      <w:r>
        <w:rPr>
          <w:i/>
          <w:iCs/>
        </w:rPr>
        <w:t>Bioinformatics</w:t>
      </w:r>
      <w:r>
        <w:t>. Preprint posted online February 7, 2025. doi:10.1101/2025.02.03.636309</w:t>
      </w:r>
    </w:p>
    <w:p w14:paraId="66AF08A0" w14:textId="77777777" w:rsidR="00B63F7B" w:rsidRDefault="007621C1">
      <w:pPr>
        <w:pStyle w:val="Bibliography1"/>
      </w:pPr>
      <w:r>
        <w:t>53.</w:t>
      </w:r>
      <w:r>
        <w:tab/>
        <w:t xml:space="preserve">Abramson J, Adler J, Dunger J, et al. Accurate structure prediction of biomolecular interactions with AlphaFold 3. </w:t>
      </w:r>
      <w:r>
        <w:rPr>
          <w:i/>
          <w:iCs/>
        </w:rPr>
        <w:t>Nature</w:t>
      </w:r>
      <w:r>
        <w:t>. 2024;630(8016):493-500. doi:10.1038/s41586-024-07487-w</w:t>
      </w:r>
    </w:p>
    <w:p w14:paraId="63EACDAF" w14:textId="77777777" w:rsidR="00B63F7B" w:rsidRDefault="007621C1">
      <w:pPr>
        <w:pStyle w:val="Bibliography1"/>
      </w:pPr>
      <w:r>
        <w:t>54.</w:t>
      </w:r>
      <w:r>
        <w:tab/>
        <w:t>Boltz-2: Towards Accurate and Efficient Binding Affinity Prediction.</w:t>
      </w:r>
    </w:p>
    <w:p w14:paraId="41E195C8" w14:textId="77777777" w:rsidR="00B63F7B" w:rsidRDefault="007621C1">
      <w:pPr>
        <w:pStyle w:val="Bibliography1"/>
      </w:pPr>
      <w:r>
        <w:t>55.</w:t>
      </w:r>
      <w:r>
        <w:tab/>
        <w:t xml:space="preserve">Sinha K, Basu I, Shah Z, Shah S, Chakrabarty S. Leveraging Bidirectional Nature of Allostery To Inhibit Protein–Protein Interactions (PPIs): A Case Study of PCSK9–LDLR Interaction. </w:t>
      </w:r>
      <w:r>
        <w:rPr>
          <w:i/>
          <w:iCs/>
        </w:rPr>
        <w:t>J Chem Inf Model</w:t>
      </w:r>
      <w:r>
        <w:t>. 2024;64(9):3923-3932. doi:10.1021/acs.jcim.4c00294</w:t>
      </w:r>
    </w:p>
    <w:p w14:paraId="063BE005" w14:textId="77777777" w:rsidR="00B63F7B" w:rsidRDefault="007621C1">
      <w:pPr>
        <w:pStyle w:val="Bibliography1"/>
      </w:pPr>
      <w:r>
        <w:t>56.</w:t>
      </w:r>
      <w:r>
        <w:tab/>
        <w:t xml:space="preserve">Bhardwaj VK, Purohit R. Potential acridinedione derivatives for the development of a heterobifunctional PROTAC for targeted degradation of PCSK9 protein. </w:t>
      </w:r>
      <w:r>
        <w:rPr>
          <w:i/>
          <w:iCs/>
        </w:rPr>
        <w:t xml:space="preserve">Applied Materials </w:t>
      </w:r>
      <w:r>
        <w:rPr>
          <w:i/>
          <w:iCs/>
        </w:rPr>
        <w:lastRenderedPageBreak/>
        <w:t>Today</w:t>
      </w:r>
      <w:r>
        <w:t>. 2024;38:102186. doi:10.1016/j.apmt.2024.102186</w:t>
      </w:r>
    </w:p>
    <w:p w14:paraId="420DC26F" w14:textId="77777777" w:rsidR="00B63F7B" w:rsidRDefault="007621C1">
      <w:pPr>
        <w:pStyle w:val="Bibliography1"/>
      </w:pPr>
      <w:r>
        <w:t>57.</w:t>
      </w:r>
      <w:r>
        <w:tab/>
        <w:t>Https://patents.google.com/patent/US20230407285A1/en?oq=US20230407285</w:t>
      </w:r>
    </w:p>
    <w:p w14:paraId="24E8F305" w14:textId="77777777" w:rsidR="00B63F7B" w:rsidRDefault="007621C1">
      <w:pPr>
        <w:pStyle w:val="Bibliography1"/>
      </w:pPr>
      <w:r>
        <w:t>58.</w:t>
      </w:r>
      <w:r>
        <w:tab/>
        <w:t xml:space="preserve">Mukhopadhyay S, Chakrabarty S. Mixed-Solvent Molecular Dynamics Simulation Reveals a Druggable Allosteric Pocket in the PCSK9 C-Terminal Domain. </w:t>
      </w:r>
      <w:r>
        <w:rPr>
          <w:i/>
          <w:iCs/>
        </w:rPr>
        <w:t>J Phys Chem B</w:t>
      </w:r>
      <w:r>
        <w:t>. 2025;129(45):11737-11744. doi:10.1021/acs.jpcb.5c05530</w:t>
      </w:r>
    </w:p>
    <w:p w14:paraId="17BFC05D" w14:textId="77777777" w:rsidR="00B63F7B" w:rsidRDefault="007621C1">
      <w:pPr>
        <w:pStyle w:val="Bibliography1"/>
      </w:pPr>
      <w:r>
        <w:t>59.</w:t>
      </w:r>
      <w:r>
        <w:tab/>
        <w:t xml:space="preserve">Hendlich M, Rippmann F, Barnickel G. LIGSITE: automatic and efficient detection of potential small molecule-binding sites in proteins. </w:t>
      </w:r>
      <w:r>
        <w:rPr>
          <w:i/>
          <w:iCs/>
        </w:rPr>
        <w:t>Journal of Molecular Graphics and Modelling</w:t>
      </w:r>
      <w:r>
        <w:t>. 1997;15(6):359-363. doi:10.1016/S1093-3263(98)00002-3</w:t>
      </w:r>
    </w:p>
    <w:p w14:paraId="32437672" w14:textId="77777777" w:rsidR="00B63F7B" w:rsidRDefault="007621C1">
      <w:pPr>
        <w:pStyle w:val="Bibliography1"/>
      </w:pPr>
      <w:r>
        <w:t>60.</w:t>
      </w:r>
      <w:r>
        <w:tab/>
        <w:t xml:space="preserve">Jing B, Eismann S, Suriana P, Townshend RJL, Dror R. Learning from Protein Structure with Geometric Vector Perceptrons. </w:t>
      </w:r>
      <w:r>
        <w:rPr>
          <w:i/>
          <w:iCs/>
        </w:rPr>
        <w:t>arXiv</w:t>
      </w:r>
      <w:r>
        <w:t>. Preprint posted online May 16, 2021:arXiv:2009.01411. doi:10.48550/arXiv.2009.01411</w:t>
      </w:r>
    </w:p>
    <w:p w14:paraId="6123B1E7" w14:textId="77777777" w:rsidR="00B63F7B" w:rsidRDefault="007621C1">
      <w:pPr>
        <w:pStyle w:val="Bibliography1"/>
      </w:pPr>
      <w:r>
        <w:t>61.</w:t>
      </w:r>
      <w:r>
        <w:tab/>
        <w:t xml:space="preserve">Wayment-Steele HK, Ojoawo A, Otten R, et al. Predicting multiple conformations via sequence clustering and AlphaFold2. </w:t>
      </w:r>
      <w:r>
        <w:rPr>
          <w:i/>
          <w:iCs/>
        </w:rPr>
        <w:t>Nature</w:t>
      </w:r>
      <w:r>
        <w:t>. 2024;625(7996):832-839. doi:10.1038/s41586-023-06832-9</w:t>
      </w:r>
    </w:p>
    <w:p w14:paraId="316CD77E" w14:textId="77777777" w:rsidR="00B63F7B" w:rsidRDefault="007621C1">
      <w:pPr>
        <w:pStyle w:val="Bibliography1"/>
      </w:pPr>
      <w:r>
        <w:t>62.</w:t>
      </w:r>
      <w:r>
        <w:tab/>
        <w:t>Kalakoti Y, Wallner B. AFsample3: Generating and selecting multiple conformational states with Alphafold3.</w:t>
      </w:r>
    </w:p>
    <w:p w14:paraId="3793B7D1" w14:textId="77777777" w:rsidR="00B63F7B" w:rsidRDefault="007621C1">
      <w:pPr>
        <w:pStyle w:val="Bibliography1"/>
      </w:pPr>
      <w:r>
        <w:t>63.</w:t>
      </w:r>
      <w:r>
        <w:tab/>
        <w:t xml:space="preserve">Jing B, Berger B, Jaakkola T. AlphaFold Meets Flow Matching for Generating Protein Ensembles. </w:t>
      </w:r>
      <w:r>
        <w:rPr>
          <w:i/>
          <w:iCs/>
        </w:rPr>
        <w:t>arXiv</w:t>
      </w:r>
      <w:r>
        <w:t>. Preprint posted online September 2, 2024:arXiv:2402.04845. doi:10.48550/arXiv.2402.04845</w:t>
      </w:r>
    </w:p>
    <w:p w14:paraId="38FFABDC" w14:textId="77777777" w:rsidR="00B63F7B" w:rsidRDefault="007621C1">
      <w:pPr>
        <w:pStyle w:val="Bibliography1"/>
      </w:pPr>
      <w:r>
        <w:t>64.</w:t>
      </w:r>
      <w:r>
        <w:tab/>
        <w:t xml:space="preserve">Cheng X, Xing E, Zhang J, Wang S. Leveraging Sequence Purification for Accurate Prediction of Multiple Conformational States with AlphaFold2. </w:t>
      </w:r>
      <w:r>
        <w:rPr>
          <w:i/>
          <w:iCs/>
        </w:rPr>
        <w:t>In Review</w:t>
      </w:r>
      <w:r>
        <w:t>. Preprint posted online March 4, 2025. doi:10.21203/rs.3.rs-6087969/v1</w:t>
      </w:r>
    </w:p>
    <w:p w14:paraId="4370F615" w14:textId="77777777" w:rsidR="00B63F7B" w:rsidRDefault="007621C1">
      <w:pPr>
        <w:pStyle w:val="Bibliography1"/>
      </w:pPr>
      <w:r>
        <w:t>65.</w:t>
      </w:r>
      <w:r>
        <w:tab/>
        <w:t xml:space="preserve">Schubert E, Sander J, Ester M, Kriegel HP, Xu X. DBSCAN Revisited, Revisited: Why and How You Should (Still) Use DBSCAN. </w:t>
      </w:r>
      <w:r>
        <w:rPr>
          <w:i/>
          <w:iCs/>
        </w:rPr>
        <w:t>ACM Trans Database Syst</w:t>
      </w:r>
      <w:r>
        <w:t>. 2017;42(3):1-21. doi:10.1145/3068335</w:t>
      </w:r>
    </w:p>
    <w:p w14:paraId="5F9D5154" w14:textId="77777777" w:rsidR="00B63F7B" w:rsidRDefault="007621C1">
      <w:pPr>
        <w:pStyle w:val="Bibliography1"/>
      </w:pPr>
      <w:r>
        <w:t>66.</w:t>
      </w:r>
      <w:r>
        <w:tab/>
        <w:t xml:space="preserve">Khokhar M, Keskin O, Gursoy A. DeepAllo: Allosteric Site Prediction using Protein Language Model (pLM) with Multitask Learning. </w:t>
      </w:r>
      <w:r>
        <w:rPr>
          <w:i/>
          <w:iCs/>
        </w:rPr>
        <w:t>Bioinformatics</w:t>
      </w:r>
      <w:r>
        <w:t>. Preprint posted online October 13, 2024. doi:10.1101/2024.10.09.617427</w:t>
      </w:r>
    </w:p>
    <w:p w14:paraId="3145EB38" w14:textId="77777777" w:rsidR="00B63F7B" w:rsidRDefault="007621C1">
      <w:pPr>
        <w:pStyle w:val="Bibliography1"/>
      </w:pPr>
      <w:r>
        <w:t>67.</w:t>
      </w:r>
      <w:r>
        <w:tab/>
        <w:t xml:space="preserve">Soga S, Shirai H, Kobori M, Hirayama N. Use of Amino Acid Composition to Predict Ligand-Binding Sites. </w:t>
      </w:r>
      <w:r>
        <w:rPr>
          <w:i/>
          <w:iCs/>
        </w:rPr>
        <w:t>J Chem Inf Model</w:t>
      </w:r>
      <w:r>
        <w:t>. 2007;47(2):400-406. doi:10.1021/ci6002202</w:t>
      </w:r>
    </w:p>
    <w:p w14:paraId="625D85CE" w14:textId="77777777" w:rsidR="00B63F7B" w:rsidRDefault="007621C1">
      <w:pPr>
        <w:pStyle w:val="Bibliography1"/>
      </w:pPr>
      <w:r>
        <w:t>68.</w:t>
      </w:r>
      <w:r>
        <w:tab/>
        <w:t xml:space="preserve">Le Guilloux V, Schmidtke P, Tuffery P. Fpocket: An open source platform for ligand pocket detection. </w:t>
      </w:r>
      <w:r>
        <w:rPr>
          <w:i/>
          <w:iCs/>
        </w:rPr>
        <w:t>BMC Bioinformatics</w:t>
      </w:r>
      <w:r>
        <w:t>. 2009;10(1):168. doi:10.1186/1471-2105-10-168</w:t>
      </w:r>
    </w:p>
    <w:p w14:paraId="38E30E19" w14:textId="77777777" w:rsidR="00B63F7B" w:rsidRDefault="007621C1">
      <w:pPr>
        <w:pStyle w:val="Bibliography1"/>
      </w:pPr>
      <w:r>
        <w:t>69.</w:t>
      </w:r>
      <w:r>
        <w:tab/>
        <w:t xml:space="preserve">Trott O, Olson AJ. AutoDock Vina: Improving the speed and accuracy of docking with a new scoring function, efficient optimization, and multithreading. </w:t>
      </w:r>
      <w:r>
        <w:rPr>
          <w:i/>
          <w:iCs/>
        </w:rPr>
        <w:t>J Comput Chem</w:t>
      </w:r>
      <w:r>
        <w:t>. 2010;31(2):455-461. doi:10.1002/jcc.21334</w:t>
      </w:r>
    </w:p>
    <w:p w14:paraId="79A09BE3" w14:textId="77777777" w:rsidR="00B63F7B" w:rsidRDefault="007621C1">
      <w:pPr>
        <w:pStyle w:val="Bibliography1"/>
      </w:pPr>
      <w:r>
        <w:lastRenderedPageBreak/>
        <w:t>70.</w:t>
      </w:r>
      <w:r>
        <w:tab/>
        <w:t xml:space="preserve">Zhang X, Zhang O, Shen C, et al. Efficient and accurate large library ligand docking with KarmaDock. </w:t>
      </w:r>
      <w:r>
        <w:rPr>
          <w:i/>
          <w:iCs/>
        </w:rPr>
        <w:t>Nat Comput Sci</w:t>
      </w:r>
      <w:r>
        <w:t>. 2023;3(9):789-804. doi:10.1038/s43588-023-00511-5</w:t>
      </w:r>
    </w:p>
    <w:p w14:paraId="21894642" w14:textId="77777777" w:rsidR="00B63F7B" w:rsidRDefault="007621C1">
      <w:pPr>
        <w:pStyle w:val="Bibliography1"/>
      </w:pPr>
      <w:r>
        <w:t>71.</w:t>
      </w:r>
      <w:r>
        <w:tab/>
        <w:t xml:space="preserve">Friesner RA, Banks JL, Murphy RB, et al. Glide: A New Approach for Rapid, Accurate Docking and Scoring. 1. Method and Assessment of Docking Accuracy. </w:t>
      </w:r>
      <w:r>
        <w:rPr>
          <w:i/>
          <w:iCs/>
        </w:rPr>
        <w:t>J Med Chem</w:t>
      </w:r>
      <w:r>
        <w:t>. 2004;47(7):1739-1749. doi:10.1021/jm0306430</w:t>
      </w:r>
    </w:p>
    <w:p w14:paraId="2A590FF2" w14:textId="77777777" w:rsidR="00B63F7B" w:rsidRDefault="007621C1">
      <w:pPr>
        <w:pStyle w:val="Bibliography1"/>
      </w:pPr>
      <w:r>
        <w:t>72.</w:t>
      </w:r>
      <w:r>
        <w:tab/>
        <w:t xml:space="preserve">Halgren TA, Murphy RB, Friesner RA, et al. Glide: A New Approach for Rapid, Accurate Docking and Scoring. 2. Enrichment Factors in Database Screening. </w:t>
      </w:r>
      <w:r>
        <w:rPr>
          <w:i/>
          <w:iCs/>
        </w:rPr>
        <w:t>J Med Chem</w:t>
      </w:r>
      <w:r>
        <w:t>. 2004;47(7):1750-1759. doi:10.1021/jm030644s</w:t>
      </w:r>
    </w:p>
    <w:p w14:paraId="35C572B5" w14:textId="77777777" w:rsidR="00B63F7B" w:rsidRDefault="007621C1">
      <w:pPr>
        <w:pStyle w:val="Bibliography1"/>
      </w:pPr>
      <w:r>
        <w:t>73.</w:t>
      </w:r>
      <w:r>
        <w:tab/>
        <w:t xml:space="preserve">Friesner RA, Murphy RB, Repasky MP, et al. Extra Precision Glide: Docking and Scoring Incorporating a Model of Hydrophobic Enclosure for Protein−Ligand Complexes. </w:t>
      </w:r>
      <w:r>
        <w:rPr>
          <w:i/>
          <w:iCs/>
        </w:rPr>
        <w:t>J Med Chem</w:t>
      </w:r>
      <w:r>
        <w:t>. 2006;49(21):6177-6196. doi:10.1021/jm051256o</w:t>
      </w:r>
    </w:p>
    <w:p w14:paraId="72CE61A4" w14:textId="77777777" w:rsidR="00B63F7B" w:rsidRDefault="007621C1">
      <w:pPr>
        <w:pStyle w:val="Bibliography1"/>
      </w:pPr>
      <w:r>
        <w:t>74.</w:t>
      </w:r>
      <w:r>
        <w:tab/>
        <w:t xml:space="preserve">Jia Y, Gao B, Tan J, et al. Deep contrastive learning enables genome-wide virtual screening. </w:t>
      </w:r>
      <w:r>
        <w:rPr>
          <w:i/>
          <w:iCs/>
        </w:rPr>
        <w:t>Bioinformatics</w:t>
      </w:r>
      <w:r>
        <w:t>. Preprint posted online September 3, 2024. doi:10.1101/2024.09.02.610777</w:t>
      </w:r>
    </w:p>
    <w:p w14:paraId="7284D340" w14:textId="77777777" w:rsidR="00B63F7B" w:rsidRDefault="007621C1">
      <w:pPr>
        <w:pStyle w:val="Bibliography1"/>
      </w:pPr>
      <w:r>
        <w:t>75.</w:t>
      </w:r>
      <w:r>
        <w:tab/>
        <w:t>isodde_technical_report.</w:t>
      </w:r>
    </w:p>
    <w:p w14:paraId="6CA9360F" w14:textId="77777777" w:rsidR="00B63F7B" w:rsidRDefault="007621C1">
      <w:pPr>
        <w:pStyle w:val="Bibliography1"/>
      </w:pPr>
      <w:r>
        <w:t>76.</w:t>
      </w:r>
      <w:r>
        <w:tab/>
        <w:t xml:space="preserve">He J, Liu X, Zhu C, et al. ASD2023: towards the integrating landscapes of allosteric knowledgebase. </w:t>
      </w:r>
      <w:r>
        <w:rPr>
          <w:i/>
          <w:iCs/>
        </w:rPr>
        <w:t>Nucleic Acids Research</w:t>
      </w:r>
      <w:r>
        <w:t>. 2024;52(D1):D376-D383. doi:10.1093/nar/gkad915</w:t>
      </w:r>
    </w:p>
    <w:p w14:paraId="328BC85F" w14:textId="77777777" w:rsidR="00B63F7B" w:rsidRDefault="007621C1">
      <w:pPr>
        <w:pStyle w:val="Bibliography1"/>
      </w:pPr>
      <w:r>
        <w:t>77.</w:t>
      </w:r>
      <w:r>
        <w:tab/>
        <w:t xml:space="preserve">Porter JR, Zimmerman MI, Bowman GR. </w:t>
      </w:r>
      <w:r>
        <w:rPr>
          <w:b/>
          <w:bCs/>
        </w:rPr>
        <w:t>Enspara</w:t>
      </w:r>
      <w:r>
        <w:t xml:space="preserve"> : Modeling molecular ensembles with scalable data structures and parallel computing. </w:t>
      </w:r>
      <w:r>
        <w:rPr>
          <w:i/>
          <w:iCs/>
        </w:rPr>
        <w:t>The Journal of Chemical Physics</w:t>
      </w:r>
      <w:r>
        <w:t>. 2019;150(4):044108. doi:10.1063/1.5063794</w:t>
      </w:r>
    </w:p>
    <w:p w14:paraId="3792C625" w14:textId="77777777" w:rsidR="00B63F7B" w:rsidRDefault="007621C1">
      <w:pPr>
        <w:pStyle w:val="Bibliography1"/>
      </w:pPr>
      <w:r>
        <w:t>78.</w:t>
      </w:r>
      <w:r>
        <w:tab/>
        <w:t xml:space="preserve">Mirdita M, Schütze K, Moriwaki Y, Heo L, Ovchinnikov S, Steinegger M. ColabFold: making protein folding accessible to all. </w:t>
      </w:r>
      <w:r>
        <w:rPr>
          <w:i/>
          <w:iCs/>
        </w:rPr>
        <w:t>Nat Methods</w:t>
      </w:r>
      <w:r>
        <w:t>. 2022;19(6):679-682. doi:10.1038/s41592-022-01488-1</w:t>
      </w:r>
    </w:p>
    <w:p w14:paraId="14C846EC" w14:textId="77777777" w:rsidR="00B63F7B" w:rsidRDefault="007621C1">
      <w:pPr>
        <w:pStyle w:val="Bibliography1"/>
      </w:pPr>
      <w:r>
        <w:t>79.</w:t>
      </w:r>
      <w:r>
        <w:tab/>
        <w:t xml:space="preserve">Kim G, Lee S, Levy Karin E, et al. Easy and accurate protein structure prediction using ColabFold. </w:t>
      </w:r>
      <w:r>
        <w:rPr>
          <w:i/>
          <w:iCs/>
        </w:rPr>
        <w:t>Nat Protoc</w:t>
      </w:r>
      <w:r>
        <w:t>. 2025;20(3):620-642. doi:10.1038/s41596-024-01060-5</w:t>
      </w:r>
    </w:p>
    <w:p w14:paraId="6255782A" w14:textId="77777777" w:rsidR="00B63F7B" w:rsidRDefault="007621C1">
      <w:pPr>
        <w:pStyle w:val="Bibliography1"/>
      </w:pPr>
      <w:r>
        <w:t>80.</w:t>
      </w:r>
      <w:r>
        <w:tab/>
        <w:t xml:space="preserve">Mirdita M, von den Driesch L, Galiez C, Martin MJ, Söding J, Steinegger M. Uniclust databases of clustered and deeply annotated protein sequences and alignments. </w:t>
      </w:r>
      <w:r>
        <w:rPr>
          <w:i/>
          <w:iCs/>
        </w:rPr>
        <w:t>Nucleic Acids Res</w:t>
      </w:r>
      <w:r>
        <w:t>. 2017;45(D1):D170-D176. doi:10.1093/nar/gkw1081</w:t>
      </w:r>
    </w:p>
    <w:p w14:paraId="03EFD873" w14:textId="77777777" w:rsidR="00B63F7B" w:rsidRDefault="007621C1">
      <w:pPr>
        <w:pStyle w:val="Bibliography1"/>
      </w:pPr>
      <w:r>
        <w:t>81.</w:t>
      </w:r>
      <w:r>
        <w:tab/>
        <w:t xml:space="preserve">Jumper J, Evans R, Pritzel A, et al. Highly accurate protein structure prediction with AlphaFold. </w:t>
      </w:r>
      <w:r>
        <w:rPr>
          <w:i/>
          <w:iCs/>
        </w:rPr>
        <w:t>Nature</w:t>
      </w:r>
      <w:r>
        <w:t>. 2021;596(7873):583-589. doi:10.1038/s41586-021-03819-2</w:t>
      </w:r>
    </w:p>
    <w:p w14:paraId="234F6A8D" w14:textId="77777777" w:rsidR="00B63F7B" w:rsidRDefault="007621C1">
      <w:pPr>
        <w:pStyle w:val="Bibliography1"/>
      </w:pPr>
      <w:r>
        <w:t>82.</w:t>
      </w:r>
      <w:r>
        <w:tab/>
        <w:t xml:space="preserve">Tekpinar M, Neron B, Delarue M. Extracting Dynamical Correlations and Identifying Key Residues for Allosteric Communication in Proteins by </w:t>
      </w:r>
      <w:r>
        <w:rPr>
          <w:i/>
          <w:iCs/>
        </w:rPr>
        <w:t>correlationplus</w:t>
      </w:r>
      <w:r>
        <w:t xml:space="preserve">. </w:t>
      </w:r>
      <w:r>
        <w:rPr>
          <w:i/>
          <w:iCs/>
        </w:rPr>
        <w:t>J Chem Inf Model</w:t>
      </w:r>
      <w:r>
        <w:t>. 2021;61(10):4832-4838. doi:10.1021/acs.jcim.1c00742</w:t>
      </w:r>
    </w:p>
    <w:p w14:paraId="38B77498" w14:textId="77777777" w:rsidR="00B63F7B" w:rsidRDefault="007621C1">
      <w:r>
        <w:fldChar w:fldCharType="end"/>
      </w:r>
    </w:p>
    <w:sectPr w:rsidR="00B63F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7615B" w14:textId="77777777" w:rsidR="00AA40FC" w:rsidRDefault="00AA40FC" w:rsidP="00494180">
      <w:r>
        <w:separator/>
      </w:r>
    </w:p>
  </w:endnote>
  <w:endnote w:type="continuationSeparator" w:id="0">
    <w:p w14:paraId="4823ED19" w14:textId="77777777" w:rsidR="00AA40FC" w:rsidRDefault="00AA40FC" w:rsidP="00494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E0000AFF" w:usb1="00007843" w:usb2="00000001" w:usb3="00000000" w:csb0="400001BF" w:csb1="DFF7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92E41" w14:textId="77777777" w:rsidR="00AA40FC" w:rsidRDefault="00AA40FC" w:rsidP="00494180">
      <w:r>
        <w:separator/>
      </w:r>
    </w:p>
  </w:footnote>
  <w:footnote w:type="continuationSeparator" w:id="0">
    <w:p w14:paraId="25C3EC9D" w14:textId="77777777" w:rsidR="00AA40FC" w:rsidRDefault="00AA40FC" w:rsidP="004941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B07"/>
    <w:rsid w:val="BBECC329"/>
    <w:rsid w:val="00013D9B"/>
    <w:rsid w:val="000468B2"/>
    <w:rsid w:val="000479DA"/>
    <w:rsid w:val="00051477"/>
    <w:rsid w:val="00076E75"/>
    <w:rsid w:val="000801D4"/>
    <w:rsid w:val="0008394F"/>
    <w:rsid w:val="00084250"/>
    <w:rsid w:val="00087061"/>
    <w:rsid w:val="00093247"/>
    <w:rsid w:val="000A008D"/>
    <w:rsid w:val="000C4162"/>
    <w:rsid w:val="000E0E66"/>
    <w:rsid w:val="000E1BEE"/>
    <w:rsid w:val="000F0A43"/>
    <w:rsid w:val="0010230E"/>
    <w:rsid w:val="00105BC1"/>
    <w:rsid w:val="00115014"/>
    <w:rsid w:val="00117A52"/>
    <w:rsid w:val="0012118E"/>
    <w:rsid w:val="001218DF"/>
    <w:rsid w:val="00134477"/>
    <w:rsid w:val="0015495A"/>
    <w:rsid w:val="00155B07"/>
    <w:rsid w:val="0016000E"/>
    <w:rsid w:val="00161234"/>
    <w:rsid w:val="001707F6"/>
    <w:rsid w:val="00170855"/>
    <w:rsid w:val="00191CFA"/>
    <w:rsid w:val="00192562"/>
    <w:rsid w:val="001A707C"/>
    <w:rsid w:val="001A7F82"/>
    <w:rsid w:val="001B2508"/>
    <w:rsid w:val="001B471F"/>
    <w:rsid w:val="001C06AF"/>
    <w:rsid w:val="001C6509"/>
    <w:rsid w:val="001E6C49"/>
    <w:rsid w:val="001F5B2C"/>
    <w:rsid w:val="00206989"/>
    <w:rsid w:val="00212C97"/>
    <w:rsid w:val="0022094C"/>
    <w:rsid w:val="002210D4"/>
    <w:rsid w:val="002440AA"/>
    <w:rsid w:val="002834A9"/>
    <w:rsid w:val="00292DF9"/>
    <w:rsid w:val="0029760F"/>
    <w:rsid w:val="002C3E46"/>
    <w:rsid w:val="002D0708"/>
    <w:rsid w:val="002D0927"/>
    <w:rsid w:val="003003DE"/>
    <w:rsid w:val="00324BAC"/>
    <w:rsid w:val="0033074B"/>
    <w:rsid w:val="00335A00"/>
    <w:rsid w:val="0034230A"/>
    <w:rsid w:val="00342AC3"/>
    <w:rsid w:val="00351923"/>
    <w:rsid w:val="00362DC7"/>
    <w:rsid w:val="00365F7F"/>
    <w:rsid w:val="00375F2C"/>
    <w:rsid w:val="003822A7"/>
    <w:rsid w:val="003918F7"/>
    <w:rsid w:val="003A2092"/>
    <w:rsid w:val="003A2117"/>
    <w:rsid w:val="003B2CA8"/>
    <w:rsid w:val="003C2B71"/>
    <w:rsid w:val="003C42F0"/>
    <w:rsid w:val="003D5B94"/>
    <w:rsid w:val="003F093D"/>
    <w:rsid w:val="003F521B"/>
    <w:rsid w:val="00413B52"/>
    <w:rsid w:val="00425F90"/>
    <w:rsid w:val="00430DF0"/>
    <w:rsid w:val="0043537B"/>
    <w:rsid w:val="0044327B"/>
    <w:rsid w:val="00465E97"/>
    <w:rsid w:val="0047090B"/>
    <w:rsid w:val="00494180"/>
    <w:rsid w:val="00496FCD"/>
    <w:rsid w:val="004B4184"/>
    <w:rsid w:val="004C5AA3"/>
    <w:rsid w:val="004D57FE"/>
    <w:rsid w:val="004D623B"/>
    <w:rsid w:val="004E5019"/>
    <w:rsid w:val="0051209A"/>
    <w:rsid w:val="00525DF6"/>
    <w:rsid w:val="00525FD7"/>
    <w:rsid w:val="005300EB"/>
    <w:rsid w:val="00530AB5"/>
    <w:rsid w:val="00535B42"/>
    <w:rsid w:val="00561896"/>
    <w:rsid w:val="00564C33"/>
    <w:rsid w:val="0057766C"/>
    <w:rsid w:val="005869A9"/>
    <w:rsid w:val="00587037"/>
    <w:rsid w:val="00593608"/>
    <w:rsid w:val="00596453"/>
    <w:rsid w:val="005A13E5"/>
    <w:rsid w:val="005A20AE"/>
    <w:rsid w:val="005D4218"/>
    <w:rsid w:val="005D5A71"/>
    <w:rsid w:val="005E65BD"/>
    <w:rsid w:val="00603F4E"/>
    <w:rsid w:val="00632C70"/>
    <w:rsid w:val="00672089"/>
    <w:rsid w:val="0067762A"/>
    <w:rsid w:val="00684AE8"/>
    <w:rsid w:val="0069113A"/>
    <w:rsid w:val="006972C1"/>
    <w:rsid w:val="006A27C3"/>
    <w:rsid w:val="006A63CD"/>
    <w:rsid w:val="006A70CF"/>
    <w:rsid w:val="006C2370"/>
    <w:rsid w:val="006D20AE"/>
    <w:rsid w:val="006D39CB"/>
    <w:rsid w:val="006D6075"/>
    <w:rsid w:val="006E2BDD"/>
    <w:rsid w:val="006E7079"/>
    <w:rsid w:val="006F75E4"/>
    <w:rsid w:val="00701073"/>
    <w:rsid w:val="00711746"/>
    <w:rsid w:val="007123C7"/>
    <w:rsid w:val="00721C3D"/>
    <w:rsid w:val="007271CB"/>
    <w:rsid w:val="00760773"/>
    <w:rsid w:val="007621C1"/>
    <w:rsid w:val="007744EC"/>
    <w:rsid w:val="0078271E"/>
    <w:rsid w:val="007857A3"/>
    <w:rsid w:val="007B4BD8"/>
    <w:rsid w:val="007B6FDA"/>
    <w:rsid w:val="007C7D77"/>
    <w:rsid w:val="007D2CC1"/>
    <w:rsid w:val="007D6889"/>
    <w:rsid w:val="007E5B22"/>
    <w:rsid w:val="007F5A29"/>
    <w:rsid w:val="00814EE5"/>
    <w:rsid w:val="008216A6"/>
    <w:rsid w:val="00830718"/>
    <w:rsid w:val="00846EE5"/>
    <w:rsid w:val="0085015B"/>
    <w:rsid w:val="00864984"/>
    <w:rsid w:val="008B1410"/>
    <w:rsid w:val="008B6313"/>
    <w:rsid w:val="008C7AD3"/>
    <w:rsid w:val="00906859"/>
    <w:rsid w:val="00910ADA"/>
    <w:rsid w:val="00915B1D"/>
    <w:rsid w:val="00922EF8"/>
    <w:rsid w:val="009274EE"/>
    <w:rsid w:val="00962408"/>
    <w:rsid w:val="00962613"/>
    <w:rsid w:val="009710B6"/>
    <w:rsid w:val="00982394"/>
    <w:rsid w:val="00986CD4"/>
    <w:rsid w:val="0098725B"/>
    <w:rsid w:val="009C6101"/>
    <w:rsid w:val="009E0716"/>
    <w:rsid w:val="009E07E2"/>
    <w:rsid w:val="009F3427"/>
    <w:rsid w:val="00A00B96"/>
    <w:rsid w:val="00A10A56"/>
    <w:rsid w:val="00A170CA"/>
    <w:rsid w:val="00A30D76"/>
    <w:rsid w:val="00A61268"/>
    <w:rsid w:val="00A73553"/>
    <w:rsid w:val="00A82C85"/>
    <w:rsid w:val="00A94145"/>
    <w:rsid w:val="00AA0F5E"/>
    <w:rsid w:val="00AA1584"/>
    <w:rsid w:val="00AA2E53"/>
    <w:rsid w:val="00AA40FC"/>
    <w:rsid w:val="00AA4220"/>
    <w:rsid w:val="00AA6B96"/>
    <w:rsid w:val="00AC06E8"/>
    <w:rsid w:val="00AC728F"/>
    <w:rsid w:val="00AD45E3"/>
    <w:rsid w:val="00B0584F"/>
    <w:rsid w:val="00B05EA0"/>
    <w:rsid w:val="00B24B87"/>
    <w:rsid w:val="00B37CE0"/>
    <w:rsid w:val="00B46827"/>
    <w:rsid w:val="00B5150A"/>
    <w:rsid w:val="00B610D2"/>
    <w:rsid w:val="00B63F7B"/>
    <w:rsid w:val="00B64737"/>
    <w:rsid w:val="00B65DA7"/>
    <w:rsid w:val="00B73BFB"/>
    <w:rsid w:val="00BB1906"/>
    <w:rsid w:val="00BB21A7"/>
    <w:rsid w:val="00BC4588"/>
    <w:rsid w:val="00BD60FD"/>
    <w:rsid w:val="00BE5225"/>
    <w:rsid w:val="00BF2F8E"/>
    <w:rsid w:val="00C06AD4"/>
    <w:rsid w:val="00C31A5B"/>
    <w:rsid w:val="00C42B32"/>
    <w:rsid w:val="00C44576"/>
    <w:rsid w:val="00C53FBB"/>
    <w:rsid w:val="00C55549"/>
    <w:rsid w:val="00C61D97"/>
    <w:rsid w:val="00C6788A"/>
    <w:rsid w:val="00C843D4"/>
    <w:rsid w:val="00CA1F27"/>
    <w:rsid w:val="00CB6357"/>
    <w:rsid w:val="00CD59DD"/>
    <w:rsid w:val="00D0220C"/>
    <w:rsid w:val="00D40048"/>
    <w:rsid w:val="00D43ECF"/>
    <w:rsid w:val="00D57D10"/>
    <w:rsid w:val="00D81EB8"/>
    <w:rsid w:val="00D86C1B"/>
    <w:rsid w:val="00D87167"/>
    <w:rsid w:val="00D93213"/>
    <w:rsid w:val="00DB3804"/>
    <w:rsid w:val="00DB75B7"/>
    <w:rsid w:val="00DF1892"/>
    <w:rsid w:val="00DF3F3A"/>
    <w:rsid w:val="00E00D0D"/>
    <w:rsid w:val="00E047D2"/>
    <w:rsid w:val="00E06A63"/>
    <w:rsid w:val="00E1559D"/>
    <w:rsid w:val="00E15B76"/>
    <w:rsid w:val="00E36636"/>
    <w:rsid w:val="00E41456"/>
    <w:rsid w:val="00E566F8"/>
    <w:rsid w:val="00E65FCF"/>
    <w:rsid w:val="00EA5C80"/>
    <w:rsid w:val="00EB0991"/>
    <w:rsid w:val="00EC0E32"/>
    <w:rsid w:val="00EC4B1A"/>
    <w:rsid w:val="00ED1479"/>
    <w:rsid w:val="00EF518F"/>
    <w:rsid w:val="00F2074E"/>
    <w:rsid w:val="00F23225"/>
    <w:rsid w:val="00F37173"/>
    <w:rsid w:val="00F4055D"/>
    <w:rsid w:val="00F42338"/>
    <w:rsid w:val="00F461BA"/>
    <w:rsid w:val="00F576F1"/>
    <w:rsid w:val="00F62E1D"/>
    <w:rsid w:val="00F66FA0"/>
    <w:rsid w:val="00F6769F"/>
    <w:rsid w:val="00F70692"/>
    <w:rsid w:val="00F76083"/>
    <w:rsid w:val="00F7729B"/>
    <w:rsid w:val="00F8032C"/>
    <w:rsid w:val="00FA0AC2"/>
    <w:rsid w:val="00FA1CB6"/>
    <w:rsid w:val="00FC0C6F"/>
    <w:rsid w:val="00FC63E1"/>
    <w:rsid w:val="00FD72E9"/>
    <w:rsid w:val="00FE3158"/>
    <w:rsid w:val="00FE48D1"/>
    <w:rsid w:val="00FE6338"/>
    <w:rsid w:val="4F7C5FC8"/>
    <w:rsid w:val="6DD7E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D5C47B"/>
  <w14:defaultImageDpi w14:val="330"/>
  <w15:docId w15:val="{0C410176-C722-D049-B986-97DF1546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仿宋"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pPr>
      <w:spacing w:beforeAutospacing="1" w:afterAutospacing="1"/>
      <w:jc w:val="left"/>
    </w:pPr>
    <w:rPr>
      <w:rFonts w:cs="Times New Roman"/>
      <w:kern w:val="0"/>
      <w:sz w:val="24"/>
    </w:rPr>
  </w:style>
  <w:style w:type="paragraph" w:styleId="aa">
    <w:name w:val="annotation subject"/>
    <w:basedOn w:val="a3"/>
    <w:next w:val="a3"/>
    <w:link w:val="ab"/>
    <w:uiPriority w:val="99"/>
    <w:semiHidden/>
    <w:unhideWhenUsed/>
    <w:rPr>
      <w:b/>
      <w:bCs/>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rPr>
      <w:rFonts w:cs="Times New Roman"/>
      <w:color w:val="0563C1" w:themeColor="hyperlink"/>
      <w:u w:val="single"/>
    </w:rPr>
  </w:style>
  <w:style w:type="character" w:styleId="af">
    <w:name w:val="annotation reference"/>
    <w:basedOn w:val="a0"/>
    <w:uiPriority w:val="99"/>
    <w:semiHidden/>
    <w:unhideWhenUsed/>
    <w:rPr>
      <w:sz w:val="21"/>
      <w:szCs w:val="21"/>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20">
    <w:name w:val="标题 2 字符"/>
    <w:basedOn w:val="a0"/>
    <w:link w:val="2"/>
    <w:uiPriority w:val="9"/>
    <w:rPr>
      <w:rFonts w:ascii="Times New Roman" w:eastAsia="仿宋" w:hAnsi="Times New Roman" w:cstheme="majorBidi"/>
      <w:b/>
      <w:bCs/>
      <w:sz w:val="32"/>
      <w:szCs w:val="32"/>
    </w:rPr>
  </w:style>
  <w:style w:type="character" w:customStyle="1" w:styleId="a4">
    <w:name w:val="批注文字 字符"/>
    <w:basedOn w:val="a0"/>
    <w:link w:val="a3"/>
    <w:uiPriority w:val="99"/>
    <w:rPr>
      <w:rFonts w:ascii="Times New Roman" w:eastAsia="仿宋" w:hAnsi="Times New Roman"/>
    </w:rPr>
  </w:style>
  <w:style w:type="character" w:customStyle="1" w:styleId="30">
    <w:name w:val="标题 3 字符"/>
    <w:basedOn w:val="a0"/>
    <w:link w:val="3"/>
    <w:uiPriority w:val="9"/>
    <w:rPr>
      <w:rFonts w:ascii="Times New Roman" w:eastAsia="仿宋" w:hAnsi="Times New Roman"/>
      <w:b/>
      <w:bCs/>
      <w:sz w:val="32"/>
      <w:szCs w:val="32"/>
    </w:rPr>
  </w:style>
  <w:style w:type="character" w:customStyle="1" w:styleId="10">
    <w:name w:val="标题 1 字符"/>
    <w:basedOn w:val="a0"/>
    <w:link w:val="1"/>
    <w:uiPriority w:val="9"/>
    <w:rPr>
      <w:rFonts w:ascii="Times New Roman" w:eastAsia="仿宋" w:hAnsi="Times New Roman"/>
      <w:b/>
      <w:bCs/>
      <w:kern w:val="44"/>
      <w:sz w:val="44"/>
      <w:szCs w:val="44"/>
    </w:rPr>
  </w:style>
  <w:style w:type="character" w:customStyle="1" w:styleId="ab">
    <w:name w:val="批注主题 字符"/>
    <w:basedOn w:val="a4"/>
    <w:link w:val="aa"/>
    <w:uiPriority w:val="99"/>
    <w:semiHidden/>
    <w:rPr>
      <w:rFonts w:ascii="Times New Roman" w:eastAsia="仿宋" w:hAnsi="Times New Roman"/>
      <w:b/>
      <w:bCs/>
    </w:rPr>
  </w:style>
  <w:style w:type="paragraph" w:customStyle="1" w:styleId="Bibliography1">
    <w:name w:val="Bibliography1"/>
    <w:basedOn w:val="a"/>
    <w:next w:val="a"/>
    <w:uiPriority w:val="37"/>
    <w:unhideWhenUsed/>
    <w:pPr>
      <w:tabs>
        <w:tab w:val="left" w:pos="264"/>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264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github.com/TriYangZhang/AlloDesigner" TargetMode="Externa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31</Pages>
  <Words>29757</Words>
  <Characters>169621</Characters>
  <Application>Microsoft Office Word</Application>
  <DocSecurity>0</DocSecurity>
  <Lines>1413</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Yangyang Zhang (250010125)</dc:creator>
  <cp:lastModifiedBy>Yangyang Zhang (250010125)</cp:lastModifiedBy>
  <cp:revision>3</cp:revision>
  <dcterms:created xsi:type="dcterms:W3CDTF">2026-06-15T05:35:00Z</dcterms:created>
  <dcterms:modified xsi:type="dcterms:W3CDTF">2026-06-20T03:43:00Z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id="q6Xzvv4A"/&gt;&lt;style id="http://www.zotero.org/styles/american-medical-association" hasBibliography="1" bibliographyStyleHasBeenSet="1"/&gt;&lt;prefs&gt;&lt;pref name="fieldType" value="Field"/&gt;&lt;/prefs&gt;&lt;/data&gt;</vt:lpwstr>
  </property>
  <property fmtid="{D5CDD505-2E9C-101B-9397-08002B2CF9AE}" pid="3" name="KSOProductBuildVer">
    <vt:lpwstr>2052-6.11.0.8885</vt:lpwstr>
  </property>
  <property fmtid="{D5CDD505-2E9C-101B-9397-08002B2CF9AE}" pid="4" name="ICV">
    <vt:lpwstr>1B8EE6763E126868197AAA695D54D361_42</vt:lpwstr>
  </property>
</Properties>
</file>