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E816" w14:textId="77777777" w:rsidR="0095276A" w:rsidRDefault="0095276A" w:rsidP="008624E8">
      <w:pPr>
        <w:spacing w:line="360" w:lineRule="auto"/>
      </w:pPr>
    </w:p>
    <w:p w14:paraId="2C3E81F0" w14:textId="77777777" w:rsidR="00CE01A5" w:rsidRDefault="00CE01A5" w:rsidP="00CE01A5">
      <w:pPr>
        <w:adjustRightInd w:val="0"/>
        <w:spacing w:line="300" w:lineRule="auto"/>
        <w:rPr>
          <w:rFonts w:ascii="宋体" w:hAnsi="宋体"/>
          <w:sz w:val="44"/>
        </w:rPr>
      </w:pPr>
      <w:r>
        <w:rPr>
          <w:rFonts w:hint="eastAsia"/>
        </w:rPr>
        <w:t xml:space="preserve">  </w:t>
      </w:r>
      <w:r>
        <w:rPr>
          <w:noProof/>
        </w:rPr>
        <w:drawing>
          <wp:inline distT="0" distB="0" distL="0" distR="0" wp14:anchorId="34994906" wp14:editId="77934DDB">
            <wp:extent cx="962025" cy="962025"/>
            <wp:effectExtent l="0" t="0" r="0" b="0"/>
            <wp:docPr id="15" name="图片 15" descr="南农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南农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62025" cy="962025"/>
                    </a:xfrm>
                    <a:prstGeom prst="rect">
                      <a:avLst/>
                    </a:prstGeom>
                    <a:noFill/>
                    <a:ln>
                      <a:noFill/>
                    </a:ln>
                  </pic:spPr>
                </pic:pic>
              </a:graphicData>
            </a:graphic>
          </wp:inline>
        </w:drawing>
      </w:r>
    </w:p>
    <w:p w14:paraId="750BAB54" w14:textId="77777777" w:rsidR="00CE01A5" w:rsidRDefault="00CE01A5" w:rsidP="00CE01A5">
      <w:pPr>
        <w:adjustRightInd w:val="0"/>
        <w:spacing w:line="300" w:lineRule="auto"/>
        <w:jc w:val="center"/>
        <w:rPr>
          <w:rFonts w:ascii="黑体" w:eastAsia="黑体" w:hAnsi="黑体" w:cs="Courier New"/>
          <w:sz w:val="36"/>
          <w:szCs w:val="36"/>
        </w:rPr>
      </w:pPr>
      <w:r>
        <w:rPr>
          <w:rFonts w:ascii="宋体" w:hAnsi="宋体" w:hint="eastAsia"/>
          <w:noProof/>
          <w:sz w:val="44"/>
        </w:rPr>
        <w:drawing>
          <wp:inline distT="0" distB="0" distL="0" distR="0" wp14:anchorId="691ED33A" wp14:editId="5E9A3DE5">
            <wp:extent cx="2543175" cy="542925"/>
            <wp:effectExtent l="0" t="0" r="9525" b="9525"/>
            <wp:docPr id="16" name="图片 16" descr="南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南农大"/>
                    <pic:cNvPicPr>
                      <a:picLocks noChangeAspect="1" noChangeArrowheads="1"/>
                    </pic:cNvPicPr>
                  </pic:nvPicPr>
                  <pic:blipFill>
                    <a:blip r:embed="rId9" cstate="print">
                      <a:biLevel thresh="50000"/>
                      <a:grayscl/>
                      <a:lum bright="-6000" contrast="18000"/>
                      <a:extLst>
                        <a:ext uri="{28A0092B-C50C-407E-A947-70E740481C1C}">
                          <a14:useLocalDpi xmlns:a14="http://schemas.microsoft.com/office/drawing/2010/main" val="0"/>
                        </a:ext>
                      </a:extLst>
                    </a:blip>
                    <a:srcRect/>
                    <a:stretch>
                      <a:fillRect/>
                    </a:stretch>
                  </pic:blipFill>
                  <pic:spPr>
                    <a:xfrm>
                      <a:off x="0" y="0"/>
                      <a:ext cx="2543175" cy="542925"/>
                    </a:xfrm>
                    <a:prstGeom prst="rect">
                      <a:avLst/>
                    </a:prstGeom>
                    <a:noFill/>
                    <a:ln>
                      <a:noFill/>
                    </a:ln>
                  </pic:spPr>
                </pic:pic>
              </a:graphicData>
            </a:graphic>
          </wp:inline>
        </w:drawing>
      </w:r>
    </w:p>
    <w:p w14:paraId="5BB898DF" w14:textId="77777777" w:rsidR="00CE01A5" w:rsidRDefault="00CE01A5" w:rsidP="00CE01A5">
      <w:pPr>
        <w:spacing w:beforeLines="50" w:before="120"/>
        <w:jc w:val="center"/>
        <w:rPr>
          <w:rFonts w:ascii="华文中宋" w:eastAsia="华文中宋" w:hAnsi="华文中宋"/>
          <w:sz w:val="72"/>
        </w:rPr>
      </w:pPr>
      <w:r>
        <w:rPr>
          <w:rFonts w:ascii="华文中宋" w:eastAsia="华文中宋" w:hAnsi="华文中宋" w:hint="eastAsia"/>
          <w:sz w:val="72"/>
        </w:rPr>
        <w:t>本科生毕业论文（设计）</w:t>
      </w:r>
    </w:p>
    <w:p w14:paraId="53CD7774" w14:textId="77777777" w:rsidR="00CE01A5" w:rsidRDefault="00CE01A5" w:rsidP="00CE01A5">
      <w:pPr>
        <w:adjustRightInd w:val="0"/>
        <w:spacing w:line="300" w:lineRule="auto"/>
        <w:jc w:val="center"/>
        <w:rPr>
          <w:rFonts w:ascii="黑体" w:eastAsia="黑体" w:hAnsi="黑体" w:cs="Courier New"/>
          <w:sz w:val="32"/>
          <w:szCs w:val="32"/>
        </w:rPr>
      </w:pPr>
    </w:p>
    <w:p w14:paraId="0C6C922F" w14:textId="77777777" w:rsidR="00CE01A5" w:rsidRDefault="00CE01A5" w:rsidP="00CE01A5">
      <w:pPr>
        <w:adjustRightInd w:val="0"/>
        <w:spacing w:line="300" w:lineRule="auto"/>
        <w:jc w:val="center"/>
        <w:rPr>
          <w:rFonts w:ascii="黑体" w:eastAsia="黑体" w:hAnsi="黑体" w:cs="Courier New"/>
          <w:sz w:val="32"/>
          <w:szCs w:val="32"/>
        </w:rPr>
      </w:pPr>
    </w:p>
    <w:p w14:paraId="3C30BDE9" w14:textId="77777777" w:rsidR="00CE01A5" w:rsidRDefault="00CE01A5" w:rsidP="00CE01A5">
      <w:pPr>
        <w:adjustRightInd w:val="0"/>
        <w:spacing w:line="300" w:lineRule="auto"/>
        <w:jc w:val="center"/>
        <w:rPr>
          <w:rFonts w:ascii="黑体" w:eastAsia="黑体" w:hAnsi="黑体" w:cs="Courier New"/>
          <w:sz w:val="32"/>
          <w:szCs w:val="32"/>
        </w:rPr>
      </w:pPr>
    </w:p>
    <w:p w14:paraId="34F26D43" w14:textId="77777777" w:rsidR="00CE01A5" w:rsidRDefault="00CE01A5" w:rsidP="00CE01A5">
      <w:pPr>
        <w:adjustRightInd w:val="0"/>
        <w:spacing w:line="300" w:lineRule="auto"/>
        <w:jc w:val="center"/>
        <w:rPr>
          <w:rFonts w:ascii="黑体" w:eastAsia="黑体" w:hAnsi="黑体" w:cs="Courier New"/>
          <w:sz w:val="32"/>
          <w:szCs w:val="32"/>
        </w:rPr>
      </w:pPr>
    </w:p>
    <w:p w14:paraId="33B1D190" w14:textId="31406F09" w:rsidR="00CE01A5" w:rsidRDefault="00CE01A5" w:rsidP="00CE01A5">
      <w:pPr>
        <w:adjustRightInd w:val="0"/>
        <w:spacing w:line="700" w:lineRule="exact"/>
        <w:ind w:leftChars="532" w:left="2717" w:hangingChars="500" w:hanging="1600"/>
        <w:rPr>
          <w:rFonts w:ascii="黑体" w:eastAsia="黑体" w:hAnsi="黑体" w:cs="Courier New"/>
          <w:sz w:val="32"/>
          <w:szCs w:val="36"/>
          <w:u w:val="single"/>
        </w:rPr>
      </w:pPr>
      <w:r>
        <w:rPr>
          <w:rFonts w:ascii="黑体" w:eastAsia="黑体" w:hAnsi="黑体" w:cs="Courier New" w:hint="eastAsia"/>
          <w:sz w:val="32"/>
          <w:szCs w:val="36"/>
        </w:rPr>
        <w:t xml:space="preserve"> 题  </w:t>
      </w:r>
      <w:r>
        <w:rPr>
          <w:rFonts w:ascii="黑体" w:eastAsia="黑体" w:hAnsi="黑体" w:cs="Courier New"/>
          <w:sz w:val="32"/>
          <w:szCs w:val="36"/>
        </w:rPr>
        <w:t xml:space="preserve"> </w:t>
      </w:r>
      <w:r>
        <w:rPr>
          <w:rFonts w:ascii="黑体" w:eastAsia="黑体" w:hAnsi="黑体" w:cs="Courier New" w:hint="eastAsia"/>
          <w:sz w:val="32"/>
          <w:szCs w:val="36"/>
        </w:rPr>
        <w:t xml:space="preserve"> 目:</w:t>
      </w:r>
      <w:r w:rsidR="003E4FDE" w:rsidRPr="003E4FDE">
        <w:t xml:space="preserve"> </w:t>
      </w:r>
      <w:hyperlink r:id="rId10" w:history="1">
        <w:r w:rsidR="003E4FDE" w:rsidRPr="003E4FDE">
          <w:rPr>
            <w:rFonts w:ascii="黑体" w:eastAsia="黑体" w:hAnsi="黑体" w:cs="Courier New" w:hint="eastAsia"/>
            <w:sz w:val="32"/>
            <w:szCs w:val="36"/>
            <w:u w:val="single"/>
          </w:rPr>
          <w:t>政策不确定性与股票市场波动性的关系研究</w:t>
        </w:r>
      </w:hyperlink>
      <w:r>
        <w:rPr>
          <w:rFonts w:ascii="黑体" w:eastAsia="黑体" w:hAnsi="黑体" w:cs="Courier New" w:hint="eastAsia"/>
          <w:sz w:val="32"/>
          <w:szCs w:val="36"/>
          <w:u w:val="single"/>
        </w:rPr>
        <w:t xml:space="preserve"> </w:t>
      </w:r>
    </w:p>
    <w:p w14:paraId="47C14E6A" w14:textId="1789C68A" w:rsidR="00CE01A5" w:rsidRDefault="00CE01A5" w:rsidP="00CE01A5">
      <w:pPr>
        <w:adjustRightInd w:val="0"/>
        <w:spacing w:line="700" w:lineRule="exact"/>
        <w:ind w:firstLineChars="400" w:firstLine="1280"/>
        <w:rPr>
          <w:rFonts w:ascii="黑体" w:eastAsia="黑体" w:hAnsi="黑体" w:cs="Courier New"/>
          <w:sz w:val="32"/>
          <w:szCs w:val="36"/>
        </w:rPr>
      </w:pPr>
      <w:r>
        <w:rPr>
          <w:rFonts w:ascii="黑体" w:eastAsia="黑体" w:hAnsi="黑体" w:cs="Courier New" w:hint="eastAsia"/>
          <w:sz w:val="32"/>
          <w:szCs w:val="36"/>
        </w:rPr>
        <w:t xml:space="preserve">姓 </w:t>
      </w:r>
      <w:r>
        <w:rPr>
          <w:rFonts w:ascii="黑体" w:eastAsia="黑体" w:hAnsi="黑体" w:cs="Courier New"/>
          <w:sz w:val="32"/>
          <w:szCs w:val="36"/>
        </w:rPr>
        <w:t xml:space="preserve"> </w:t>
      </w:r>
      <w:r>
        <w:rPr>
          <w:rFonts w:ascii="黑体" w:eastAsia="黑体" w:hAnsi="黑体" w:cs="Courier New" w:hint="eastAsia"/>
          <w:sz w:val="32"/>
          <w:szCs w:val="36"/>
        </w:rPr>
        <w:t xml:space="preserve">  名:</w:t>
      </w:r>
      <w:r w:rsidR="003E4FDE">
        <w:rPr>
          <w:rFonts w:ascii="黑体" w:eastAsia="黑体" w:hAnsi="黑体" w:cs="Courier New"/>
          <w:sz w:val="32"/>
          <w:szCs w:val="36"/>
        </w:rPr>
        <w:t xml:space="preserve"> </w:t>
      </w:r>
      <w:r>
        <w:rPr>
          <w:rFonts w:ascii="黑体" w:eastAsia="黑体" w:hAnsi="黑体" w:cs="Courier New" w:hint="eastAsia"/>
          <w:sz w:val="32"/>
          <w:szCs w:val="36"/>
          <w:u w:val="single"/>
        </w:rPr>
        <w:t xml:space="preserve">严若琪                                   </w:t>
      </w:r>
    </w:p>
    <w:p w14:paraId="5DEA0ED3" w14:textId="0D7ABC85" w:rsidR="00CE01A5" w:rsidRDefault="00CE01A5" w:rsidP="00CE01A5">
      <w:pPr>
        <w:adjustRightInd w:val="0"/>
        <w:spacing w:line="700" w:lineRule="exact"/>
        <w:ind w:firstLineChars="400" w:firstLine="1280"/>
        <w:rPr>
          <w:rFonts w:ascii="黑体" w:eastAsia="黑体" w:hAnsi="黑体" w:cs="Courier New"/>
          <w:sz w:val="32"/>
          <w:szCs w:val="36"/>
          <w:u w:val="single"/>
        </w:rPr>
      </w:pPr>
      <w:r>
        <w:rPr>
          <w:rFonts w:ascii="黑体" w:eastAsia="黑体" w:hAnsi="黑体" w:cs="Courier New" w:hint="eastAsia"/>
          <w:sz w:val="32"/>
          <w:szCs w:val="36"/>
        </w:rPr>
        <w:t xml:space="preserve">学 </w:t>
      </w:r>
      <w:r>
        <w:rPr>
          <w:rFonts w:ascii="黑体" w:eastAsia="黑体" w:hAnsi="黑体" w:cs="Courier New"/>
          <w:sz w:val="32"/>
          <w:szCs w:val="36"/>
        </w:rPr>
        <w:t xml:space="preserve"> </w:t>
      </w:r>
      <w:r>
        <w:rPr>
          <w:rFonts w:ascii="黑体" w:eastAsia="黑体" w:hAnsi="黑体" w:cs="Courier New" w:hint="eastAsia"/>
          <w:sz w:val="32"/>
          <w:szCs w:val="36"/>
        </w:rPr>
        <w:t xml:space="preserve">  号:</w:t>
      </w:r>
      <w:r>
        <w:rPr>
          <w:rFonts w:ascii="黑体" w:eastAsia="黑体" w:hAnsi="黑体" w:cs="Courier New" w:hint="eastAsia"/>
          <w:sz w:val="32"/>
          <w:szCs w:val="36"/>
          <w:u w:val="single"/>
        </w:rPr>
        <w:t xml:space="preserve"> 2711911</w:t>
      </w:r>
      <w:r>
        <w:rPr>
          <w:rFonts w:ascii="黑体" w:eastAsia="黑体" w:hAnsi="黑体" w:cs="Courier New"/>
          <w:sz w:val="32"/>
          <w:szCs w:val="36"/>
          <w:u w:val="single"/>
        </w:rPr>
        <w:t>3</w:t>
      </w:r>
      <w:r>
        <w:rPr>
          <w:rFonts w:ascii="黑体" w:eastAsia="黑体" w:hAnsi="黑体" w:cs="Courier New" w:hint="eastAsia"/>
          <w:sz w:val="32"/>
          <w:szCs w:val="36"/>
          <w:u w:val="single"/>
        </w:rPr>
        <w:t xml:space="preserve">                                   </w:t>
      </w:r>
    </w:p>
    <w:p w14:paraId="77479814" w14:textId="77777777" w:rsidR="00CE01A5" w:rsidRDefault="00CE01A5" w:rsidP="00CE01A5">
      <w:pPr>
        <w:adjustRightInd w:val="0"/>
        <w:spacing w:line="700" w:lineRule="exact"/>
        <w:ind w:firstLineChars="400" w:firstLine="1280"/>
        <w:rPr>
          <w:rFonts w:ascii="黑体" w:eastAsia="黑体" w:hAnsi="黑体" w:cs="Courier New"/>
          <w:sz w:val="32"/>
          <w:szCs w:val="36"/>
        </w:rPr>
      </w:pPr>
      <w:r>
        <w:rPr>
          <w:rFonts w:ascii="黑体" w:eastAsia="黑体" w:hAnsi="黑体" w:cs="Courier New" w:hint="eastAsia"/>
          <w:sz w:val="32"/>
          <w:szCs w:val="36"/>
        </w:rPr>
        <w:t xml:space="preserve">学  </w:t>
      </w:r>
      <w:r>
        <w:rPr>
          <w:rFonts w:ascii="黑体" w:eastAsia="黑体" w:hAnsi="黑体" w:cs="Courier New"/>
          <w:sz w:val="32"/>
          <w:szCs w:val="36"/>
        </w:rPr>
        <w:t xml:space="preserve"> </w:t>
      </w:r>
      <w:r>
        <w:rPr>
          <w:rFonts w:ascii="黑体" w:eastAsia="黑体" w:hAnsi="黑体" w:cs="Courier New" w:hint="eastAsia"/>
          <w:sz w:val="32"/>
          <w:szCs w:val="36"/>
        </w:rPr>
        <w:t xml:space="preserve"> 院:</w:t>
      </w:r>
      <w:r>
        <w:rPr>
          <w:rFonts w:ascii="黑体" w:eastAsia="黑体" w:hAnsi="黑体" w:cs="Courier New" w:hint="eastAsia"/>
          <w:sz w:val="32"/>
          <w:szCs w:val="36"/>
          <w:u w:val="single"/>
        </w:rPr>
        <w:t xml:space="preserve"> 金融学院                                   </w:t>
      </w:r>
    </w:p>
    <w:p w14:paraId="10A238E5" w14:textId="77777777" w:rsidR="00CE01A5" w:rsidRDefault="00CE01A5" w:rsidP="00CE01A5">
      <w:pPr>
        <w:adjustRightInd w:val="0"/>
        <w:spacing w:line="700" w:lineRule="exact"/>
        <w:ind w:firstLineChars="400" w:firstLine="1280"/>
        <w:rPr>
          <w:rFonts w:ascii="黑体" w:eastAsia="黑体" w:hAnsi="黑体" w:cs="Courier New"/>
          <w:sz w:val="32"/>
          <w:szCs w:val="36"/>
        </w:rPr>
      </w:pPr>
      <w:r>
        <w:rPr>
          <w:rFonts w:ascii="黑体" w:eastAsia="黑体" w:hAnsi="黑体" w:cs="Courier New" w:hint="eastAsia"/>
          <w:sz w:val="32"/>
          <w:szCs w:val="36"/>
        </w:rPr>
        <w:t xml:space="preserve">专 </w:t>
      </w:r>
      <w:r>
        <w:rPr>
          <w:rFonts w:ascii="黑体" w:eastAsia="黑体" w:hAnsi="黑体" w:cs="Courier New"/>
          <w:sz w:val="32"/>
          <w:szCs w:val="36"/>
        </w:rPr>
        <w:t xml:space="preserve"> </w:t>
      </w:r>
      <w:r>
        <w:rPr>
          <w:rFonts w:ascii="黑体" w:eastAsia="黑体" w:hAnsi="黑体" w:cs="Courier New" w:hint="eastAsia"/>
          <w:sz w:val="32"/>
          <w:szCs w:val="36"/>
        </w:rPr>
        <w:t xml:space="preserve">  业:</w:t>
      </w:r>
      <w:r>
        <w:rPr>
          <w:rFonts w:ascii="黑体" w:eastAsia="黑体" w:hAnsi="黑体" w:cs="Courier New" w:hint="eastAsia"/>
          <w:sz w:val="32"/>
          <w:szCs w:val="36"/>
          <w:u w:val="single"/>
        </w:rPr>
        <w:t xml:space="preserve"> 投资191                                   </w:t>
      </w:r>
    </w:p>
    <w:p w14:paraId="3A6D65F5" w14:textId="64E9C4E2" w:rsidR="00CE01A5" w:rsidRDefault="00CE01A5" w:rsidP="00CE01A5">
      <w:pPr>
        <w:adjustRightInd w:val="0"/>
        <w:spacing w:line="700" w:lineRule="exact"/>
        <w:ind w:firstLineChars="400" w:firstLine="1280"/>
        <w:rPr>
          <w:rFonts w:ascii="黑体" w:eastAsia="黑体" w:hAnsi="黑体" w:cs="Courier New"/>
          <w:sz w:val="32"/>
          <w:szCs w:val="36"/>
        </w:rPr>
      </w:pPr>
      <w:r>
        <w:rPr>
          <w:rFonts w:ascii="黑体" w:eastAsia="黑体" w:hAnsi="黑体" w:cs="Courier New" w:hint="eastAsia"/>
          <w:sz w:val="32"/>
          <w:szCs w:val="36"/>
        </w:rPr>
        <w:t>指导教师:</w:t>
      </w:r>
      <w:r>
        <w:rPr>
          <w:rFonts w:ascii="黑体" w:eastAsia="黑体" w:hAnsi="黑体" w:cs="Courier New" w:hint="eastAsia"/>
          <w:sz w:val="32"/>
          <w:szCs w:val="36"/>
          <w:u w:val="single"/>
        </w:rPr>
        <w:t xml:space="preserve"> 潘军昌   </w:t>
      </w:r>
      <w:r w:rsidR="005B5874">
        <w:rPr>
          <w:rFonts w:ascii="黑体" w:eastAsia="黑体" w:hAnsi="黑体" w:cs="Courier New"/>
          <w:sz w:val="32"/>
          <w:szCs w:val="36"/>
          <w:u w:val="single"/>
        </w:rPr>
        <w:t xml:space="preserve">              </w:t>
      </w:r>
      <w:r>
        <w:rPr>
          <w:rFonts w:ascii="黑体" w:eastAsia="黑体" w:hAnsi="黑体" w:cs="Courier New" w:hint="eastAsia"/>
          <w:sz w:val="32"/>
          <w:szCs w:val="36"/>
        </w:rPr>
        <w:t>职称</w:t>
      </w:r>
      <w:r w:rsidR="009C4C2A">
        <w:rPr>
          <w:rFonts w:ascii="黑体" w:eastAsia="黑体" w:hAnsi="黑体" w:cs="Courier New" w:hint="eastAsia"/>
          <w:sz w:val="32"/>
          <w:szCs w:val="36"/>
        </w:rPr>
        <w:t>:</w:t>
      </w:r>
      <w:r>
        <w:rPr>
          <w:rFonts w:ascii="黑体" w:eastAsia="黑体" w:hAnsi="黑体" w:cs="Courier New" w:hint="eastAsia"/>
          <w:sz w:val="32"/>
          <w:szCs w:val="36"/>
          <w:u w:val="single"/>
        </w:rPr>
        <w:t xml:space="preserve"> 副教授</w:t>
      </w:r>
      <w:r w:rsidR="00B4185B">
        <w:rPr>
          <w:rFonts w:ascii="黑体" w:eastAsia="黑体" w:hAnsi="黑体" w:cs="Courier New" w:hint="eastAsia"/>
          <w:sz w:val="32"/>
          <w:szCs w:val="36"/>
          <w:u w:val="single"/>
        </w:rPr>
        <w:t xml:space="preserve"> </w:t>
      </w:r>
      <w:r w:rsidR="00B4185B">
        <w:rPr>
          <w:rFonts w:ascii="黑体" w:eastAsia="黑体" w:hAnsi="黑体" w:cs="Courier New"/>
          <w:sz w:val="32"/>
          <w:szCs w:val="36"/>
          <w:u w:val="single"/>
        </w:rPr>
        <w:t xml:space="preserve"> </w:t>
      </w:r>
      <w:r>
        <w:rPr>
          <w:rFonts w:ascii="黑体" w:eastAsia="黑体" w:hAnsi="黑体" w:cs="Courier New" w:hint="eastAsia"/>
          <w:sz w:val="32"/>
          <w:szCs w:val="36"/>
          <w:u w:val="single"/>
        </w:rPr>
        <w:t xml:space="preserve">        </w:t>
      </w:r>
      <w:r>
        <w:rPr>
          <w:rFonts w:ascii="黑体" w:eastAsia="黑体" w:hAnsi="黑体" w:cs="Courier New"/>
          <w:sz w:val="32"/>
          <w:szCs w:val="36"/>
          <w:u w:val="single"/>
        </w:rPr>
        <w:t xml:space="preserve"> </w:t>
      </w:r>
      <w:r>
        <w:rPr>
          <w:rFonts w:ascii="黑体" w:eastAsia="黑体" w:hAnsi="黑体" w:cs="Courier New" w:hint="eastAsia"/>
          <w:sz w:val="32"/>
          <w:szCs w:val="36"/>
          <w:u w:val="single"/>
        </w:rPr>
        <w:t xml:space="preserve">    </w:t>
      </w:r>
    </w:p>
    <w:p w14:paraId="11ED4DC2" w14:textId="77777777" w:rsidR="00CE01A5" w:rsidRDefault="00CE01A5" w:rsidP="00CE01A5">
      <w:pPr>
        <w:adjustRightInd w:val="0"/>
        <w:spacing w:line="300" w:lineRule="auto"/>
        <w:jc w:val="center"/>
        <w:rPr>
          <w:rFonts w:ascii="黑体" w:eastAsia="黑体" w:hAnsi="黑体" w:cs="Courier New"/>
          <w:sz w:val="32"/>
          <w:szCs w:val="32"/>
        </w:rPr>
      </w:pPr>
    </w:p>
    <w:p w14:paraId="57CCD894" w14:textId="77777777" w:rsidR="00CE01A5" w:rsidRDefault="00CE01A5" w:rsidP="00CE01A5">
      <w:pPr>
        <w:adjustRightInd w:val="0"/>
        <w:spacing w:line="300" w:lineRule="auto"/>
        <w:jc w:val="center"/>
        <w:rPr>
          <w:rFonts w:ascii="黑体" w:eastAsia="黑体" w:hAnsi="黑体" w:cs="Courier New"/>
          <w:sz w:val="32"/>
          <w:szCs w:val="32"/>
        </w:rPr>
      </w:pPr>
    </w:p>
    <w:p w14:paraId="689D7C15" w14:textId="77777777" w:rsidR="00CE01A5" w:rsidRDefault="00CE01A5" w:rsidP="00CE01A5">
      <w:pPr>
        <w:adjustRightInd w:val="0"/>
        <w:spacing w:line="300" w:lineRule="auto"/>
        <w:jc w:val="center"/>
        <w:rPr>
          <w:rFonts w:ascii="黑体" w:eastAsia="黑体" w:hAnsi="黑体" w:cs="Courier New"/>
          <w:sz w:val="32"/>
          <w:szCs w:val="32"/>
        </w:rPr>
      </w:pPr>
    </w:p>
    <w:p w14:paraId="7CAE150E" w14:textId="77777777" w:rsidR="00CE01A5" w:rsidRDefault="00CE01A5" w:rsidP="00CE01A5">
      <w:pPr>
        <w:adjustRightInd w:val="0"/>
        <w:spacing w:line="300" w:lineRule="auto"/>
        <w:jc w:val="center"/>
        <w:rPr>
          <w:rFonts w:ascii="黑体" w:eastAsia="黑体" w:hAnsi="黑体" w:cs="Courier New"/>
          <w:sz w:val="32"/>
          <w:szCs w:val="32"/>
        </w:rPr>
      </w:pPr>
    </w:p>
    <w:p w14:paraId="100B215A" w14:textId="77777777" w:rsidR="003D4040" w:rsidRDefault="003D4040" w:rsidP="00CE01A5">
      <w:pPr>
        <w:adjustRightInd w:val="0"/>
        <w:spacing w:line="300" w:lineRule="auto"/>
        <w:jc w:val="center"/>
        <w:rPr>
          <w:rFonts w:ascii="黑体" w:eastAsia="黑体" w:hAnsi="黑体" w:cs="Courier New"/>
          <w:sz w:val="32"/>
          <w:szCs w:val="32"/>
        </w:rPr>
      </w:pPr>
    </w:p>
    <w:p w14:paraId="3D6ABBB6" w14:textId="046767F9" w:rsidR="00CE01A5" w:rsidRDefault="00CE01A5" w:rsidP="00CE01A5">
      <w:pPr>
        <w:adjustRightInd w:val="0"/>
        <w:spacing w:line="300" w:lineRule="auto"/>
        <w:jc w:val="center"/>
        <w:rPr>
          <w:rFonts w:ascii="宋体" w:hAnsi="宋体" w:cs="Courier New"/>
          <w:sz w:val="32"/>
          <w:szCs w:val="36"/>
        </w:rPr>
      </w:pPr>
      <w:r>
        <w:rPr>
          <w:rFonts w:ascii="宋体" w:hAnsi="宋体" w:cs="Courier New" w:hint="eastAsia"/>
          <w:sz w:val="32"/>
          <w:szCs w:val="36"/>
        </w:rPr>
        <w:t>2023 年 5</w:t>
      </w:r>
      <w:r>
        <w:rPr>
          <w:rFonts w:ascii="宋体" w:hAnsi="宋体" w:cs="Courier New"/>
          <w:sz w:val="32"/>
          <w:szCs w:val="36"/>
        </w:rPr>
        <w:t xml:space="preserve"> </w:t>
      </w:r>
      <w:r>
        <w:rPr>
          <w:rFonts w:ascii="宋体" w:hAnsi="宋体" w:cs="Courier New" w:hint="eastAsia"/>
          <w:sz w:val="32"/>
          <w:szCs w:val="36"/>
        </w:rPr>
        <w:t>月 1</w:t>
      </w:r>
      <w:r w:rsidR="003D4040">
        <w:rPr>
          <w:rFonts w:ascii="宋体" w:hAnsi="宋体" w:cs="Courier New"/>
          <w:sz w:val="32"/>
          <w:szCs w:val="36"/>
        </w:rPr>
        <w:t xml:space="preserve"> </w:t>
      </w:r>
      <w:r>
        <w:rPr>
          <w:rFonts w:ascii="宋体" w:hAnsi="宋体" w:cs="Courier New" w:hint="eastAsia"/>
          <w:sz w:val="32"/>
          <w:szCs w:val="36"/>
        </w:rPr>
        <w:t>日</w:t>
      </w:r>
    </w:p>
    <w:p w14:paraId="42B0183F" w14:textId="77777777" w:rsidR="00CE01A5" w:rsidRDefault="00CE01A5" w:rsidP="00CE01A5">
      <w:pPr>
        <w:adjustRightInd w:val="0"/>
        <w:spacing w:line="300" w:lineRule="auto"/>
        <w:jc w:val="center"/>
        <w:rPr>
          <w:rFonts w:ascii="黑体" w:eastAsia="黑体" w:hAnsi="黑体" w:cs="Courier New"/>
          <w:sz w:val="36"/>
          <w:szCs w:val="36"/>
        </w:rPr>
      </w:pPr>
    </w:p>
    <w:p w14:paraId="090176AF" w14:textId="77777777" w:rsidR="00CE01A5" w:rsidRDefault="00CE01A5" w:rsidP="00CE01A5">
      <w:pPr>
        <w:pStyle w:val="BodyTextIndent2"/>
        <w:spacing w:beforeLines="50" w:before="120" w:afterLines="50" w:after="120" w:line="240" w:lineRule="auto"/>
        <w:ind w:firstLine="0"/>
        <w:rPr>
          <w:color w:val="0000FF"/>
        </w:rPr>
        <w:sectPr w:rsidR="00CE01A5">
          <w:headerReference w:type="default" r:id="rId11"/>
          <w:footerReference w:type="even" r:id="rId12"/>
          <w:footerReference w:type="default" r:id="rId13"/>
          <w:pgSz w:w="11906" w:h="16838"/>
          <w:pgMar w:top="1134" w:right="1134" w:bottom="1134" w:left="1134" w:header="284" w:footer="284" w:gutter="284"/>
          <w:pgNumType w:fmt="upperRoman" w:start="1"/>
          <w:cols w:space="425"/>
          <w:docGrid w:linePitch="312"/>
        </w:sectPr>
      </w:pPr>
    </w:p>
    <w:p w14:paraId="082B0E5D" w14:textId="77777777" w:rsidR="00CB74AD" w:rsidRDefault="00CB74AD" w:rsidP="00CE01A5">
      <w:pPr>
        <w:adjustRightInd w:val="0"/>
        <w:spacing w:line="300" w:lineRule="auto"/>
        <w:jc w:val="center"/>
        <w:rPr>
          <w:rFonts w:ascii="黑体" w:eastAsia="黑体" w:hAnsi="黑体" w:cs="Courier New"/>
          <w:sz w:val="36"/>
          <w:szCs w:val="36"/>
        </w:rPr>
      </w:pPr>
    </w:p>
    <w:p w14:paraId="6F204957" w14:textId="63888A35" w:rsidR="00CE01A5" w:rsidRDefault="00CE01A5" w:rsidP="00CE01A5">
      <w:pPr>
        <w:adjustRightInd w:val="0"/>
        <w:spacing w:line="300" w:lineRule="auto"/>
        <w:jc w:val="center"/>
        <w:rPr>
          <w:rFonts w:ascii="黑体" w:eastAsia="黑体" w:hAnsi="黑体" w:cs="Courier New"/>
          <w:sz w:val="36"/>
          <w:szCs w:val="36"/>
        </w:rPr>
      </w:pPr>
      <w:r>
        <w:rPr>
          <w:rFonts w:ascii="黑体" w:eastAsia="黑体" w:hAnsi="黑体" w:cs="Courier New" w:hint="eastAsia"/>
          <w:sz w:val="36"/>
          <w:szCs w:val="36"/>
        </w:rPr>
        <w:t>南京农业大学本科生毕业论文（设计）原创性声明</w:t>
      </w:r>
    </w:p>
    <w:p w14:paraId="44AA8C1C" w14:textId="77777777" w:rsidR="00CE01A5" w:rsidRDefault="00CE01A5" w:rsidP="00CE01A5">
      <w:pPr>
        <w:adjustRightInd w:val="0"/>
        <w:spacing w:line="300" w:lineRule="auto"/>
        <w:ind w:firstLineChars="200" w:firstLine="560"/>
        <w:jc w:val="center"/>
        <w:rPr>
          <w:rFonts w:ascii="黑体" w:eastAsia="黑体" w:hAnsi="黑体" w:cs="Courier New"/>
          <w:sz w:val="28"/>
          <w:szCs w:val="28"/>
        </w:rPr>
      </w:pPr>
    </w:p>
    <w:p w14:paraId="5DCDF19A" w14:textId="77777777" w:rsidR="00CE01A5" w:rsidRDefault="00CE01A5" w:rsidP="00CE01A5">
      <w:pPr>
        <w:adjustRightInd w:val="0"/>
        <w:spacing w:line="300" w:lineRule="auto"/>
        <w:ind w:firstLineChars="200" w:firstLine="420"/>
        <w:rPr>
          <w:rFonts w:ascii="宋体" w:hAnsi="宋体" w:cs="Courier New"/>
        </w:rPr>
      </w:pPr>
      <w:r>
        <w:rPr>
          <w:rFonts w:ascii="宋体" w:hAnsi="宋体" w:cs="Courier New" w:hint="eastAsia"/>
        </w:rPr>
        <w:t>本人郑重声明：所呈交的毕业论文（设计），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40BA7C35" w14:textId="77777777" w:rsidR="00CE01A5" w:rsidRDefault="00CE01A5" w:rsidP="00CE01A5">
      <w:pPr>
        <w:adjustRightInd w:val="0"/>
        <w:spacing w:line="300" w:lineRule="auto"/>
        <w:ind w:firstLineChars="200" w:firstLine="420"/>
        <w:rPr>
          <w:rFonts w:ascii="宋体" w:hAnsi="宋体" w:cs="Courier New"/>
        </w:rPr>
      </w:pPr>
    </w:p>
    <w:p w14:paraId="4D3BE03C" w14:textId="77777777" w:rsidR="00CE01A5" w:rsidRDefault="00CE01A5" w:rsidP="00CE01A5">
      <w:pPr>
        <w:adjustRightInd w:val="0"/>
        <w:spacing w:line="300" w:lineRule="auto"/>
        <w:ind w:firstLineChars="200" w:firstLine="420"/>
        <w:rPr>
          <w:rFonts w:ascii="宋体" w:hAnsi="宋体" w:cs="Courier New"/>
        </w:rPr>
      </w:pPr>
    </w:p>
    <w:p w14:paraId="0D16359E" w14:textId="77777777" w:rsidR="00CE01A5" w:rsidRDefault="00CE01A5" w:rsidP="00CE01A5">
      <w:pPr>
        <w:adjustRightInd w:val="0"/>
        <w:spacing w:line="300" w:lineRule="auto"/>
        <w:ind w:firstLineChars="400" w:firstLine="840"/>
        <w:rPr>
          <w:rFonts w:ascii="宋体" w:hAnsi="宋体" w:cs="Courier New"/>
        </w:rPr>
      </w:pPr>
      <w:r>
        <w:rPr>
          <w:rFonts w:ascii="宋体" w:hAnsi="宋体" w:cs="Courier New" w:hint="eastAsia"/>
        </w:rPr>
        <w:t>论文作者签名：                   日期：       年     月     日</w:t>
      </w:r>
    </w:p>
    <w:p w14:paraId="28139D61" w14:textId="77777777" w:rsidR="00CE01A5" w:rsidRDefault="00CE01A5" w:rsidP="00CE01A5">
      <w:pPr>
        <w:adjustRightInd w:val="0"/>
        <w:spacing w:line="300" w:lineRule="auto"/>
        <w:ind w:firstLineChars="400" w:firstLine="840"/>
        <w:rPr>
          <w:rFonts w:ascii="宋体" w:hAnsi="宋体" w:cs="Courier New"/>
          <w:szCs w:val="21"/>
        </w:rPr>
      </w:pPr>
    </w:p>
    <w:p w14:paraId="138967CF" w14:textId="77777777" w:rsidR="00CE01A5" w:rsidRDefault="00CE01A5" w:rsidP="00CE01A5">
      <w:pPr>
        <w:adjustRightInd w:val="0"/>
        <w:spacing w:line="300" w:lineRule="auto"/>
        <w:ind w:firstLineChars="400" w:firstLine="840"/>
        <w:rPr>
          <w:rFonts w:ascii="宋体" w:hAnsi="宋体" w:cs="Courier New"/>
          <w:szCs w:val="21"/>
        </w:rPr>
      </w:pPr>
    </w:p>
    <w:p w14:paraId="19603450" w14:textId="77777777" w:rsidR="00CE01A5" w:rsidRDefault="00CE01A5" w:rsidP="00CE01A5">
      <w:pPr>
        <w:adjustRightInd w:val="0"/>
        <w:spacing w:line="300" w:lineRule="auto"/>
        <w:ind w:firstLineChars="400" w:firstLine="840"/>
        <w:rPr>
          <w:rFonts w:ascii="宋体" w:hAnsi="宋体" w:cs="Courier New"/>
          <w:szCs w:val="21"/>
        </w:rPr>
      </w:pPr>
    </w:p>
    <w:p w14:paraId="1AC398D0" w14:textId="77777777" w:rsidR="00CE01A5" w:rsidRDefault="00CE01A5" w:rsidP="00CE01A5">
      <w:pPr>
        <w:adjustRightInd w:val="0"/>
        <w:spacing w:line="300" w:lineRule="auto"/>
        <w:ind w:firstLineChars="200" w:firstLine="420"/>
        <w:rPr>
          <w:rFonts w:ascii="宋体" w:hAnsi="宋体" w:cs="Courier New"/>
          <w:szCs w:val="21"/>
        </w:rPr>
      </w:pPr>
    </w:p>
    <w:p w14:paraId="5CCA1C6F" w14:textId="77777777" w:rsidR="00CE01A5" w:rsidRDefault="00CE01A5" w:rsidP="00CE01A5">
      <w:pPr>
        <w:adjustRightInd w:val="0"/>
        <w:spacing w:line="300" w:lineRule="auto"/>
        <w:ind w:firstLineChars="200" w:firstLine="420"/>
        <w:rPr>
          <w:rFonts w:ascii="宋体" w:hAnsi="宋体" w:cs="Courier New"/>
          <w:szCs w:val="21"/>
        </w:rPr>
      </w:pPr>
    </w:p>
    <w:p w14:paraId="50B1A2FE" w14:textId="77777777" w:rsidR="00CE01A5" w:rsidRDefault="00CE01A5" w:rsidP="00CE01A5">
      <w:pPr>
        <w:adjustRightInd w:val="0"/>
        <w:spacing w:line="300" w:lineRule="auto"/>
        <w:ind w:firstLineChars="200" w:firstLine="420"/>
        <w:rPr>
          <w:rFonts w:ascii="宋体" w:hAnsi="宋体" w:cs="Courier New"/>
          <w:szCs w:val="21"/>
        </w:rPr>
      </w:pPr>
    </w:p>
    <w:p w14:paraId="49C6CDDA" w14:textId="77777777" w:rsidR="00CE01A5" w:rsidRDefault="00CE01A5" w:rsidP="00CE01A5">
      <w:pPr>
        <w:adjustRightInd w:val="0"/>
        <w:spacing w:line="300" w:lineRule="auto"/>
        <w:ind w:firstLineChars="200" w:firstLine="720"/>
        <w:jc w:val="center"/>
        <w:rPr>
          <w:rFonts w:ascii="黑体" w:eastAsia="黑体" w:hAnsi="黑体" w:cs="Courier New"/>
          <w:sz w:val="36"/>
          <w:szCs w:val="36"/>
        </w:rPr>
      </w:pPr>
    </w:p>
    <w:p w14:paraId="6AD40D64" w14:textId="77777777" w:rsidR="00CE01A5" w:rsidRDefault="00CE01A5" w:rsidP="00CE01A5">
      <w:pPr>
        <w:adjustRightInd w:val="0"/>
        <w:spacing w:line="300" w:lineRule="auto"/>
        <w:jc w:val="center"/>
        <w:rPr>
          <w:rFonts w:ascii="黑体" w:eastAsia="黑体" w:hAnsi="黑体" w:cs="Courier New"/>
          <w:sz w:val="36"/>
          <w:szCs w:val="36"/>
        </w:rPr>
      </w:pPr>
      <w:r>
        <w:rPr>
          <w:rFonts w:ascii="黑体" w:eastAsia="黑体" w:hAnsi="黑体" w:cs="Courier New" w:hint="eastAsia"/>
          <w:sz w:val="36"/>
          <w:szCs w:val="36"/>
        </w:rPr>
        <w:t>南京农业大学本科生毕业论文（设计）使用授权声明</w:t>
      </w:r>
    </w:p>
    <w:p w14:paraId="6412B66D" w14:textId="77777777" w:rsidR="00CE01A5" w:rsidRDefault="00CE01A5" w:rsidP="00CE01A5">
      <w:pPr>
        <w:adjustRightInd w:val="0"/>
        <w:spacing w:line="300" w:lineRule="auto"/>
        <w:ind w:firstLineChars="200" w:firstLine="420"/>
        <w:rPr>
          <w:rFonts w:ascii="宋体" w:hAnsi="宋体" w:cs="Courier New"/>
        </w:rPr>
      </w:pPr>
    </w:p>
    <w:p w14:paraId="3CED729A" w14:textId="77777777" w:rsidR="00CE01A5" w:rsidRDefault="00CE01A5" w:rsidP="00CE01A5">
      <w:pPr>
        <w:adjustRightInd w:val="0"/>
        <w:spacing w:line="300" w:lineRule="auto"/>
        <w:ind w:firstLineChars="200" w:firstLine="420"/>
        <w:rPr>
          <w:rFonts w:ascii="宋体" w:hAnsi="宋体" w:cs="Courier New"/>
        </w:rPr>
      </w:pPr>
      <w:r>
        <w:rPr>
          <w:rFonts w:ascii="宋体" w:hAnsi="宋体" w:cs="Courier New" w:hint="eastAsia"/>
        </w:rPr>
        <w:t>本学位论文作者完全了解学校有关保留、使用毕业论文（设计）的规定，同意学校保留并向国家有关部门或机构送交论文的复印件和电子版，允许论文被查阅和借阅。本人授权南京农业大学教务处可以将本毕业论文（设计）的全部或部分内容编入有关数据库进行检索，可以采用影印、缩印或扫描等复制手段保存和汇编毕业论文（设计）。</w:t>
      </w:r>
    </w:p>
    <w:p w14:paraId="7C525336" w14:textId="77777777" w:rsidR="00CE01A5" w:rsidRDefault="00CE01A5" w:rsidP="00CE01A5">
      <w:pPr>
        <w:adjustRightInd w:val="0"/>
        <w:spacing w:line="300" w:lineRule="auto"/>
        <w:ind w:firstLineChars="200" w:firstLine="420"/>
        <w:rPr>
          <w:rFonts w:ascii="宋体" w:hAnsi="宋体" w:cs="Courier New"/>
        </w:rPr>
      </w:pPr>
    </w:p>
    <w:p w14:paraId="7D4F3394" w14:textId="77777777" w:rsidR="00CE01A5" w:rsidRDefault="00CE01A5" w:rsidP="00CE01A5">
      <w:pPr>
        <w:adjustRightInd w:val="0"/>
        <w:spacing w:line="300" w:lineRule="auto"/>
        <w:ind w:firstLineChars="200" w:firstLine="420"/>
        <w:rPr>
          <w:rFonts w:ascii="宋体" w:hAnsi="宋体" w:cs="Courier New"/>
        </w:rPr>
      </w:pPr>
      <w:r>
        <w:rPr>
          <w:rFonts w:ascii="宋体" w:hAnsi="宋体" w:cs="Courier New" w:hint="eastAsia"/>
        </w:rPr>
        <w:t xml:space="preserve">论文作者签名：                       导师签名：                        </w:t>
      </w:r>
    </w:p>
    <w:p w14:paraId="627AA36F" w14:textId="77777777" w:rsidR="00CE01A5" w:rsidRDefault="00CE01A5" w:rsidP="00CE01A5">
      <w:pPr>
        <w:adjustRightInd w:val="0"/>
        <w:spacing w:line="300" w:lineRule="auto"/>
        <w:ind w:firstLineChars="200" w:firstLine="420"/>
        <w:rPr>
          <w:rFonts w:ascii="宋体" w:hAnsi="宋体" w:cs="Courier New"/>
        </w:rPr>
      </w:pPr>
    </w:p>
    <w:p w14:paraId="313B4B44" w14:textId="4AC33A7B" w:rsidR="004C6202" w:rsidRDefault="00CE01A5" w:rsidP="004C6202">
      <w:pPr>
        <w:adjustRightInd w:val="0"/>
        <w:spacing w:line="300" w:lineRule="auto"/>
        <w:ind w:firstLineChars="200" w:firstLine="420"/>
        <w:rPr>
          <w:rFonts w:ascii="宋体" w:hAnsi="宋体" w:cs="Courier New"/>
        </w:rPr>
      </w:pPr>
      <w:r>
        <w:rPr>
          <w:rFonts w:ascii="宋体" w:hAnsi="宋体" w:cs="Courier New" w:hint="eastAsia"/>
        </w:rPr>
        <w:t>日期：       年      月      日      日期：     年      月      日</w:t>
      </w:r>
    </w:p>
    <w:p w14:paraId="36E0C5FD" w14:textId="77777777" w:rsidR="004C6202" w:rsidRDefault="004C6202" w:rsidP="004C6202">
      <w:pPr>
        <w:adjustRightInd w:val="0"/>
        <w:spacing w:line="300" w:lineRule="auto"/>
        <w:ind w:firstLineChars="200" w:firstLine="420"/>
        <w:rPr>
          <w:rFonts w:ascii="宋体" w:hAnsi="宋体" w:cs="Courier New"/>
        </w:rPr>
      </w:pPr>
    </w:p>
    <w:p w14:paraId="06F12D04" w14:textId="77777777" w:rsidR="004C6202" w:rsidRDefault="004C6202" w:rsidP="004C6202">
      <w:pPr>
        <w:adjustRightInd w:val="0"/>
        <w:spacing w:line="300" w:lineRule="auto"/>
        <w:ind w:firstLineChars="200" w:firstLine="420"/>
        <w:rPr>
          <w:rFonts w:ascii="宋体" w:hAnsi="宋体" w:cs="Courier New"/>
        </w:rPr>
      </w:pPr>
    </w:p>
    <w:p w14:paraId="7A9247C5" w14:textId="77777777" w:rsidR="004C6202" w:rsidRDefault="004C6202" w:rsidP="004C6202">
      <w:pPr>
        <w:adjustRightInd w:val="0"/>
        <w:spacing w:line="300" w:lineRule="auto"/>
        <w:ind w:firstLineChars="200" w:firstLine="420"/>
        <w:rPr>
          <w:rFonts w:ascii="宋体" w:hAnsi="宋体" w:cs="Courier New"/>
        </w:rPr>
      </w:pPr>
    </w:p>
    <w:p w14:paraId="7E4BDF8D" w14:textId="77777777" w:rsidR="004C6202" w:rsidRDefault="004C6202" w:rsidP="004C6202">
      <w:pPr>
        <w:adjustRightInd w:val="0"/>
        <w:spacing w:line="300" w:lineRule="auto"/>
        <w:ind w:firstLineChars="200" w:firstLine="420"/>
        <w:rPr>
          <w:rFonts w:ascii="宋体" w:hAnsi="宋体" w:cs="Courier New"/>
        </w:rPr>
      </w:pPr>
    </w:p>
    <w:p w14:paraId="1408EDA8" w14:textId="77777777" w:rsidR="004C6202" w:rsidRDefault="004C6202" w:rsidP="004C6202">
      <w:pPr>
        <w:adjustRightInd w:val="0"/>
        <w:spacing w:line="300" w:lineRule="auto"/>
        <w:ind w:firstLineChars="200" w:firstLine="420"/>
        <w:rPr>
          <w:rFonts w:ascii="宋体" w:hAnsi="宋体" w:cs="Courier New"/>
        </w:rPr>
      </w:pPr>
    </w:p>
    <w:p w14:paraId="3EFAC0EC" w14:textId="77777777" w:rsidR="004C6202" w:rsidRPr="004C6202" w:rsidRDefault="004C6202" w:rsidP="004C6202">
      <w:pPr>
        <w:adjustRightInd w:val="0"/>
        <w:spacing w:line="300" w:lineRule="auto"/>
        <w:ind w:firstLineChars="200" w:firstLine="560"/>
        <w:rPr>
          <w:rFonts w:ascii="Arial" w:hAnsi="Arial" w:cs="Arial"/>
          <w:sz w:val="28"/>
          <w:szCs w:val="18"/>
        </w:rPr>
      </w:pPr>
    </w:p>
    <w:sdt>
      <w:sdtPr>
        <w:rPr>
          <w:rFonts w:ascii="Times New Roman" w:eastAsia="宋体" w:hAnsi="Times New Roman"/>
          <w:b/>
          <w:color w:val="auto"/>
          <w:kern w:val="2"/>
          <w:sz w:val="21"/>
          <w:szCs w:val="24"/>
          <w:lang w:val="zh-CN"/>
        </w:rPr>
        <w:id w:val="-616988191"/>
        <w:docPartObj>
          <w:docPartGallery w:val="Table of Contents"/>
          <w:docPartUnique/>
        </w:docPartObj>
      </w:sdtPr>
      <w:sdtEndPr>
        <w:rPr>
          <w:b w:val="0"/>
          <w:bCs/>
        </w:rPr>
      </w:sdtEndPr>
      <w:sdtContent>
        <w:p w14:paraId="73F11A72" w14:textId="3718106F" w:rsidR="004C6202" w:rsidRPr="00017FF6" w:rsidRDefault="004C6202" w:rsidP="004C6202">
          <w:pPr>
            <w:pStyle w:val="TOCHeading"/>
            <w:spacing w:before="624" w:after="468"/>
            <w:jc w:val="center"/>
            <w:rPr>
              <w:rStyle w:val="Hyperlink"/>
              <w:rFonts w:ascii="黑体" w:eastAsia="黑体" w:hAnsi="黑体"/>
              <w:b/>
              <w:noProof/>
              <w:color w:val="auto"/>
              <w:kern w:val="2"/>
              <w:sz w:val="24"/>
              <w:szCs w:val="24"/>
            </w:rPr>
          </w:pPr>
          <w:r w:rsidRPr="00017FF6">
            <w:rPr>
              <w:rFonts w:ascii="黑体" w:eastAsia="黑体" w:hAnsi="黑体" w:hint="eastAsia"/>
              <w:color w:val="auto"/>
              <w:lang w:val="zh-CN"/>
            </w:rPr>
            <w:t xml:space="preserve">目 </w:t>
          </w:r>
          <w:r w:rsidRPr="00017FF6">
            <w:rPr>
              <w:rFonts w:ascii="黑体" w:eastAsia="黑体" w:hAnsi="黑体"/>
              <w:color w:val="auto"/>
              <w:lang w:val="zh-CN"/>
            </w:rPr>
            <w:t xml:space="preserve"> </w:t>
          </w:r>
          <w:r w:rsidRPr="00017FF6">
            <w:rPr>
              <w:rFonts w:ascii="黑体" w:eastAsia="黑体" w:hAnsi="黑体" w:hint="eastAsia"/>
              <w:color w:val="auto"/>
              <w:lang w:val="zh-CN"/>
            </w:rPr>
            <w:t>录</w:t>
          </w:r>
        </w:p>
        <w:p w14:paraId="1DF7193C" w14:textId="21BB135C" w:rsidR="00563128" w:rsidRDefault="004C6202">
          <w:pPr>
            <w:pStyle w:val="TOC1"/>
            <w:rPr>
              <w:rFonts w:asciiTheme="minorHAnsi" w:eastAsiaTheme="minorEastAsia" w:hAnsiTheme="minorHAnsi" w:cstheme="minorBidi"/>
              <w:b w:val="0"/>
              <w:sz w:val="22"/>
              <w:szCs w:val="22"/>
              <w14:ligatures w14:val="standardContextual"/>
            </w:rPr>
          </w:pPr>
          <w:r>
            <w:rPr>
              <w:bCs/>
              <w:lang w:val="zh-CN"/>
            </w:rPr>
            <w:fldChar w:fldCharType="begin"/>
          </w:r>
          <w:r>
            <w:rPr>
              <w:bCs/>
              <w:lang w:val="zh-CN"/>
            </w:rPr>
            <w:instrText xml:space="preserve"> TOC \o "1-3" \h \z \u </w:instrText>
          </w:r>
          <w:r>
            <w:rPr>
              <w:bCs/>
              <w:lang w:val="zh-CN"/>
            </w:rPr>
            <w:fldChar w:fldCharType="separate"/>
          </w:r>
          <w:hyperlink w:anchor="_Toc135748060" w:history="1">
            <w:r w:rsidR="00563128" w:rsidRPr="00C93532">
              <w:rPr>
                <w:rStyle w:val="Hyperlink"/>
                <w:rFonts w:hint="eastAsia"/>
              </w:rPr>
              <w:t>政策不确定性与股票市场波动性的关系研究</w:t>
            </w:r>
            <w:r w:rsidR="00563128">
              <w:rPr>
                <w:webHidden/>
              </w:rPr>
              <w:tab/>
            </w:r>
            <w:r w:rsidR="00563128">
              <w:rPr>
                <w:webHidden/>
              </w:rPr>
              <w:fldChar w:fldCharType="begin"/>
            </w:r>
            <w:r w:rsidR="00563128">
              <w:rPr>
                <w:webHidden/>
              </w:rPr>
              <w:instrText xml:space="preserve"> PAGEREF _Toc135748060 \h </w:instrText>
            </w:r>
            <w:r w:rsidR="00563128">
              <w:rPr>
                <w:webHidden/>
              </w:rPr>
            </w:r>
            <w:r w:rsidR="00563128">
              <w:rPr>
                <w:webHidden/>
              </w:rPr>
              <w:fldChar w:fldCharType="separate"/>
            </w:r>
            <w:r w:rsidR="00563128">
              <w:rPr>
                <w:webHidden/>
              </w:rPr>
              <w:t>5</w:t>
            </w:r>
            <w:r w:rsidR="00563128">
              <w:rPr>
                <w:webHidden/>
              </w:rPr>
              <w:fldChar w:fldCharType="end"/>
            </w:r>
          </w:hyperlink>
        </w:p>
        <w:p w14:paraId="2B8FD9FB" w14:textId="262866D6" w:rsidR="00563128" w:rsidRDefault="00000000">
          <w:pPr>
            <w:pStyle w:val="TOC1"/>
            <w:rPr>
              <w:rFonts w:asciiTheme="minorHAnsi" w:eastAsiaTheme="minorEastAsia" w:hAnsiTheme="minorHAnsi" w:cstheme="minorBidi"/>
              <w:b w:val="0"/>
              <w:sz w:val="22"/>
              <w:szCs w:val="22"/>
              <w14:ligatures w14:val="standardContextual"/>
            </w:rPr>
          </w:pPr>
          <w:hyperlink w:anchor="_Toc135748061" w:history="1">
            <w:r w:rsidR="00563128" w:rsidRPr="00C93532">
              <w:rPr>
                <w:rStyle w:val="Hyperlink"/>
                <w:rFonts w:hint="eastAsia"/>
              </w:rPr>
              <w:t>摘</w:t>
            </w:r>
            <w:r w:rsidR="00563128" w:rsidRPr="00C93532">
              <w:rPr>
                <w:rStyle w:val="Hyperlink"/>
              </w:rPr>
              <w:t xml:space="preserve"> </w:t>
            </w:r>
            <w:r w:rsidR="00563128" w:rsidRPr="00C93532">
              <w:rPr>
                <w:rStyle w:val="Hyperlink"/>
                <w:rFonts w:hint="eastAsia"/>
              </w:rPr>
              <w:t>要</w:t>
            </w:r>
            <w:r w:rsidR="00563128">
              <w:rPr>
                <w:webHidden/>
              </w:rPr>
              <w:tab/>
            </w:r>
            <w:r w:rsidR="00563128">
              <w:rPr>
                <w:webHidden/>
              </w:rPr>
              <w:fldChar w:fldCharType="begin"/>
            </w:r>
            <w:r w:rsidR="00563128">
              <w:rPr>
                <w:webHidden/>
              </w:rPr>
              <w:instrText xml:space="preserve"> PAGEREF _Toc135748061 \h </w:instrText>
            </w:r>
            <w:r w:rsidR="00563128">
              <w:rPr>
                <w:webHidden/>
              </w:rPr>
            </w:r>
            <w:r w:rsidR="00563128">
              <w:rPr>
                <w:webHidden/>
              </w:rPr>
              <w:fldChar w:fldCharType="separate"/>
            </w:r>
            <w:r w:rsidR="00563128">
              <w:rPr>
                <w:webHidden/>
              </w:rPr>
              <w:t>5</w:t>
            </w:r>
            <w:r w:rsidR="00563128">
              <w:rPr>
                <w:webHidden/>
              </w:rPr>
              <w:fldChar w:fldCharType="end"/>
            </w:r>
          </w:hyperlink>
        </w:p>
        <w:p w14:paraId="48AA3B17" w14:textId="6FEEA811" w:rsidR="00563128" w:rsidRDefault="00000000">
          <w:pPr>
            <w:pStyle w:val="TOC1"/>
            <w:rPr>
              <w:rFonts w:asciiTheme="minorHAnsi" w:eastAsiaTheme="minorEastAsia" w:hAnsiTheme="minorHAnsi" w:cstheme="minorBidi"/>
              <w:b w:val="0"/>
              <w:sz w:val="22"/>
              <w:szCs w:val="22"/>
              <w14:ligatures w14:val="standardContextual"/>
            </w:rPr>
          </w:pPr>
          <w:hyperlink w:anchor="_Toc135748062" w:history="1">
            <w:r w:rsidR="00563128" w:rsidRPr="00C93532">
              <w:rPr>
                <w:rStyle w:val="Hyperlink"/>
              </w:rPr>
              <w:t>ABSTRACT</w:t>
            </w:r>
            <w:r w:rsidR="00563128">
              <w:rPr>
                <w:webHidden/>
              </w:rPr>
              <w:tab/>
            </w:r>
            <w:r w:rsidR="00563128">
              <w:rPr>
                <w:webHidden/>
              </w:rPr>
              <w:fldChar w:fldCharType="begin"/>
            </w:r>
            <w:r w:rsidR="00563128">
              <w:rPr>
                <w:webHidden/>
              </w:rPr>
              <w:instrText xml:space="preserve"> PAGEREF _Toc135748062 \h </w:instrText>
            </w:r>
            <w:r w:rsidR="00563128">
              <w:rPr>
                <w:webHidden/>
              </w:rPr>
            </w:r>
            <w:r w:rsidR="00563128">
              <w:rPr>
                <w:webHidden/>
              </w:rPr>
              <w:fldChar w:fldCharType="separate"/>
            </w:r>
            <w:r w:rsidR="00563128">
              <w:rPr>
                <w:webHidden/>
              </w:rPr>
              <w:t>6</w:t>
            </w:r>
            <w:r w:rsidR="00563128">
              <w:rPr>
                <w:webHidden/>
              </w:rPr>
              <w:fldChar w:fldCharType="end"/>
            </w:r>
          </w:hyperlink>
        </w:p>
        <w:p w14:paraId="45A9B114" w14:textId="6DE50940" w:rsidR="00563128" w:rsidRDefault="00000000">
          <w:pPr>
            <w:pStyle w:val="TOC1"/>
            <w:rPr>
              <w:rFonts w:asciiTheme="minorHAnsi" w:eastAsiaTheme="minorEastAsia" w:hAnsiTheme="minorHAnsi" w:cstheme="minorBidi"/>
              <w:b w:val="0"/>
              <w:sz w:val="22"/>
              <w:szCs w:val="22"/>
              <w14:ligatures w14:val="standardContextual"/>
            </w:rPr>
          </w:pPr>
          <w:hyperlink w:anchor="_Toc135748063" w:history="1">
            <w:r w:rsidR="00563128" w:rsidRPr="00C93532">
              <w:rPr>
                <w:rStyle w:val="Hyperlink"/>
                <w:rFonts w:hint="eastAsia"/>
              </w:rPr>
              <w:t>第一章</w:t>
            </w:r>
            <w:r w:rsidR="00563128" w:rsidRPr="00C93532">
              <w:rPr>
                <w:rStyle w:val="Hyperlink"/>
              </w:rPr>
              <w:t xml:space="preserve"> </w:t>
            </w:r>
            <w:r w:rsidR="00563128" w:rsidRPr="00C93532">
              <w:rPr>
                <w:rStyle w:val="Hyperlink"/>
                <w:rFonts w:hint="eastAsia"/>
              </w:rPr>
              <w:t>引言</w:t>
            </w:r>
            <w:r w:rsidR="00563128">
              <w:rPr>
                <w:webHidden/>
              </w:rPr>
              <w:tab/>
            </w:r>
            <w:r w:rsidR="00563128">
              <w:rPr>
                <w:webHidden/>
              </w:rPr>
              <w:fldChar w:fldCharType="begin"/>
            </w:r>
            <w:r w:rsidR="00563128">
              <w:rPr>
                <w:webHidden/>
              </w:rPr>
              <w:instrText xml:space="preserve"> PAGEREF _Toc135748063 \h </w:instrText>
            </w:r>
            <w:r w:rsidR="00563128">
              <w:rPr>
                <w:webHidden/>
              </w:rPr>
            </w:r>
            <w:r w:rsidR="00563128">
              <w:rPr>
                <w:webHidden/>
              </w:rPr>
              <w:fldChar w:fldCharType="separate"/>
            </w:r>
            <w:r w:rsidR="00563128">
              <w:rPr>
                <w:webHidden/>
              </w:rPr>
              <w:t>7</w:t>
            </w:r>
            <w:r w:rsidR="00563128">
              <w:rPr>
                <w:webHidden/>
              </w:rPr>
              <w:fldChar w:fldCharType="end"/>
            </w:r>
          </w:hyperlink>
        </w:p>
        <w:p w14:paraId="19FB304C" w14:textId="27C63837" w:rsidR="00563128" w:rsidRDefault="00000000">
          <w:pPr>
            <w:pStyle w:val="TOC1"/>
            <w:rPr>
              <w:rFonts w:asciiTheme="minorHAnsi" w:eastAsiaTheme="minorEastAsia" w:hAnsiTheme="minorHAnsi" w:cstheme="minorBidi"/>
              <w:b w:val="0"/>
              <w:sz w:val="22"/>
              <w:szCs w:val="22"/>
              <w14:ligatures w14:val="standardContextual"/>
            </w:rPr>
          </w:pPr>
          <w:hyperlink w:anchor="_Toc135748064" w:history="1">
            <w:r w:rsidR="00563128" w:rsidRPr="00C93532">
              <w:rPr>
                <w:rStyle w:val="Hyperlink"/>
                <w:rFonts w:hint="eastAsia"/>
              </w:rPr>
              <w:t>第二章</w:t>
            </w:r>
            <w:r w:rsidR="00563128" w:rsidRPr="00C93532">
              <w:rPr>
                <w:rStyle w:val="Hyperlink"/>
              </w:rPr>
              <w:t xml:space="preserve"> </w:t>
            </w:r>
            <w:r w:rsidR="00563128" w:rsidRPr="00C93532">
              <w:rPr>
                <w:rStyle w:val="Hyperlink"/>
                <w:rFonts w:hint="eastAsia"/>
              </w:rPr>
              <w:t>文献综述</w:t>
            </w:r>
            <w:r w:rsidR="00563128">
              <w:rPr>
                <w:webHidden/>
              </w:rPr>
              <w:tab/>
            </w:r>
            <w:r w:rsidR="00563128">
              <w:rPr>
                <w:webHidden/>
              </w:rPr>
              <w:fldChar w:fldCharType="begin"/>
            </w:r>
            <w:r w:rsidR="00563128">
              <w:rPr>
                <w:webHidden/>
              </w:rPr>
              <w:instrText xml:space="preserve"> PAGEREF _Toc135748064 \h </w:instrText>
            </w:r>
            <w:r w:rsidR="00563128">
              <w:rPr>
                <w:webHidden/>
              </w:rPr>
            </w:r>
            <w:r w:rsidR="00563128">
              <w:rPr>
                <w:webHidden/>
              </w:rPr>
              <w:fldChar w:fldCharType="separate"/>
            </w:r>
            <w:r w:rsidR="00563128">
              <w:rPr>
                <w:webHidden/>
              </w:rPr>
              <w:t>8</w:t>
            </w:r>
            <w:r w:rsidR="00563128">
              <w:rPr>
                <w:webHidden/>
              </w:rPr>
              <w:fldChar w:fldCharType="end"/>
            </w:r>
          </w:hyperlink>
        </w:p>
        <w:p w14:paraId="547899E4" w14:textId="2177F7E7" w:rsidR="00563128" w:rsidRDefault="00000000">
          <w:pPr>
            <w:pStyle w:val="TOC2"/>
            <w:ind w:left="420"/>
            <w:rPr>
              <w:rFonts w:asciiTheme="minorHAnsi" w:eastAsiaTheme="minorEastAsia" w:hAnsiTheme="minorHAnsi" w:cstheme="minorBidi"/>
              <w:noProof/>
              <w:sz w:val="22"/>
              <w:szCs w:val="22"/>
              <w14:ligatures w14:val="standardContextual"/>
            </w:rPr>
          </w:pPr>
          <w:hyperlink w:anchor="_Toc135748065" w:history="1">
            <w:r w:rsidR="00563128" w:rsidRPr="00C93532">
              <w:rPr>
                <w:rStyle w:val="Hyperlink"/>
                <w:noProof/>
              </w:rPr>
              <w:t>2.1</w:t>
            </w:r>
            <w:r w:rsidR="00563128" w:rsidRPr="00C93532">
              <w:rPr>
                <w:rStyle w:val="Hyperlink"/>
                <w:rFonts w:hint="eastAsia"/>
                <w:noProof/>
              </w:rPr>
              <w:t>经济政策不确定性度量</w:t>
            </w:r>
            <w:r w:rsidR="00563128">
              <w:rPr>
                <w:noProof/>
                <w:webHidden/>
              </w:rPr>
              <w:tab/>
            </w:r>
            <w:r w:rsidR="00563128">
              <w:rPr>
                <w:noProof/>
                <w:webHidden/>
              </w:rPr>
              <w:fldChar w:fldCharType="begin"/>
            </w:r>
            <w:r w:rsidR="00563128">
              <w:rPr>
                <w:noProof/>
                <w:webHidden/>
              </w:rPr>
              <w:instrText xml:space="preserve"> PAGEREF _Toc135748065 \h </w:instrText>
            </w:r>
            <w:r w:rsidR="00563128">
              <w:rPr>
                <w:noProof/>
                <w:webHidden/>
              </w:rPr>
            </w:r>
            <w:r w:rsidR="00563128">
              <w:rPr>
                <w:noProof/>
                <w:webHidden/>
              </w:rPr>
              <w:fldChar w:fldCharType="separate"/>
            </w:r>
            <w:r w:rsidR="00563128">
              <w:rPr>
                <w:noProof/>
                <w:webHidden/>
              </w:rPr>
              <w:t>8</w:t>
            </w:r>
            <w:r w:rsidR="00563128">
              <w:rPr>
                <w:noProof/>
                <w:webHidden/>
              </w:rPr>
              <w:fldChar w:fldCharType="end"/>
            </w:r>
          </w:hyperlink>
        </w:p>
        <w:p w14:paraId="31B4A834" w14:textId="20258EAE" w:rsidR="00563128" w:rsidRDefault="00000000">
          <w:pPr>
            <w:pStyle w:val="TOC3"/>
            <w:ind w:left="859"/>
            <w:rPr>
              <w:rFonts w:asciiTheme="minorHAnsi" w:eastAsiaTheme="minorEastAsia" w:hAnsiTheme="minorHAnsi" w:cstheme="minorBidi"/>
              <w:noProof/>
              <w:sz w:val="22"/>
              <w:szCs w:val="22"/>
              <w14:ligatures w14:val="standardContextual"/>
            </w:rPr>
          </w:pPr>
          <w:hyperlink w:anchor="_Toc135748066" w:history="1">
            <w:r w:rsidR="00563128" w:rsidRPr="00C93532">
              <w:rPr>
                <w:rStyle w:val="Hyperlink"/>
                <w:noProof/>
              </w:rPr>
              <w:t>2.1.1</w:t>
            </w:r>
            <w:r w:rsidR="00563128" w:rsidRPr="00C93532">
              <w:rPr>
                <w:rStyle w:val="Hyperlink"/>
                <w:rFonts w:hint="eastAsia"/>
                <w:noProof/>
              </w:rPr>
              <w:t>间接度量法</w:t>
            </w:r>
            <w:r w:rsidR="00563128">
              <w:rPr>
                <w:noProof/>
                <w:webHidden/>
              </w:rPr>
              <w:tab/>
            </w:r>
            <w:r w:rsidR="00563128">
              <w:rPr>
                <w:noProof/>
                <w:webHidden/>
              </w:rPr>
              <w:fldChar w:fldCharType="begin"/>
            </w:r>
            <w:r w:rsidR="00563128">
              <w:rPr>
                <w:noProof/>
                <w:webHidden/>
              </w:rPr>
              <w:instrText xml:space="preserve"> PAGEREF _Toc135748066 \h </w:instrText>
            </w:r>
            <w:r w:rsidR="00563128">
              <w:rPr>
                <w:noProof/>
                <w:webHidden/>
              </w:rPr>
            </w:r>
            <w:r w:rsidR="00563128">
              <w:rPr>
                <w:noProof/>
                <w:webHidden/>
              </w:rPr>
              <w:fldChar w:fldCharType="separate"/>
            </w:r>
            <w:r w:rsidR="00563128">
              <w:rPr>
                <w:noProof/>
                <w:webHidden/>
              </w:rPr>
              <w:t>8</w:t>
            </w:r>
            <w:r w:rsidR="00563128">
              <w:rPr>
                <w:noProof/>
                <w:webHidden/>
              </w:rPr>
              <w:fldChar w:fldCharType="end"/>
            </w:r>
          </w:hyperlink>
        </w:p>
        <w:p w14:paraId="7AA5ADB3" w14:textId="7656B186" w:rsidR="00563128" w:rsidRDefault="00000000">
          <w:pPr>
            <w:pStyle w:val="TOC3"/>
            <w:ind w:left="859"/>
            <w:rPr>
              <w:rFonts w:asciiTheme="minorHAnsi" w:eastAsiaTheme="minorEastAsia" w:hAnsiTheme="minorHAnsi" w:cstheme="minorBidi"/>
              <w:noProof/>
              <w:sz w:val="22"/>
              <w:szCs w:val="22"/>
              <w14:ligatures w14:val="standardContextual"/>
            </w:rPr>
          </w:pPr>
          <w:hyperlink w:anchor="_Toc135748067" w:history="1">
            <w:r w:rsidR="00563128" w:rsidRPr="00C93532">
              <w:rPr>
                <w:rStyle w:val="Hyperlink"/>
                <w:noProof/>
              </w:rPr>
              <w:t>2.1.2</w:t>
            </w:r>
            <w:r w:rsidR="00563128" w:rsidRPr="00C93532">
              <w:rPr>
                <w:rStyle w:val="Hyperlink"/>
                <w:rFonts w:hint="eastAsia"/>
                <w:noProof/>
              </w:rPr>
              <w:t>直接度量法</w:t>
            </w:r>
            <w:r w:rsidR="00563128">
              <w:rPr>
                <w:noProof/>
                <w:webHidden/>
              </w:rPr>
              <w:tab/>
            </w:r>
            <w:r w:rsidR="00563128">
              <w:rPr>
                <w:noProof/>
                <w:webHidden/>
              </w:rPr>
              <w:fldChar w:fldCharType="begin"/>
            </w:r>
            <w:r w:rsidR="00563128">
              <w:rPr>
                <w:noProof/>
                <w:webHidden/>
              </w:rPr>
              <w:instrText xml:space="preserve"> PAGEREF _Toc135748067 \h </w:instrText>
            </w:r>
            <w:r w:rsidR="00563128">
              <w:rPr>
                <w:noProof/>
                <w:webHidden/>
              </w:rPr>
            </w:r>
            <w:r w:rsidR="00563128">
              <w:rPr>
                <w:noProof/>
                <w:webHidden/>
              </w:rPr>
              <w:fldChar w:fldCharType="separate"/>
            </w:r>
            <w:r w:rsidR="00563128">
              <w:rPr>
                <w:noProof/>
                <w:webHidden/>
              </w:rPr>
              <w:t>8</w:t>
            </w:r>
            <w:r w:rsidR="00563128">
              <w:rPr>
                <w:noProof/>
                <w:webHidden/>
              </w:rPr>
              <w:fldChar w:fldCharType="end"/>
            </w:r>
          </w:hyperlink>
        </w:p>
        <w:p w14:paraId="4105B1ED" w14:textId="0CABD47C" w:rsidR="00563128" w:rsidRDefault="00000000">
          <w:pPr>
            <w:pStyle w:val="TOC2"/>
            <w:ind w:left="420"/>
            <w:rPr>
              <w:rFonts w:asciiTheme="minorHAnsi" w:eastAsiaTheme="minorEastAsia" w:hAnsiTheme="minorHAnsi" w:cstheme="minorBidi"/>
              <w:noProof/>
              <w:sz w:val="22"/>
              <w:szCs w:val="22"/>
              <w14:ligatures w14:val="standardContextual"/>
            </w:rPr>
          </w:pPr>
          <w:hyperlink w:anchor="_Toc135748068" w:history="1">
            <w:r w:rsidR="00563128" w:rsidRPr="00C93532">
              <w:rPr>
                <w:rStyle w:val="Hyperlink"/>
                <w:noProof/>
              </w:rPr>
              <w:t>2.2</w:t>
            </w:r>
            <w:r w:rsidR="00563128" w:rsidRPr="00C93532">
              <w:rPr>
                <w:rStyle w:val="Hyperlink"/>
                <w:rFonts w:hint="eastAsia"/>
                <w:noProof/>
              </w:rPr>
              <w:t>股市的区制划分</w:t>
            </w:r>
            <w:r w:rsidR="00563128">
              <w:rPr>
                <w:noProof/>
                <w:webHidden/>
              </w:rPr>
              <w:tab/>
            </w:r>
            <w:r w:rsidR="00563128">
              <w:rPr>
                <w:noProof/>
                <w:webHidden/>
              </w:rPr>
              <w:fldChar w:fldCharType="begin"/>
            </w:r>
            <w:r w:rsidR="00563128">
              <w:rPr>
                <w:noProof/>
                <w:webHidden/>
              </w:rPr>
              <w:instrText xml:space="preserve"> PAGEREF _Toc135748068 \h </w:instrText>
            </w:r>
            <w:r w:rsidR="00563128">
              <w:rPr>
                <w:noProof/>
                <w:webHidden/>
              </w:rPr>
            </w:r>
            <w:r w:rsidR="00563128">
              <w:rPr>
                <w:noProof/>
                <w:webHidden/>
              </w:rPr>
              <w:fldChar w:fldCharType="separate"/>
            </w:r>
            <w:r w:rsidR="00563128">
              <w:rPr>
                <w:noProof/>
                <w:webHidden/>
              </w:rPr>
              <w:t>9</w:t>
            </w:r>
            <w:r w:rsidR="00563128">
              <w:rPr>
                <w:noProof/>
                <w:webHidden/>
              </w:rPr>
              <w:fldChar w:fldCharType="end"/>
            </w:r>
          </w:hyperlink>
        </w:p>
        <w:p w14:paraId="12879B5B" w14:textId="2CC572FB" w:rsidR="00563128" w:rsidRDefault="00000000">
          <w:pPr>
            <w:pStyle w:val="TOC2"/>
            <w:ind w:left="420"/>
            <w:rPr>
              <w:rFonts w:asciiTheme="minorHAnsi" w:eastAsiaTheme="minorEastAsia" w:hAnsiTheme="minorHAnsi" w:cstheme="minorBidi"/>
              <w:noProof/>
              <w:sz w:val="22"/>
              <w:szCs w:val="22"/>
              <w14:ligatures w14:val="standardContextual"/>
            </w:rPr>
          </w:pPr>
          <w:hyperlink w:anchor="_Toc135748069" w:history="1">
            <w:r w:rsidR="00563128" w:rsidRPr="00C93532">
              <w:rPr>
                <w:rStyle w:val="Hyperlink"/>
                <w:noProof/>
              </w:rPr>
              <w:t>2.3</w:t>
            </w:r>
            <w:r w:rsidR="00563128" w:rsidRPr="00C93532">
              <w:rPr>
                <w:rStyle w:val="Hyperlink"/>
                <w:rFonts w:hint="eastAsia"/>
                <w:noProof/>
              </w:rPr>
              <w:t>经济政策不确定性对股市的影响</w:t>
            </w:r>
            <w:r w:rsidR="00563128">
              <w:rPr>
                <w:noProof/>
                <w:webHidden/>
              </w:rPr>
              <w:tab/>
            </w:r>
            <w:r w:rsidR="00563128">
              <w:rPr>
                <w:noProof/>
                <w:webHidden/>
              </w:rPr>
              <w:fldChar w:fldCharType="begin"/>
            </w:r>
            <w:r w:rsidR="00563128">
              <w:rPr>
                <w:noProof/>
                <w:webHidden/>
              </w:rPr>
              <w:instrText xml:space="preserve"> PAGEREF _Toc135748069 \h </w:instrText>
            </w:r>
            <w:r w:rsidR="00563128">
              <w:rPr>
                <w:noProof/>
                <w:webHidden/>
              </w:rPr>
            </w:r>
            <w:r w:rsidR="00563128">
              <w:rPr>
                <w:noProof/>
                <w:webHidden/>
              </w:rPr>
              <w:fldChar w:fldCharType="separate"/>
            </w:r>
            <w:r w:rsidR="00563128">
              <w:rPr>
                <w:noProof/>
                <w:webHidden/>
              </w:rPr>
              <w:t>10</w:t>
            </w:r>
            <w:r w:rsidR="00563128">
              <w:rPr>
                <w:noProof/>
                <w:webHidden/>
              </w:rPr>
              <w:fldChar w:fldCharType="end"/>
            </w:r>
          </w:hyperlink>
        </w:p>
        <w:p w14:paraId="775FA5C2" w14:textId="22A731FB" w:rsidR="00563128" w:rsidRDefault="00000000">
          <w:pPr>
            <w:pStyle w:val="TOC3"/>
            <w:ind w:left="859"/>
            <w:rPr>
              <w:rFonts w:asciiTheme="minorHAnsi" w:eastAsiaTheme="minorEastAsia" w:hAnsiTheme="minorHAnsi" w:cstheme="minorBidi"/>
              <w:noProof/>
              <w:sz w:val="22"/>
              <w:szCs w:val="22"/>
              <w14:ligatures w14:val="standardContextual"/>
            </w:rPr>
          </w:pPr>
          <w:hyperlink w:anchor="_Toc135748070" w:history="1">
            <w:r w:rsidR="00563128" w:rsidRPr="00C93532">
              <w:rPr>
                <w:rStyle w:val="Hyperlink"/>
                <w:noProof/>
              </w:rPr>
              <w:t>2.3.1</w:t>
            </w:r>
            <w:r w:rsidR="00563128" w:rsidRPr="00C93532">
              <w:rPr>
                <w:rStyle w:val="Hyperlink"/>
                <w:rFonts w:hint="eastAsia"/>
                <w:noProof/>
              </w:rPr>
              <w:t>直接传导机制</w:t>
            </w:r>
            <w:r w:rsidR="00563128">
              <w:rPr>
                <w:noProof/>
                <w:webHidden/>
              </w:rPr>
              <w:tab/>
            </w:r>
            <w:r w:rsidR="00563128">
              <w:rPr>
                <w:noProof/>
                <w:webHidden/>
              </w:rPr>
              <w:fldChar w:fldCharType="begin"/>
            </w:r>
            <w:r w:rsidR="00563128">
              <w:rPr>
                <w:noProof/>
                <w:webHidden/>
              </w:rPr>
              <w:instrText xml:space="preserve"> PAGEREF _Toc135748070 \h </w:instrText>
            </w:r>
            <w:r w:rsidR="00563128">
              <w:rPr>
                <w:noProof/>
                <w:webHidden/>
              </w:rPr>
            </w:r>
            <w:r w:rsidR="00563128">
              <w:rPr>
                <w:noProof/>
                <w:webHidden/>
              </w:rPr>
              <w:fldChar w:fldCharType="separate"/>
            </w:r>
            <w:r w:rsidR="00563128">
              <w:rPr>
                <w:noProof/>
                <w:webHidden/>
              </w:rPr>
              <w:t>10</w:t>
            </w:r>
            <w:r w:rsidR="00563128">
              <w:rPr>
                <w:noProof/>
                <w:webHidden/>
              </w:rPr>
              <w:fldChar w:fldCharType="end"/>
            </w:r>
          </w:hyperlink>
        </w:p>
        <w:p w14:paraId="2B66EA0E" w14:textId="4221B773" w:rsidR="00563128" w:rsidRDefault="00000000">
          <w:pPr>
            <w:pStyle w:val="TOC3"/>
            <w:ind w:left="859"/>
            <w:rPr>
              <w:rFonts w:asciiTheme="minorHAnsi" w:eastAsiaTheme="minorEastAsia" w:hAnsiTheme="minorHAnsi" w:cstheme="minorBidi"/>
              <w:noProof/>
              <w:sz w:val="22"/>
              <w:szCs w:val="22"/>
              <w14:ligatures w14:val="standardContextual"/>
            </w:rPr>
          </w:pPr>
          <w:hyperlink w:anchor="_Toc135748071" w:history="1">
            <w:r w:rsidR="00563128" w:rsidRPr="00C93532">
              <w:rPr>
                <w:rStyle w:val="Hyperlink"/>
                <w:noProof/>
              </w:rPr>
              <w:t>2.3.2</w:t>
            </w:r>
            <w:r w:rsidR="00563128" w:rsidRPr="00C93532">
              <w:rPr>
                <w:rStyle w:val="Hyperlink"/>
                <w:rFonts w:hint="eastAsia"/>
                <w:noProof/>
              </w:rPr>
              <w:t>间接传导机制</w:t>
            </w:r>
            <w:r w:rsidR="00563128">
              <w:rPr>
                <w:noProof/>
                <w:webHidden/>
              </w:rPr>
              <w:tab/>
            </w:r>
            <w:r w:rsidR="00563128">
              <w:rPr>
                <w:noProof/>
                <w:webHidden/>
              </w:rPr>
              <w:fldChar w:fldCharType="begin"/>
            </w:r>
            <w:r w:rsidR="00563128">
              <w:rPr>
                <w:noProof/>
                <w:webHidden/>
              </w:rPr>
              <w:instrText xml:space="preserve"> PAGEREF _Toc135748071 \h </w:instrText>
            </w:r>
            <w:r w:rsidR="00563128">
              <w:rPr>
                <w:noProof/>
                <w:webHidden/>
              </w:rPr>
            </w:r>
            <w:r w:rsidR="00563128">
              <w:rPr>
                <w:noProof/>
                <w:webHidden/>
              </w:rPr>
              <w:fldChar w:fldCharType="separate"/>
            </w:r>
            <w:r w:rsidR="00563128">
              <w:rPr>
                <w:noProof/>
                <w:webHidden/>
              </w:rPr>
              <w:t>12</w:t>
            </w:r>
            <w:r w:rsidR="00563128">
              <w:rPr>
                <w:noProof/>
                <w:webHidden/>
              </w:rPr>
              <w:fldChar w:fldCharType="end"/>
            </w:r>
          </w:hyperlink>
        </w:p>
        <w:p w14:paraId="262DE830" w14:textId="311F99AE" w:rsidR="00563128" w:rsidRDefault="00000000">
          <w:pPr>
            <w:pStyle w:val="TOC2"/>
            <w:ind w:left="420"/>
            <w:rPr>
              <w:rFonts w:asciiTheme="minorHAnsi" w:eastAsiaTheme="minorEastAsia" w:hAnsiTheme="minorHAnsi" w:cstheme="minorBidi"/>
              <w:noProof/>
              <w:sz w:val="22"/>
              <w:szCs w:val="22"/>
              <w14:ligatures w14:val="standardContextual"/>
            </w:rPr>
          </w:pPr>
          <w:hyperlink w:anchor="_Toc135748072" w:history="1">
            <w:r w:rsidR="00563128" w:rsidRPr="00C93532">
              <w:rPr>
                <w:rStyle w:val="Hyperlink"/>
                <w:noProof/>
              </w:rPr>
              <w:t xml:space="preserve">2.4 </w:t>
            </w:r>
            <w:r w:rsidR="00563128" w:rsidRPr="00C93532">
              <w:rPr>
                <w:rStyle w:val="Hyperlink"/>
                <w:rFonts w:hint="eastAsia"/>
                <w:noProof/>
              </w:rPr>
              <w:t>股市波动对经济政策不确定性的影响</w:t>
            </w:r>
            <w:r w:rsidR="00563128">
              <w:rPr>
                <w:noProof/>
                <w:webHidden/>
              </w:rPr>
              <w:tab/>
            </w:r>
            <w:r w:rsidR="00563128">
              <w:rPr>
                <w:noProof/>
                <w:webHidden/>
              </w:rPr>
              <w:fldChar w:fldCharType="begin"/>
            </w:r>
            <w:r w:rsidR="00563128">
              <w:rPr>
                <w:noProof/>
                <w:webHidden/>
              </w:rPr>
              <w:instrText xml:space="preserve"> PAGEREF _Toc135748072 \h </w:instrText>
            </w:r>
            <w:r w:rsidR="00563128">
              <w:rPr>
                <w:noProof/>
                <w:webHidden/>
              </w:rPr>
            </w:r>
            <w:r w:rsidR="00563128">
              <w:rPr>
                <w:noProof/>
                <w:webHidden/>
              </w:rPr>
              <w:fldChar w:fldCharType="separate"/>
            </w:r>
            <w:r w:rsidR="00563128">
              <w:rPr>
                <w:noProof/>
                <w:webHidden/>
              </w:rPr>
              <w:t>13</w:t>
            </w:r>
            <w:r w:rsidR="00563128">
              <w:rPr>
                <w:noProof/>
                <w:webHidden/>
              </w:rPr>
              <w:fldChar w:fldCharType="end"/>
            </w:r>
          </w:hyperlink>
        </w:p>
        <w:p w14:paraId="4A314FC1" w14:textId="5FA16AC9" w:rsidR="00563128" w:rsidRDefault="00000000">
          <w:pPr>
            <w:pStyle w:val="TOC1"/>
            <w:rPr>
              <w:rFonts w:asciiTheme="minorHAnsi" w:eastAsiaTheme="minorEastAsia" w:hAnsiTheme="minorHAnsi" w:cstheme="minorBidi"/>
              <w:b w:val="0"/>
              <w:sz w:val="22"/>
              <w:szCs w:val="22"/>
              <w14:ligatures w14:val="standardContextual"/>
            </w:rPr>
          </w:pPr>
          <w:hyperlink w:anchor="_Toc135748073" w:history="1">
            <w:r w:rsidR="00563128" w:rsidRPr="00C93532">
              <w:rPr>
                <w:rStyle w:val="Hyperlink"/>
                <w:rFonts w:hint="eastAsia"/>
              </w:rPr>
              <w:t>第三章</w:t>
            </w:r>
            <w:r w:rsidR="00563128" w:rsidRPr="00C93532">
              <w:rPr>
                <w:rStyle w:val="Hyperlink"/>
              </w:rPr>
              <w:t xml:space="preserve"> </w:t>
            </w:r>
            <w:r w:rsidR="00563128" w:rsidRPr="00C93532">
              <w:rPr>
                <w:rStyle w:val="Hyperlink"/>
                <w:rFonts w:hint="eastAsia"/>
              </w:rPr>
              <w:t>分析框架与数据来源</w:t>
            </w:r>
            <w:r w:rsidR="00563128">
              <w:rPr>
                <w:webHidden/>
              </w:rPr>
              <w:tab/>
            </w:r>
            <w:r w:rsidR="00563128">
              <w:rPr>
                <w:webHidden/>
              </w:rPr>
              <w:fldChar w:fldCharType="begin"/>
            </w:r>
            <w:r w:rsidR="00563128">
              <w:rPr>
                <w:webHidden/>
              </w:rPr>
              <w:instrText xml:space="preserve"> PAGEREF _Toc135748073 \h </w:instrText>
            </w:r>
            <w:r w:rsidR="00563128">
              <w:rPr>
                <w:webHidden/>
              </w:rPr>
            </w:r>
            <w:r w:rsidR="00563128">
              <w:rPr>
                <w:webHidden/>
              </w:rPr>
              <w:fldChar w:fldCharType="separate"/>
            </w:r>
            <w:r w:rsidR="00563128">
              <w:rPr>
                <w:webHidden/>
              </w:rPr>
              <w:t>15</w:t>
            </w:r>
            <w:r w:rsidR="00563128">
              <w:rPr>
                <w:webHidden/>
              </w:rPr>
              <w:fldChar w:fldCharType="end"/>
            </w:r>
          </w:hyperlink>
        </w:p>
        <w:p w14:paraId="60CD828B" w14:textId="01AB1E17" w:rsidR="00563128" w:rsidRDefault="00000000">
          <w:pPr>
            <w:pStyle w:val="TOC2"/>
            <w:ind w:left="420"/>
            <w:rPr>
              <w:rFonts w:asciiTheme="minorHAnsi" w:eastAsiaTheme="minorEastAsia" w:hAnsiTheme="minorHAnsi" w:cstheme="minorBidi"/>
              <w:noProof/>
              <w:sz w:val="22"/>
              <w:szCs w:val="22"/>
              <w14:ligatures w14:val="standardContextual"/>
            </w:rPr>
          </w:pPr>
          <w:hyperlink w:anchor="_Toc135748074" w:history="1">
            <w:r w:rsidR="00563128" w:rsidRPr="00C93532">
              <w:rPr>
                <w:rStyle w:val="Hyperlink"/>
                <w:noProof/>
              </w:rPr>
              <w:t>3.1</w:t>
            </w:r>
            <w:r w:rsidR="00563128" w:rsidRPr="00C93532">
              <w:rPr>
                <w:rStyle w:val="Hyperlink"/>
                <w:rFonts w:hint="eastAsia"/>
                <w:noProof/>
              </w:rPr>
              <w:t>研究问题</w:t>
            </w:r>
            <w:r w:rsidR="00563128">
              <w:rPr>
                <w:noProof/>
                <w:webHidden/>
              </w:rPr>
              <w:tab/>
            </w:r>
            <w:r w:rsidR="00563128">
              <w:rPr>
                <w:noProof/>
                <w:webHidden/>
              </w:rPr>
              <w:fldChar w:fldCharType="begin"/>
            </w:r>
            <w:r w:rsidR="00563128">
              <w:rPr>
                <w:noProof/>
                <w:webHidden/>
              </w:rPr>
              <w:instrText xml:space="preserve"> PAGEREF _Toc135748074 \h </w:instrText>
            </w:r>
            <w:r w:rsidR="00563128">
              <w:rPr>
                <w:noProof/>
                <w:webHidden/>
              </w:rPr>
            </w:r>
            <w:r w:rsidR="00563128">
              <w:rPr>
                <w:noProof/>
                <w:webHidden/>
              </w:rPr>
              <w:fldChar w:fldCharType="separate"/>
            </w:r>
            <w:r w:rsidR="00563128">
              <w:rPr>
                <w:noProof/>
                <w:webHidden/>
              </w:rPr>
              <w:t>15</w:t>
            </w:r>
            <w:r w:rsidR="00563128">
              <w:rPr>
                <w:noProof/>
                <w:webHidden/>
              </w:rPr>
              <w:fldChar w:fldCharType="end"/>
            </w:r>
          </w:hyperlink>
        </w:p>
        <w:p w14:paraId="4715E9C2" w14:textId="7F2BEA6A" w:rsidR="00563128" w:rsidRDefault="00000000">
          <w:pPr>
            <w:pStyle w:val="TOC2"/>
            <w:ind w:left="420"/>
            <w:rPr>
              <w:rFonts w:asciiTheme="minorHAnsi" w:eastAsiaTheme="minorEastAsia" w:hAnsiTheme="minorHAnsi" w:cstheme="minorBidi"/>
              <w:noProof/>
              <w:sz w:val="22"/>
              <w:szCs w:val="22"/>
              <w14:ligatures w14:val="standardContextual"/>
            </w:rPr>
          </w:pPr>
          <w:hyperlink w:anchor="_Toc135748075" w:history="1">
            <w:r w:rsidR="00563128" w:rsidRPr="00C93532">
              <w:rPr>
                <w:rStyle w:val="Hyperlink"/>
                <w:noProof/>
              </w:rPr>
              <w:t>3.2</w:t>
            </w:r>
            <w:r w:rsidR="00563128" w:rsidRPr="00C93532">
              <w:rPr>
                <w:rStyle w:val="Hyperlink"/>
                <w:rFonts w:hint="eastAsia"/>
                <w:noProof/>
              </w:rPr>
              <w:t>研究方法与方案</w:t>
            </w:r>
            <w:r w:rsidR="00563128">
              <w:rPr>
                <w:noProof/>
                <w:webHidden/>
              </w:rPr>
              <w:tab/>
            </w:r>
            <w:r w:rsidR="00563128">
              <w:rPr>
                <w:noProof/>
                <w:webHidden/>
              </w:rPr>
              <w:fldChar w:fldCharType="begin"/>
            </w:r>
            <w:r w:rsidR="00563128">
              <w:rPr>
                <w:noProof/>
                <w:webHidden/>
              </w:rPr>
              <w:instrText xml:space="preserve"> PAGEREF _Toc135748075 \h </w:instrText>
            </w:r>
            <w:r w:rsidR="00563128">
              <w:rPr>
                <w:noProof/>
                <w:webHidden/>
              </w:rPr>
            </w:r>
            <w:r w:rsidR="00563128">
              <w:rPr>
                <w:noProof/>
                <w:webHidden/>
              </w:rPr>
              <w:fldChar w:fldCharType="separate"/>
            </w:r>
            <w:r w:rsidR="00563128">
              <w:rPr>
                <w:noProof/>
                <w:webHidden/>
              </w:rPr>
              <w:t>15</w:t>
            </w:r>
            <w:r w:rsidR="00563128">
              <w:rPr>
                <w:noProof/>
                <w:webHidden/>
              </w:rPr>
              <w:fldChar w:fldCharType="end"/>
            </w:r>
          </w:hyperlink>
        </w:p>
        <w:p w14:paraId="2EB59A75" w14:textId="2BCBF431" w:rsidR="00563128" w:rsidRDefault="00000000">
          <w:pPr>
            <w:pStyle w:val="TOC3"/>
            <w:ind w:left="859"/>
            <w:rPr>
              <w:rFonts w:asciiTheme="minorHAnsi" w:eastAsiaTheme="minorEastAsia" w:hAnsiTheme="minorHAnsi" w:cstheme="minorBidi"/>
              <w:noProof/>
              <w:sz w:val="22"/>
              <w:szCs w:val="22"/>
              <w14:ligatures w14:val="standardContextual"/>
            </w:rPr>
          </w:pPr>
          <w:hyperlink w:anchor="_Toc135748076" w:history="1">
            <w:r w:rsidR="00563128" w:rsidRPr="00C93532">
              <w:rPr>
                <w:rStyle w:val="Hyperlink"/>
                <w:noProof/>
              </w:rPr>
              <w:t>3.2.1</w:t>
            </w:r>
            <w:r w:rsidR="00563128" w:rsidRPr="00C93532">
              <w:rPr>
                <w:rStyle w:val="Hyperlink"/>
                <w:rFonts w:hint="eastAsia"/>
                <w:noProof/>
              </w:rPr>
              <w:t>数据及变量选取</w:t>
            </w:r>
            <w:r w:rsidR="00563128">
              <w:rPr>
                <w:noProof/>
                <w:webHidden/>
              </w:rPr>
              <w:tab/>
            </w:r>
            <w:r w:rsidR="00563128">
              <w:rPr>
                <w:noProof/>
                <w:webHidden/>
              </w:rPr>
              <w:fldChar w:fldCharType="begin"/>
            </w:r>
            <w:r w:rsidR="00563128">
              <w:rPr>
                <w:noProof/>
                <w:webHidden/>
              </w:rPr>
              <w:instrText xml:space="preserve"> PAGEREF _Toc135748076 \h </w:instrText>
            </w:r>
            <w:r w:rsidR="00563128">
              <w:rPr>
                <w:noProof/>
                <w:webHidden/>
              </w:rPr>
            </w:r>
            <w:r w:rsidR="00563128">
              <w:rPr>
                <w:noProof/>
                <w:webHidden/>
              </w:rPr>
              <w:fldChar w:fldCharType="separate"/>
            </w:r>
            <w:r w:rsidR="00563128">
              <w:rPr>
                <w:noProof/>
                <w:webHidden/>
              </w:rPr>
              <w:t>15</w:t>
            </w:r>
            <w:r w:rsidR="00563128">
              <w:rPr>
                <w:noProof/>
                <w:webHidden/>
              </w:rPr>
              <w:fldChar w:fldCharType="end"/>
            </w:r>
          </w:hyperlink>
        </w:p>
        <w:p w14:paraId="07F35253" w14:textId="26BA8AF8" w:rsidR="00563128" w:rsidRDefault="00000000">
          <w:pPr>
            <w:pStyle w:val="TOC3"/>
            <w:ind w:left="859"/>
            <w:rPr>
              <w:rFonts w:asciiTheme="minorHAnsi" w:eastAsiaTheme="minorEastAsia" w:hAnsiTheme="minorHAnsi" w:cstheme="minorBidi"/>
              <w:noProof/>
              <w:sz w:val="22"/>
              <w:szCs w:val="22"/>
              <w14:ligatures w14:val="standardContextual"/>
            </w:rPr>
          </w:pPr>
          <w:hyperlink w:anchor="_Toc135748077" w:history="1">
            <w:r w:rsidR="00563128" w:rsidRPr="00C93532">
              <w:rPr>
                <w:rStyle w:val="Hyperlink"/>
                <w:noProof/>
              </w:rPr>
              <w:t>3.2.2</w:t>
            </w:r>
            <w:r w:rsidR="00563128" w:rsidRPr="00C93532">
              <w:rPr>
                <w:rStyle w:val="Hyperlink"/>
                <w:rFonts w:hint="eastAsia"/>
                <w:noProof/>
              </w:rPr>
              <w:t>模型说明</w:t>
            </w:r>
            <w:r w:rsidR="00563128" w:rsidRPr="00C93532">
              <w:rPr>
                <w:rStyle w:val="Hyperlink"/>
                <w:noProof/>
              </w:rPr>
              <w:t>---MS-VAR</w:t>
            </w:r>
            <w:r w:rsidR="00563128" w:rsidRPr="00C93532">
              <w:rPr>
                <w:rStyle w:val="Hyperlink"/>
                <w:rFonts w:hint="eastAsia"/>
                <w:noProof/>
              </w:rPr>
              <w:t>模型</w:t>
            </w:r>
            <w:r w:rsidR="00563128">
              <w:rPr>
                <w:noProof/>
                <w:webHidden/>
              </w:rPr>
              <w:tab/>
            </w:r>
            <w:r w:rsidR="00563128">
              <w:rPr>
                <w:noProof/>
                <w:webHidden/>
              </w:rPr>
              <w:fldChar w:fldCharType="begin"/>
            </w:r>
            <w:r w:rsidR="00563128">
              <w:rPr>
                <w:noProof/>
                <w:webHidden/>
              </w:rPr>
              <w:instrText xml:space="preserve"> PAGEREF _Toc135748077 \h </w:instrText>
            </w:r>
            <w:r w:rsidR="00563128">
              <w:rPr>
                <w:noProof/>
                <w:webHidden/>
              </w:rPr>
            </w:r>
            <w:r w:rsidR="00563128">
              <w:rPr>
                <w:noProof/>
                <w:webHidden/>
              </w:rPr>
              <w:fldChar w:fldCharType="separate"/>
            </w:r>
            <w:r w:rsidR="00563128">
              <w:rPr>
                <w:noProof/>
                <w:webHidden/>
              </w:rPr>
              <w:t>16</w:t>
            </w:r>
            <w:r w:rsidR="00563128">
              <w:rPr>
                <w:noProof/>
                <w:webHidden/>
              </w:rPr>
              <w:fldChar w:fldCharType="end"/>
            </w:r>
          </w:hyperlink>
        </w:p>
        <w:p w14:paraId="1CA9E923" w14:textId="53DC1313" w:rsidR="00563128" w:rsidRDefault="00000000">
          <w:pPr>
            <w:pStyle w:val="TOC2"/>
            <w:ind w:left="420"/>
            <w:rPr>
              <w:rFonts w:asciiTheme="minorHAnsi" w:eastAsiaTheme="minorEastAsia" w:hAnsiTheme="minorHAnsi" w:cstheme="minorBidi"/>
              <w:noProof/>
              <w:sz w:val="22"/>
              <w:szCs w:val="22"/>
              <w14:ligatures w14:val="standardContextual"/>
            </w:rPr>
          </w:pPr>
          <w:hyperlink w:anchor="_Toc135748078" w:history="1">
            <w:r w:rsidR="00563128" w:rsidRPr="00C93532">
              <w:rPr>
                <w:rStyle w:val="Hyperlink"/>
                <w:noProof/>
              </w:rPr>
              <w:t>3.2</w:t>
            </w:r>
            <w:r w:rsidR="00563128" w:rsidRPr="00C93532">
              <w:rPr>
                <w:rStyle w:val="Hyperlink"/>
                <w:rFonts w:hint="eastAsia"/>
                <w:noProof/>
              </w:rPr>
              <w:t>数据处理</w:t>
            </w:r>
            <w:r w:rsidR="00563128">
              <w:rPr>
                <w:noProof/>
                <w:webHidden/>
              </w:rPr>
              <w:tab/>
            </w:r>
            <w:r w:rsidR="00563128">
              <w:rPr>
                <w:noProof/>
                <w:webHidden/>
              </w:rPr>
              <w:fldChar w:fldCharType="begin"/>
            </w:r>
            <w:r w:rsidR="00563128">
              <w:rPr>
                <w:noProof/>
                <w:webHidden/>
              </w:rPr>
              <w:instrText xml:space="preserve"> PAGEREF _Toc135748078 \h </w:instrText>
            </w:r>
            <w:r w:rsidR="00563128">
              <w:rPr>
                <w:noProof/>
                <w:webHidden/>
              </w:rPr>
            </w:r>
            <w:r w:rsidR="00563128">
              <w:rPr>
                <w:noProof/>
                <w:webHidden/>
              </w:rPr>
              <w:fldChar w:fldCharType="separate"/>
            </w:r>
            <w:r w:rsidR="00563128">
              <w:rPr>
                <w:noProof/>
                <w:webHidden/>
              </w:rPr>
              <w:t>19</w:t>
            </w:r>
            <w:r w:rsidR="00563128">
              <w:rPr>
                <w:noProof/>
                <w:webHidden/>
              </w:rPr>
              <w:fldChar w:fldCharType="end"/>
            </w:r>
          </w:hyperlink>
        </w:p>
        <w:p w14:paraId="3D6192EC" w14:textId="3B626AB9" w:rsidR="00563128" w:rsidRDefault="00000000">
          <w:pPr>
            <w:pStyle w:val="TOC3"/>
            <w:ind w:left="859"/>
            <w:rPr>
              <w:rFonts w:asciiTheme="minorHAnsi" w:eastAsiaTheme="minorEastAsia" w:hAnsiTheme="minorHAnsi" w:cstheme="minorBidi"/>
              <w:noProof/>
              <w:sz w:val="22"/>
              <w:szCs w:val="22"/>
              <w14:ligatures w14:val="standardContextual"/>
            </w:rPr>
          </w:pPr>
          <w:hyperlink w:anchor="_Toc135748079" w:history="1">
            <w:r w:rsidR="00563128" w:rsidRPr="00C93532">
              <w:rPr>
                <w:rStyle w:val="Hyperlink"/>
                <w:noProof/>
              </w:rPr>
              <w:t>3.2.1</w:t>
            </w:r>
            <w:r w:rsidR="00563128" w:rsidRPr="00C93532">
              <w:rPr>
                <w:rStyle w:val="Hyperlink"/>
                <w:rFonts w:hint="eastAsia"/>
                <w:noProof/>
              </w:rPr>
              <w:t>变量描述性统计</w:t>
            </w:r>
            <w:r w:rsidR="00563128">
              <w:rPr>
                <w:noProof/>
                <w:webHidden/>
              </w:rPr>
              <w:tab/>
            </w:r>
            <w:r w:rsidR="00563128">
              <w:rPr>
                <w:noProof/>
                <w:webHidden/>
              </w:rPr>
              <w:fldChar w:fldCharType="begin"/>
            </w:r>
            <w:r w:rsidR="00563128">
              <w:rPr>
                <w:noProof/>
                <w:webHidden/>
              </w:rPr>
              <w:instrText xml:space="preserve"> PAGEREF _Toc135748079 \h </w:instrText>
            </w:r>
            <w:r w:rsidR="00563128">
              <w:rPr>
                <w:noProof/>
                <w:webHidden/>
              </w:rPr>
            </w:r>
            <w:r w:rsidR="00563128">
              <w:rPr>
                <w:noProof/>
                <w:webHidden/>
              </w:rPr>
              <w:fldChar w:fldCharType="separate"/>
            </w:r>
            <w:r w:rsidR="00563128">
              <w:rPr>
                <w:noProof/>
                <w:webHidden/>
              </w:rPr>
              <w:t>19</w:t>
            </w:r>
            <w:r w:rsidR="00563128">
              <w:rPr>
                <w:noProof/>
                <w:webHidden/>
              </w:rPr>
              <w:fldChar w:fldCharType="end"/>
            </w:r>
          </w:hyperlink>
        </w:p>
        <w:p w14:paraId="634E2BD8" w14:textId="59A7E286" w:rsidR="00563128" w:rsidRDefault="00000000">
          <w:pPr>
            <w:pStyle w:val="TOC3"/>
            <w:ind w:left="859"/>
            <w:rPr>
              <w:rFonts w:asciiTheme="minorHAnsi" w:eastAsiaTheme="minorEastAsia" w:hAnsiTheme="minorHAnsi" w:cstheme="minorBidi"/>
              <w:noProof/>
              <w:sz w:val="22"/>
              <w:szCs w:val="22"/>
              <w14:ligatures w14:val="standardContextual"/>
            </w:rPr>
          </w:pPr>
          <w:hyperlink w:anchor="_Toc135748080" w:history="1">
            <w:r w:rsidR="00563128" w:rsidRPr="00C93532">
              <w:rPr>
                <w:rStyle w:val="Hyperlink"/>
                <w:noProof/>
              </w:rPr>
              <w:t>3.2.2</w:t>
            </w:r>
            <w:r w:rsidR="00563128" w:rsidRPr="00C93532">
              <w:rPr>
                <w:rStyle w:val="Hyperlink"/>
                <w:rFonts w:hint="eastAsia"/>
                <w:noProof/>
              </w:rPr>
              <w:t>平稳性检验</w:t>
            </w:r>
            <w:r w:rsidR="00563128">
              <w:rPr>
                <w:noProof/>
                <w:webHidden/>
              </w:rPr>
              <w:tab/>
            </w:r>
            <w:r w:rsidR="00563128">
              <w:rPr>
                <w:noProof/>
                <w:webHidden/>
              </w:rPr>
              <w:fldChar w:fldCharType="begin"/>
            </w:r>
            <w:r w:rsidR="00563128">
              <w:rPr>
                <w:noProof/>
                <w:webHidden/>
              </w:rPr>
              <w:instrText xml:space="preserve"> PAGEREF _Toc135748080 \h </w:instrText>
            </w:r>
            <w:r w:rsidR="00563128">
              <w:rPr>
                <w:noProof/>
                <w:webHidden/>
              </w:rPr>
            </w:r>
            <w:r w:rsidR="00563128">
              <w:rPr>
                <w:noProof/>
                <w:webHidden/>
              </w:rPr>
              <w:fldChar w:fldCharType="separate"/>
            </w:r>
            <w:r w:rsidR="00563128">
              <w:rPr>
                <w:noProof/>
                <w:webHidden/>
              </w:rPr>
              <w:t>20</w:t>
            </w:r>
            <w:r w:rsidR="00563128">
              <w:rPr>
                <w:noProof/>
                <w:webHidden/>
              </w:rPr>
              <w:fldChar w:fldCharType="end"/>
            </w:r>
          </w:hyperlink>
        </w:p>
        <w:p w14:paraId="48F4DB94" w14:textId="6877A16F" w:rsidR="00563128" w:rsidRDefault="00000000">
          <w:pPr>
            <w:pStyle w:val="TOC3"/>
            <w:ind w:left="859"/>
            <w:rPr>
              <w:rFonts w:asciiTheme="minorHAnsi" w:eastAsiaTheme="minorEastAsia" w:hAnsiTheme="minorHAnsi" w:cstheme="minorBidi"/>
              <w:noProof/>
              <w:sz w:val="22"/>
              <w:szCs w:val="22"/>
              <w14:ligatures w14:val="standardContextual"/>
            </w:rPr>
          </w:pPr>
          <w:hyperlink w:anchor="_Toc135748081" w:history="1">
            <w:r w:rsidR="00563128" w:rsidRPr="00C93532">
              <w:rPr>
                <w:rStyle w:val="Hyperlink"/>
                <w:noProof/>
              </w:rPr>
              <w:t>3.2.3</w:t>
            </w:r>
            <w:r w:rsidR="00563128" w:rsidRPr="00C93532">
              <w:rPr>
                <w:rStyle w:val="Hyperlink"/>
                <w:rFonts w:hint="eastAsia"/>
                <w:noProof/>
              </w:rPr>
              <w:t>协整检验</w:t>
            </w:r>
            <w:r w:rsidR="00563128">
              <w:rPr>
                <w:noProof/>
                <w:webHidden/>
              </w:rPr>
              <w:tab/>
            </w:r>
            <w:r w:rsidR="00563128">
              <w:rPr>
                <w:noProof/>
                <w:webHidden/>
              </w:rPr>
              <w:fldChar w:fldCharType="begin"/>
            </w:r>
            <w:r w:rsidR="00563128">
              <w:rPr>
                <w:noProof/>
                <w:webHidden/>
              </w:rPr>
              <w:instrText xml:space="preserve"> PAGEREF _Toc135748081 \h </w:instrText>
            </w:r>
            <w:r w:rsidR="00563128">
              <w:rPr>
                <w:noProof/>
                <w:webHidden/>
              </w:rPr>
            </w:r>
            <w:r w:rsidR="00563128">
              <w:rPr>
                <w:noProof/>
                <w:webHidden/>
              </w:rPr>
              <w:fldChar w:fldCharType="separate"/>
            </w:r>
            <w:r w:rsidR="00563128">
              <w:rPr>
                <w:noProof/>
                <w:webHidden/>
              </w:rPr>
              <w:t>20</w:t>
            </w:r>
            <w:r w:rsidR="00563128">
              <w:rPr>
                <w:noProof/>
                <w:webHidden/>
              </w:rPr>
              <w:fldChar w:fldCharType="end"/>
            </w:r>
          </w:hyperlink>
        </w:p>
        <w:p w14:paraId="74989BFF" w14:textId="49E2836F" w:rsidR="00563128" w:rsidRDefault="00000000">
          <w:pPr>
            <w:pStyle w:val="TOC1"/>
            <w:rPr>
              <w:rFonts w:asciiTheme="minorHAnsi" w:eastAsiaTheme="minorEastAsia" w:hAnsiTheme="minorHAnsi" w:cstheme="minorBidi"/>
              <w:b w:val="0"/>
              <w:sz w:val="22"/>
              <w:szCs w:val="22"/>
              <w14:ligatures w14:val="standardContextual"/>
            </w:rPr>
          </w:pPr>
          <w:hyperlink w:anchor="_Toc135748082" w:history="1">
            <w:r w:rsidR="00563128" w:rsidRPr="00C93532">
              <w:rPr>
                <w:rStyle w:val="Hyperlink"/>
                <w:rFonts w:hint="eastAsia"/>
              </w:rPr>
              <w:t>第四章</w:t>
            </w:r>
            <w:r w:rsidR="00563128" w:rsidRPr="00C93532">
              <w:rPr>
                <w:rStyle w:val="Hyperlink"/>
              </w:rPr>
              <w:t xml:space="preserve"> </w:t>
            </w:r>
            <w:r w:rsidR="00563128" w:rsidRPr="00C93532">
              <w:rPr>
                <w:rStyle w:val="Hyperlink"/>
                <w:rFonts w:hint="eastAsia"/>
              </w:rPr>
              <w:t>实证检验与结果分析</w:t>
            </w:r>
            <w:r w:rsidR="00563128">
              <w:rPr>
                <w:webHidden/>
              </w:rPr>
              <w:tab/>
            </w:r>
            <w:r w:rsidR="00563128">
              <w:rPr>
                <w:webHidden/>
              </w:rPr>
              <w:fldChar w:fldCharType="begin"/>
            </w:r>
            <w:r w:rsidR="00563128">
              <w:rPr>
                <w:webHidden/>
              </w:rPr>
              <w:instrText xml:space="preserve"> PAGEREF _Toc135748082 \h </w:instrText>
            </w:r>
            <w:r w:rsidR="00563128">
              <w:rPr>
                <w:webHidden/>
              </w:rPr>
            </w:r>
            <w:r w:rsidR="00563128">
              <w:rPr>
                <w:webHidden/>
              </w:rPr>
              <w:fldChar w:fldCharType="separate"/>
            </w:r>
            <w:r w:rsidR="00563128">
              <w:rPr>
                <w:webHidden/>
              </w:rPr>
              <w:t>22</w:t>
            </w:r>
            <w:r w:rsidR="00563128">
              <w:rPr>
                <w:webHidden/>
              </w:rPr>
              <w:fldChar w:fldCharType="end"/>
            </w:r>
          </w:hyperlink>
        </w:p>
        <w:p w14:paraId="1DA580AC" w14:textId="193452B3" w:rsidR="00563128" w:rsidRDefault="00000000">
          <w:pPr>
            <w:pStyle w:val="TOC2"/>
            <w:ind w:left="420"/>
            <w:rPr>
              <w:rFonts w:asciiTheme="minorHAnsi" w:eastAsiaTheme="minorEastAsia" w:hAnsiTheme="minorHAnsi" w:cstheme="minorBidi"/>
              <w:noProof/>
              <w:sz w:val="22"/>
              <w:szCs w:val="22"/>
              <w14:ligatures w14:val="standardContextual"/>
            </w:rPr>
          </w:pPr>
          <w:hyperlink w:anchor="_Toc135748083" w:history="1">
            <w:r w:rsidR="00563128" w:rsidRPr="00C93532">
              <w:rPr>
                <w:rStyle w:val="Hyperlink"/>
                <w:noProof/>
              </w:rPr>
              <w:t xml:space="preserve">4.1 </w:t>
            </w:r>
            <w:r w:rsidR="00563128" w:rsidRPr="00C93532">
              <w:rPr>
                <w:rStyle w:val="Hyperlink"/>
                <w:rFonts w:hint="eastAsia"/>
                <w:noProof/>
              </w:rPr>
              <w:t>模型选择</w:t>
            </w:r>
            <w:r w:rsidR="00563128">
              <w:rPr>
                <w:noProof/>
                <w:webHidden/>
              </w:rPr>
              <w:tab/>
            </w:r>
            <w:r w:rsidR="00563128">
              <w:rPr>
                <w:noProof/>
                <w:webHidden/>
              </w:rPr>
              <w:fldChar w:fldCharType="begin"/>
            </w:r>
            <w:r w:rsidR="00563128">
              <w:rPr>
                <w:noProof/>
                <w:webHidden/>
              </w:rPr>
              <w:instrText xml:space="preserve"> PAGEREF _Toc135748083 \h </w:instrText>
            </w:r>
            <w:r w:rsidR="00563128">
              <w:rPr>
                <w:noProof/>
                <w:webHidden/>
              </w:rPr>
            </w:r>
            <w:r w:rsidR="00563128">
              <w:rPr>
                <w:noProof/>
                <w:webHidden/>
              </w:rPr>
              <w:fldChar w:fldCharType="separate"/>
            </w:r>
            <w:r w:rsidR="00563128">
              <w:rPr>
                <w:noProof/>
                <w:webHidden/>
              </w:rPr>
              <w:t>22</w:t>
            </w:r>
            <w:r w:rsidR="00563128">
              <w:rPr>
                <w:noProof/>
                <w:webHidden/>
              </w:rPr>
              <w:fldChar w:fldCharType="end"/>
            </w:r>
          </w:hyperlink>
        </w:p>
        <w:p w14:paraId="714603D9" w14:textId="3D1F7955" w:rsidR="00563128" w:rsidRDefault="00000000">
          <w:pPr>
            <w:pStyle w:val="TOC2"/>
            <w:ind w:left="420"/>
            <w:rPr>
              <w:rFonts w:asciiTheme="minorHAnsi" w:eastAsiaTheme="minorEastAsia" w:hAnsiTheme="minorHAnsi" w:cstheme="minorBidi"/>
              <w:noProof/>
              <w:sz w:val="22"/>
              <w:szCs w:val="22"/>
              <w14:ligatures w14:val="standardContextual"/>
            </w:rPr>
          </w:pPr>
          <w:hyperlink w:anchor="_Toc135748084" w:history="1">
            <w:r w:rsidR="00563128" w:rsidRPr="00C93532">
              <w:rPr>
                <w:rStyle w:val="Hyperlink"/>
                <w:noProof/>
              </w:rPr>
              <w:t xml:space="preserve">4.2 </w:t>
            </w:r>
            <w:r w:rsidR="00563128" w:rsidRPr="00C93532">
              <w:rPr>
                <w:rStyle w:val="Hyperlink"/>
                <w:rFonts w:hint="eastAsia"/>
                <w:noProof/>
              </w:rPr>
              <w:t>模型区制状态转化分析</w:t>
            </w:r>
            <w:r w:rsidR="00563128">
              <w:rPr>
                <w:noProof/>
                <w:webHidden/>
              </w:rPr>
              <w:tab/>
            </w:r>
            <w:r w:rsidR="00563128">
              <w:rPr>
                <w:noProof/>
                <w:webHidden/>
              </w:rPr>
              <w:fldChar w:fldCharType="begin"/>
            </w:r>
            <w:r w:rsidR="00563128">
              <w:rPr>
                <w:noProof/>
                <w:webHidden/>
              </w:rPr>
              <w:instrText xml:space="preserve"> PAGEREF _Toc135748084 \h </w:instrText>
            </w:r>
            <w:r w:rsidR="00563128">
              <w:rPr>
                <w:noProof/>
                <w:webHidden/>
              </w:rPr>
            </w:r>
            <w:r w:rsidR="00563128">
              <w:rPr>
                <w:noProof/>
                <w:webHidden/>
              </w:rPr>
              <w:fldChar w:fldCharType="separate"/>
            </w:r>
            <w:r w:rsidR="00563128">
              <w:rPr>
                <w:noProof/>
                <w:webHidden/>
              </w:rPr>
              <w:t>23</w:t>
            </w:r>
            <w:r w:rsidR="00563128">
              <w:rPr>
                <w:noProof/>
                <w:webHidden/>
              </w:rPr>
              <w:fldChar w:fldCharType="end"/>
            </w:r>
          </w:hyperlink>
        </w:p>
        <w:p w14:paraId="260E92F8" w14:textId="2D1F5E4F" w:rsidR="00563128" w:rsidRDefault="00000000">
          <w:pPr>
            <w:pStyle w:val="TOC2"/>
            <w:ind w:left="420"/>
            <w:rPr>
              <w:rFonts w:asciiTheme="minorHAnsi" w:eastAsiaTheme="minorEastAsia" w:hAnsiTheme="minorHAnsi" w:cstheme="minorBidi"/>
              <w:noProof/>
              <w:sz w:val="22"/>
              <w:szCs w:val="22"/>
              <w14:ligatures w14:val="standardContextual"/>
            </w:rPr>
          </w:pPr>
          <w:hyperlink w:anchor="_Toc135748085" w:history="1">
            <w:r w:rsidR="00563128" w:rsidRPr="00C93532">
              <w:rPr>
                <w:rStyle w:val="Hyperlink"/>
                <w:noProof/>
              </w:rPr>
              <w:t>4.3</w:t>
            </w:r>
            <w:r w:rsidR="00563128" w:rsidRPr="00C93532">
              <w:rPr>
                <w:rStyle w:val="Hyperlink"/>
                <w:rFonts w:hint="eastAsia"/>
                <w:noProof/>
              </w:rPr>
              <w:t>模型回归结果分析</w:t>
            </w:r>
            <w:r w:rsidR="00563128">
              <w:rPr>
                <w:noProof/>
                <w:webHidden/>
              </w:rPr>
              <w:tab/>
            </w:r>
            <w:r w:rsidR="00563128">
              <w:rPr>
                <w:noProof/>
                <w:webHidden/>
              </w:rPr>
              <w:fldChar w:fldCharType="begin"/>
            </w:r>
            <w:r w:rsidR="00563128">
              <w:rPr>
                <w:noProof/>
                <w:webHidden/>
              </w:rPr>
              <w:instrText xml:space="preserve"> PAGEREF _Toc135748085 \h </w:instrText>
            </w:r>
            <w:r w:rsidR="00563128">
              <w:rPr>
                <w:noProof/>
                <w:webHidden/>
              </w:rPr>
            </w:r>
            <w:r w:rsidR="00563128">
              <w:rPr>
                <w:noProof/>
                <w:webHidden/>
              </w:rPr>
              <w:fldChar w:fldCharType="separate"/>
            </w:r>
            <w:r w:rsidR="00563128">
              <w:rPr>
                <w:noProof/>
                <w:webHidden/>
              </w:rPr>
              <w:t>27</w:t>
            </w:r>
            <w:r w:rsidR="00563128">
              <w:rPr>
                <w:noProof/>
                <w:webHidden/>
              </w:rPr>
              <w:fldChar w:fldCharType="end"/>
            </w:r>
          </w:hyperlink>
        </w:p>
        <w:p w14:paraId="182906BE" w14:textId="7DC448E1" w:rsidR="00563128" w:rsidRDefault="00000000">
          <w:pPr>
            <w:pStyle w:val="TOC2"/>
            <w:ind w:left="420"/>
            <w:rPr>
              <w:rFonts w:asciiTheme="minorHAnsi" w:eastAsiaTheme="minorEastAsia" w:hAnsiTheme="minorHAnsi" w:cstheme="minorBidi"/>
              <w:noProof/>
              <w:sz w:val="22"/>
              <w:szCs w:val="22"/>
              <w14:ligatures w14:val="standardContextual"/>
            </w:rPr>
          </w:pPr>
          <w:hyperlink w:anchor="_Toc135748086" w:history="1">
            <w:r w:rsidR="00563128" w:rsidRPr="00C93532">
              <w:rPr>
                <w:rStyle w:val="Hyperlink"/>
                <w:noProof/>
              </w:rPr>
              <w:t>4.4</w:t>
            </w:r>
            <w:r w:rsidR="00563128" w:rsidRPr="00C93532">
              <w:rPr>
                <w:rStyle w:val="Hyperlink"/>
                <w:rFonts w:hint="eastAsia"/>
                <w:noProof/>
              </w:rPr>
              <w:t>稳健性检验</w:t>
            </w:r>
            <w:r w:rsidR="00563128">
              <w:rPr>
                <w:noProof/>
                <w:webHidden/>
              </w:rPr>
              <w:tab/>
            </w:r>
            <w:r w:rsidR="00563128">
              <w:rPr>
                <w:noProof/>
                <w:webHidden/>
              </w:rPr>
              <w:fldChar w:fldCharType="begin"/>
            </w:r>
            <w:r w:rsidR="00563128">
              <w:rPr>
                <w:noProof/>
                <w:webHidden/>
              </w:rPr>
              <w:instrText xml:space="preserve"> PAGEREF _Toc135748086 \h </w:instrText>
            </w:r>
            <w:r w:rsidR="00563128">
              <w:rPr>
                <w:noProof/>
                <w:webHidden/>
              </w:rPr>
            </w:r>
            <w:r w:rsidR="00563128">
              <w:rPr>
                <w:noProof/>
                <w:webHidden/>
              </w:rPr>
              <w:fldChar w:fldCharType="separate"/>
            </w:r>
            <w:r w:rsidR="00563128">
              <w:rPr>
                <w:noProof/>
                <w:webHidden/>
              </w:rPr>
              <w:t>29</w:t>
            </w:r>
            <w:r w:rsidR="00563128">
              <w:rPr>
                <w:noProof/>
                <w:webHidden/>
              </w:rPr>
              <w:fldChar w:fldCharType="end"/>
            </w:r>
          </w:hyperlink>
        </w:p>
        <w:p w14:paraId="78F467E8" w14:textId="16EA375B" w:rsidR="00563128" w:rsidRDefault="00000000">
          <w:pPr>
            <w:pStyle w:val="TOC3"/>
            <w:ind w:left="859"/>
            <w:rPr>
              <w:rFonts w:asciiTheme="minorHAnsi" w:eastAsiaTheme="minorEastAsia" w:hAnsiTheme="minorHAnsi" w:cstheme="minorBidi"/>
              <w:noProof/>
              <w:sz w:val="22"/>
              <w:szCs w:val="22"/>
              <w14:ligatures w14:val="standardContextual"/>
            </w:rPr>
          </w:pPr>
          <w:hyperlink w:anchor="_Toc135748087" w:history="1">
            <w:r w:rsidR="00563128" w:rsidRPr="00C93532">
              <w:rPr>
                <w:rStyle w:val="Hyperlink"/>
                <w:noProof/>
              </w:rPr>
              <w:t>4.4.1</w:t>
            </w:r>
            <w:r w:rsidR="00563128" w:rsidRPr="00C93532">
              <w:rPr>
                <w:rStyle w:val="Hyperlink"/>
                <w:rFonts w:hint="eastAsia"/>
                <w:noProof/>
              </w:rPr>
              <w:t>分类经济政策回归结果分析</w:t>
            </w:r>
            <w:r w:rsidR="00563128">
              <w:rPr>
                <w:noProof/>
                <w:webHidden/>
              </w:rPr>
              <w:tab/>
            </w:r>
            <w:r w:rsidR="00563128">
              <w:rPr>
                <w:noProof/>
                <w:webHidden/>
              </w:rPr>
              <w:fldChar w:fldCharType="begin"/>
            </w:r>
            <w:r w:rsidR="00563128">
              <w:rPr>
                <w:noProof/>
                <w:webHidden/>
              </w:rPr>
              <w:instrText xml:space="preserve"> PAGEREF _Toc135748087 \h </w:instrText>
            </w:r>
            <w:r w:rsidR="00563128">
              <w:rPr>
                <w:noProof/>
                <w:webHidden/>
              </w:rPr>
            </w:r>
            <w:r w:rsidR="00563128">
              <w:rPr>
                <w:noProof/>
                <w:webHidden/>
              </w:rPr>
              <w:fldChar w:fldCharType="separate"/>
            </w:r>
            <w:r w:rsidR="00563128">
              <w:rPr>
                <w:noProof/>
                <w:webHidden/>
              </w:rPr>
              <w:t>29</w:t>
            </w:r>
            <w:r w:rsidR="00563128">
              <w:rPr>
                <w:noProof/>
                <w:webHidden/>
              </w:rPr>
              <w:fldChar w:fldCharType="end"/>
            </w:r>
          </w:hyperlink>
        </w:p>
        <w:p w14:paraId="53433B06" w14:textId="5D4C47D0" w:rsidR="00563128" w:rsidRDefault="00000000">
          <w:pPr>
            <w:pStyle w:val="TOC3"/>
            <w:ind w:left="859"/>
            <w:rPr>
              <w:rFonts w:asciiTheme="minorHAnsi" w:eastAsiaTheme="minorEastAsia" w:hAnsiTheme="minorHAnsi" w:cstheme="minorBidi"/>
              <w:noProof/>
              <w:sz w:val="22"/>
              <w:szCs w:val="22"/>
              <w14:ligatures w14:val="standardContextual"/>
            </w:rPr>
          </w:pPr>
          <w:hyperlink w:anchor="_Toc135748088" w:history="1">
            <w:r w:rsidR="00563128" w:rsidRPr="00C93532">
              <w:rPr>
                <w:rStyle w:val="Hyperlink"/>
                <w:noProof/>
              </w:rPr>
              <w:t xml:space="preserve">4.4.2 </w:t>
            </w:r>
            <w:r w:rsidR="00563128" w:rsidRPr="00C93532">
              <w:rPr>
                <w:rStyle w:val="Hyperlink"/>
                <w:rFonts w:hint="eastAsia"/>
                <w:noProof/>
              </w:rPr>
              <w:t>改变经济政策不确定性代理变量</w:t>
            </w:r>
            <w:r w:rsidR="00563128">
              <w:rPr>
                <w:noProof/>
                <w:webHidden/>
              </w:rPr>
              <w:tab/>
            </w:r>
            <w:r w:rsidR="00563128">
              <w:rPr>
                <w:noProof/>
                <w:webHidden/>
              </w:rPr>
              <w:fldChar w:fldCharType="begin"/>
            </w:r>
            <w:r w:rsidR="00563128">
              <w:rPr>
                <w:noProof/>
                <w:webHidden/>
              </w:rPr>
              <w:instrText xml:space="preserve"> PAGEREF _Toc135748088 \h </w:instrText>
            </w:r>
            <w:r w:rsidR="00563128">
              <w:rPr>
                <w:noProof/>
                <w:webHidden/>
              </w:rPr>
            </w:r>
            <w:r w:rsidR="00563128">
              <w:rPr>
                <w:noProof/>
                <w:webHidden/>
              </w:rPr>
              <w:fldChar w:fldCharType="separate"/>
            </w:r>
            <w:r w:rsidR="00563128">
              <w:rPr>
                <w:noProof/>
                <w:webHidden/>
              </w:rPr>
              <w:t>30</w:t>
            </w:r>
            <w:r w:rsidR="00563128">
              <w:rPr>
                <w:noProof/>
                <w:webHidden/>
              </w:rPr>
              <w:fldChar w:fldCharType="end"/>
            </w:r>
          </w:hyperlink>
        </w:p>
        <w:p w14:paraId="553C25E0" w14:textId="40C99A7F" w:rsidR="00563128" w:rsidRDefault="00000000">
          <w:pPr>
            <w:pStyle w:val="TOC1"/>
            <w:rPr>
              <w:rFonts w:asciiTheme="minorHAnsi" w:eastAsiaTheme="minorEastAsia" w:hAnsiTheme="minorHAnsi" w:cstheme="minorBidi"/>
              <w:b w:val="0"/>
              <w:sz w:val="22"/>
              <w:szCs w:val="22"/>
              <w14:ligatures w14:val="standardContextual"/>
            </w:rPr>
          </w:pPr>
          <w:hyperlink w:anchor="_Toc135748089" w:history="1">
            <w:r w:rsidR="00563128" w:rsidRPr="00C93532">
              <w:rPr>
                <w:rStyle w:val="Hyperlink"/>
                <w:rFonts w:hint="eastAsia"/>
              </w:rPr>
              <w:t>第五章</w:t>
            </w:r>
            <w:r w:rsidR="00563128" w:rsidRPr="00C93532">
              <w:rPr>
                <w:rStyle w:val="Hyperlink"/>
              </w:rPr>
              <w:t xml:space="preserve"> </w:t>
            </w:r>
            <w:r w:rsidR="00563128" w:rsidRPr="00C93532">
              <w:rPr>
                <w:rStyle w:val="Hyperlink"/>
                <w:rFonts w:hint="eastAsia"/>
              </w:rPr>
              <w:t>结论与政策启示</w:t>
            </w:r>
            <w:r w:rsidR="00563128">
              <w:rPr>
                <w:webHidden/>
              </w:rPr>
              <w:tab/>
            </w:r>
            <w:r w:rsidR="00563128">
              <w:rPr>
                <w:webHidden/>
              </w:rPr>
              <w:fldChar w:fldCharType="begin"/>
            </w:r>
            <w:r w:rsidR="00563128">
              <w:rPr>
                <w:webHidden/>
              </w:rPr>
              <w:instrText xml:space="preserve"> PAGEREF _Toc135748089 \h </w:instrText>
            </w:r>
            <w:r w:rsidR="00563128">
              <w:rPr>
                <w:webHidden/>
              </w:rPr>
            </w:r>
            <w:r w:rsidR="00563128">
              <w:rPr>
                <w:webHidden/>
              </w:rPr>
              <w:fldChar w:fldCharType="separate"/>
            </w:r>
            <w:r w:rsidR="00563128">
              <w:rPr>
                <w:webHidden/>
              </w:rPr>
              <w:t>31</w:t>
            </w:r>
            <w:r w:rsidR="00563128">
              <w:rPr>
                <w:webHidden/>
              </w:rPr>
              <w:fldChar w:fldCharType="end"/>
            </w:r>
          </w:hyperlink>
        </w:p>
        <w:p w14:paraId="7F85F443" w14:textId="1ED559DC" w:rsidR="00563128" w:rsidRDefault="00000000">
          <w:pPr>
            <w:pStyle w:val="TOC1"/>
            <w:rPr>
              <w:rFonts w:asciiTheme="minorHAnsi" w:eastAsiaTheme="minorEastAsia" w:hAnsiTheme="minorHAnsi" w:cstheme="minorBidi"/>
              <w:b w:val="0"/>
              <w:sz w:val="22"/>
              <w:szCs w:val="22"/>
              <w14:ligatures w14:val="standardContextual"/>
            </w:rPr>
          </w:pPr>
          <w:hyperlink w:anchor="_Toc135748090" w:history="1">
            <w:r w:rsidR="00563128" w:rsidRPr="00C93532">
              <w:rPr>
                <w:rStyle w:val="Hyperlink"/>
                <w:rFonts w:hint="eastAsia"/>
              </w:rPr>
              <w:t>参考文献</w:t>
            </w:r>
            <w:r w:rsidR="00563128">
              <w:rPr>
                <w:webHidden/>
              </w:rPr>
              <w:tab/>
            </w:r>
            <w:r w:rsidR="00563128">
              <w:rPr>
                <w:webHidden/>
              </w:rPr>
              <w:fldChar w:fldCharType="begin"/>
            </w:r>
            <w:r w:rsidR="00563128">
              <w:rPr>
                <w:webHidden/>
              </w:rPr>
              <w:instrText xml:space="preserve"> PAGEREF _Toc135748090 \h </w:instrText>
            </w:r>
            <w:r w:rsidR="00563128">
              <w:rPr>
                <w:webHidden/>
              </w:rPr>
            </w:r>
            <w:r w:rsidR="00563128">
              <w:rPr>
                <w:webHidden/>
              </w:rPr>
              <w:fldChar w:fldCharType="separate"/>
            </w:r>
            <w:r w:rsidR="00563128">
              <w:rPr>
                <w:webHidden/>
              </w:rPr>
              <w:t>32</w:t>
            </w:r>
            <w:r w:rsidR="00563128">
              <w:rPr>
                <w:webHidden/>
              </w:rPr>
              <w:fldChar w:fldCharType="end"/>
            </w:r>
          </w:hyperlink>
        </w:p>
        <w:p w14:paraId="50F8B223" w14:textId="22B06070" w:rsidR="00563128" w:rsidRDefault="00000000">
          <w:pPr>
            <w:pStyle w:val="TOC1"/>
            <w:rPr>
              <w:rFonts w:asciiTheme="minorHAnsi" w:eastAsiaTheme="minorEastAsia" w:hAnsiTheme="minorHAnsi" w:cstheme="minorBidi"/>
              <w:b w:val="0"/>
              <w:sz w:val="22"/>
              <w:szCs w:val="22"/>
              <w14:ligatures w14:val="standardContextual"/>
            </w:rPr>
          </w:pPr>
          <w:hyperlink w:anchor="_Toc135748091" w:history="1">
            <w:r w:rsidR="00563128" w:rsidRPr="00C93532">
              <w:rPr>
                <w:rStyle w:val="Hyperlink"/>
                <w:rFonts w:hint="eastAsia"/>
              </w:rPr>
              <w:t>致</w:t>
            </w:r>
            <w:r w:rsidR="00563128" w:rsidRPr="00C93532">
              <w:rPr>
                <w:rStyle w:val="Hyperlink"/>
              </w:rPr>
              <w:t xml:space="preserve">  </w:t>
            </w:r>
            <w:r w:rsidR="00563128" w:rsidRPr="00C93532">
              <w:rPr>
                <w:rStyle w:val="Hyperlink"/>
                <w:rFonts w:hint="eastAsia"/>
              </w:rPr>
              <w:t>谢</w:t>
            </w:r>
            <w:r w:rsidR="00563128">
              <w:rPr>
                <w:webHidden/>
              </w:rPr>
              <w:tab/>
            </w:r>
            <w:r w:rsidR="00563128">
              <w:rPr>
                <w:webHidden/>
              </w:rPr>
              <w:fldChar w:fldCharType="begin"/>
            </w:r>
            <w:r w:rsidR="00563128">
              <w:rPr>
                <w:webHidden/>
              </w:rPr>
              <w:instrText xml:space="preserve"> PAGEREF _Toc135748091 \h </w:instrText>
            </w:r>
            <w:r w:rsidR="00563128">
              <w:rPr>
                <w:webHidden/>
              </w:rPr>
            </w:r>
            <w:r w:rsidR="00563128">
              <w:rPr>
                <w:webHidden/>
              </w:rPr>
              <w:fldChar w:fldCharType="separate"/>
            </w:r>
            <w:r w:rsidR="00563128">
              <w:rPr>
                <w:webHidden/>
              </w:rPr>
              <w:t>35</w:t>
            </w:r>
            <w:r w:rsidR="00563128">
              <w:rPr>
                <w:webHidden/>
              </w:rPr>
              <w:fldChar w:fldCharType="end"/>
            </w:r>
          </w:hyperlink>
        </w:p>
        <w:p w14:paraId="54AC0E04" w14:textId="6FD6D608" w:rsidR="00D125D5" w:rsidRDefault="004C6202" w:rsidP="004805A0">
          <w:pPr>
            <w:spacing w:line="400" w:lineRule="exact"/>
            <w:rPr>
              <w:bCs/>
              <w:lang w:val="zh-CN"/>
            </w:rPr>
          </w:pPr>
          <w:r>
            <w:rPr>
              <w:b/>
              <w:bCs/>
              <w:lang w:val="zh-CN"/>
            </w:rPr>
            <w:fldChar w:fldCharType="end"/>
          </w:r>
        </w:p>
      </w:sdtContent>
    </w:sdt>
    <w:p w14:paraId="49AB3F47" w14:textId="0B25D2B5" w:rsidR="00AC24BF" w:rsidRPr="00D125D5" w:rsidRDefault="0095276A" w:rsidP="00D125D5">
      <w:pPr>
        <w:pStyle w:val="Heading1"/>
        <w:spacing w:before="624" w:after="468"/>
        <w:rPr>
          <w:sz w:val="36"/>
          <w:szCs w:val="32"/>
        </w:rPr>
      </w:pPr>
      <w:r>
        <w:rPr>
          <w:rFonts w:ascii="宋体" w:hAnsi="宋体" w:cs="Courier New"/>
          <w:szCs w:val="36"/>
        </w:rPr>
        <w:br w:type="page"/>
      </w:r>
      <w:r w:rsidR="009F4645" w:rsidRPr="009F4645">
        <w:rPr>
          <w:sz w:val="36"/>
          <w:szCs w:val="32"/>
        </w:rPr>
        <w:lastRenderedPageBreak/>
        <w:t xml:space="preserve"> </w:t>
      </w:r>
      <w:hyperlink r:id="rId14" w:history="1">
        <w:bookmarkStart w:id="0" w:name="_Toc135748060"/>
        <w:r w:rsidR="009F4645" w:rsidRPr="009F4645">
          <w:rPr>
            <w:rFonts w:hint="eastAsia"/>
            <w:sz w:val="36"/>
            <w:szCs w:val="32"/>
          </w:rPr>
          <w:t>政策不确定性与股票市场波动性的关系研究</w:t>
        </w:r>
        <w:bookmarkEnd w:id="0"/>
      </w:hyperlink>
    </w:p>
    <w:p w14:paraId="6713B6B3" w14:textId="773D4C1C" w:rsidR="00AC24BF" w:rsidRPr="00C63120" w:rsidRDefault="00C63120" w:rsidP="00C63120">
      <w:pPr>
        <w:pStyle w:val="Heading1"/>
        <w:spacing w:before="624" w:after="468"/>
      </w:pPr>
      <w:bookmarkStart w:id="1" w:name="_Toc135748061"/>
      <w:r w:rsidRPr="00C63120">
        <w:rPr>
          <w:rFonts w:hint="eastAsia"/>
        </w:rPr>
        <w:t>摘</w:t>
      </w:r>
      <w:r>
        <w:rPr>
          <w:rFonts w:hint="eastAsia"/>
        </w:rPr>
        <w:t xml:space="preserve"> </w:t>
      </w:r>
      <w:r w:rsidRPr="00C63120">
        <w:rPr>
          <w:rFonts w:hint="eastAsia"/>
        </w:rPr>
        <w:t>要</w:t>
      </w:r>
      <w:bookmarkEnd w:id="1"/>
    </w:p>
    <w:p w14:paraId="197E99D5" w14:textId="5014CE71" w:rsidR="00BA5A75" w:rsidRDefault="00A757A7" w:rsidP="00257EFA">
      <w:pPr>
        <w:spacing w:line="400" w:lineRule="exact"/>
        <w:ind w:firstLineChars="177" w:firstLine="425"/>
        <w:rPr>
          <w:sz w:val="24"/>
        </w:rPr>
      </w:pPr>
      <w:r w:rsidRPr="0003761B">
        <w:rPr>
          <w:rFonts w:hint="eastAsia"/>
          <w:sz w:val="24"/>
        </w:rPr>
        <w:t>政策不确定性</w:t>
      </w:r>
      <w:r w:rsidR="00C51BFF">
        <w:rPr>
          <w:rFonts w:hint="eastAsia"/>
          <w:sz w:val="24"/>
        </w:rPr>
        <w:t>对于</w:t>
      </w:r>
      <w:r w:rsidR="00C51BFF" w:rsidRPr="0003761B">
        <w:rPr>
          <w:rFonts w:hint="eastAsia"/>
          <w:sz w:val="24"/>
        </w:rPr>
        <w:t>中国股票市场</w:t>
      </w:r>
      <w:r w:rsidR="00C51BFF">
        <w:rPr>
          <w:rFonts w:hint="eastAsia"/>
          <w:sz w:val="24"/>
        </w:rPr>
        <w:t>存在着动态的时变性影响</w:t>
      </w:r>
      <w:r w:rsidRPr="0003761B">
        <w:rPr>
          <w:rFonts w:hint="eastAsia"/>
          <w:sz w:val="24"/>
        </w:rPr>
        <w:t>，本文选用</w:t>
      </w:r>
      <w:r w:rsidRPr="0003761B">
        <w:rPr>
          <w:rFonts w:hint="eastAsia"/>
          <w:sz w:val="24"/>
        </w:rPr>
        <w:t>200</w:t>
      </w:r>
      <w:r w:rsidRPr="0003761B">
        <w:rPr>
          <w:sz w:val="24"/>
        </w:rPr>
        <w:t>3</w:t>
      </w:r>
      <w:r w:rsidRPr="0003761B">
        <w:rPr>
          <w:rFonts w:hint="eastAsia"/>
          <w:sz w:val="24"/>
        </w:rPr>
        <w:t>年</w:t>
      </w:r>
      <w:r w:rsidRPr="0003761B">
        <w:rPr>
          <w:sz w:val="24"/>
        </w:rPr>
        <w:t>1</w:t>
      </w:r>
      <w:r w:rsidRPr="0003761B">
        <w:rPr>
          <w:rFonts w:hint="eastAsia"/>
          <w:sz w:val="24"/>
        </w:rPr>
        <w:t>月至</w:t>
      </w:r>
      <w:r w:rsidRPr="0003761B">
        <w:rPr>
          <w:rFonts w:hint="eastAsia"/>
          <w:sz w:val="24"/>
        </w:rPr>
        <w:t>202</w:t>
      </w:r>
      <w:r w:rsidRPr="0003761B">
        <w:rPr>
          <w:sz w:val="24"/>
        </w:rPr>
        <w:t>2</w:t>
      </w:r>
      <w:r w:rsidRPr="0003761B">
        <w:rPr>
          <w:rFonts w:hint="eastAsia"/>
          <w:sz w:val="24"/>
        </w:rPr>
        <w:t>年</w:t>
      </w:r>
      <w:r w:rsidRPr="0003761B">
        <w:rPr>
          <w:rFonts w:hint="eastAsia"/>
          <w:sz w:val="24"/>
        </w:rPr>
        <w:t>5</w:t>
      </w:r>
      <w:r w:rsidRPr="0003761B">
        <w:rPr>
          <w:rFonts w:hint="eastAsia"/>
          <w:sz w:val="24"/>
        </w:rPr>
        <w:t>月的月度数据，</w:t>
      </w:r>
      <w:r w:rsidR="00BA5A75" w:rsidRPr="00BA5A75">
        <w:rPr>
          <w:sz w:val="24"/>
        </w:rPr>
        <w:t>使用</w:t>
      </w:r>
      <w:r w:rsidR="00BA5A75" w:rsidRPr="00BA5A75">
        <w:rPr>
          <w:sz w:val="24"/>
        </w:rPr>
        <w:t>MSIH(3)</w:t>
      </w:r>
      <w:r w:rsidR="00BA5A75" w:rsidRPr="00BA5A75">
        <w:rPr>
          <w:sz w:val="24"/>
        </w:rPr>
        <w:t>－</w:t>
      </w:r>
      <w:r w:rsidR="00BA5A75" w:rsidRPr="00BA5A75">
        <w:rPr>
          <w:sz w:val="24"/>
        </w:rPr>
        <w:t>VAR(3)</w:t>
      </w:r>
      <w:r w:rsidR="00BA5A75" w:rsidRPr="00BA5A75">
        <w:rPr>
          <w:sz w:val="24"/>
        </w:rPr>
        <w:t>模型</w:t>
      </w:r>
      <w:r w:rsidRPr="0003761B">
        <w:rPr>
          <w:rFonts w:hint="eastAsia"/>
          <w:sz w:val="24"/>
        </w:rPr>
        <w:t>划分波动状态，</w:t>
      </w:r>
      <w:r w:rsidR="00BA5A75">
        <w:rPr>
          <w:rFonts w:hint="eastAsia"/>
          <w:sz w:val="24"/>
        </w:rPr>
        <w:t>并</w:t>
      </w:r>
      <w:r w:rsidRPr="0003761B">
        <w:rPr>
          <w:rFonts w:hint="eastAsia"/>
          <w:sz w:val="24"/>
        </w:rPr>
        <w:t>根据马尔科夫链蒙特卡洛算法构建时变参数向量自回归模型，探究政策不确定性与中国股票市场之间的内在关联。研究结果表明</w:t>
      </w:r>
      <w:r w:rsidR="009D6890" w:rsidRPr="0003761B">
        <w:rPr>
          <w:rFonts w:hint="eastAsia"/>
          <w:sz w:val="24"/>
        </w:rPr>
        <w:t>(</w:t>
      </w:r>
      <w:r w:rsidR="009D6890" w:rsidRPr="0003761B">
        <w:rPr>
          <w:sz w:val="24"/>
        </w:rPr>
        <w:t>1)</w:t>
      </w:r>
      <w:r w:rsidR="00B61F42" w:rsidRPr="0003761B">
        <w:rPr>
          <w:rFonts w:hint="eastAsia"/>
          <w:sz w:val="24"/>
        </w:rPr>
        <w:t>经济政策不确定性对股票市场的冲击作用存在滞后性与明显的时变特征，</w:t>
      </w:r>
      <w:r w:rsidR="00BA5A75">
        <w:rPr>
          <w:rFonts w:hint="eastAsia"/>
          <w:sz w:val="24"/>
        </w:rPr>
        <w:t>区制</w:t>
      </w:r>
      <w:r w:rsidR="00AA097C">
        <w:rPr>
          <w:rFonts w:hint="eastAsia"/>
          <w:sz w:val="24"/>
        </w:rPr>
        <w:t>划分特征明显，</w:t>
      </w:r>
      <w:r w:rsidR="00B61F42" w:rsidRPr="0003761B">
        <w:rPr>
          <w:rFonts w:hint="eastAsia"/>
          <w:sz w:val="24"/>
        </w:rPr>
        <w:t>短期影响强烈</w:t>
      </w:r>
      <w:r w:rsidR="009D6890" w:rsidRPr="0003761B">
        <w:rPr>
          <w:rFonts w:hint="eastAsia"/>
          <w:sz w:val="24"/>
        </w:rPr>
        <w:t>;</w:t>
      </w:r>
      <w:r w:rsidR="009D6890" w:rsidRPr="0003761B">
        <w:rPr>
          <w:sz w:val="24"/>
        </w:rPr>
        <w:t>(2)</w:t>
      </w:r>
      <w:r w:rsidR="00BA5A75" w:rsidRPr="00BA5A75">
        <w:rPr>
          <w:sz w:val="24"/>
        </w:rPr>
        <w:t xml:space="preserve"> </w:t>
      </w:r>
      <w:r w:rsidR="00BA5A75" w:rsidRPr="00BA5A75">
        <w:rPr>
          <w:sz w:val="24"/>
        </w:rPr>
        <w:t>经济政策不确定性波动对股市影响的状态转换具有非对称性，其中，平稳波动状态比低、高波动状态具有更强的持续性</w:t>
      </w:r>
      <w:r w:rsidR="009D6890" w:rsidRPr="0003761B">
        <w:rPr>
          <w:rFonts w:hint="eastAsia"/>
          <w:sz w:val="24"/>
        </w:rPr>
        <w:t>。</w:t>
      </w:r>
      <w:r w:rsidR="00BA5A75">
        <w:rPr>
          <w:rFonts w:hint="eastAsia"/>
          <w:sz w:val="24"/>
        </w:rPr>
        <w:t>（</w:t>
      </w:r>
      <w:r w:rsidR="00BA5A75">
        <w:rPr>
          <w:rFonts w:hint="eastAsia"/>
          <w:sz w:val="24"/>
        </w:rPr>
        <w:t>3</w:t>
      </w:r>
      <w:r w:rsidR="00BA5A75">
        <w:rPr>
          <w:rFonts w:hint="eastAsia"/>
          <w:sz w:val="24"/>
        </w:rPr>
        <w:t>）</w:t>
      </w:r>
      <w:r w:rsidR="00BA5A75" w:rsidRPr="00BA5A75">
        <w:rPr>
          <w:sz w:val="24"/>
        </w:rPr>
        <w:t>经济政策不确定性变化率上升时，对于股市的影响在</w:t>
      </w:r>
      <w:r w:rsidR="00F54B0F">
        <w:rPr>
          <w:rFonts w:hint="eastAsia"/>
          <w:sz w:val="24"/>
        </w:rPr>
        <w:t>之后一期</w:t>
      </w:r>
      <w:r w:rsidR="00BA5A75" w:rsidRPr="00BA5A75">
        <w:rPr>
          <w:sz w:val="24"/>
        </w:rPr>
        <w:t>最强烈，且存在较长期的影响。根据脉冲响应结果，股市收益率和波动率受冲击影响的持续时间较长，股市流动性受冲击影响后在一定时期后逐渐消失</w:t>
      </w:r>
      <w:r w:rsidR="00BA5A75" w:rsidRPr="00BA5A75">
        <w:rPr>
          <w:rFonts w:hint="eastAsia"/>
          <w:sz w:val="24"/>
        </w:rPr>
        <w:t>。（</w:t>
      </w:r>
      <w:r w:rsidR="00BA5A75" w:rsidRPr="00BA5A75">
        <w:rPr>
          <w:rFonts w:hint="eastAsia"/>
          <w:sz w:val="24"/>
        </w:rPr>
        <w:t>4</w:t>
      </w:r>
      <w:r w:rsidR="00BA5A75" w:rsidRPr="00BA5A75">
        <w:rPr>
          <w:rFonts w:hint="eastAsia"/>
          <w:sz w:val="24"/>
        </w:rPr>
        <w:t>）</w:t>
      </w:r>
      <w:r w:rsidR="00BA5A75" w:rsidRPr="00BA5A75">
        <w:rPr>
          <w:sz w:val="24"/>
        </w:rPr>
        <w:t>财政政策不确定性与货币政策不确定性对股市的影响较大，影响持续时间较长</w:t>
      </w:r>
      <w:r w:rsidR="00BA5A75" w:rsidRPr="00BA5A75">
        <w:rPr>
          <w:rFonts w:hint="eastAsia"/>
          <w:sz w:val="24"/>
        </w:rPr>
        <w:t>。</w:t>
      </w:r>
      <w:r w:rsidR="00257EFA" w:rsidRPr="00257EFA">
        <w:rPr>
          <w:sz w:val="24"/>
        </w:rPr>
        <w:t>总体来说，</w:t>
      </w:r>
      <w:r w:rsidR="00257EFA">
        <w:rPr>
          <w:rFonts w:hint="eastAsia"/>
          <w:sz w:val="24"/>
        </w:rPr>
        <w:t>本</w:t>
      </w:r>
      <w:r w:rsidR="00257EFA" w:rsidRPr="00257EFA">
        <w:rPr>
          <w:sz w:val="24"/>
        </w:rPr>
        <w:t>研究为理解经济政策不确定性如何影响股市提供了深入的见解，并为政策制定者和投资者提供了参考信息</w:t>
      </w:r>
      <w:r w:rsidR="00257EFA" w:rsidRPr="00257EFA">
        <w:rPr>
          <w:rFonts w:hint="eastAsia"/>
          <w:sz w:val="24"/>
        </w:rPr>
        <w:t>。</w:t>
      </w:r>
    </w:p>
    <w:p w14:paraId="686FBD4C" w14:textId="77777777" w:rsidR="00F54B0F" w:rsidRPr="00257EFA" w:rsidRDefault="00F54B0F" w:rsidP="00257EFA">
      <w:pPr>
        <w:spacing w:line="400" w:lineRule="exact"/>
        <w:ind w:firstLineChars="177" w:firstLine="425"/>
        <w:rPr>
          <w:sz w:val="24"/>
        </w:rPr>
      </w:pPr>
    </w:p>
    <w:p w14:paraId="37E6E572" w14:textId="3CCDC505" w:rsidR="00EB2942" w:rsidRPr="00D0196E" w:rsidRDefault="0095276A" w:rsidP="00D0196E">
      <w:pPr>
        <w:spacing w:line="400" w:lineRule="exact"/>
        <w:ind w:firstLineChars="177" w:firstLine="426"/>
        <w:rPr>
          <w:sz w:val="24"/>
        </w:rPr>
      </w:pPr>
      <w:r>
        <w:rPr>
          <w:rFonts w:ascii="黑体" w:eastAsia="黑体" w:hAnsi="黑体" w:hint="eastAsia"/>
          <w:b/>
          <w:bCs/>
          <w:sz w:val="24"/>
        </w:rPr>
        <w:t>关键词：</w:t>
      </w:r>
      <w:r w:rsidR="00B61F42" w:rsidRPr="0003761B">
        <w:rPr>
          <w:rFonts w:hint="eastAsia"/>
          <w:sz w:val="24"/>
        </w:rPr>
        <w:t>经济政策不确定性；马尔可夫区制转换；</w:t>
      </w:r>
      <w:r w:rsidR="00B56DED" w:rsidRPr="0003761B">
        <w:rPr>
          <w:rFonts w:hint="eastAsia"/>
          <w:sz w:val="24"/>
        </w:rPr>
        <w:t>时变参数向量自回归</w:t>
      </w:r>
    </w:p>
    <w:p w14:paraId="3D123C4F" w14:textId="77777777" w:rsidR="001F54CD" w:rsidRDefault="001F54CD">
      <w:pPr>
        <w:widowControl/>
        <w:spacing w:after="160" w:line="259" w:lineRule="auto"/>
        <w:jc w:val="left"/>
        <w:rPr>
          <w:rFonts w:eastAsia="黑体" w:cstheme="majorBidi"/>
          <w:b/>
          <w:bCs/>
          <w:caps/>
          <w:sz w:val="32"/>
          <w:szCs w:val="32"/>
        </w:rPr>
      </w:pPr>
      <w:r>
        <w:rPr>
          <w:caps/>
          <w:sz w:val="32"/>
        </w:rPr>
        <w:br w:type="page"/>
      </w:r>
    </w:p>
    <w:p w14:paraId="32E2B1A5" w14:textId="5F4FA90F" w:rsidR="0003761B" w:rsidRDefault="00BE2866" w:rsidP="004D074E">
      <w:pPr>
        <w:pStyle w:val="Title"/>
        <w:spacing w:before="624" w:after="468"/>
        <w:rPr>
          <w:caps/>
          <w:sz w:val="32"/>
        </w:rPr>
      </w:pPr>
      <w:r w:rsidRPr="00BE2866">
        <w:rPr>
          <w:caps/>
          <w:sz w:val="32"/>
        </w:rPr>
        <w:lastRenderedPageBreak/>
        <w:t>Research on the Relationship between Policy Uncertainty and Stock Market Volatility</w:t>
      </w:r>
    </w:p>
    <w:p w14:paraId="4D6FC42C" w14:textId="77777777" w:rsidR="004D074E" w:rsidRDefault="004D074E" w:rsidP="004D074E">
      <w:pPr>
        <w:pStyle w:val="Heading1"/>
        <w:spacing w:before="624" w:after="468"/>
      </w:pPr>
      <w:bookmarkStart w:id="2" w:name="_Toc55767848"/>
      <w:bookmarkStart w:id="3" w:name="_Toc20669"/>
      <w:bookmarkStart w:id="4" w:name="_Toc135748062"/>
      <w:r>
        <w:t>ABSTRACT</w:t>
      </w:r>
      <w:bookmarkEnd w:id="2"/>
      <w:bookmarkEnd w:id="3"/>
      <w:bookmarkEnd w:id="4"/>
    </w:p>
    <w:p w14:paraId="74B07739" w14:textId="15A6B14B" w:rsidR="00F54B0F" w:rsidRDefault="00E01256" w:rsidP="00F54B0F">
      <w:pPr>
        <w:snapToGrid w:val="0"/>
        <w:spacing w:line="440" w:lineRule="exact"/>
        <w:ind w:firstLineChars="225" w:firstLine="540"/>
        <w:rPr>
          <w:sz w:val="24"/>
        </w:rPr>
      </w:pPr>
      <w:r w:rsidRPr="00E01256">
        <w:rPr>
          <w:sz w:val="24"/>
        </w:rPr>
        <w:t>The policy uncertainty has a dynamic and time-varying impact on the Chinese stock market</w:t>
      </w:r>
      <w:r>
        <w:rPr>
          <w:rFonts w:hint="eastAsia"/>
          <w:sz w:val="24"/>
        </w:rPr>
        <w:t>.</w:t>
      </w:r>
      <w:r>
        <w:rPr>
          <w:sz w:val="24"/>
        </w:rPr>
        <w:t xml:space="preserve"> </w:t>
      </w:r>
      <w:r w:rsidR="00F54B0F" w:rsidRPr="00F54B0F">
        <w:rPr>
          <w:sz w:val="24"/>
        </w:rPr>
        <w:t>This article uses monthly data from January 2003 to May 2022. The MSIH(3)-VAR(3) model is used to identify volatility states, and a time-varying parameter vector autoregressive model is constructed based on the Markov chain Monte Carlo algorithm to explore the intrinsic relationship between economic policy uncertainty and the Chinese stock market. The research findings indicate the following:</w:t>
      </w:r>
      <w:r w:rsidR="004D074E" w:rsidRPr="004D074E">
        <w:rPr>
          <w:sz w:val="24"/>
        </w:rPr>
        <w:t xml:space="preserve"> (1)</w:t>
      </w:r>
      <w:r w:rsidR="00F54B0F">
        <w:rPr>
          <w:sz w:val="24"/>
        </w:rPr>
        <w:t xml:space="preserve"> </w:t>
      </w:r>
      <w:r w:rsidR="00F54B0F" w:rsidRPr="00F54B0F">
        <w:rPr>
          <w:sz w:val="24"/>
        </w:rPr>
        <w:t>Economic policy uncertainty has a lagged and evident time-varying impact on the stock market, with distinct features in different volatility states. The short-term impact is strong.</w:t>
      </w:r>
      <w:r w:rsidR="00F54B0F">
        <w:rPr>
          <w:sz w:val="24"/>
        </w:rPr>
        <w:t xml:space="preserve"> </w:t>
      </w:r>
      <w:r w:rsidR="004D074E" w:rsidRPr="004D074E">
        <w:rPr>
          <w:sz w:val="24"/>
        </w:rPr>
        <w:t>(2)</w:t>
      </w:r>
      <w:r w:rsidR="00F54B0F" w:rsidRPr="00F54B0F">
        <w:rPr>
          <w:sz w:val="24"/>
        </w:rPr>
        <w:t xml:space="preserve"> The volatility of economic policy uncertainty has an asymmetric effect on the stock market, with more persistence in stable volatility states compared to low and high volatility states.</w:t>
      </w:r>
      <w:r w:rsidR="00F54B0F">
        <w:rPr>
          <w:sz w:val="24"/>
        </w:rPr>
        <w:t xml:space="preserve"> </w:t>
      </w:r>
      <w:r w:rsidR="00F54B0F">
        <w:rPr>
          <w:rFonts w:hint="eastAsia"/>
          <w:sz w:val="24"/>
        </w:rPr>
        <w:t>(</w:t>
      </w:r>
      <w:r w:rsidR="00F54B0F">
        <w:rPr>
          <w:sz w:val="24"/>
        </w:rPr>
        <w:t xml:space="preserve">3) </w:t>
      </w:r>
      <w:r w:rsidR="00F54B0F" w:rsidRPr="00F54B0F">
        <w:rPr>
          <w:sz w:val="24"/>
        </w:rPr>
        <w:t>When the rate of change in economic policy uncertainty increases, its impact on the stock market is strongest in the subsequent period and has a longer-term effect. According to the impulse response results, stock market returns and volatility are affected for a longer duration, while the impact on stock market liquidity gradually dissipates after a certain period</w:t>
      </w:r>
      <w:r w:rsidR="00F54B0F">
        <w:rPr>
          <w:rFonts w:hint="eastAsia"/>
          <w:sz w:val="24"/>
        </w:rPr>
        <w:t>.</w:t>
      </w:r>
      <w:r w:rsidR="00F54B0F">
        <w:rPr>
          <w:sz w:val="24"/>
        </w:rPr>
        <w:t xml:space="preserve"> (4)</w:t>
      </w:r>
      <w:r w:rsidR="00F54B0F" w:rsidRPr="00F54B0F">
        <w:rPr>
          <w:sz w:val="24"/>
        </w:rPr>
        <w:t xml:space="preserve"> Fiscal policy uncertainty and monetary policy uncertainty have a significant impact on the stock market, with a longer duration of influence.</w:t>
      </w:r>
    </w:p>
    <w:p w14:paraId="4773D488" w14:textId="77777777" w:rsidR="001F54CD" w:rsidRDefault="001F54CD" w:rsidP="00F54B0F">
      <w:pPr>
        <w:snapToGrid w:val="0"/>
        <w:spacing w:line="440" w:lineRule="exact"/>
        <w:ind w:firstLineChars="225" w:firstLine="540"/>
        <w:rPr>
          <w:sz w:val="24"/>
        </w:rPr>
      </w:pPr>
    </w:p>
    <w:p w14:paraId="66FD3277" w14:textId="743F1399" w:rsidR="001F54CD" w:rsidRPr="00D0196E" w:rsidRDefault="001F54CD" w:rsidP="001F54CD">
      <w:pPr>
        <w:snapToGrid w:val="0"/>
        <w:spacing w:line="440" w:lineRule="exact"/>
        <w:ind w:firstLineChars="225" w:firstLine="542"/>
        <w:rPr>
          <w:sz w:val="24"/>
        </w:rPr>
      </w:pPr>
      <w:r>
        <w:rPr>
          <w:rFonts w:ascii="黑体" w:eastAsia="黑体" w:hAnsi="黑体"/>
          <w:b/>
          <w:bCs/>
          <w:sz w:val="24"/>
        </w:rPr>
        <w:t>Key words</w:t>
      </w:r>
      <w:r>
        <w:rPr>
          <w:rFonts w:ascii="黑体" w:eastAsia="黑体" w:hAnsi="黑体" w:hint="eastAsia"/>
          <w:b/>
          <w:bCs/>
          <w:sz w:val="24"/>
        </w:rPr>
        <w:t>：</w:t>
      </w:r>
      <w:r w:rsidRPr="001F54CD">
        <w:rPr>
          <w:sz w:val="24"/>
        </w:rPr>
        <w:t>Economic policy uncertainty; Markov regime switching; Time-varying parameter vector autoregression.</w:t>
      </w:r>
    </w:p>
    <w:p w14:paraId="2AA072F5" w14:textId="77777777" w:rsidR="00F54B0F" w:rsidRPr="004D074E" w:rsidRDefault="00F54B0F" w:rsidP="00F54B0F">
      <w:pPr>
        <w:snapToGrid w:val="0"/>
        <w:spacing w:line="440" w:lineRule="exact"/>
        <w:rPr>
          <w:sz w:val="24"/>
        </w:rPr>
      </w:pPr>
    </w:p>
    <w:p w14:paraId="4B71C4D2" w14:textId="77777777" w:rsidR="001F54CD" w:rsidRDefault="001F54CD">
      <w:pPr>
        <w:widowControl/>
        <w:spacing w:after="160" w:line="259" w:lineRule="auto"/>
        <w:jc w:val="left"/>
        <w:rPr>
          <w:rFonts w:eastAsia="黑体"/>
          <w:b/>
          <w:bCs/>
          <w:kern w:val="44"/>
          <w:sz w:val="32"/>
          <w:szCs w:val="28"/>
        </w:rPr>
      </w:pPr>
      <w:r>
        <w:br w:type="page"/>
      </w:r>
    </w:p>
    <w:p w14:paraId="6109AB38" w14:textId="7FA08095" w:rsidR="0095276A" w:rsidRPr="005B51F1" w:rsidRDefault="005B51F1" w:rsidP="005B51F1">
      <w:pPr>
        <w:pStyle w:val="Heading1"/>
        <w:spacing w:before="624" w:after="468"/>
      </w:pPr>
      <w:bookmarkStart w:id="5" w:name="_Toc135748063"/>
      <w:r>
        <w:rPr>
          <w:rFonts w:hint="eastAsia"/>
        </w:rPr>
        <w:lastRenderedPageBreak/>
        <w:t>第一章</w:t>
      </w:r>
      <w:r>
        <w:rPr>
          <w:rFonts w:hint="eastAsia"/>
        </w:rPr>
        <w:t xml:space="preserve"> </w:t>
      </w:r>
      <w:r w:rsidR="0095276A" w:rsidRPr="005B51F1">
        <w:rPr>
          <w:rFonts w:hint="eastAsia"/>
        </w:rPr>
        <w:t>引言</w:t>
      </w:r>
      <w:bookmarkEnd w:id="5"/>
    </w:p>
    <w:p w14:paraId="78888F69" w14:textId="115050F3" w:rsidR="0095276A" w:rsidRDefault="0095276A" w:rsidP="004D074E">
      <w:pPr>
        <w:spacing w:line="400" w:lineRule="atLeast"/>
        <w:ind w:firstLineChars="200" w:firstLine="480"/>
        <w:rPr>
          <w:rFonts w:ascii="宋体" w:hAnsi="宋体"/>
          <w:sz w:val="24"/>
        </w:rPr>
      </w:pPr>
      <w:r w:rsidRPr="001273CA">
        <w:rPr>
          <w:rFonts w:ascii="宋体" w:hAnsi="宋体" w:hint="eastAsia"/>
          <w:sz w:val="24"/>
        </w:rPr>
        <w:t>随着市场化改革不断深入，中国经济正在经历深层次调整，内外经济环境发生显著变化，特别是在新冠肺炎疫情暴发后，全球各国经济遭受重大冲击</w:t>
      </w:r>
      <w:r w:rsidR="009661DE">
        <w:rPr>
          <w:rFonts w:ascii="宋体" w:hAnsi="宋体" w:hint="eastAsia"/>
          <w:sz w:val="24"/>
        </w:rPr>
        <w:t>，各种经济问题频发，导致了国内外经济结构</w:t>
      </w:r>
      <w:r w:rsidR="00DE2EA3">
        <w:rPr>
          <w:rFonts w:ascii="宋体" w:hAnsi="宋体" w:hint="eastAsia"/>
          <w:sz w:val="24"/>
        </w:rPr>
        <w:t>性</w:t>
      </w:r>
      <w:r w:rsidR="009661DE">
        <w:rPr>
          <w:rFonts w:ascii="宋体" w:hAnsi="宋体" w:hint="eastAsia"/>
          <w:sz w:val="24"/>
        </w:rPr>
        <w:t>的变化</w:t>
      </w:r>
      <w:r w:rsidRPr="001273CA">
        <w:rPr>
          <w:rFonts w:ascii="宋体" w:hAnsi="宋体" w:hint="eastAsia"/>
          <w:sz w:val="24"/>
        </w:rPr>
        <w:t>。</w:t>
      </w:r>
      <w:r>
        <w:rPr>
          <w:rFonts w:ascii="宋体" w:hAnsi="宋体" w:hint="eastAsia"/>
          <w:sz w:val="24"/>
        </w:rPr>
        <w:t>因此，</w:t>
      </w:r>
      <w:r w:rsidRPr="00DC7033">
        <w:rPr>
          <w:rFonts w:ascii="宋体" w:hAnsi="宋体" w:hint="eastAsia"/>
          <w:sz w:val="24"/>
        </w:rPr>
        <w:t>政府</w:t>
      </w:r>
      <w:r w:rsidR="00540F18">
        <w:rPr>
          <w:rFonts w:ascii="宋体" w:hAnsi="宋体" w:hint="eastAsia"/>
          <w:sz w:val="24"/>
        </w:rPr>
        <w:t>会</w:t>
      </w:r>
      <w:r w:rsidRPr="00DC7033">
        <w:rPr>
          <w:rFonts w:ascii="宋体" w:hAnsi="宋体" w:hint="eastAsia"/>
          <w:sz w:val="24"/>
        </w:rPr>
        <w:t>频繁出台财政、货币、监管和其他宏观经济政策对资源配置和经济运行状况进行干预调控</w:t>
      </w:r>
      <w:r w:rsidR="00540F18">
        <w:rPr>
          <w:rFonts w:ascii="宋体" w:hAnsi="宋体" w:hint="eastAsia"/>
          <w:sz w:val="24"/>
        </w:rPr>
        <w:t>，以达到刺激经济、加强就业等目标</w:t>
      </w:r>
      <w:r w:rsidRPr="00DC7033">
        <w:rPr>
          <w:rFonts w:ascii="宋体" w:hAnsi="宋体" w:hint="eastAsia"/>
          <w:sz w:val="24"/>
        </w:rPr>
        <w:t>。</w:t>
      </w:r>
      <w:r>
        <w:rPr>
          <w:rFonts w:ascii="宋体" w:hAnsi="宋体" w:hint="eastAsia"/>
          <w:sz w:val="24"/>
        </w:rPr>
        <w:t>而</w:t>
      </w:r>
      <w:r w:rsidRPr="00DC7033">
        <w:rPr>
          <w:rFonts w:ascii="宋体" w:hAnsi="宋体" w:hint="eastAsia"/>
          <w:sz w:val="24"/>
        </w:rPr>
        <w:t>这些</w:t>
      </w:r>
      <w:r w:rsidR="00540F18">
        <w:rPr>
          <w:rFonts w:ascii="宋体" w:hAnsi="宋体" w:hint="eastAsia"/>
          <w:sz w:val="24"/>
        </w:rPr>
        <w:t>政策的频繁调整与出台对于</w:t>
      </w:r>
      <w:r w:rsidRPr="00DC7033">
        <w:rPr>
          <w:rFonts w:ascii="宋体" w:hAnsi="宋体" w:hint="eastAsia"/>
          <w:sz w:val="24"/>
        </w:rPr>
        <w:t>经济行为主体的投资(消费)决策</w:t>
      </w:r>
      <w:r w:rsidR="00540F18">
        <w:rPr>
          <w:rFonts w:ascii="宋体" w:hAnsi="宋体" w:hint="eastAsia"/>
          <w:sz w:val="24"/>
        </w:rPr>
        <w:t>存在着重要影响</w:t>
      </w:r>
      <w:r w:rsidRPr="00DC7033">
        <w:rPr>
          <w:rFonts w:ascii="宋体" w:hAnsi="宋体" w:hint="eastAsia"/>
          <w:sz w:val="24"/>
        </w:rPr>
        <w:t>,</w:t>
      </w:r>
      <w:r w:rsidR="00540F18">
        <w:rPr>
          <w:rFonts w:ascii="宋体" w:hAnsi="宋体" w:hint="eastAsia"/>
          <w:sz w:val="24"/>
        </w:rPr>
        <w:t>对于</w:t>
      </w:r>
      <w:r w:rsidRPr="00DC7033">
        <w:rPr>
          <w:rFonts w:ascii="宋体" w:hAnsi="宋体" w:hint="eastAsia"/>
          <w:sz w:val="24"/>
        </w:rPr>
        <w:t>资产定价</w:t>
      </w:r>
      <w:r w:rsidR="00540F18">
        <w:rPr>
          <w:rFonts w:ascii="宋体" w:hAnsi="宋体" w:hint="eastAsia"/>
          <w:sz w:val="24"/>
        </w:rPr>
        <w:t>、资产价格波动</w:t>
      </w:r>
      <w:r>
        <w:rPr>
          <w:rFonts w:ascii="宋体" w:hAnsi="宋体" w:hint="eastAsia"/>
          <w:sz w:val="24"/>
        </w:rPr>
        <w:t>的影响不可小觑</w:t>
      </w:r>
      <w:r w:rsidRPr="00DC7033">
        <w:rPr>
          <w:rFonts w:ascii="宋体" w:hAnsi="宋体" w:hint="eastAsia"/>
          <w:sz w:val="24"/>
        </w:rPr>
        <w:t>。</w:t>
      </w:r>
    </w:p>
    <w:p w14:paraId="6348E142" w14:textId="2686BBBC" w:rsidR="001A55EA" w:rsidRDefault="001A55EA" w:rsidP="001A55EA">
      <w:pPr>
        <w:spacing w:line="400" w:lineRule="atLeast"/>
        <w:ind w:firstLineChars="200" w:firstLine="480"/>
        <w:rPr>
          <w:rFonts w:ascii="宋体" w:hAnsi="宋体"/>
          <w:sz w:val="24"/>
        </w:rPr>
      </w:pPr>
      <w:r w:rsidRPr="00260170">
        <w:rPr>
          <w:rFonts w:ascii="宋体" w:hAnsi="宋体"/>
          <w:sz w:val="24"/>
        </w:rPr>
        <w:t>经济政策不确定性指的是市场参与者难以准确预测政府未来是否会改变现行政策以及改变政策的方式。</w:t>
      </w:r>
      <w:r>
        <w:rPr>
          <w:rFonts w:ascii="宋体" w:hAnsi="宋体" w:hint="eastAsia"/>
          <w:sz w:val="24"/>
        </w:rPr>
        <w:t>近年来</w:t>
      </w:r>
      <w:r w:rsidRPr="00260170">
        <w:rPr>
          <w:rFonts w:ascii="宋体" w:hAnsi="宋体"/>
          <w:sz w:val="24"/>
        </w:rPr>
        <w:t>的研究表明，经济政策不确定性具有明显的逆周期特征，即在经济下行期间，经济政策不确定性增加</w:t>
      </w:r>
      <w:r>
        <w:rPr>
          <w:rFonts w:ascii="宋体" w:hAnsi="宋体" w:hint="eastAsia"/>
          <w:sz w:val="24"/>
        </w:rPr>
        <w:t>。</w:t>
      </w:r>
    </w:p>
    <w:p w14:paraId="60126D57" w14:textId="77777777" w:rsidR="00563128" w:rsidRPr="00563128" w:rsidRDefault="00563128" w:rsidP="00563128">
      <w:pPr>
        <w:spacing w:line="400" w:lineRule="atLeast"/>
        <w:ind w:firstLineChars="200" w:firstLine="480"/>
        <w:rPr>
          <w:rFonts w:ascii="宋体" w:hAnsi="宋体"/>
          <w:sz w:val="24"/>
        </w:rPr>
      </w:pPr>
      <w:r w:rsidRPr="00563128">
        <w:rPr>
          <w:rFonts w:ascii="宋体" w:hAnsi="宋体" w:hint="eastAsia"/>
          <w:sz w:val="24"/>
        </w:rPr>
        <w:t>中国股市常被视为政策驱动型市场，因此与相关政策变动密切相关，这些政策变动对股市的波动产生一定影响。尽管近年来我国股票市场的监管机制不断成熟与完善，但随着国内外经济环境和政治局势等的变动，经济政策的频繁调整加深了经济政策的不确定性。这种不确定性在中国股票市场中表现为较为频繁的波动，市场经历了多轮的暴涨和暴跌。</w:t>
      </w:r>
    </w:p>
    <w:p w14:paraId="3DF98609" w14:textId="77777777" w:rsidR="00563128" w:rsidRPr="00563128" w:rsidRDefault="00563128" w:rsidP="00563128">
      <w:pPr>
        <w:spacing w:line="400" w:lineRule="atLeast"/>
        <w:ind w:firstLineChars="200" w:firstLine="480"/>
        <w:rPr>
          <w:rFonts w:ascii="宋体" w:hAnsi="宋体"/>
          <w:sz w:val="24"/>
        </w:rPr>
      </w:pPr>
      <w:r w:rsidRPr="00563128">
        <w:rPr>
          <w:rFonts w:ascii="宋体" w:hAnsi="宋体" w:hint="eastAsia"/>
          <w:sz w:val="24"/>
        </w:rPr>
        <w:t>在股市中，不同行业的特征如行业要素密集程度、流通盘大小差异以及行业是否具有周期性等，会导致面临外部不确定性时部分股票出现领涨或领跌的行情。此外，不同年份和经济景气状况下的背景也会影响不确定性冲击的强弱。因此，股市的波动性在不同的时间和条件下可能呈现出不同的特征。</w:t>
      </w:r>
    </w:p>
    <w:p w14:paraId="5F714D50" w14:textId="57B12AB7" w:rsidR="0095276A" w:rsidRPr="001273CA" w:rsidRDefault="00563128" w:rsidP="004267F5">
      <w:pPr>
        <w:spacing w:line="400" w:lineRule="atLeast"/>
        <w:ind w:firstLineChars="200" w:firstLine="480"/>
        <w:rPr>
          <w:rFonts w:ascii="宋体" w:hAnsi="宋体"/>
          <w:sz w:val="24"/>
        </w:rPr>
      </w:pPr>
      <w:r w:rsidRPr="00563128">
        <w:rPr>
          <w:rFonts w:ascii="宋体" w:hAnsi="宋体" w:hint="eastAsia"/>
          <w:sz w:val="24"/>
        </w:rPr>
        <w:t>股市的波动性与经济政策不确定性密切相关。政策的变动和调整会引起市场参与者的担忧和不确定情绪，进而影响股市的走势和波动</w:t>
      </w:r>
      <w:r w:rsidR="004267F5">
        <w:rPr>
          <w:rFonts w:ascii="宋体" w:hAnsi="宋体" w:hint="eastAsia"/>
          <w:sz w:val="24"/>
        </w:rPr>
        <w:t>。</w:t>
      </w:r>
      <w:r w:rsidR="0095276A" w:rsidRPr="001273CA">
        <w:rPr>
          <w:rFonts w:ascii="宋体" w:hAnsi="宋体" w:hint="eastAsia"/>
          <w:sz w:val="24"/>
        </w:rPr>
        <w:t>因此将经济的结构性变化特征考虑在内，基于</w:t>
      </w:r>
      <w:r w:rsidR="0095276A">
        <w:rPr>
          <w:rFonts w:ascii="宋体" w:hAnsi="宋体" w:hint="eastAsia"/>
          <w:sz w:val="24"/>
        </w:rPr>
        <w:t>影响的</w:t>
      </w:r>
      <w:r w:rsidR="0095276A" w:rsidRPr="001273CA">
        <w:rPr>
          <w:rFonts w:ascii="宋体" w:hAnsi="宋体" w:hint="eastAsia"/>
          <w:sz w:val="24"/>
        </w:rPr>
        <w:t>异质性、滞后性和时变性的角度来进一步研究经济政策不确定性</w:t>
      </w:r>
      <w:r w:rsidR="003C1F72">
        <w:rPr>
          <w:rFonts w:ascii="宋体" w:hAnsi="宋体" w:hint="eastAsia"/>
          <w:sz w:val="24"/>
        </w:rPr>
        <w:t>对股市波动性</w:t>
      </w:r>
      <w:r w:rsidR="0095276A" w:rsidRPr="001273CA">
        <w:rPr>
          <w:rFonts w:ascii="宋体" w:hAnsi="宋体" w:hint="eastAsia"/>
          <w:sz w:val="24"/>
        </w:rPr>
        <w:t>的差异性影响</w:t>
      </w:r>
      <w:r w:rsidR="0095276A">
        <w:rPr>
          <w:rFonts w:ascii="宋体" w:hAnsi="宋体" w:hint="eastAsia"/>
          <w:sz w:val="24"/>
        </w:rPr>
        <w:t>，</w:t>
      </w:r>
      <w:r w:rsidR="0095276A" w:rsidRPr="001273CA">
        <w:rPr>
          <w:rFonts w:ascii="宋体" w:hAnsi="宋体" w:hint="eastAsia"/>
          <w:sz w:val="24"/>
        </w:rPr>
        <w:t>准确、客观</w:t>
      </w:r>
      <w:r w:rsidR="00055C9D">
        <w:rPr>
          <w:rFonts w:ascii="宋体" w:hAnsi="宋体" w:hint="eastAsia"/>
          <w:sz w:val="24"/>
        </w:rPr>
        <w:t>地</w:t>
      </w:r>
      <w:r w:rsidR="0095276A" w:rsidRPr="001273CA">
        <w:rPr>
          <w:rFonts w:ascii="宋体" w:hAnsi="宋体" w:hint="eastAsia"/>
          <w:sz w:val="24"/>
        </w:rPr>
        <w:t>分析中国经济政策不确定性对经济的时变效应，对提高政策预见性、优化和完善政策操作、实现稳增长与防风险长期均衡具有重要的理论与实践意义；一方面有利于政府实施更有针对性的行业政策和政策工具，另一方面也为投资者在面临不确定性时减少</w:t>
      </w:r>
      <w:r w:rsidR="00306792">
        <w:rPr>
          <w:rFonts w:ascii="宋体" w:hAnsi="宋体" w:hint="eastAsia"/>
          <w:sz w:val="24"/>
        </w:rPr>
        <w:t>或</w:t>
      </w:r>
      <w:r w:rsidR="0095276A" w:rsidRPr="001273CA">
        <w:rPr>
          <w:rFonts w:ascii="宋体" w:hAnsi="宋体" w:hint="eastAsia"/>
          <w:sz w:val="24"/>
        </w:rPr>
        <w:t>规避风险提供依据。</w:t>
      </w:r>
    </w:p>
    <w:p w14:paraId="1BCA6880" w14:textId="77777777" w:rsidR="00BC7333" w:rsidRDefault="00BC7333">
      <w:pPr>
        <w:widowControl/>
        <w:spacing w:after="160" w:line="259" w:lineRule="auto"/>
        <w:jc w:val="left"/>
        <w:rPr>
          <w:rFonts w:eastAsia="黑体"/>
          <w:b/>
          <w:bCs/>
          <w:kern w:val="44"/>
          <w:sz w:val="32"/>
          <w:szCs w:val="28"/>
        </w:rPr>
      </w:pPr>
      <w:r>
        <w:br w:type="page"/>
      </w:r>
    </w:p>
    <w:p w14:paraId="18AFF0CC" w14:textId="37037C75" w:rsidR="0095276A" w:rsidRPr="004D074E" w:rsidRDefault="004D074E" w:rsidP="004D074E">
      <w:pPr>
        <w:pStyle w:val="Heading1"/>
        <w:spacing w:before="624" w:after="468"/>
      </w:pPr>
      <w:bookmarkStart w:id="6" w:name="_Toc135748064"/>
      <w:r>
        <w:rPr>
          <w:rFonts w:hint="eastAsia"/>
        </w:rPr>
        <w:lastRenderedPageBreak/>
        <w:t>第二章</w:t>
      </w:r>
      <w:r>
        <w:rPr>
          <w:rFonts w:hint="eastAsia"/>
        </w:rPr>
        <w:t xml:space="preserve"> </w:t>
      </w:r>
      <w:r w:rsidR="0095276A" w:rsidRPr="004D074E">
        <w:rPr>
          <w:rFonts w:hint="eastAsia"/>
        </w:rPr>
        <w:t>文献综述</w:t>
      </w:r>
      <w:bookmarkEnd w:id="6"/>
    </w:p>
    <w:p w14:paraId="30B589D1" w14:textId="77777777" w:rsidR="0095276A" w:rsidRPr="005D4EEA" w:rsidRDefault="0095276A" w:rsidP="005D4EEA">
      <w:pPr>
        <w:pStyle w:val="2"/>
        <w:spacing w:before="156" w:after="156"/>
        <w:ind w:firstLine="600"/>
      </w:pPr>
      <w:bookmarkStart w:id="7" w:name="_Toc135748065"/>
      <w:r w:rsidRPr="005D4EEA">
        <w:t>2.1</w:t>
      </w:r>
      <w:r w:rsidRPr="005D4EEA">
        <w:rPr>
          <w:rFonts w:hint="eastAsia"/>
        </w:rPr>
        <w:t>经济政策不确定性度量</w:t>
      </w:r>
      <w:bookmarkEnd w:id="7"/>
    </w:p>
    <w:p w14:paraId="3F74EA3F" w14:textId="3F55F650" w:rsidR="0095276A" w:rsidRPr="004C6202" w:rsidRDefault="004C6202" w:rsidP="004C6202">
      <w:pPr>
        <w:pStyle w:val="3"/>
        <w:spacing w:before="156" w:after="156"/>
        <w:ind w:firstLine="560"/>
      </w:pPr>
      <w:bookmarkStart w:id="8" w:name="_Toc135748066"/>
      <w:r>
        <w:rPr>
          <w:rFonts w:hint="eastAsia"/>
        </w:rPr>
        <w:t>2</w:t>
      </w:r>
      <w:r>
        <w:t>.1.1</w:t>
      </w:r>
      <w:r w:rsidR="0095276A" w:rsidRPr="004C6202">
        <w:rPr>
          <w:rFonts w:hint="eastAsia"/>
        </w:rPr>
        <w:t>间接度量法</w:t>
      </w:r>
      <w:bookmarkEnd w:id="8"/>
    </w:p>
    <w:p w14:paraId="034B4C21" w14:textId="126D7122" w:rsidR="0095276A" w:rsidRDefault="00055C9D" w:rsidP="008624E8">
      <w:pPr>
        <w:spacing w:after="120" w:line="360" w:lineRule="auto"/>
        <w:ind w:firstLine="480"/>
        <w:rPr>
          <w:rFonts w:ascii="宋体" w:hAnsi="宋体"/>
          <w:sz w:val="24"/>
        </w:rPr>
      </w:pPr>
      <w:r>
        <w:rPr>
          <w:rFonts w:ascii="宋体" w:hAnsi="宋体" w:hint="eastAsia"/>
          <w:sz w:val="24"/>
        </w:rPr>
        <w:t>已有的研究</w:t>
      </w:r>
      <w:r w:rsidR="0095276A" w:rsidRPr="00160638">
        <w:rPr>
          <w:rFonts w:ascii="宋体" w:hAnsi="宋体" w:hint="eastAsia"/>
          <w:sz w:val="24"/>
        </w:rPr>
        <w:t>文献</w:t>
      </w:r>
      <w:r>
        <w:rPr>
          <w:rFonts w:ascii="宋体" w:hAnsi="宋体" w:hint="eastAsia"/>
          <w:sz w:val="24"/>
        </w:rPr>
        <w:t>对</w:t>
      </w:r>
      <w:r w:rsidR="0095276A" w:rsidRPr="00160638">
        <w:rPr>
          <w:rFonts w:ascii="宋体" w:hAnsi="宋体" w:hint="eastAsia"/>
          <w:sz w:val="24"/>
        </w:rPr>
        <w:t>政策指标</w:t>
      </w:r>
      <w:r>
        <w:rPr>
          <w:rFonts w:ascii="宋体" w:hAnsi="宋体" w:hint="eastAsia"/>
          <w:sz w:val="24"/>
        </w:rPr>
        <w:t>地度量</w:t>
      </w:r>
      <w:r w:rsidR="0095276A" w:rsidRPr="00160638">
        <w:rPr>
          <w:rFonts w:ascii="宋体" w:hAnsi="宋体" w:hint="eastAsia"/>
          <w:sz w:val="24"/>
        </w:rPr>
        <w:t>一般是</w:t>
      </w:r>
      <w:r>
        <w:rPr>
          <w:rFonts w:ascii="宋体" w:hAnsi="宋体" w:hint="eastAsia"/>
          <w:sz w:val="24"/>
        </w:rPr>
        <w:t>采用</w:t>
      </w:r>
      <w:r w:rsidR="0095276A" w:rsidRPr="00160638">
        <w:rPr>
          <w:rFonts w:ascii="宋体" w:hAnsi="宋体" w:hint="eastAsia"/>
          <w:sz w:val="24"/>
        </w:rPr>
        <w:t>财政政策和货币政策工具,或者通过事件分析法列举</w:t>
      </w:r>
      <w:r w:rsidR="00793D59">
        <w:rPr>
          <w:rFonts w:ascii="宋体" w:hAnsi="宋体" w:hint="eastAsia"/>
          <w:sz w:val="24"/>
        </w:rPr>
        <w:t>和</w:t>
      </w:r>
      <w:r w:rsidR="0095276A" w:rsidRPr="00160638">
        <w:rPr>
          <w:rFonts w:ascii="宋体" w:hAnsi="宋体" w:hint="eastAsia"/>
          <w:sz w:val="24"/>
        </w:rPr>
        <w:t>经济</w:t>
      </w:r>
      <w:r w:rsidR="00793D59">
        <w:rPr>
          <w:rFonts w:ascii="宋体" w:hAnsi="宋体" w:hint="eastAsia"/>
          <w:sz w:val="24"/>
        </w:rPr>
        <w:t>或</w:t>
      </w:r>
      <w:r w:rsidR="0095276A" w:rsidRPr="00160638">
        <w:rPr>
          <w:rFonts w:ascii="宋体" w:hAnsi="宋体" w:hint="eastAsia"/>
          <w:sz w:val="24"/>
        </w:rPr>
        <w:t>金融相关的</w:t>
      </w:r>
      <w:r w:rsidR="00870F38">
        <w:rPr>
          <w:rFonts w:ascii="宋体" w:hAnsi="宋体" w:hint="eastAsia"/>
          <w:sz w:val="24"/>
        </w:rPr>
        <w:t>经济</w:t>
      </w:r>
      <w:r w:rsidR="0095276A" w:rsidRPr="00160638">
        <w:rPr>
          <w:rFonts w:ascii="宋体" w:hAnsi="宋体" w:hint="eastAsia"/>
          <w:sz w:val="24"/>
        </w:rPr>
        <w:t>政策</w:t>
      </w:r>
      <w:r>
        <w:rPr>
          <w:rFonts w:ascii="宋体" w:hAnsi="宋体" w:hint="eastAsia"/>
          <w:sz w:val="24"/>
        </w:rPr>
        <w:t>以衡量经济政策不确定性</w:t>
      </w:r>
      <w:r w:rsidR="0095276A">
        <w:rPr>
          <w:rFonts w:ascii="宋体" w:hAnsi="宋体" w:hint="eastAsia"/>
          <w:sz w:val="24"/>
        </w:rPr>
        <w:t>。</w:t>
      </w:r>
      <w:r w:rsidR="0095276A" w:rsidRPr="00A4461D">
        <w:rPr>
          <w:rFonts w:ascii="宋体" w:hAnsi="宋体" w:hint="eastAsia"/>
          <w:sz w:val="24"/>
        </w:rPr>
        <w:t>Born和Pfeifer(2014)通过构建货币政策、财政政策的时间序列模型,将估计出的时变标准差作为经济政策不确定性的代表</w:t>
      </w:r>
      <w:r w:rsidR="0095276A">
        <w:rPr>
          <w:rFonts w:ascii="宋体" w:hAnsi="宋体" w:hint="eastAsia"/>
          <w:sz w:val="24"/>
        </w:rPr>
        <w:t>。</w:t>
      </w:r>
      <w:r w:rsidR="0095276A" w:rsidRPr="00A4461D">
        <w:rPr>
          <w:rFonts w:ascii="宋体" w:hAnsi="宋体" w:hint="eastAsia"/>
          <w:sz w:val="24"/>
        </w:rPr>
        <w:t>Belo等(2013)将选举作为政策不确定性的代理指标</w:t>
      </w:r>
      <w:r w:rsidR="0095276A">
        <w:rPr>
          <w:rFonts w:ascii="宋体" w:hAnsi="宋体" w:hint="eastAsia"/>
          <w:sz w:val="24"/>
        </w:rPr>
        <w:t>。</w:t>
      </w:r>
    </w:p>
    <w:p w14:paraId="3A4F1848" w14:textId="43457A6E" w:rsidR="00F22A42" w:rsidRPr="00F22A42" w:rsidRDefault="00F22A42" w:rsidP="00F22A42">
      <w:pPr>
        <w:spacing w:after="120" w:line="360" w:lineRule="auto"/>
        <w:ind w:firstLine="480"/>
        <w:rPr>
          <w:rFonts w:ascii="宋体" w:hAnsi="宋体"/>
          <w:sz w:val="24"/>
        </w:rPr>
      </w:pPr>
      <w:r w:rsidRPr="00F22A42">
        <w:rPr>
          <w:rFonts w:ascii="宋体" w:hAnsi="宋体" w:hint="eastAsia"/>
          <w:sz w:val="24"/>
        </w:rPr>
        <w:t>货币政策不确定性的度量通常使用货币量（</w:t>
      </w:r>
      <w:r w:rsidRPr="00F22A42">
        <w:rPr>
          <w:rFonts w:ascii="宋体" w:hAnsi="宋体"/>
          <w:sz w:val="24"/>
        </w:rPr>
        <w:t>M2</w:t>
      </w:r>
      <w:r w:rsidRPr="00F22A42">
        <w:rPr>
          <w:rFonts w:ascii="宋体" w:hAnsi="宋体" w:hint="eastAsia"/>
          <w:sz w:val="24"/>
        </w:rPr>
        <w:t>环比增速）和利率等作为代理变量。</w:t>
      </w:r>
      <w:r w:rsidRPr="00F22A42">
        <w:rPr>
          <w:rFonts w:ascii="宋体" w:hAnsi="宋体"/>
          <w:sz w:val="24"/>
        </w:rPr>
        <w:t>Born</w:t>
      </w:r>
      <w:r w:rsidRPr="00F22A42">
        <w:rPr>
          <w:rFonts w:ascii="宋体" w:hAnsi="宋体" w:hint="eastAsia"/>
          <w:sz w:val="24"/>
        </w:rPr>
        <w:t>和</w:t>
      </w:r>
      <w:r w:rsidRPr="00F22A42">
        <w:rPr>
          <w:rFonts w:ascii="宋体" w:hAnsi="宋体"/>
          <w:sz w:val="24"/>
        </w:rPr>
        <w:t>Pfeifer</w:t>
      </w:r>
      <w:r w:rsidRPr="00F22A42">
        <w:rPr>
          <w:rFonts w:ascii="宋体" w:hAnsi="宋体" w:hint="eastAsia"/>
          <w:sz w:val="24"/>
        </w:rPr>
        <w:t>（</w:t>
      </w:r>
      <w:r w:rsidRPr="00F22A42">
        <w:rPr>
          <w:rFonts w:ascii="宋体" w:hAnsi="宋体"/>
          <w:sz w:val="24"/>
        </w:rPr>
        <w:t>2014</w:t>
      </w:r>
      <w:r w:rsidRPr="00F22A42">
        <w:rPr>
          <w:rFonts w:ascii="宋体" w:hAnsi="宋体" w:hint="eastAsia"/>
          <w:sz w:val="24"/>
        </w:rPr>
        <w:t>）采用带随机波动率的</w:t>
      </w:r>
      <w:r w:rsidRPr="00F22A42">
        <w:rPr>
          <w:rFonts w:ascii="宋体" w:hAnsi="宋体"/>
          <w:sz w:val="24"/>
        </w:rPr>
        <w:t>AR(1)</w:t>
      </w:r>
      <w:r w:rsidRPr="00F22A42">
        <w:rPr>
          <w:rFonts w:ascii="宋体" w:hAnsi="宋体" w:hint="eastAsia"/>
          <w:sz w:val="24"/>
        </w:rPr>
        <w:t>模型来拟合泰勒规则的残差项，从而获得货币政策冲击序列</w:t>
      </w:r>
      <w:r w:rsidRPr="00F22A42">
        <w:rPr>
          <w:rFonts w:ascii="宋体" w:hAnsi="宋体"/>
          <w:sz w:val="24"/>
        </w:rPr>
        <w:t>{mt}</w:t>
      </w:r>
      <w:r w:rsidRPr="00F22A42">
        <w:rPr>
          <w:rFonts w:ascii="宋体" w:hAnsi="宋体" w:hint="eastAsia"/>
          <w:sz w:val="24"/>
        </w:rPr>
        <w:t>（</w:t>
      </w:r>
      <w:r w:rsidRPr="00F22A42">
        <w:rPr>
          <w:rFonts w:ascii="宋体" w:hAnsi="宋体"/>
          <w:sz w:val="24"/>
        </w:rPr>
        <w:t>t</w:t>
      </w:r>
      <w:r w:rsidRPr="00F22A42">
        <w:rPr>
          <w:rFonts w:ascii="宋体" w:hAnsi="宋体" w:hint="eastAsia"/>
          <w:sz w:val="24"/>
        </w:rPr>
        <w:t>从</w:t>
      </w:r>
      <w:r w:rsidRPr="00F22A42">
        <w:rPr>
          <w:rFonts w:ascii="宋体" w:hAnsi="宋体"/>
          <w:sz w:val="24"/>
        </w:rPr>
        <w:t>1</w:t>
      </w:r>
      <w:r w:rsidRPr="00F22A42">
        <w:rPr>
          <w:rFonts w:ascii="宋体" w:hAnsi="宋体" w:hint="eastAsia"/>
          <w:sz w:val="24"/>
        </w:rPr>
        <w:t>到</w:t>
      </w:r>
      <w:r w:rsidRPr="00F22A42">
        <w:rPr>
          <w:rFonts w:ascii="宋体" w:hAnsi="宋体"/>
          <w:sz w:val="24"/>
        </w:rPr>
        <w:t>T</w:t>
      </w:r>
      <w:r w:rsidRPr="00F22A42">
        <w:rPr>
          <w:rFonts w:ascii="宋体" w:hAnsi="宋体" w:hint="eastAsia"/>
          <w:sz w:val="24"/>
        </w:rPr>
        <w:t>）。然后，他们利用得到的时变标准差序列</w:t>
      </w:r>
      <w:r w:rsidRPr="00F22A42">
        <w:rPr>
          <w:rFonts w:ascii="宋体" w:hAnsi="宋体"/>
          <w:sz w:val="24"/>
        </w:rPr>
        <w:t>{σmt}</w:t>
      </w:r>
      <w:r w:rsidRPr="00F22A42">
        <w:rPr>
          <w:rFonts w:ascii="宋体" w:hAnsi="宋体" w:hint="eastAsia"/>
          <w:sz w:val="24"/>
        </w:rPr>
        <w:t>（</w:t>
      </w:r>
      <w:r w:rsidRPr="00F22A42">
        <w:rPr>
          <w:rFonts w:ascii="宋体" w:hAnsi="宋体"/>
          <w:sz w:val="24"/>
        </w:rPr>
        <w:t>t</w:t>
      </w:r>
      <w:r w:rsidRPr="00F22A42">
        <w:rPr>
          <w:rFonts w:ascii="宋体" w:hAnsi="宋体" w:hint="eastAsia"/>
          <w:sz w:val="24"/>
        </w:rPr>
        <w:t>从</w:t>
      </w:r>
      <w:r w:rsidRPr="00F22A42">
        <w:rPr>
          <w:rFonts w:ascii="宋体" w:hAnsi="宋体"/>
          <w:sz w:val="24"/>
        </w:rPr>
        <w:t>1</w:t>
      </w:r>
      <w:r w:rsidRPr="00F22A42">
        <w:rPr>
          <w:rFonts w:ascii="宋体" w:hAnsi="宋体" w:hint="eastAsia"/>
          <w:sz w:val="24"/>
        </w:rPr>
        <w:t>到</w:t>
      </w:r>
      <w:r w:rsidRPr="00F22A42">
        <w:rPr>
          <w:rFonts w:ascii="宋体" w:hAnsi="宋体"/>
          <w:sz w:val="24"/>
        </w:rPr>
        <w:t>T</w:t>
      </w:r>
      <w:r w:rsidRPr="00F22A42">
        <w:rPr>
          <w:rFonts w:ascii="宋体" w:hAnsi="宋体" w:hint="eastAsia"/>
          <w:sz w:val="24"/>
        </w:rPr>
        <w:t>）来度量货币政策不确定性（</w:t>
      </w:r>
      <w:r w:rsidRPr="00F22A42">
        <w:rPr>
          <w:rFonts w:ascii="宋体" w:hAnsi="宋体"/>
          <w:sz w:val="24"/>
        </w:rPr>
        <w:t>MPU</w:t>
      </w:r>
      <w:r w:rsidRPr="00F22A42">
        <w:rPr>
          <w:rFonts w:ascii="宋体" w:hAnsi="宋体" w:hint="eastAsia"/>
          <w:sz w:val="24"/>
        </w:rPr>
        <w:t>）。这种方法通过分析冲击序列的波动性，提供了一种衡量货币政策不确定性的指标。</w:t>
      </w:r>
      <w:r>
        <w:rPr>
          <w:rFonts w:ascii="宋体" w:hAnsi="宋体" w:hint="eastAsia"/>
          <w:sz w:val="24"/>
        </w:rPr>
        <w:t>此外</w:t>
      </w:r>
      <w:r w:rsidRPr="00F22A42">
        <w:rPr>
          <w:rFonts w:ascii="宋体" w:hAnsi="宋体" w:hint="eastAsia"/>
          <w:sz w:val="24"/>
        </w:rPr>
        <w:t>，</w:t>
      </w:r>
      <w:r w:rsidRPr="00F22A42">
        <w:rPr>
          <w:rFonts w:ascii="宋体" w:hAnsi="宋体"/>
          <w:sz w:val="24"/>
        </w:rPr>
        <w:t>Brogard</w:t>
      </w:r>
      <w:r w:rsidRPr="00F22A42">
        <w:rPr>
          <w:rFonts w:ascii="宋体" w:hAnsi="宋体" w:hint="eastAsia"/>
          <w:sz w:val="24"/>
        </w:rPr>
        <w:t>和</w:t>
      </w:r>
      <w:r w:rsidRPr="00F22A42">
        <w:rPr>
          <w:rFonts w:ascii="宋体" w:hAnsi="宋体"/>
          <w:sz w:val="24"/>
        </w:rPr>
        <w:t>Detzel</w:t>
      </w:r>
      <w:r w:rsidRPr="00F22A42">
        <w:rPr>
          <w:rFonts w:ascii="宋体" w:hAnsi="宋体" w:hint="eastAsia"/>
          <w:sz w:val="24"/>
        </w:rPr>
        <w:t>（</w:t>
      </w:r>
      <w:r w:rsidRPr="00F22A42">
        <w:rPr>
          <w:rFonts w:ascii="宋体" w:hAnsi="宋体"/>
          <w:sz w:val="24"/>
        </w:rPr>
        <w:t>2015</w:t>
      </w:r>
      <w:r w:rsidRPr="00F22A42">
        <w:rPr>
          <w:rFonts w:ascii="宋体" w:hAnsi="宋体" w:hint="eastAsia"/>
          <w:sz w:val="24"/>
        </w:rPr>
        <w:t>）使用市场收益率的波动性来测度经济不确定性。他们使用了市场收益率的方差（</w:t>
      </w:r>
      <w:r w:rsidRPr="00F22A42">
        <w:rPr>
          <w:rFonts w:ascii="宋体" w:hAnsi="宋体"/>
          <w:sz w:val="24"/>
        </w:rPr>
        <w:t>VAR</w:t>
      </w:r>
      <w:r w:rsidRPr="00F22A42">
        <w:rPr>
          <w:rFonts w:ascii="宋体" w:hAnsi="宋体" w:hint="eastAsia"/>
          <w:sz w:val="24"/>
        </w:rPr>
        <w:t>）以及利用</w:t>
      </w:r>
      <w:r w:rsidRPr="00F22A42">
        <w:rPr>
          <w:rFonts w:ascii="宋体" w:hAnsi="宋体"/>
          <w:sz w:val="24"/>
        </w:rPr>
        <w:t>GARCH(1,1)</w:t>
      </w:r>
      <w:r w:rsidRPr="00F22A42">
        <w:rPr>
          <w:rFonts w:ascii="宋体" w:hAnsi="宋体" w:hint="eastAsia"/>
          <w:sz w:val="24"/>
        </w:rPr>
        <w:t>模型计算的市场收益率波动指数（</w:t>
      </w:r>
      <w:r w:rsidRPr="00F22A42">
        <w:rPr>
          <w:rFonts w:ascii="宋体" w:hAnsi="宋体"/>
          <w:sz w:val="24"/>
        </w:rPr>
        <w:t>GARCH</w:t>
      </w:r>
      <w:r w:rsidRPr="00F22A42">
        <w:rPr>
          <w:rFonts w:ascii="宋体" w:hAnsi="宋体" w:hint="eastAsia"/>
          <w:sz w:val="24"/>
        </w:rPr>
        <w:t>）。这种方法通过分析市场收益率的波动性来捕捉经济不确定性的水平。</w:t>
      </w:r>
    </w:p>
    <w:p w14:paraId="722BCDCA" w14:textId="14F1BFF4" w:rsidR="0095276A" w:rsidRPr="005D59FC" w:rsidRDefault="005D59FC" w:rsidP="005D59FC">
      <w:pPr>
        <w:pStyle w:val="3"/>
        <w:spacing w:before="156" w:after="156"/>
        <w:ind w:firstLine="560"/>
      </w:pPr>
      <w:bookmarkStart w:id="9" w:name="_Toc135748067"/>
      <w:r>
        <w:rPr>
          <w:rFonts w:hint="eastAsia"/>
        </w:rPr>
        <w:t>2</w:t>
      </w:r>
      <w:r>
        <w:t>.1.2</w:t>
      </w:r>
      <w:r w:rsidR="0095276A" w:rsidRPr="005D59FC">
        <w:rPr>
          <w:rFonts w:hint="eastAsia"/>
        </w:rPr>
        <w:t>直接度量法</w:t>
      </w:r>
      <w:bookmarkEnd w:id="9"/>
    </w:p>
    <w:p w14:paraId="1582A09E" w14:textId="77777777" w:rsidR="0095276A" w:rsidRDefault="0095276A" w:rsidP="008624E8">
      <w:pPr>
        <w:spacing w:after="120" w:line="360" w:lineRule="auto"/>
        <w:ind w:firstLine="480"/>
        <w:rPr>
          <w:rFonts w:ascii="宋体" w:hAnsi="宋体"/>
          <w:sz w:val="24"/>
        </w:rPr>
      </w:pPr>
      <w:r>
        <w:rPr>
          <w:rFonts w:ascii="宋体" w:hAnsi="宋体" w:hint="eastAsia"/>
          <w:sz w:val="24"/>
        </w:rPr>
        <w:t>近年来，随着</w:t>
      </w:r>
      <w:r w:rsidRPr="001273CA">
        <w:rPr>
          <w:rFonts w:ascii="宋体" w:hAnsi="宋体" w:hint="eastAsia"/>
          <w:sz w:val="24"/>
        </w:rPr>
        <w:t>EPU指数</w:t>
      </w:r>
      <w:r>
        <w:rPr>
          <w:rFonts w:ascii="宋体" w:hAnsi="宋体" w:hint="eastAsia"/>
          <w:sz w:val="24"/>
        </w:rPr>
        <w:t>出现与改进，使用其作为经济政策不确定性指标的研究也逐渐增多。</w:t>
      </w:r>
    </w:p>
    <w:p w14:paraId="59A4ECB3" w14:textId="77777777" w:rsidR="006645F1" w:rsidRPr="006645F1" w:rsidRDefault="006645F1" w:rsidP="006645F1">
      <w:pPr>
        <w:spacing w:after="120" w:line="360" w:lineRule="auto"/>
        <w:ind w:firstLine="480"/>
        <w:rPr>
          <w:rFonts w:ascii="宋体" w:hAnsi="宋体"/>
          <w:sz w:val="24"/>
        </w:rPr>
      </w:pPr>
      <w:r w:rsidRPr="006645F1">
        <w:rPr>
          <w:rFonts w:ascii="宋体" w:hAnsi="宋体" w:hint="eastAsia"/>
          <w:sz w:val="24"/>
        </w:rPr>
        <w:t>不同研究学者采用了不同的方法来度量中国经济政策的不确定性。李凤羽、杨墨竹（</w:t>
      </w:r>
      <w:r w:rsidRPr="006645F1">
        <w:rPr>
          <w:rFonts w:ascii="宋体" w:hAnsi="宋体"/>
          <w:sz w:val="24"/>
        </w:rPr>
        <w:t>2015</w:t>
      </w:r>
      <w:r w:rsidRPr="006645F1">
        <w:rPr>
          <w:rFonts w:ascii="宋体" w:hAnsi="宋体" w:hint="eastAsia"/>
          <w:sz w:val="24"/>
        </w:rPr>
        <w:t>）利用斯坦福大学和芝加哥大学联合发布的中国经济政策不确定指数进行测量，该指数具有较好的连续性和时变性。</w:t>
      </w:r>
      <w:r w:rsidRPr="006645F1">
        <w:rPr>
          <w:rFonts w:ascii="宋体" w:hAnsi="宋体"/>
          <w:sz w:val="24"/>
        </w:rPr>
        <w:t>Baker</w:t>
      </w:r>
      <w:r w:rsidRPr="006645F1">
        <w:rPr>
          <w:rFonts w:ascii="宋体" w:hAnsi="宋体" w:hint="eastAsia"/>
          <w:sz w:val="24"/>
        </w:rPr>
        <w:t>等人（</w:t>
      </w:r>
      <w:r w:rsidRPr="006645F1">
        <w:rPr>
          <w:rFonts w:ascii="宋体" w:hAnsi="宋体"/>
          <w:sz w:val="24"/>
        </w:rPr>
        <w:t>2016</w:t>
      </w:r>
      <w:r w:rsidRPr="006645F1">
        <w:rPr>
          <w:rFonts w:ascii="宋体" w:hAnsi="宋体" w:hint="eastAsia"/>
          <w:sz w:val="24"/>
        </w:rPr>
        <w:t>）则根据新闻报道素材，运用文本挖掘技术构建了经济政策不确定性指数。</w:t>
      </w:r>
      <w:r w:rsidRPr="006645F1">
        <w:rPr>
          <w:rFonts w:ascii="宋体" w:hAnsi="宋体"/>
          <w:sz w:val="24"/>
        </w:rPr>
        <w:t>Davis</w:t>
      </w:r>
      <w:r w:rsidRPr="006645F1">
        <w:rPr>
          <w:rFonts w:ascii="宋体" w:hAnsi="宋体" w:hint="eastAsia"/>
          <w:sz w:val="24"/>
        </w:rPr>
        <w:t>等人（</w:t>
      </w:r>
      <w:r w:rsidRPr="006645F1">
        <w:rPr>
          <w:rFonts w:ascii="宋体" w:hAnsi="宋体"/>
          <w:sz w:val="24"/>
        </w:rPr>
        <w:t>2020</w:t>
      </w:r>
      <w:r w:rsidRPr="006645F1">
        <w:rPr>
          <w:rFonts w:ascii="宋体" w:hAnsi="宋体" w:hint="eastAsia"/>
          <w:sz w:val="24"/>
        </w:rPr>
        <w:t>）则使用《人民日报》和《光明日报》的素材来计算经济政策不确定性指数，该指数覆盖了财政、货币、监管、法律法规等各个方面，具有较高的公信力和解释力度，能够更好地反映经济政策的时变特征。这些指数的值越大，</w:t>
      </w:r>
      <w:r w:rsidRPr="006645F1">
        <w:rPr>
          <w:rFonts w:ascii="宋体" w:hAnsi="宋体" w:hint="eastAsia"/>
          <w:sz w:val="24"/>
        </w:rPr>
        <w:lastRenderedPageBreak/>
        <w:t>表明当月中国经济政策的不确定性越高。（经济政策不确定性指数）</w:t>
      </w:r>
    </w:p>
    <w:p w14:paraId="2719809F" w14:textId="77777777" w:rsidR="006645F1" w:rsidRPr="006645F1" w:rsidRDefault="006645F1" w:rsidP="006645F1">
      <w:pPr>
        <w:spacing w:after="120" w:line="360" w:lineRule="auto"/>
        <w:ind w:firstLine="480"/>
        <w:rPr>
          <w:rFonts w:ascii="宋体" w:hAnsi="宋体"/>
          <w:sz w:val="24"/>
        </w:rPr>
      </w:pPr>
      <w:r w:rsidRPr="006645F1">
        <w:rPr>
          <w:rFonts w:ascii="宋体" w:hAnsi="宋体" w:hint="eastAsia"/>
          <w:sz w:val="24"/>
        </w:rPr>
        <w:t>在参考了</w:t>
      </w:r>
      <w:r w:rsidRPr="006645F1">
        <w:rPr>
          <w:rFonts w:ascii="宋体" w:hAnsi="宋体"/>
          <w:sz w:val="24"/>
        </w:rPr>
        <w:t>Baker</w:t>
      </w:r>
      <w:r w:rsidRPr="006645F1">
        <w:rPr>
          <w:rFonts w:ascii="宋体" w:hAnsi="宋体" w:hint="eastAsia"/>
          <w:sz w:val="24"/>
        </w:rPr>
        <w:t>等人的方法后，</w:t>
      </w:r>
      <w:r w:rsidRPr="006645F1">
        <w:rPr>
          <w:rFonts w:ascii="宋体" w:hAnsi="宋体"/>
          <w:sz w:val="24"/>
        </w:rPr>
        <w:t>Huang</w:t>
      </w:r>
      <w:r w:rsidRPr="006645F1">
        <w:rPr>
          <w:rFonts w:ascii="宋体" w:hAnsi="宋体" w:hint="eastAsia"/>
          <w:sz w:val="24"/>
        </w:rPr>
        <w:t>和</w:t>
      </w:r>
      <w:r w:rsidRPr="006645F1">
        <w:rPr>
          <w:rFonts w:ascii="宋体" w:hAnsi="宋体"/>
          <w:sz w:val="24"/>
        </w:rPr>
        <w:t>Luk</w:t>
      </w:r>
      <w:r w:rsidRPr="006645F1">
        <w:rPr>
          <w:rFonts w:ascii="宋体" w:hAnsi="宋体" w:hint="eastAsia"/>
          <w:sz w:val="24"/>
        </w:rPr>
        <w:t>（</w:t>
      </w:r>
      <w:r w:rsidRPr="006645F1">
        <w:rPr>
          <w:rFonts w:ascii="宋体" w:hAnsi="宋体"/>
          <w:sz w:val="24"/>
        </w:rPr>
        <w:t>2020</w:t>
      </w:r>
      <w:r w:rsidRPr="006645F1">
        <w:rPr>
          <w:rFonts w:ascii="宋体" w:hAnsi="宋体" w:hint="eastAsia"/>
          <w:sz w:val="24"/>
        </w:rPr>
        <w:t>）提出了一种新的度量中国经济政策不确定性的指数，即中国经济政策不确定性指数（</w:t>
      </w:r>
      <w:r w:rsidRPr="006645F1">
        <w:rPr>
          <w:rFonts w:ascii="宋体" w:hAnsi="宋体"/>
          <w:sz w:val="24"/>
        </w:rPr>
        <w:t>CEPU</w:t>
      </w:r>
      <w:r w:rsidRPr="006645F1">
        <w:rPr>
          <w:rFonts w:ascii="宋体" w:hAnsi="宋体" w:hint="eastAsia"/>
          <w:sz w:val="24"/>
        </w:rPr>
        <w:t>）。他们选择了国内数十种报刊中的新闻报道，包括人民日报、解放日报等，通过整理其中与经济政策不确定性相关的词汇信息进行综合。</w:t>
      </w:r>
      <w:r w:rsidRPr="006645F1">
        <w:rPr>
          <w:rFonts w:ascii="宋体" w:hAnsi="宋体"/>
          <w:sz w:val="24"/>
        </w:rPr>
        <w:t>CEPU</w:t>
      </w:r>
      <w:r w:rsidRPr="006645F1">
        <w:rPr>
          <w:rFonts w:ascii="宋体" w:hAnsi="宋体" w:hint="eastAsia"/>
          <w:sz w:val="24"/>
        </w:rPr>
        <w:t>指数包括中国经济政策的总指数以及不同类型的细分指数，其中不同类型的经济政策不确定性细分指数包括财政政策、货币政策、贸易政策以及汇率和资本账户政策等四个指数，方便研究者更深入地探讨不同类型经济政策不确定性对宏观和微观影响的情况。</w:t>
      </w:r>
    </w:p>
    <w:p w14:paraId="207C0DC4" w14:textId="77777777" w:rsidR="0095276A" w:rsidRPr="005D4EEA" w:rsidRDefault="0095276A" w:rsidP="005D4EEA">
      <w:pPr>
        <w:pStyle w:val="2"/>
        <w:spacing w:before="156" w:after="156"/>
        <w:ind w:firstLine="600"/>
      </w:pPr>
      <w:bookmarkStart w:id="10" w:name="_Toc135748068"/>
      <w:r w:rsidRPr="005D4EEA">
        <w:t>2.2</w:t>
      </w:r>
      <w:r w:rsidRPr="005D4EEA">
        <w:rPr>
          <w:rFonts w:hint="eastAsia"/>
        </w:rPr>
        <w:t>股市的区制划分</w:t>
      </w:r>
      <w:bookmarkEnd w:id="10"/>
    </w:p>
    <w:p w14:paraId="5228DAAA" w14:textId="77777777" w:rsidR="0095276A" w:rsidRPr="001273CA" w:rsidRDefault="0095276A" w:rsidP="008624E8">
      <w:pPr>
        <w:spacing w:after="120" w:line="360" w:lineRule="auto"/>
        <w:ind w:firstLine="480"/>
        <w:rPr>
          <w:rFonts w:ascii="宋体" w:hAnsi="宋体"/>
          <w:sz w:val="24"/>
        </w:rPr>
      </w:pPr>
      <w:r w:rsidRPr="00B3354F">
        <w:rPr>
          <w:rFonts w:ascii="宋体" w:hAnsi="宋体" w:hint="eastAsia"/>
          <w:sz w:val="24"/>
        </w:rPr>
        <w:t>罗军、乔高秀等（2</w:t>
      </w:r>
      <w:r w:rsidRPr="00B3354F">
        <w:rPr>
          <w:rFonts w:ascii="宋体" w:hAnsi="宋体"/>
          <w:sz w:val="24"/>
        </w:rPr>
        <w:t>018</w:t>
      </w:r>
      <w:r w:rsidRPr="00B3354F">
        <w:rPr>
          <w:rFonts w:ascii="宋体" w:hAnsi="宋体" w:hint="eastAsia"/>
          <w:sz w:val="24"/>
        </w:rPr>
        <w:t>）在对沪深股市波动率的研究中得出，</w:t>
      </w:r>
      <w:r w:rsidRPr="00E82A1B">
        <w:rPr>
          <w:rFonts w:ascii="宋体" w:hAnsi="宋体"/>
          <w:b/>
          <w:bCs/>
          <w:sz w:val="24"/>
        </w:rPr>
        <w:t>沪深股市存在明显的高、低波动</w:t>
      </w:r>
      <w:r w:rsidRPr="00B3354F">
        <w:rPr>
          <w:rFonts w:ascii="宋体" w:hAnsi="宋体"/>
          <w:sz w:val="24"/>
        </w:rPr>
        <w:t>，存在显著的波动聚集性、持续</w:t>
      </w:r>
      <w:r w:rsidRPr="00B3354F">
        <w:rPr>
          <w:rFonts w:ascii="宋体" w:hAnsi="宋体" w:hint="eastAsia"/>
          <w:sz w:val="24"/>
        </w:rPr>
        <w:t>性</w:t>
      </w:r>
      <w:r>
        <w:rPr>
          <w:rFonts w:ascii="宋体" w:hAnsi="宋体" w:hint="eastAsia"/>
          <w:sz w:val="24"/>
        </w:rPr>
        <w:t>，</w:t>
      </w:r>
      <w:r w:rsidRPr="00B3354F">
        <w:rPr>
          <w:rFonts w:ascii="宋体" w:hAnsi="宋体"/>
          <w:sz w:val="24"/>
        </w:rPr>
        <w:t>且波动在不同状态的行为存在差异性</w:t>
      </w:r>
      <w:r w:rsidRPr="00B3354F">
        <w:rPr>
          <w:rFonts w:ascii="宋体" w:hAnsi="宋体" w:hint="eastAsia"/>
          <w:sz w:val="24"/>
        </w:rPr>
        <w:t>。</w:t>
      </w:r>
      <w:r w:rsidRPr="001273CA">
        <w:rPr>
          <w:rFonts w:ascii="宋体" w:hAnsi="宋体" w:hint="eastAsia"/>
          <w:sz w:val="24"/>
        </w:rPr>
        <w:t>从股市的随机波动率来看，2007年和2015年为两个明显的波动高峰期，其他时间的波动率较低且相对平稳。</w:t>
      </w:r>
      <w:r>
        <w:rPr>
          <w:rFonts w:ascii="宋体" w:hAnsi="宋体" w:hint="eastAsia"/>
          <w:sz w:val="24"/>
        </w:rPr>
        <w:t>通过事件分析法，学者们将高低波动区制的转换与背后相应的外部事件与之对应。</w:t>
      </w:r>
      <w:r w:rsidRPr="001273CA">
        <w:rPr>
          <w:rFonts w:ascii="宋体" w:hAnsi="宋体" w:hint="eastAsia"/>
          <w:sz w:val="24"/>
        </w:rPr>
        <w:t>随着</w:t>
      </w:r>
      <w:r>
        <w:rPr>
          <w:rFonts w:ascii="宋体" w:hAnsi="宋体" w:hint="eastAsia"/>
          <w:sz w:val="24"/>
        </w:rPr>
        <w:t>2</w:t>
      </w:r>
      <w:r>
        <w:rPr>
          <w:rFonts w:ascii="宋体" w:hAnsi="宋体"/>
          <w:sz w:val="24"/>
        </w:rPr>
        <w:t>005</w:t>
      </w:r>
      <w:r>
        <w:rPr>
          <w:rFonts w:ascii="宋体" w:hAnsi="宋体" w:hint="eastAsia"/>
          <w:sz w:val="24"/>
        </w:rPr>
        <w:t>年</w:t>
      </w:r>
      <w:r w:rsidRPr="001273CA">
        <w:rPr>
          <w:rFonts w:ascii="宋体" w:hAnsi="宋体" w:hint="eastAsia"/>
          <w:sz w:val="24"/>
        </w:rPr>
        <w:t>股权分置改革，人民币升值，QFII额度上调等诸多利好消息的发布，上证指数历时2年，自最低点直超6100点，涨幅超500%。随后的“次贷危机”以及基金暂停发行，使其一路暴跌至1664点。通过IPO重启、紧缩调控等干预措施，上证指数重回3000点且趋于平稳。2014年7月至2015年6月，上证指数总体以上涨趋势攀升至5178点，随后市场反弹并于7月9日跌回3700点，仅一年内便经历了数次大幅涨跌。此外，虽然</w:t>
      </w:r>
      <w:r>
        <w:rPr>
          <w:rFonts w:ascii="宋体" w:hAnsi="宋体" w:hint="eastAsia"/>
          <w:sz w:val="24"/>
        </w:rPr>
        <w:t>近年来</w:t>
      </w:r>
      <w:r w:rsidRPr="001273CA">
        <w:rPr>
          <w:rFonts w:ascii="宋体" w:hAnsi="宋体" w:hint="eastAsia"/>
          <w:sz w:val="24"/>
        </w:rPr>
        <w:t>新冠疫情对股票市场造成了冲击，但市场波动率仍位于较低区间。</w:t>
      </w:r>
    </w:p>
    <w:p w14:paraId="04598A06" w14:textId="582D9159" w:rsidR="0095276A" w:rsidRDefault="0095276A" w:rsidP="008624E8">
      <w:pPr>
        <w:spacing w:after="120" w:line="360" w:lineRule="auto"/>
        <w:ind w:firstLine="480"/>
        <w:rPr>
          <w:rFonts w:ascii="宋体" w:hAnsi="宋体"/>
          <w:sz w:val="24"/>
        </w:rPr>
      </w:pPr>
      <w:r>
        <w:rPr>
          <w:rFonts w:ascii="宋体" w:hAnsi="宋体" w:hint="eastAsia"/>
          <w:sz w:val="24"/>
        </w:rPr>
        <w:t>基于股市波动状态的变化，</w:t>
      </w:r>
      <w:r w:rsidRPr="00E82A1B">
        <w:rPr>
          <w:rFonts w:ascii="宋体" w:hAnsi="宋体" w:hint="eastAsia"/>
          <w:b/>
          <w:bCs/>
          <w:sz w:val="24"/>
        </w:rPr>
        <w:t>对股市波动状态的区制划分，学者们主要使用两区制和三区制</w:t>
      </w:r>
      <w:r>
        <w:rPr>
          <w:rFonts w:ascii="宋体" w:hAnsi="宋体" w:hint="eastAsia"/>
          <w:sz w:val="24"/>
        </w:rPr>
        <w:t>。</w:t>
      </w:r>
      <w:r w:rsidRPr="006930E1">
        <w:rPr>
          <w:rFonts w:ascii="宋体" w:hAnsi="宋体" w:hint="eastAsia"/>
          <w:sz w:val="24"/>
        </w:rPr>
        <w:t>方舟</w:t>
      </w:r>
      <w:r>
        <w:rPr>
          <w:rFonts w:ascii="宋体" w:hAnsi="宋体" w:hint="eastAsia"/>
          <w:sz w:val="24"/>
        </w:rPr>
        <w:t>（2</w:t>
      </w:r>
      <w:r>
        <w:rPr>
          <w:rFonts w:ascii="宋体" w:hAnsi="宋体"/>
          <w:sz w:val="24"/>
        </w:rPr>
        <w:t>011</w:t>
      </w:r>
      <w:r>
        <w:rPr>
          <w:rFonts w:ascii="宋体" w:hAnsi="宋体" w:hint="eastAsia"/>
          <w:sz w:val="24"/>
        </w:rPr>
        <w:t>）</w:t>
      </w:r>
      <w:r w:rsidRPr="006930E1">
        <w:rPr>
          <w:rFonts w:ascii="宋体" w:hAnsi="宋体" w:hint="eastAsia"/>
          <w:sz w:val="24"/>
        </w:rPr>
        <w:t>等构造MS-VAR模型进一步论证货币政策的调控作用在股市膨胀期最为显著</w:t>
      </w:r>
      <w:r>
        <w:rPr>
          <w:rFonts w:ascii="宋体" w:hAnsi="宋体" w:hint="eastAsia"/>
          <w:sz w:val="24"/>
        </w:rPr>
        <w:t>。</w:t>
      </w:r>
      <w:r w:rsidRPr="0010238B">
        <w:rPr>
          <w:rFonts w:ascii="宋体" w:hAnsi="宋体" w:hint="eastAsia"/>
          <w:sz w:val="24"/>
        </w:rPr>
        <w:t>王霦,魏先华</w:t>
      </w:r>
      <w:r>
        <w:rPr>
          <w:rFonts w:ascii="宋体" w:hAnsi="宋体" w:hint="eastAsia"/>
          <w:sz w:val="24"/>
        </w:rPr>
        <w:t>（2</w:t>
      </w:r>
      <w:r>
        <w:rPr>
          <w:rFonts w:ascii="宋体" w:hAnsi="宋体"/>
          <w:sz w:val="24"/>
        </w:rPr>
        <w:t>017</w:t>
      </w:r>
      <w:r>
        <w:rPr>
          <w:rFonts w:ascii="宋体" w:hAnsi="宋体" w:hint="eastAsia"/>
          <w:sz w:val="24"/>
        </w:rPr>
        <w:t>）在对资产收益的研究中提出，</w:t>
      </w:r>
      <w:r w:rsidRPr="0010238B">
        <w:rPr>
          <w:rFonts w:ascii="宋体" w:hAnsi="宋体" w:hint="eastAsia"/>
          <w:sz w:val="24"/>
        </w:rPr>
        <w:t>金融资产往往存在两种表现截然不同的时段,在正常时段内金融资产价格变化平稳,波动率较小,而在“危机”时段内,金融资产价格波动剧烈,收益波动性急剧上升</w:t>
      </w:r>
      <w:r>
        <w:rPr>
          <w:rFonts w:ascii="宋体" w:hAnsi="宋体" w:hint="eastAsia"/>
          <w:sz w:val="24"/>
        </w:rPr>
        <w:t>。</w:t>
      </w:r>
      <w:r w:rsidRPr="00016769">
        <w:rPr>
          <w:rFonts w:ascii="宋体" w:hAnsi="宋体" w:hint="eastAsia"/>
          <w:sz w:val="24"/>
        </w:rPr>
        <w:t>洪绍鹏</w:t>
      </w:r>
      <w:r>
        <w:rPr>
          <w:rFonts w:ascii="宋体" w:hAnsi="宋体" w:hint="eastAsia"/>
          <w:sz w:val="24"/>
        </w:rPr>
        <w:t>等（2</w:t>
      </w:r>
      <w:r>
        <w:rPr>
          <w:rFonts w:ascii="宋体" w:hAnsi="宋体"/>
          <w:sz w:val="24"/>
        </w:rPr>
        <w:t>021</w:t>
      </w:r>
      <w:r>
        <w:rPr>
          <w:rFonts w:ascii="宋体" w:hAnsi="宋体" w:hint="eastAsia"/>
          <w:sz w:val="24"/>
        </w:rPr>
        <w:t>）在对上证指数和深圳指数条件波动概率的研究中发现，我国股票市场的波动率具有区制划分明显、长记忆性、复归性、易受外部影响</w:t>
      </w:r>
      <w:r>
        <w:rPr>
          <w:rFonts w:ascii="宋体" w:hAnsi="宋体" w:hint="eastAsia"/>
          <w:sz w:val="24"/>
        </w:rPr>
        <w:lastRenderedPageBreak/>
        <w:t>的特点。李力、宫蕾（2</w:t>
      </w:r>
      <w:r>
        <w:rPr>
          <w:rFonts w:ascii="宋体" w:hAnsi="宋体"/>
          <w:sz w:val="24"/>
        </w:rPr>
        <w:t>018</w:t>
      </w:r>
      <w:r>
        <w:rPr>
          <w:rFonts w:ascii="宋体" w:hAnsi="宋体" w:hint="eastAsia"/>
          <w:sz w:val="24"/>
        </w:rPr>
        <w:t>）等通过构建门限VAR模型发现我国EPU指数存在两个明显的区制，认为</w:t>
      </w:r>
      <w:r w:rsidRPr="00B9000A">
        <w:rPr>
          <w:rFonts w:ascii="宋体" w:hAnsi="宋体"/>
          <w:sz w:val="24"/>
        </w:rPr>
        <w:t>随着经济政策不确定性上升和市场波动率加大,经济政策不确定性指数对于股市波动率的冲击会显著放大,表现出明显的非线</w:t>
      </w:r>
      <w:r w:rsidRPr="00B9000A">
        <w:rPr>
          <w:rFonts w:ascii="宋体" w:hAnsi="宋体" w:hint="eastAsia"/>
          <w:sz w:val="24"/>
        </w:rPr>
        <w:t>性</w:t>
      </w:r>
      <w:r>
        <w:rPr>
          <w:rFonts w:ascii="宋体" w:hAnsi="宋体" w:hint="eastAsia"/>
          <w:sz w:val="24"/>
        </w:rPr>
        <w:t>特征。而</w:t>
      </w:r>
      <w:r w:rsidRPr="001273CA">
        <w:rPr>
          <w:rFonts w:ascii="宋体" w:hAnsi="宋体" w:hint="eastAsia"/>
          <w:sz w:val="24"/>
        </w:rPr>
        <w:t>胡一博等（2</w:t>
      </w:r>
      <w:r w:rsidRPr="001273CA">
        <w:rPr>
          <w:rFonts w:ascii="宋体" w:hAnsi="宋体"/>
          <w:sz w:val="24"/>
        </w:rPr>
        <w:t>01</w:t>
      </w:r>
      <w:r>
        <w:rPr>
          <w:rFonts w:ascii="宋体" w:hAnsi="宋体"/>
          <w:sz w:val="24"/>
        </w:rPr>
        <w:t>6</w:t>
      </w:r>
      <w:r w:rsidRPr="001273CA">
        <w:rPr>
          <w:rFonts w:ascii="宋体" w:hAnsi="宋体" w:hint="eastAsia"/>
          <w:sz w:val="24"/>
        </w:rPr>
        <w:t>）研究发现我国货币政策对股市稳定性的影响系统具有明显的三区制特征，在多个年份股市不稳定性激增，且股市不稳定性具有内在的周期循环特征，与金融不稳定性假说吻合</w:t>
      </w:r>
      <w:r>
        <w:rPr>
          <w:rFonts w:ascii="宋体" w:hAnsi="宋体" w:hint="eastAsia"/>
          <w:sz w:val="24"/>
        </w:rPr>
        <w:t>，且三区制的划分比其它学者划分的牛市、熊市二区制更为合理</w:t>
      </w:r>
      <w:r w:rsidRPr="001273CA">
        <w:rPr>
          <w:rFonts w:ascii="宋体" w:hAnsi="宋体" w:hint="eastAsia"/>
          <w:sz w:val="24"/>
        </w:rPr>
        <w:t>。</w:t>
      </w:r>
    </w:p>
    <w:p w14:paraId="6C21CE8D" w14:textId="77777777" w:rsidR="0095276A" w:rsidRPr="005D4EEA" w:rsidRDefault="0095276A" w:rsidP="005D4EEA">
      <w:pPr>
        <w:pStyle w:val="2"/>
        <w:spacing w:before="156" w:after="156"/>
        <w:ind w:firstLine="600"/>
      </w:pPr>
      <w:bookmarkStart w:id="11" w:name="_Toc135748069"/>
      <w:r w:rsidRPr="005D4EEA">
        <w:t>2.3</w:t>
      </w:r>
      <w:r w:rsidRPr="005D4EEA">
        <w:rPr>
          <w:rFonts w:hint="eastAsia"/>
        </w:rPr>
        <w:t>经济政策不确定性对股市的影响</w:t>
      </w:r>
      <w:bookmarkEnd w:id="11"/>
    </w:p>
    <w:p w14:paraId="67FDDB8D" w14:textId="794A3E23" w:rsidR="0095276A" w:rsidRDefault="0095276A" w:rsidP="008624E8">
      <w:pPr>
        <w:spacing w:after="120" w:line="360" w:lineRule="auto"/>
        <w:ind w:firstLine="480"/>
        <w:rPr>
          <w:rFonts w:ascii="宋体" w:hAnsi="宋体"/>
          <w:sz w:val="24"/>
        </w:rPr>
      </w:pPr>
      <w:r w:rsidRPr="001273CA">
        <w:rPr>
          <w:rFonts w:ascii="宋体" w:hAnsi="宋体" w:hint="eastAsia"/>
          <w:sz w:val="24"/>
        </w:rPr>
        <w:t>EPU的影响分为</w:t>
      </w:r>
      <w:r w:rsidR="00B623B7">
        <w:rPr>
          <w:rFonts w:ascii="宋体" w:hAnsi="宋体" w:hint="eastAsia"/>
          <w:sz w:val="24"/>
        </w:rPr>
        <w:t>宏观</w:t>
      </w:r>
      <w:r w:rsidRPr="001273CA">
        <w:rPr>
          <w:rFonts w:ascii="宋体" w:hAnsi="宋体" w:hint="eastAsia"/>
          <w:sz w:val="24"/>
        </w:rPr>
        <w:t>和</w:t>
      </w:r>
      <w:r w:rsidR="00B623B7">
        <w:rPr>
          <w:rFonts w:ascii="宋体" w:hAnsi="宋体" w:hint="eastAsia"/>
          <w:sz w:val="24"/>
        </w:rPr>
        <w:t>微观</w:t>
      </w:r>
      <w:r w:rsidRPr="001273CA">
        <w:rPr>
          <w:rFonts w:ascii="宋体" w:hAnsi="宋体" w:hint="eastAsia"/>
          <w:sz w:val="24"/>
        </w:rPr>
        <w:t>两种方式，</w:t>
      </w:r>
      <w:r w:rsidR="00B623B7">
        <w:rPr>
          <w:rFonts w:ascii="宋体" w:hAnsi="宋体" w:hint="eastAsia"/>
          <w:sz w:val="24"/>
        </w:rPr>
        <w:t>宏观</w:t>
      </w:r>
      <w:r w:rsidRPr="001273CA">
        <w:rPr>
          <w:rFonts w:ascii="宋体" w:hAnsi="宋体" w:hint="eastAsia"/>
          <w:sz w:val="24"/>
        </w:rPr>
        <w:t>方式体现在国家政府通过制定经济政策（如货币政策、财政政策、</w:t>
      </w:r>
      <w:r>
        <w:rPr>
          <w:rFonts w:ascii="宋体" w:hAnsi="宋体" w:hint="eastAsia"/>
          <w:sz w:val="24"/>
        </w:rPr>
        <w:t>贸易</w:t>
      </w:r>
      <w:r w:rsidRPr="001273CA">
        <w:rPr>
          <w:rFonts w:ascii="宋体" w:hAnsi="宋体" w:hint="eastAsia"/>
          <w:sz w:val="24"/>
        </w:rPr>
        <w:t>政策等）等渠道间接调控市场运行。</w:t>
      </w:r>
      <w:r w:rsidR="00B623B7">
        <w:rPr>
          <w:rFonts w:ascii="宋体" w:hAnsi="宋体" w:hint="eastAsia"/>
          <w:sz w:val="24"/>
        </w:rPr>
        <w:t>微观</w:t>
      </w:r>
      <w:r w:rsidRPr="001273CA">
        <w:rPr>
          <w:rFonts w:ascii="宋体" w:hAnsi="宋体" w:hint="eastAsia"/>
          <w:sz w:val="24"/>
        </w:rPr>
        <w:t>方式为EPU对企业投资</w:t>
      </w:r>
      <w:r>
        <w:rPr>
          <w:rFonts w:ascii="宋体" w:hAnsi="宋体" w:hint="eastAsia"/>
          <w:sz w:val="24"/>
        </w:rPr>
        <w:t>规模、</w:t>
      </w:r>
      <w:r w:rsidRPr="001273CA">
        <w:rPr>
          <w:rFonts w:ascii="宋体" w:hAnsi="宋体" w:hint="eastAsia"/>
          <w:sz w:val="24"/>
        </w:rPr>
        <w:t>利润率</w:t>
      </w:r>
      <w:r>
        <w:rPr>
          <w:rFonts w:ascii="宋体" w:hAnsi="宋体" w:hint="eastAsia"/>
          <w:sz w:val="24"/>
        </w:rPr>
        <w:t>、居民风险投资行为等</w:t>
      </w:r>
      <w:r w:rsidRPr="001273CA">
        <w:rPr>
          <w:rFonts w:ascii="宋体" w:hAnsi="宋体" w:hint="eastAsia"/>
          <w:sz w:val="24"/>
        </w:rPr>
        <w:t>造成负面影响。</w:t>
      </w:r>
    </w:p>
    <w:p w14:paraId="10DC9275" w14:textId="0C321D98" w:rsidR="0095276A" w:rsidRPr="005D59FC" w:rsidRDefault="005D59FC" w:rsidP="005D59FC">
      <w:pPr>
        <w:pStyle w:val="3"/>
        <w:spacing w:before="156" w:after="156"/>
        <w:ind w:firstLine="560"/>
      </w:pPr>
      <w:bookmarkStart w:id="12" w:name="_Toc135748070"/>
      <w:r>
        <w:rPr>
          <w:rFonts w:hint="eastAsia"/>
        </w:rPr>
        <w:t>2</w:t>
      </w:r>
      <w:r>
        <w:t>.3.1</w:t>
      </w:r>
      <w:r w:rsidR="0058180D">
        <w:rPr>
          <w:rFonts w:hint="eastAsia"/>
        </w:rPr>
        <w:t>宏观</w:t>
      </w:r>
      <w:r w:rsidR="0095276A" w:rsidRPr="005D59FC">
        <w:rPr>
          <w:rFonts w:hint="eastAsia"/>
        </w:rPr>
        <w:t>传导机制</w:t>
      </w:r>
      <w:bookmarkEnd w:id="12"/>
    </w:p>
    <w:p w14:paraId="78EB4AFF" w14:textId="77777777" w:rsidR="0095276A" w:rsidRDefault="0095276A" w:rsidP="008624E8">
      <w:pPr>
        <w:spacing w:after="120" w:line="360" w:lineRule="auto"/>
        <w:ind w:firstLine="480"/>
        <w:rPr>
          <w:rFonts w:ascii="宋体" w:hAnsi="宋体"/>
          <w:sz w:val="24"/>
        </w:rPr>
      </w:pPr>
      <w:r>
        <w:rPr>
          <w:rFonts w:ascii="宋体" w:hAnsi="宋体" w:hint="eastAsia"/>
          <w:sz w:val="24"/>
        </w:rPr>
        <w:t>随着各种公共事件的突发带来的EPU指数上升，</w:t>
      </w:r>
      <w:r w:rsidRPr="001273CA">
        <w:rPr>
          <w:rFonts w:ascii="宋体" w:hAnsi="宋体" w:hint="eastAsia"/>
          <w:sz w:val="24"/>
        </w:rPr>
        <w:t>经济政策不确定性给股票</w:t>
      </w:r>
      <w:r>
        <w:rPr>
          <w:rFonts w:ascii="宋体" w:hAnsi="宋体" w:hint="eastAsia"/>
          <w:sz w:val="24"/>
        </w:rPr>
        <w:t>市场的稳定性</w:t>
      </w:r>
      <w:r w:rsidRPr="001273CA">
        <w:rPr>
          <w:rFonts w:ascii="宋体" w:hAnsi="宋体" w:hint="eastAsia"/>
          <w:sz w:val="24"/>
        </w:rPr>
        <w:t>带来</w:t>
      </w:r>
      <w:r>
        <w:rPr>
          <w:rFonts w:ascii="宋体" w:hAnsi="宋体" w:hint="eastAsia"/>
          <w:sz w:val="24"/>
        </w:rPr>
        <w:t>了显著的直接影响</w:t>
      </w:r>
      <w:r w:rsidRPr="001273CA">
        <w:rPr>
          <w:rFonts w:ascii="宋体" w:hAnsi="宋体" w:hint="eastAsia"/>
          <w:sz w:val="24"/>
        </w:rPr>
        <w:t>。</w:t>
      </w:r>
    </w:p>
    <w:p w14:paraId="75A91730" w14:textId="311155E1" w:rsidR="0095276A" w:rsidRDefault="0095276A" w:rsidP="001F19A6">
      <w:pPr>
        <w:spacing w:after="120" w:line="360" w:lineRule="auto"/>
        <w:ind w:firstLine="480"/>
        <w:rPr>
          <w:rFonts w:ascii="宋体" w:hAnsi="宋体"/>
          <w:sz w:val="24"/>
        </w:rPr>
      </w:pPr>
      <w:r w:rsidRPr="001273CA">
        <w:rPr>
          <w:rFonts w:ascii="宋体" w:hAnsi="宋体" w:hint="eastAsia"/>
          <w:sz w:val="24"/>
        </w:rPr>
        <w:t>在对</w:t>
      </w:r>
      <w:r w:rsidRPr="00ED7EE9">
        <w:rPr>
          <w:rFonts w:ascii="宋体" w:hAnsi="宋体" w:hint="eastAsia"/>
          <w:b/>
          <w:bCs/>
          <w:sz w:val="24"/>
        </w:rPr>
        <w:t>股票市场风险</w:t>
      </w:r>
      <w:r w:rsidRPr="001273CA">
        <w:rPr>
          <w:rFonts w:ascii="宋体" w:hAnsi="宋体" w:hint="eastAsia"/>
          <w:sz w:val="24"/>
        </w:rPr>
        <w:t>的影响上</w:t>
      </w:r>
      <w:r>
        <w:rPr>
          <w:rFonts w:ascii="宋体" w:hAnsi="宋体" w:hint="eastAsia"/>
          <w:sz w:val="24"/>
        </w:rPr>
        <w:t>，</w:t>
      </w:r>
      <w:r w:rsidR="003D467E" w:rsidRPr="003D467E">
        <w:rPr>
          <w:rFonts w:ascii="宋体" w:hAnsi="宋体" w:hint="eastAsia"/>
          <w:sz w:val="24"/>
        </w:rPr>
        <w:t>学者们采用了统计学方法和事件分析法，研究政策颁布前后股票风险的变化，并探讨了政策不确定性对股票风险的影响。陈国进、张润泽等（</w:t>
      </w:r>
      <w:r w:rsidR="003D467E" w:rsidRPr="003D467E">
        <w:rPr>
          <w:rFonts w:ascii="宋体" w:hAnsi="宋体"/>
          <w:sz w:val="24"/>
        </w:rPr>
        <w:t>2018</w:t>
      </w:r>
      <w:r w:rsidR="003D467E" w:rsidRPr="003D467E">
        <w:rPr>
          <w:rFonts w:ascii="宋体" w:hAnsi="宋体" w:hint="eastAsia"/>
          <w:sz w:val="24"/>
        </w:rPr>
        <w:t>）的实证研究表明，引入传统风险因子并未导致政策不确定性形成的波动率差异出现趋势性变化。这说明政策不确定性与传统风险因子之间的交互效应并不显著，进一步表明政策不确定性作为独立的风险因子具有较强的独立性。进一步区分市场板块，万相昱（</w:t>
      </w:r>
      <w:r w:rsidR="003D467E" w:rsidRPr="003D467E">
        <w:rPr>
          <w:rFonts w:ascii="宋体" w:hAnsi="宋体"/>
          <w:sz w:val="24"/>
        </w:rPr>
        <w:t>2022</w:t>
      </w:r>
      <w:r w:rsidR="003D467E" w:rsidRPr="003D467E">
        <w:rPr>
          <w:rFonts w:ascii="宋体" w:hAnsi="宋体" w:hint="eastAsia"/>
          <w:sz w:val="24"/>
        </w:rPr>
        <w:t>）等研究发现，在主板市场，经济政策不确定性（</w:t>
      </w:r>
      <w:r w:rsidR="003D467E" w:rsidRPr="003D467E">
        <w:rPr>
          <w:rFonts w:ascii="宋体" w:hAnsi="宋体"/>
          <w:sz w:val="24"/>
        </w:rPr>
        <w:t>EPU</w:t>
      </w:r>
      <w:r w:rsidR="003D467E" w:rsidRPr="003D467E">
        <w:rPr>
          <w:rFonts w:ascii="宋体" w:hAnsi="宋体" w:hint="eastAsia"/>
          <w:sz w:val="24"/>
        </w:rPr>
        <w:t>）对系统风险的影响非常显著。不同类型的投资组合中，</w:t>
      </w:r>
      <w:r w:rsidR="003D467E" w:rsidRPr="003D467E">
        <w:rPr>
          <w:rFonts w:ascii="宋体" w:hAnsi="宋体"/>
          <w:sz w:val="24"/>
        </w:rPr>
        <w:t>EPU</w:t>
      </w:r>
      <w:r w:rsidR="003D467E" w:rsidRPr="003D467E">
        <w:rPr>
          <w:rFonts w:ascii="宋体" w:hAnsi="宋体" w:hint="eastAsia"/>
          <w:sz w:val="24"/>
        </w:rPr>
        <w:t>对主板市场股票的系统性风险影响没有符号上的差异。也就是说，随着经济政策不确定性的增加，主板市场股票的系统性风险也会增加。然而，在创业板市场，</w:t>
      </w:r>
      <w:r w:rsidR="003D467E" w:rsidRPr="003D467E">
        <w:rPr>
          <w:rFonts w:ascii="宋体" w:hAnsi="宋体"/>
          <w:sz w:val="24"/>
        </w:rPr>
        <w:t>EPU</w:t>
      </w:r>
      <w:r w:rsidR="003D467E" w:rsidRPr="003D467E">
        <w:rPr>
          <w:rFonts w:ascii="宋体" w:hAnsi="宋体" w:hint="eastAsia"/>
          <w:sz w:val="24"/>
        </w:rPr>
        <w:t>对不同类型投资组合的系统风险影响存在差异。对于小规模股票，</w:t>
      </w:r>
      <w:r w:rsidR="003D467E" w:rsidRPr="003D467E">
        <w:rPr>
          <w:rFonts w:ascii="宋体" w:hAnsi="宋体"/>
          <w:sz w:val="24"/>
        </w:rPr>
        <w:t>EPU</w:t>
      </w:r>
      <w:r w:rsidR="003D467E" w:rsidRPr="003D467E">
        <w:rPr>
          <w:rFonts w:ascii="宋体" w:hAnsi="宋体" w:hint="eastAsia"/>
          <w:sz w:val="24"/>
        </w:rPr>
        <w:t>的系数显著小于零，这意味着经济政策不确定性越高，小规模股票的系统风险越低。而对于大规模股票，经济政策不确定性越高，系统风险也越高。</w:t>
      </w:r>
    </w:p>
    <w:p w14:paraId="72EB84B2" w14:textId="77777777" w:rsidR="0095276A" w:rsidRDefault="0095276A" w:rsidP="008624E8">
      <w:pPr>
        <w:spacing w:after="120" w:line="360" w:lineRule="auto"/>
        <w:ind w:firstLine="480"/>
        <w:rPr>
          <w:rFonts w:ascii="宋体" w:hAnsi="宋体"/>
          <w:sz w:val="24"/>
        </w:rPr>
      </w:pPr>
      <w:r w:rsidRPr="008D0A02">
        <w:rPr>
          <w:rFonts w:ascii="宋体" w:hAnsi="宋体" w:hint="eastAsia"/>
          <w:sz w:val="24"/>
        </w:rPr>
        <w:t>现有研究表明,经济政策不确定性会影响</w:t>
      </w:r>
      <w:r w:rsidRPr="00ED7EE9">
        <w:rPr>
          <w:rFonts w:ascii="宋体" w:hAnsi="宋体" w:hint="eastAsia"/>
          <w:b/>
          <w:bCs/>
          <w:sz w:val="24"/>
        </w:rPr>
        <w:t>股票市场的波动率</w:t>
      </w:r>
      <w:r>
        <w:rPr>
          <w:rFonts w:ascii="宋体" w:hAnsi="宋体" w:hint="eastAsia"/>
          <w:sz w:val="24"/>
        </w:rPr>
        <w:t>。</w:t>
      </w:r>
      <w:r w:rsidRPr="001273CA">
        <w:rPr>
          <w:rFonts w:ascii="宋体" w:hAnsi="宋体" w:hint="eastAsia"/>
          <w:sz w:val="24"/>
        </w:rPr>
        <w:t>雷立坤等</w:t>
      </w:r>
      <w:r w:rsidRPr="001273CA">
        <w:rPr>
          <w:rFonts w:ascii="宋体" w:hAnsi="宋体" w:hint="eastAsia"/>
          <w:sz w:val="24"/>
        </w:rPr>
        <w:lastRenderedPageBreak/>
        <w:t>(2018)发现EPU指数对于分析我国股市波动具有重要意义，通过这一指数能够明确股市波动过程中的长期要素，并显著改善对上证综指波动率的预测精度。杨苓和蒋远营（2</w:t>
      </w:r>
      <w:r w:rsidRPr="001273CA">
        <w:rPr>
          <w:rFonts w:ascii="宋体" w:hAnsi="宋体"/>
          <w:sz w:val="24"/>
        </w:rPr>
        <w:t>022</w:t>
      </w:r>
      <w:r w:rsidRPr="001273CA">
        <w:rPr>
          <w:rFonts w:ascii="宋体" w:hAnsi="宋体" w:hint="eastAsia"/>
          <w:sz w:val="24"/>
        </w:rPr>
        <w:t>）在</w:t>
      </w:r>
      <w:r w:rsidRPr="001273CA">
        <w:rPr>
          <w:rFonts w:ascii="宋体" w:hAnsi="宋体"/>
          <w:sz w:val="24"/>
        </w:rPr>
        <w:t>探究经济政策不确定性、股票市场和房地产市场间的动态关</w:t>
      </w:r>
      <w:r w:rsidRPr="001273CA">
        <w:rPr>
          <w:rFonts w:ascii="宋体" w:hAnsi="宋体" w:hint="eastAsia"/>
          <w:sz w:val="24"/>
        </w:rPr>
        <w:t>联的研究中发现，中国</w:t>
      </w:r>
      <w:r>
        <w:rPr>
          <w:rFonts w:ascii="宋体" w:hAnsi="宋体" w:hint="eastAsia"/>
          <w:sz w:val="24"/>
        </w:rPr>
        <w:t>的</w:t>
      </w:r>
      <w:r w:rsidRPr="001273CA">
        <w:rPr>
          <w:rFonts w:ascii="宋体" w:hAnsi="宋体" w:hint="eastAsia"/>
          <w:sz w:val="24"/>
        </w:rPr>
        <w:t>EPU</w:t>
      </w:r>
      <w:r>
        <w:rPr>
          <w:rFonts w:ascii="宋体" w:hAnsi="宋体" w:hint="eastAsia"/>
          <w:sz w:val="24"/>
        </w:rPr>
        <w:t>指数</w:t>
      </w:r>
      <w:r w:rsidRPr="001273CA">
        <w:rPr>
          <w:rFonts w:ascii="宋体" w:hAnsi="宋体" w:hint="eastAsia"/>
          <w:sz w:val="24"/>
        </w:rPr>
        <w:t>与股票市场同期负相关，究其原因，当经济政策频繁变动，投资者将采取稳健的投资方式避免潜在风险，因此不确定性的变化一定程度上能够抑制股市波动</w:t>
      </w:r>
      <w:r w:rsidRPr="00A83597">
        <w:rPr>
          <w:rFonts w:ascii="宋体" w:hAnsi="宋体" w:hint="eastAsia"/>
          <w:sz w:val="24"/>
        </w:rPr>
        <w:t>，但近几年EPU指数波动率的持续增长，抑制效果呈逐年减弱的趋势。</w:t>
      </w:r>
    </w:p>
    <w:p w14:paraId="05286FDC" w14:textId="4EE636BD" w:rsidR="001F19A6" w:rsidRPr="001F19A6" w:rsidRDefault="0095276A" w:rsidP="001F19A6">
      <w:pPr>
        <w:spacing w:after="120" w:line="360" w:lineRule="auto"/>
        <w:ind w:firstLine="480"/>
        <w:rPr>
          <w:rFonts w:ascii="宋体" w:hAnsi="宋体"/>
          <w:sz w:val="24"/>
        </w:rPr>
      </w:pPr>
      <w:r>
        <w:rPr>
          <w:rFonts w:ascii="宋体" w:hAnsi="宋体" w:hint="eastAsia"/>
          <w:sz w:val="24"/>
        </w:rPr>
        <w:t>经济政策不确定性对</w:t>
      </w:r>
      <w:r w:rsidRPr="00ED7EE9">
        <w:rPr>
          <w:rFonts w:ascii="宋体" w:hAnsi="宋体" w:hint="eastAsia"/>
          <w:b/>
          <w:bCs/>
          <w:sz w:val="24"/>
        </w:rPr>
        <w:t>股票溢价</w:t>
      </w:r>
      <w:r>
        <w:rPr>
          <w:rFonts w:ascii="宋体" w:hAnsi="宋体" w:hint="eastAsia"/>
          <w:sz w:val="24"/>
        </w:rPr>
        <w:t>有积极影响。</w:t>
      </w:r>
      <w:r w:rsidR="001F19A6" w:rsidRPr="001F19A6">
        <w:rPr>
          <w:rFonts w:ascii="宋体" w:hAnsi="宋体" w:hint="eastAsia"/>
          <w:sz w:val="24"/>
        </w:rPr>
        <w:t>研究表明，经济政策不确定性对股票市场具有积极影响。</w:t>
      </w:r>
      <w:r w:rsidR="001F19A6" w:rsidRPr="001F19A6">
        <w:rPr>
          <w:rFonts w:ascii="宋体" w:hAnsi="宋体"/>
          <w:sz w:val="24"/>
        </w:rPr>
        <w:t>Pástor</w:t>
      </w:r>
      <w:r w:rsidR="001F19A6" w:rsidRPr="001F19A6">
        <w:rPr>
          <w:rFonts w:ascii="宋体" w:hAnsi="宋体" w:hint="eastAsia"/>
          <w:sz w:val="24"/>
        </w:rPr>
        <w:t>和</w:t>
      </w:r>
      <w:r w:rsidR="001F19A6" w:rsidRPr="001F19A6">
        <w:rPr>
          <w:rFonts w:ascii="宋体" w:hAnsi="宋体"/>
          <w:sz w:val="24"/>
        </w:rPr>
        <w:t>Veronesi</w:t>
      </w:r>
      <w:r w:rsidR="001F19A6" w:rsidRPr="001F19A6">
        <w:rPr>
          <w:rFonts w:ascii="宋体" w:hAnsi="宋体" w:hint="eastAsia"/>
          <w:sz w:val="24"/>
        </w:rPr>
        <w:t>（</w:t>
      </w:r>
      <w:r w:rsidR="001F19A6" w:rsidRPr="001F19A6">
        <w:rPr>
          <w:rFonts w:ascii="宋体" w:hAnsi="宋体"/>
          <w:sz w:val="24"/>
        </w:rPr>
        <w:t>2012</w:t>
      </w:r>
      <w:r w:rsidR="001F19A6" w:rsidRPr="001F19A6">
        <w:rPr>
          <w:rFonts w:ascii="宋体" w:hAnsi="宋体" w:hint="eastAsia"/>
          <w:sz w:val="24"/>
        </w:rPr>
        <w:t>）基于资产定价模型的分析证明，政府政策的变化会使股票回报更加不稳定，从而对股票溢价产生影响</w:t>
      </w:r>
      <w:r w:rsidR="001F19A6">
        <w:rPr>
          <w:rFonts w:ascii="宋体" w:hAnsi="宋体" w:hint="eastAsia"/>
          <w:sz w:val="24"/>
        </w:rPr>
        <w:t>。</w:t>
      </w:r>
      <w:r w:rsidR="001F19A6" w:rsidRPr="001F19A6">
        <w:rPr>
          <w:rFonts w:ascii="宋体" w:hAnsi="宋体"/>
          <w:sz w:val="24"/>
        </w:rPr>
        <w:t>Brogaard</w:t>
      </w:r>
      <w:r w:rsidR="001F19A6" w:rsidRPr="001F19A6">
        <w:rPr>
          <w:rFonts w:ascii="宋体" w:hAnsi="宋体" w:hint="eastAsia"/>
          <w:sz w:val="24"/>
        </w:rPr>
        <w:t>和</w:t>
      </w:r>
      <w:r w:rsidR="001F19A6" w:rsidRPr="001F19A6">
        <w:rPr>
          <w:rFonts w:ascii="宋体" w:hAnsi="宋体"/>
          <w:sz w:val="24"/>
        </w:rPr>
        <w:t>Detzel</w:t>
      </w:r>
      <w:r w:rsidR="001F19A6" w:rsidRPr="001F19A6">
        <w:rPr>
          <w:rFonts w:ascii="宋体" w:hAnsi="宋体" w:hint="eastAsia"/>
          <w:sz w:val="24"/>
        </w:rPr>
        <w:t>（</w:t>
      </w:r>
      <w:r w:rsidR="001F19A6" w:rsidRPr="001F19A6">
        <w:rPr>
          <w:rFonts w:ascii="宋体" w:hAnsi="宋体"/>
          <w:sz w:val="24"/>
        </w:rPr>
        <w:t>2015</w:t>
      </w:r>
      <w:r w:rsidR="001F19A6" w:rsidRPr="001F19A6">
        <w:rPr>
          <w:rFonts w:ascii="宋体" w:hAnsi="宋体" w:hint="eastAsia"/>
          <w:sz w:val="24"/>
        </w:rPr>
        <w:t>）的研究考察了经济政策不确定性在截面上的定价能力。通过采用</w:t>
      </w:r>
      <w:r w:rsidR="001F19A6" w:rsidRPr="001F19A6">
        <w:rPr>
          <w:rFonts w:ascii="宋体" w:hAnsi="宋体"/>
          <w:sz w:val="24"/>
        </w:rPr>
        <w:t>GMM</w:t>
      </w:r>
      <w:r w:rsidR="001F19A6" w:rsidRPr="001F19A6">
        <w:rPr>
          <w:rFonts w:ascii="宋体" w:hAnsi="宋体" w:hint="eastAsia"/>
          <w:sz w:val="24"/>
        </w:rPr>
        <w:t>估计方法，他们得出结论，经济政策不确定性给美国股票资产带来显著的负向风险溢价。张润泽（</w:t>
      </w:r>
      <w:r w:rsidR="001F19A6" w:rsidRPr="001F19A6">
        <w:rPr>
          <w:rFonts w:ascii="宋体" w:hAnsi="宋体"/>
          <w:sz w:val="24"/>
        </w:rPr>
        <w:t>2017</w:t>
      </w:r>
      <w:r w:rsidR="001F19A6" w:rsidRPr="001F19A6">
        <w:rPr>
          <w:rFonts w:ascii="宋体" w:hAnsi="宋体" w:hint="eastAsia"/>
          <w:sz w:val="24"/>
        </w:rPr>
        <w:t>）等学者认为，政策不确定性能够解释一部分股权溢价，但风险溢价对政策风险的敏感度很高。随着政策风险的增加，股权溢价也会迅速上升。另外，汪弘等（</w:t>
      </w:r>
      <w:r w:rsidR="001F19A6" w:rsidRPr="001F19A6">
        <w:rPr>
          <w:rFonts w:ascii="宋体" w:hAnsi="宋体"/>
          <w:sz w:val="24"/>
        </w:rPr>
        <w:t>2018</w:t>
      </w:r>
      <w:r w:rsidR="001F19A6" w:rsidRPr="001F19A6">
        <w:rPr>
          <w:rFonts w:ascii="宋体" w:hAnsi="宋体" w:hint="eastAsia"/>
          <w:sz w:val="24"/>
        </w:rPr>
        <w:t>）的研究发现，经济政策不确定性（</w:t>
      </w:r>
      <w:r w:rsidR="001F19A6" w:rsidRPr="001F19A6">
        <w:rPr>
          <w:rFonts w:ascii="宋体" w:hAnsi="宋体"/>
          <w:sz w:val="24"/>
        </w:rPr>
        <w:t>EPU</w:t>
      </w:r>
      <w:r w:rsidR="001F19A6" w:rsidRPr="001F19A6">
        <w:rPr>
          <w:rFonts w:ascii="宋体" w:hAnsi="宋体" w:hint="eastAsia"/>
          <w:sz w:val="24"/>
        </w:rPr>
        <w:t>）是中国股市中一个非常重要的定价因子。他们发现，</w:t>
      </w:r>
      <w:r w:rsidR="001F19A6" w:rsidRPr="001F19A6">
        <w:rPr>
          <w:rFonts w:ascii="宋体" w:hAnsi="宋体"/>
          <w:sz w:val="24"/>
        </w:rPr>
        <w:t>EPU</w:t>
      </w:r>
      <w:r w:rsidR="001F19A6" w:rsidRPr="001F19A6">
        <w:rPr>
          <w:rFonts w:ascii="宋体" w:hAnsi="宋体" w:hint="eastAsia"/>
          <w:sz w:val="24"/>
        </w:rPr>
        <w:t>对未来</w:t>
      </w:r>
      <w:r w:rsidR="001F19A6" w:rsidRPr="001F19A6">
        <w:rPr>
          <w:rFonts w:ascii="宋体" w:hAnsi="宋体"/>
          <w:sz w:val="24"/>
        </w:rPr>
        <w:t>3</w:t>
      </w:r>
      <w:r w:rsidR="001F19A6" w:rsidRPr="001F19A6">
        <w:rPr>
          <w:rFonts w:ascii="宋体" w:hAnsi="宋体" w:hint="eastAsia"/>
          <w:sz w:val="24"/>
        </w:rPr>
        <w:t>个月的股票市场收益有显著的正向影响，并对</w:t>
      </w:r>
      <w:r w:rsidR="001F19A6" w:rsidRPr="001F19A6">
        <w:rPr>
          <w:rFonts w:ascii="宋体" w:hAnsi="宋体"/>
          <w:sz w:val="24"/>
        </w:rPr>
        <w:t>A</w:t>
      </w:r>
      <w:r w:rsidR="001F19A6" w:rsidRPr="001F19A6">
        <w:rPr>
          <w:rFonts w:ascii="宋体" w:hAnsi="宋体" w:hint="eastAsia"/>
          <w:sz w:val="24"/>
        </w:rPr>
        <w:t>股股票资产具有显著的正向溢价作用。</w:t>
      </w:r>
    </w:p>
    <w:p w14:paraId="70D2152C" w14:textId="7B57EBBD" w:rsidR="0095276A" w:rsidRDefault="0095276A" w:rsidP="008624E8">
      <w:pPr>
        <w:spacing w:after="120" w:line="360" w:lineRule="auto"/>
        <w:ind w:firstLine="480"/>
        <w:rPr>
          <w:rFonts w:ascii="宋体" w:hAnsi="宋体"/>
          <w:sz w:val="24"/>
        </w:rPr>
      </w:pPr>
      <w:r w:rsidRPr="003D467E">
        <w:rPr>
          <w:rFonts w:ascii="宋体" w:hAnsi="宋体" w:hint="eastAsia"/>
          <w:sz w:val="24"/>
        </w:rPr>
        <w:t>并且，</w:t>
      </w:r>
      <w:r w:rsidRPr="003D467E">
        <w:rPr>
          <w:rFonts w:ascii="宋体" w:hAnsi="宋体" w:hint="eastAsia"/>
          <w:b/>
          <w:bCs/>
          <w:sz w:val="24"/>
        </w:rPr>
        <w:t>经济政策不确定性对股市的影响效果是分阶段的</w:t>
      </w:r>
      <w:r>
        <w:rPr>
          <w:rFonts w:ascii="宋体" w:hAnsi="宋体" w:hint="eastAsia"/>
          <w:sz w:val="24"/>
        </w:rPr>
        <w:t>，</w:t>
      </w:r>
      <w:r w:rsidRPr="001273CA">
        <w:rPr>
          <w:rFonts w:ascii="宋体" w:hAnsi="宋体" w:hint="eastAsia"/>
          <w:sz w:val="24"/>
        </w:rPr>
        <w:t>可能由于国内经济体制的变化或外部环境的改变而发生相应的调整，或者，比如在分析牛市阶段和熊市阶段的影响、又或者是经济周期的不同阶段时可能会得出不一样的论断。郑丽君等（2</w:t>
      </w:r>
      <w:r w:rsidRPr="001273CA">
        <w:rPr>
          <w:rFonts w:ascii="宋体" w:hAnsi="宋体"/>
          <w:sz w:val="24"/>
        </w:rPr>
        <w:t>022</w:t>
      </w:r>
      <w:r w:rsidRPr="001273CA">
        <w:rPr>
          <w:rFonts w:ascii="宋体" w:hAnsi="宋体" w:hint="eastAsia"/>
          <w:sz w:val="24"/>
        </w:rPr>
        <w:t>）研究发现在不同的政策不确定性状态下，货币政策对股票价格的反应呈现出明显的分区制效应，但均为短期影响。</w:t>
      </w:r>
      <w:r>
        <w:rPr>
          <w:rFonts w:ascii="宋体" w:hAnsi="宋体" w:hint="eastAsia"/>
          <w:sz w:val="24"/>
        </w:rPr>
        <w:t>张伟亮、宋丽颖</w:t>
      </w:r>
      <w:r>
        <w:rPr>
          <w:rFonts w:ascii="宋体" w:hAnsi="宋体"/>
          <w:sz w:val="24"/>
        </w:rPr>
        <w:t>(2022)</w:t>
      </w:r>
      <w:r>
        <w:rPr>
          <w:rFonts w:ascii="宋体" w:hAnsi="宋体" w:hint="eastAsia"/>
          <w:sz w:val="24"/>
        </w:rPr>
        <w:t>在对中国经济政策不确定性的时变效应检验中得出，模型参数具有十分显著的时变特征，不变参数的假设是不合理的。</w:t>
      </w:r>
      <w:r w:rsidRPr="001273CA">
        <w:rPr>
          <w:rFonts w:ascii="宋体" w:hAnsi="宋体" w:hint="eastAsia"/>
          <w:sz w:val="24"/>
        </w:rPr>
        <w:t>李力等（2</w:t>
      </w:r>
      <w:r w:rsidRPr="001273CA">
        <w:rPr>
          <w:rFonts w:ascii="宋体" w:hAnsi="宋体"/>
          <w:sz w:val="24"/>
        </w:rPr>
        <w:t>018</w:t>
      </w:r>
      <w:r w:rsidRPr="001273CA">
        <w:rPr>
          <w:rFonts w:ascii="宋体" w:hAnsi="宋体" w:hint="eastAsia"/>
          <w:sz w:val="24"/>
        </w:rPr>
        <w:t>）研究发现EPU指数对于个股波动率的影响同样随着EPU指数的上升和市场波动率的加大而表现出非线性的特点</w:t>
      </w:r>
      <w:r>
        <w:rPr>
          <w:rFonts w:ascii="宋体" w:hAnsi="宋体" w:hint="eastAsia"/>
          <w:sz w:val="24"/>
        </w:rPr>
        <w:t>。进一步的，</w:t>
      </w:r>
      <w:r w:rsidRPr="001273CA">
        <w:rPr>
          <w:rFonts w:ascii="宋体" w:hAnsi="宋体" w:hint="eastAsia"/>
          <w:sz w:val="24"/>
        </w:rPr>
        <w:t>杨璐、刘永文等</w:t>
      </w:r>
      <w:r>
        <w:rPr>
          <w:rFonts w:ascii="宋体" w:hAnsi="宋体" w:hint="eastAsia"/>
          <w:sz w:val="24"/>
        </w:rPr>
        <w:t>（2</w:t>
      </w:r>
      <w:r>
        <w:rPr>
          <w:rFonts w:ascii="宋体" w:hAnsi="宋体"/>
          <w:sz w:val="24"/>
        </w:rPr>
        <w:t>022</w:t>
      </w:r>
      <w:r>
        <w:rPr>
          <w:rFonts w:ascii="宋体" w:hAnsi="宋体" w:hint="eastAsia"/>
          <w:sz w:val="24"/>
        </w:rPr>
        <w:t>）</w:t>
      </w:r>
      <w:r w:rsidR="007555A6">
        <w:rPr>
          <w:rFonts w:ascii="宋体" w:hAnsi="宋体" w:hint="eastAsia"/>
          <w:sz w:val="24"/>
        </w:rPr>
        <w:t>研究</w:t>
      </w:r>
      <w:r w:rsidRPr="001273CA">
        <w:rPr>
          <w:rFonts w:ascii="宋体" w:hAnsi="宋体" w:hint="eastAsia"/>
          <w:sz w:val="24"/>
        </w:rPr>
        <w:t>经济不确定性对金融市场的时变效应发现，经济政策不确定性上升使得短期内股价急剧下降，之后负面影响逐渐减小，长期内趋于0。</w:t>
      </w:r>
    </w:p>
    <w:p w14:paraId="46832F12" w14:textId="77777777" w:rsidR="0095276A" w:rsidRDefault="0095276A" w:rsidP="008624E8">
      <w:pPr>
        <w:spacing w:after="120" w:line="360" w:lineRule="auto"/>
        <w:ind w:firstLine="480"/>
        <w:rPr>
          <w:rFonts w:ascii="宋体" w:hAnsi="宋体"/>
          <w:sz w:val="24"/>
        </w:rPr>
      </w:pPr>
      <w:r>
        <w:rPr>
          <w:rFonts w:ascii="宋体" w:hAnsi="宋体" w:hint="eastAsia"/>
          <w:sz w:val="24"/>
        </w:rPr>
        <w:lastRenderedPageBreak/>
        <w:t>此外，有较多文献聚焦在经济政策不确定性中的</w:t>
      </w:r>
      <w:r w:rsidRPr="006370B5">
        <w:rPr>
          <w:rFonts w:ascii="宋体" w:hAnsi="宋体" w:hint="eastAsia"/>
          <w:b/>
          <w:bCs/>
          <w:sz w:val="24"/>
        </w:rPr>
        <w:t>货币政策不确定性对于股票波动率和流动性的影响</w:t>
      </w:r>
      <w:r>
        <w:rPr>
          <w:rFonts w:ascii="宋体" w:hAnsi="宋体" w:hint="eastAsia"/>
          <w:sz w:val="24"/>
        </w:rPr>
        <w:t>。</w:t>
      </w:r>
      <w:r w:rsidRPr="006930E1">
        <w:rPr>
          <w:rFonts w:ascii="宋体" w:hAnsi="宋体" w:hint="eastAsia"/>
          <w:sz w:val="24"/>
        </w:rPr>
        <w:t>周晖</w:t>
      </w:r>
      <w:r>
        <w:rPr>
          <w:rFonts w:ascii="宋体" w:hAnsi="宋体" w:hint="eastAsia"/>
          <w:sz w:val="24"/>
        </w:rPr>
        <w:t>（2</w:t>
      </w:r>
      <w:r>
        <w:rPr>
          <w:rFonts w:ascii="宋体" w:hAnsi="宋体"/>
          <w:sz w:val="24"/>
        </w:rPr>
        <w:t>010</w:t>
      </w:r>
      <w:r>
        <w:rPr>
          <w:rFonts w:ascii="宋体" w:hAnsi="宋体" w:hint="eastAsia"/>
          <w:sz w:val="24"/>
        </w:rPr>
        <w:t>）</w:t>
      </w:r>
      <w:r w:rsidRPr="006930E1">
        <w:rPr>
          <w:rFonts w:ascii="宋体" w:hAnsi="宋体" w:hint="eastAsia"/>
          <w:sz w:val="24"/>
        </w:rPr>
        <w:t>运用多元GARCH模型，认为货币政策与波动性可双向传导但略有阻滞，货币政策通过宏观经济渠道的间接作用效率更高</w:t>
      </w:r>
      <w:r>
        <w:rPr>
          <w:rFonts w:ascii="宋体" w:hAnsi="宋体" w:hint="eastAsia"/>
          <w:sz w:val="24"/>
        </w:rPr>
        <w:t>。</w:t>
      </w:r>
      <w:r w:rsidRPr="001273CA">
        <w:rPr>
          <w:rFonts w:ascii="宋体" w:hAnsi="宋体" w:hint="eastAsia"/>
          <w:sz w:val="24"/>
        </w:rPr>
        <w:t>胡一博等（2</w:t>
      </w:r>
      <w:r w:rsidRPr="001273CA">
        <w:rPr>
          <w:rFonts w:ascii="宋体" w:hAnsi="宋体"/>
          <w:sz w:val="24"/>
        </w:rPr>
        <w:t>019</w:t>
      </w:r>
      <w:r w:rsidRPr="001273CA">
        <w:rPr>
          <w:rFonts w:ascii="宋体" w:hAnsi="宋体" w:hint="eastAsia"/>
          <w:sz w:val="24"/>
        </w:rPr>
        <w:t>）研究得出相对股价而言，货币政策对股市波动率和流动性影响较大，股市波动率受货币政策冲击的脉冲响应值相对较小但冲击的持续期较长，而流动性虽受到货币政策的短期冲击，但脉冲响应数值较大，无论系统处于哪个区制，股市流动性均会受到较大的冲击，成为导致股市不稳定的重要因素。林建浩等（2</w:t>
      </w:r>
      <w:r w:rsidRPr="001273CA">
        <w:rPr>
          <w:rFonts w:ascii="宋体" w:hAnsi="宋体"/>
          <w:sz w:val="24"/>
        </w:rPr>
        <w:t>021</w:t>
      </w:r>
      <w:r w:rsidRPr="001273CA">
        <w:rPr>
          <w:rFonts w:ascii="宋体" w:hAnsi="宋体" w:hint="eastAsia"/>
          <w:sz w:val="24"/>
        </w:rPr>
        <w:t>）利用随机波动率模型估计货币政策不确定性指数，并表明货币政策不确定性为逆周期的经济变量，即宏观经济越不景气，MPU越大。</w:t>
      </w:r>
      <w:r>
        <w:rPr>
          <w:rFonts w:ascii="宋体" w:hAnsi="宋体" w:hint="eastAsia"/>
          <w:sz w:val="24"/>
        </w:rPr>
        <w:t>李超杰、郑凯鑫（2</w:t>
      </w:r>
      <w:r>
        <w:rPr>
          <w:rFonts w:ascii="宋体" w:hAnsi="宋体"/>
          <w:sz w:val="24"/>
        </w:rPr>
        <w:t>022</w:t>
      </w:r>
      <w:r>
        <w:rPr>
          <w:rFonts w:ascii="宋体" w:hAnsi="宋体" w:hint="eastAsia"/>
          <w:sz w:val="24"/>
        </w:rPr>
        <w:t>）实证研究得货币政策不确定性指数对于金融市场波动性的影响程度最深。</w:t>
      </w:r>
    </w:p>
    <w:p w14:paraId="31B1A992" w14:textId="7EBF4B48" w:rsidR="0095276A" w:rsidRPr="005D59FC" w:rsidRDefault="005D59FC" w:rsidP="005D59FC">
      <w:pPr>
        <w:pStyle w:val="3"/>
        <w:spacing w:before="156" w:after="156"/>
        <w:ind w:firstLine="560"/>
      </w:pPr>
      <w:bookmarkStart w:id="13" w:name="_Toc135748071"/>
      <w:r>
        <w:rPr>
          <w:rFonts w:hint="eastAsia"/>
        </w:rPr>
        <w:t>2</w:t>
      </w:r>
      <w:r>
        <w:t>.3.2</w:t>
      </w:r>
      <w:r w:rsidR="0058180D">
        <w:rPr>
          <w:rFonts w:hint="eastAsia"/>
        </w:rPr>
        <w:t>微观</w:t>
      </w:r>
      <w:r w:rsidR="0095276A" w:rsidRPr="005D59FC">
        <w:rPr>
          <w:rFonts w:hint="eastAsia"/>
        </w:rPr>
        <w:t>传导机制</w:t>
      </w:r>
      <w:bookmarkEnd w:id="13"/>
    </w:p>
    <w:p w14:paraId="11777092" w14:textId="2F0A2C90" w:rsidR="006E0FA9" w:rsidRPr="006E0FA9" w:rsidRDefault="0095276A" w:rsidP="006E0FA9">
      <w:pPr>
        <w:spacing w:after="120" w:line="360" w:lineRule="auto"/>
        <w:ind w:firstLine="480"/>
        <w:rPr>
          <w:rFonts w:ascii="宋体" w:hAnsi="宋体"/>
          <w:sz w:val="24"/>
        </w:rPr>
      </w:pPr>
      <w:r w:rsidRPr="00EA0131">
        <w:rPr>
          <w:rFonts w:ascii="宋体" w:hAnsi="宋体" w:hint="eastAsia"/>
          <w:b/>
          <w:bCs/>
          <w:sz w:val="24"/>
        </w:rPr>
        <w:t>企业部门</w:t>
      </w:r>
      <w:r>
        <w:rPr>
          <w:rFonts w:ascii="宋体" w:hAnsi="宋体" w:hint="eastAsia"/>
          <w:sz w:val="24"/>
        </w:rPr>
        <w:t>所受影响主要可分为预防性动机理论、实物期权理论理论、融资约束理论等。从预防性动机角度来说，石永东等（2</w:t>
      </w:r>
      <w:r>
        <w:rPr>
          <w:rFonts w:ascii="宋体" w:hAnsi="宋体"/>
          <w:sz w:val="24"/>
        </w:rPr>
        <w:t>016</w:t>
      </w:r>
      <w:r>
        <w:rPr>
          <w:rFonts w:ascii="宋体" w:hAnsi="宋体" w:hint="eastAsia"/>
          <w:sz w:val="24"/>
        </w:rPr>
        <w:t>）在对经济政策不确定性与企业持有现金策略的实证研究中得出，当经济不确定性增加时，企业会倾向于多持有现金，并且企业持有现金的增加部分来源于投资机会的放弃。</w:t>
      </w:r>
      <w:r w:rsidR="006E0FA9" w:rsidRPr="006E0FA9">
        <w:rPr>
          <w:rFonts w:ascii="宋体" w:hAnsi="宋体" w:hint="eastAsia"/>
          <w:sz w:val="24"/>
        </w:rPr>
        <w:t>根据陈国进等（</w:t>
      </w:r>
      <w:r w:rsidR="006E0FA9" w:rsidRPr="006E0FA9">
        <w:rPr>
          <w:rFonts w:ascii="宋体" w:hAnsi="宋体"/>
          <w:sz w:val="24"/>
        </w:rPr>
        <w:t>2018</w:t>
      </w:r>
      <w:r w:rsidR="006E0FA9" w:rsidRPr="006E0FA9">
        <w:rPr>
          <w:rFonts w:ascii="宋体" w:hAnsi="宋体" w:hint="eastAsia"/>
          <w:sz w:val="24"/>
        </w:rPr>
        <w:t>）的研究，政策不确定性的滞后一期变动对企业现金流产生了显著的负向影响，从而降低了企业的现金流水平。这意味着政策不确定性的增加可能会对企业的财务状况产生负面影响。此外，研究还指出政策不确定性可以提高随机贴现因子，即影响未来现金流折现的因素。更具体地说，相对风险厌恶系数对这种效应具有叠加效应。当政策不确定性和相对风险厌恶系数同时增加时，政策不确定性对随机贴现因子的正向影响呈现几何级数的增长。这表明随着政策不确定性和相对风险厌恶系数的提高，企业估值可能会降低。</w:t>
      </w:r>
    </w:p>
    <w:p w14:paraId="07C30C53" w14:textId="2E264B90" w:rsidR="0095276A" w:rsidRPr="00F638FB" w:rsidRDefault="0095276A" w:rsidP="008624E8">
      <w:pPr>
        <w:spacing w:after="120" w:line="360" w:lineRule="auto"/>
        <w:ind w:firstLine="480"/>
        <w:rPr>
          <w:rFonts w:ascii="宋体" w:hAnsi="宋体"/>
          <w:sz w:val="24"/>
        </w:rPr>
      </w:pPr>
      <w:r w:rsidRPr="00301760">
        <w:rPr>
          <w:rFonts w:ascii="宋体" w:hAnsi="宋体" w:hint="eastAsia"/>
          <w:sz w:val="24"/>
        </w:rPr>
        <w:t>李凤羽,杨墨竹</w:t>
      </w:r>
      <w:r>
        <w:rPr>
          <w:rFonts w:ascii="宋体" w:hAnsi="宋体" w:hint="eastAsia"/>
          <w:sz w:val="24"/>
        </w:rPr>
        <w:t>（2</w:t>
      </w:r>
      <w:r>
        <w:rPr>
          <w:rFonts w:ascii="宋体" w:hAnsi="宋体"/>
          <w:sz w:val="24"/>
        </w:rPr>
        <w:t>015</w:t>
      </w:r>
      <w:r>
        <w:rPr>
          <w:rFonts w:ascii="宋体" w:hAnsi="宋体" w:hint="eastAsia"/>
          <w:sz w:val="24"/>
        </w:rPr>
        <w:t>）研究表明，</w:t>
      </w:r>
      <w:r w:rsidRPr="00AE4AE8">
        <w:rPr>
          <w:rFonts w:ascii="宋体" w:hAnsi="宋体" w:hint="eastAsia"/>
          <w:sz w:val="24"/>
        </w:rPr>
        <w:t>经济政策不确定性的提高会对企业投资产生抑制作用,</w:t>
      </w:r>
      <w:r>
        <w:rPr>
          <w:rFonts w:ascii="宋体" w:hAnsi="宋体" w:hint="eastAsia"/>
          <w:sz w:val="24"/>
        </w:rPr>
        <w:t>与</w:t>
      </w:r>
      <w:r w:rsidRPr="00F638FB">
        <w:rPr>
          <w:rFonts w:ascii="宋体" w:hAnsi="宋体" w:hint="eastAsia"/>
          <w:sz w:val="24"/>
        </w:rPr>
        <w:t>实物期权理论</w:t>
      </w:r>
      <w:r>
        <w:rPr>
          <w:rFonts w:ascii="宋体" w:hAnsi="宋体" w:hint="eastAsia"/>
          <w:sz w:val="24"/>
        </w:rPr>
        <w:t>相吻合。</w:t>
      </w:r>
      <w:r w:rsidRPr="00F638FB">
        <w:rPr>
          <w:rFonts w:ascii="宋体" w:hAnsi="宋体" w:hint="eastAsia"/>
          <w:sz w:val="24"/>
        </w:rPr>
        <w:t>从融资约束理论出发</w:t>
      </w:r>
      <w:r>
        <w:rPr>
          <w:rFonts w:ascii="宋体" w:hAnsi="宋体"/>
          <w:sz w:val="24"/>
        </w:rPr>
        <w:t>,</w:t>
      </w:r>
      <w:r w:rsidRPr="00241D7E">
        <w:rPr>
          <w:rFonts w:ascii="宋体" w:hAnsi="宋体" w:hint="eastAsia"/>
          <w:sz w:val="24"/>
        </w:rPr>
        <w:t>GulenandIon</w:t>
      </w:r>
      <w:r>
        <w:rPr>
          <w:rFonts w:ascii="宋体" w:hAnsi="宋体"/>
          <w:sz w:val="24"/>
        </w:rPr>
        <w:t>(</w:t>
      </w:r>
      <w:r w:rsidRPr="00241D7E">
        <w:rPr>
          <w:rFonts w:ascii="宋体" w:hAnsi="宋体" w:hint="eastAsia"/>
          <w:sz w:val="24"/>
        </w:rPr>
        <w:t>2012</w:t>
      </w:r>
      <w:r>
        <w:rPr>
          <w:rFonts w:ascii="宋体" w:hAnsi="宋体"/>
          <w:sz w:val="24"/>
        </w:rPr>
        <w:t>)</w:t>
      </w:r>
      <w:r>
        <w:rPr>
          <w:rFonts w:ascii="宋体" w:hAnsi="宋体" w:hint="eastAsia"/>
          <w:sz w:val="24"/>
        </w:rPr>
        <w:t>认为</w:t>
      </w:r>
      <w:r w:rsidRPr="00241D7E">
        <w:rPr>
          <w:rFonts w:ascii="宋体" w:hAnsi="宋体" w:hint="eastAsia"/>
          <w:sz w:val="24"/>
        </w:rPr>
        <w:t>经济政策不确定性的上升增加了企业的破产概率,这会导致企业外部融资成本的上升,进而对企业投资产生抑制作用。</w:t>
      </w:r>
      <w:r w:rsidRPr="00F638FB">
        <w:rPr>
          <w:rFonts w:ascii="宋体" w:hAnsi="宋体" w:hint="eastAsia"/>
          <w:sz w:val="24"/>
        </w:rPr>
        <w:t>杨璐、刘永问（2</w:t>
      </w:r>
      <w:r w:rsidRPr="00F638FB">
        <w:rPr>
          <w:rFonts w:ascii="宋体" w:hAnsi="宋体"/>
          <w:sz w:val="24"/>
        </w:rPr>
        <w:t>022</w:t>
      </w:r>
      <w:r w:rsidRPr="00F638FB">
        <w:rPr>
          <w:rFonts w:ascii="宋体" w:hAnsi="宋体" w:hint="eastAsia"/>
          <w:sz w:val="24"/>
        </w:rPr>
        <w:t>）认为经济增长率、杠杆率和社会融资规模是影响股市系统性风险的重要原因，且随着经济增长率和社会融资规模减小，系统性风险升高；金融部门</w:t>
      </w:r>
      <w:r w:rsidRPr="00F638FB">
        <w:rPr>
          <w:rFonts w:ascii="宋体" w:hAnsi="宋体" w:hint="eastAsia"/>
          <w:sz w:val="24"/>
        </w:rPr>
        <w:lastRenderedPageBreak/>
        <w:t>杠杆率越高，市场系统性风险越大。</w:t>
      </w:r>
    </w:p>
    <w:p w14:paraId="60BC8E2A" w14:textId="7D22A7CB" w:rsidR="0095276A" w:rsidRPr="00EA0131" w:rsidRDefault="0095276A" w:rsidP="008624E8">
      <w:pPr>
        <w:spacing w:after="120" w:line="360" w:lineRule="auto"/>
        <w:ind w:firstLine="480"/>
        <w:rPr>
          <w:rFonts w:ascii="宋体" w:hAnsi="宋体"/>
          <w:sz w:val="24"/>
        </w:rPr>
      </w:pPr>
      <w:r w:rsidRPr="009C0546">
        <w:rPr>
          <w:rFonts w:ascii="宋体" w:hAnsi="宋体" w:hint="eastAsia"/>
          <w:sz w:val="24"/>
        </w:rPr>
        <w:t>在政策不确定性与股票价格的传导机制中,家庭的决策行为发挥着重要作用</w:t>
      </w:r>
      <w:r>
        <w:rPr>
          <w:rFonts w:ascii="宋体" w:hAnsi="宋体" w:hint="eastAsia"/>
          <w:sz w:val="24"/>
        </w:rPr>
        <w:t>，对于</w:t>
      </w:r>
      <w:r w:rsidRPr="00EA0131">
        <w:rPr>
          <w:rFonts w:ascii="宋体" w:hAnsi="宋体" w:hint="eastAsia"/>
          <w:b/>
          <w:bCs/>
          <w:sz w:val="24"/>
        </w:rPr>
        <w:t>家庭部门</w:t>
      </w:r>
      <w:r>
        <w:rPr>
          <w:rFonts w:ascii="宋体" w:hAnsi="宋体" w:hint="eastAsia"/>
          <w:sz w:val="24"/>
        </w:rPr>
        <w:t>所受影响的理论主要分为实物期权效应和预防储蓄效应</w:t>
      </w:r>
      <w:r w:rsidRPr="009C0546">
        <w:rPr>
          <w:rFonts w:ascii="宋体" w:hAnsi="宋体" w:hint="eastAsia"/>
          <w:sz w:val="24"/>
        </w:rPr>
        <w:t>。</w:t>
      </w:r>
      <w:r w:rsidRPr="003E1BC9">
        <w:rPr>
          <w:rFonts w:ascii="宋体" w:hAnsi="宋体" w:hint="eastAsia"/>
          <w:sz w:val="24"/>
        </w:rPr>
        <w:t>李永友和钟晓敏(2012)</w:t>
      </w:r>
      <w:r>
        <w:rPr>
          <w:rFonts w:ascii="宋体" w:hAnsi="宋体" w:hint="eastAsia"/>
          <w:sz w:val="24"/>
        </w:rPr>
        <w:t>在对家庭最优消费决策和财政政策的关系研究中发现，</w:t>
      </w:r>
      <w:r w:rsidRPr="003E1BC9">
        <w:rPr>
          <w:rFonts w:ascii="宋体" w:hAnsi="宋体" w:hint="eastAsia"/>
          <w:sz w:val="24"/>
        </w:rPr>
        <w:t>未预期到的财政政策冲击对居民边际消费倾向产生的综合效应显著为负</w:t>
      </w:r>
      <w:r>
        <w:rPr>
          <w:rFonts w:ascii="宋体" w:hAnsi="宋体" w:hint="eastAsia"/>
          <w:sz w:val="24"/>
        </w:rPr>
        <w:t>。</w:t>
      </w:r>
      <w:r w:rsidRPr="003E1BC9">
        <w:rPr>
          <w:rFonts w:ascii="宋体" w:hAnsi="宋体" w:hint="eastAsia"/>
          <w:sz w:val="24"/>
        </w:rPr>
        <w:t>胡永刚和郭长林(2013)表明,在引入财政支出规则后,财政政策能够通过居民预期改变其消费行为</w:t>
      </w:r>
      <w:r>
        <w:rPr>
          <w:rFonts w:ascii="宋体" w:hAnsi="宋体" w:hint="eastAsia"/>
          <w:sz w:val="24"/>
        </w:rPr>
        <w:t>。陈国进（2</w:t>
      </w:r>
      <w:r>
        <w:rPr>
          <w:rFonts w:ascii="宋体" w:hAnsi="宋体"/>
          <w:sz w:val="24"/>
        </w:rPr>
        <w:t>017</w:t>
      </w:r>
      <w:r>
        <w:rPr>
          <w:rFonts w:ascii="宋体" w:hAnsi="宋体" w:hint="eastAsia"/>
          <w:sz w:val="24"/>
        </w:rPr>
        <w:t>）等在</w:t>
      </w:r>
      <w:r w:rsidRPr="003F64E1">
        <w:rPr>
          <w:rFonts w:ascii="宋体" w:hAnsi="宋体" w:hint="eastAsia"/>
          <w:sz w:val="24"/>
        </w:rPr>
        <w:t>政策不确定性、消费行为与股票资产定价</w:t>
      </w:r>
      <w:r>
        <w:rPr>
          <w:rFonts w:ascii="宋体" w:hAnsi="宋体" w:hint="eastAsia"/>
          <w:sz w:val="24"/>
        </w:rPr>
        <w:t>的研究中得出，</w:t>
      </w:r>
      <w:r w:rsidRPr="003F64E1">
        <w:rPr>
          <w:rFonts w:ascii="宋体" w:hAnsi="宋体" w:hint="eastAsia"/>
          <w:sz w:val="24"/>
        </w:rPr>
        <w:t>政策不确定性也可能导致消费的增加</w:t>
      </w:r>
      <w:r>
        <w:rPr>
          <w:rFonts w:ascii="宋体" w:hAnsi="宋体" w:hint="eastAsia"/>
          <w:sz w:val="24"/>
        </w:rPr>
        <w:t>，消费者会因为对货币贬值的担心的增加，从而增加当期消费。</w:t>
      </w:r>
      <w:r w:rsidRPr="00F638FB">
        <w:rPr>
          <w:rFonts w:ascii="宋体" w:hAnsi="宋体" w:hint="eastAsia"/>
          <w:sz w:val="24"/>
        </w:rPr>
        <w:t>同时，人们在对未来作出预期时通常会对当下的事件冲击赋予较高的权重，在同一冲击的频率上升后，人们反而对这种事件冲击习以为常，弱化对股市波动造成的</w:t>
      </w:r>
      <w:r w:rsidRPr="008D311A">
        <w:rPr>
          <w:rFonts w:ascii="宋体" w:hAnsi="宋体" w:hint="eastAsia"/>
          <w:sz w:val="24"/>
        </w:rPr>
        <w:t>影响。</w:t>
      </w:r>
    </w:p>
    <w:p w14:paraId="3B194915" w14:textId="4EC9E423" w:rsidR="0095276A" w:rsidRPr="001273CA" w:rsidRDefault="0095276A" w:rsidP="008624E8">
      <w:pPr>
        <w:widowControl/>
        <w:spacing w:line="360" w:lineRule="auto"/>
        <w:jc w:val="left"/>
        <w:rPr>
          <w:rFonts w:ascii="宋体" w:hAnsi="宋体"/>
          <w:sz w:val="24"/>
        </w:rPr>
      </w:pPr>
      <w:r>
        <w:rPr>
          <w:noProof/>
        </w:rPr>
        <w:drawing>
          <wp:inline distT="0" distB="0" distL="0" distR="0" wp14:anchorId="75A2F577" wp14:editId="07AFDF0E">
            <wp:extent cx="5274310" cy="2179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79320"/>
                    </a:xfrm>
                    <a:prstGeom prst="rect">
                      <a:avLst/>
                    </a:prstGeom>
                  </pic:spPr>
                </pic:pic>
              </a:graphicData>
            </a:graphic>
          </wp:inline>
        </w:drawing>
      </w:r>
    </w:p>
    <w:p w14:paraId="57850CE7" w14:textId="3F17C1BA" w:rsidR="0095276A" w:rsidRPr="00BC7333" w:rsidRDefault="0095276A" w:rsidP="00BC7333">
      <w:pPr>
        <w:spacing w:line="360" w:lineRule="auto"/>
        <w:ind w:firstLine="440"/>
        <w:jc w:val="center"/>
        <w:rPr>
          <w:rFonts w:ascii="宋体" w:hAnsi="宋体"/>
          <w:b/>
          <w:bCs/>
          <w:sz w:val="22"/>
          <w:szCs w:val="22"/>
        </w:rPr>
      </w:pPr>
      <w:r w:rsidRPr="0077440E">
        <w:rPr>
          <w:rFonts w:ascii="宋体" w:hAnsi="宋体"/>
          <w:b/>
          <w:bCs/>
          <w:sz w:val="22"/>
          <w:szCs w:val="22"/>
        </w:rPr>
        <w:t>Figure</w:t>
      </w:r>
      <w:r w:rsidRPr="0077440E">
        <w:rPr>
          <w:rFonts w:ascii="宋体" w:hAnsi="宋体"/>
          <w:b/>
          <w:bCs/>
          <w:sz w:val="22"/>
          <w:szCs w:val="22"/>
        </w:rPr>
        <w:fldChar w:fldCharType="begin"/>
      </w:r>
      <w:r w:rsidRPr="0077440E">
        <w:rPr>
          <w:rFonts w:ascii="宋体" w:hAnsi="宋体"/>
          <w:b/>
          <w:bCs/>
          <w:sz w:val="22"/>
          <w:szCs w:val="22"/>
        </w:rPr>
        <w:instrText xml:space="preserve"> SEQ Figure \* ARABIC </w:instrText>
      </w:r>
      <w:r w:rsidRPr="0077440E">
        <w:rPr>
          <w:rFonts w:ascii="宋体" w:hAnsi="宋体"/>
          <w:b/>
          <w:bCs/>
          <w:sz w:val="22"/>
          <w:szCs w:val="22"/>
        </w:rPr>
        <w:fldChar w:fldCharType="separate"/>
      </w:r>
      <w:r w:rsidR="00812280">
        <w:rPr>
          <w:rFonts w:ascii="宋体" w:hAnsi="宋体"/>
          <w:b/>
          <w:bCs/>
          <w:noProof/>
          <w:sz w:val="22"/>
          <w:szCs w:val="22"/>
        </w:rPr>
        <w:t>1</w:t>
      </w:r>
      <w:r w:rsidRPr="0077440E">
        <w:rPr>
          <w:rFonts w:ascii="宋体" w:hAnsi="宋体"/>
          <w:b/>
          <w:bCs/>
          <w:sz w:val="22"/>
          <w:szCs w:val="22"/>
        </w:rPr>
        <w:fldChar w:fldCharType="end"/>
      </w:r>
      <w:r w:rsidRPr="0077440E">
        <w:rPr>
          <w:rFonts w:ascii="宋体" w:hAnsi="宋体" w:hint="eastAsia"/>
          <w:b/>
          <w:bCs/>
          <w:sz w:val="22"/>
          <w:szCs w:val="22"/>
        </w:rPr>
        <w:t>政策不确定性影响股价的传导机制</w:t>
      </w:r>
    </w:p>
    <w:p w14:paraId="264CECEF" w14:textId="4BAA7459" w:rsidR="0095276A" w:rsidRPr="005D4EEA" w:rsidRDefault="0095276A" w:rsidP="005D4EEA">
      <w:pPr>
        <w:pStyle w:val="2"/>
        <w:spacing w:before="156" w:after="156"/>
        <w:ind w:firstLine="600"/>
      </w:pPr>
      <w:bookmarkStart w:id="14" w:name="_Toc135748072"/>
      <w:r w:rsidRPr="005D4EEA">
        <w:t>2</w:t>
      </w:r>
      <w:r w:rsidR="00821D10" w:rsidRPr="005D4EEA">
        <w:t xml:space="preserve">.4 </w:t>
      </w:r>
      <w:r w:rsidRPr="005D4EEA">
        <w:rPr>
          <w:rFonts w:hint="eastAsia"/>
        </w:rPr>
        <w:t>股市波动对经济政策不确定性的影响</w:t>
      </w:r>
      <w:bookmarkEnd w:id="14"/>
    </w:p>
    <w:p w14:paraId="702A5FB1" w14:textId="77777777" w:rsidR="0095276A" w:rsidRDefault="0095276A" w:rsidP="008624E8">
      <w:pPr>
        <w:spacing w:after="120" w:line="360" w:lineRule="auto"/>
        <w:ind w:firstLine="480"/>
        <w:rPr>
          <w:rFonts w:ascii="宋体" w:hAnsi="宋体"/>
          <w:sz w:val="24"/>
        </w:rPr>
      </w:pPr>
      <w:r w:rsidRPr="00F8705B">
        <w:rPr>
          <w:rFonts w:ascii="宋体" w:hAnsi="宋体"/>
          <w:sz w:val="24"/>
        </w:rPr>
        <w:t>除了经济政策不确定性对股票市场波动的单向影响外，一些学者还发现，股票市场波动也对经济政策不确定性产生了影响，两者存在双向交互影响。</w:t>
      </w:r>
    </w:p>
    <w:p w14:paraId="24A60575" w14:textId="14259EFC" w:rsidR="0095276A" w:rsidRDefault="0095276A" w:rsidP="008624E8">
      <w:pPr>
        <w:spacing w:after="120" w:line="360" w:lineRule="auto"/>
        <w:ind w:firstLine="480"/>
        <w:rPr>
          <w:rFonts w:ascii="宋体" w:hAnsi="宋体"/>
          <w:sz w:val="24"/>
        </w:rPr>
      </w:pPr>
      <w:r w:rsidRPr="00F8705B">
        <w:rPr>
          <w:rFonts w:ascii="宋体" w:hAnsi="宋体"/>
          <w:sz w:val="24"/>
        </w:rPr>
        <w:t>Antonakakis等（2013）从动态相关性角度发现，美国经济政策不确定性与美国股票市场波动之间存在显著的双向关联。</w:t>
      </w:r>
      <w:r w:rsidRPr="009E437D">
        <w:rPr>
          <w:rFonts w:ascii="宋体" w:hAnsi="宋体" w:hint="eastAsia"/>
          <w:sz w:val="24"/>
        </w:rPr>
        <w:t>Pástor和Veronesi(2013)指出经济繁荣时,政策当局倾向于继续沿用现有政策,而经济衰退时,政策调整的可能性大幅上升。</w:t>
      </w:r>
      <w:r w:rsidRPr="00F8705B">
        <w:rPr>
          <w:rFonts w:ascii="宋体" w:hAnsi="宋体"/>
          <w:sz w:val="24"/>
        </w:rPr>
        <w:t>陈国进等（2014）测度了中国经济政策不确定性与中国股票市场波动之间的双向关联。</w:t>
      </w:r>
    </w:p>
    <w:p w14:paraId="7FB3DA4A" w14:textId="0839B613" w:rsidR="0095276A" w:rsidRPr="005D278A" w:rsidRDefault="0095276A" w:rsidP="005D278A">
      <w:pPr>
        <w:spacing w:after="120" w:line="360" w:lineRule="auto"/>
        <w:ind w:firstLine="480"/>
        <w:rPr>
          <w:rFonts w:ascii="宋体" w:hAnsi="宋体"/>
          <w:sz w:val="24"/>
        </w:rPr>
      </w:pPr>
      <w:r>
        <w:rPr>
          <w:rFonts w:ascii="宋体" w:hAnsi="宋体" w:hint="eastAsia"/>
          <w:sz w:val="24"/>
        </w:rPr>
        <w:lastRenderedPageBreak/>
        <w:t>进一步的，杨苓、蒋远营（2</w:t>
      </w:r>
      <w:r>
        <w:rPr>
          <w:rFonts w:ascii="宋体" w:hAnsi="宋体"/>
          <w:sz w:val="24"/>
        </w:rPr>
        <w:t>022</w:t>
      </w:r>
      <w:r>
        <w:rPr>
          <w:rFonts w:ascii="宋体" w:hAnsi="宋体" w:hint="eastAsia"/>
          <w:sz w:val="24"/>
        </w:rPr>
        <w:t>）研究发现股市冲击</w:t>
      </w:r>
      <w:r w:rsidRPr="00E626A3">
        <w:rPr>
          <w:rFonts w:ascii="宋体" w:hAnsi="宋体" w:hint="eastAsia"/>
          <w:sz w:val="24"/>
        </w:rPr>
        <w:t>能够减缓EPU指数的波动，中期传导效应相较短、长期更为显著，表明股市冲击对EPU存在较强的滞后负传导效应，</w:t>
      </w:r>
      <w:r>
        <w:rPr>
          <w:rFonts w:ascii="宋体" w:hAnsi="宋体" w:hint="eastAsia"/>
          <w:sz w:val="24"/>
        </w:rPr>
        <w:t>且无论其自身波动状态，冲击效果都表现为抑制作用。</w:t>
      </w:r>
    </w:p>
    <w:p w14:paraId="189DB381" w14:textId="77777777" w:rsidR="00BC7333" w:rsidRDefault="00BC7333">
      <w:pPr>
        <w:widowControl/>
        <w:spacing w:after="160" w:line="259" w:lineRule="auto"/>
        <w:jc w:val="left"/>
        <w:rPr>
          <w:rFonts w:eastAsia="黑体"/>
          <w:b/>
          <w:bCs/>
          <w:kern w:val="44"/>
          <w:sz w:val="32"/>
          <w:szCs w:val="28"/>
        </w:rPr>
      </w:pPr>
      <w:r>
        <w:br w:type="page"/>
      </w:r>
    </w:p>
    <w:p w14:paraId="35CD807C" w14:textId="0D6FE480" w:rsidR="0095276A" w:rsidRPr="00203959" w:rsidRDefault="00203959" w:rsidP="00203959">
      <w:pPr>
        <w:pStyle w:val="Heading1"/>
        <w:spacing w:before="624" w:after="468"/>
      </w:pPr>
      <w:bookmarkStart w:id="15" w:name="_Toc135748073"/>
      <w:r>
        <w:rPr>
          <w:rFonts w:hint="eastAsia"/>
        </w:rPr>
        <w:lastRenderedPageBreak/>
        <w:t>第三章</w:t>
      </w:r>
      <w:r>
        <w:rPr>
          <w:rFonts w:hint="eastAsia"/>
        </w:rPr>
        <w:t xml:space="preserve"> </w:t>
      </w:r>
      <w:r w:rsidR="00961542">
        <w:rPr>
          <w:rFonts w:hint="eastAsia"/>
        </w:rPr>
        <w:t>分析框架与数据来源</w:t>
      </w:r>
      <w:bookmarkEnd w:id="15"/>
    </w:p>
    <w:p w14:paraId="27C6EA2B" w14:textId="16F640AF" w:rsidR="0095276A" w:rsidRPr="00E97AC1" w:rsidRDefault="00E97AC1" w:rsidP="00E97AC1">
      <w:pPr>
        <w:pStyle w:val="2"/>
        <w:spacing w:before="156" w:after="156"/>
        <w:ind w:firstLine="600"/>
      </w:pPr>
      <w:bookmarkStart w:id="16" w:name="_Toc135748074"/>
      <w:r w:rsidRPr="00E97AC1">
        <w:rPr>
          <w:rFonts w:hint="eastAsia"/>
        </w:rPr>
        <w:t>3</w:t>
      </w:r>
      <w:r w:rsidRPr="00E97AC1">
        <w:t>.1</w:t>
      </w:r>
      <w:r w:rsidR="0095276A" w:rsidRPr="00E97AC1">
        <w:rPr>
          <w:rFonts w:hint="eastAsia"/>
        </w:rPr>
        <w:t>研究问题</w:t>
      </w:r>
      <w:bookmarkEnd w:id="16"/>
    </w:p>
    <w:p w14:paraId="2C6FDE53" w14:textId="08300967" w:rsidR="007C7A28" w:rsidRPr="007C7A28" w:rsidRDefault="0095276A" w:rsidP="007C7A28">
      <w:pPr>
        <w:spacing w:after="120" w:line="360" w:lineRule="auto"/>
        <w:ind w:firstLine="480"/>
        <w:rPr>
          <w:rFonts w:ascii="宋体" w:hAnsi="宋体"/>
          <w:sz w:val="24"/>
        </w:rPr>
      </w:pPr>
      <w:r>
        <w:rPr>
          <w:rFonts w:ascii="宋体" w:hAnsi="宋体" w:hint="eastAsia"/>
          <w:sz w:val="24"/>
        </w:rPr>
        <w:t>综上所述，</w:t>
      </w:r>
      <w:r w:rsidRPr="001D765E">
        <w:rPr>
          <w:rFonts w:ascii="宋体" w:hAnsi="宋体" w:hint="eastAsia"/>
          <w:sz w:val="24"/>
        </w:rPr>
        <w:t>现有对于经济不确定性与股票市场的关联的研究多集中于货币政策的单一影响以及经济政策不确定性</w:t>
      </w:r>
      <w:r>
        <w:rPr>
          <w:rFonts w:ascii="宋体" w:hAnsi="宋体" w:hint="eastAsia"/>
          <w:sz w:val="24"/>
        </w:rPr>
        <w:t>对整体股市的</w:t>
      </w:r>
      <w:r w:rsidRPr="001D765E">
        <w:rPr>
          <w:rFonts w:ascii="宋体" w:hAnsi="宋体" w:hint="eastAsia"/>
          <w:sz w:val="24"/>
        </w:rPr>
        <w:t>影响</w:t>
      </w:r>
      <w:r w:rsidR="0002515A">
        <w:rPr>
          <w:rFonts w:ascii="宋体" w:hAnsi="宋体" w:hint="eastAsia"/>
          <w:sz w:val="24"/>
        </w:rPr>
        <w:t>的理论研究</w:t>
      </w:r>
      <w:r>
        <w:rPr>
          <w:rFonts w:ascii="宋体" w:hAnsi="宋体" w:hint="eastAsia"/>
          <w:sz w:val="24"/>
        </w:rPr>
        <w:t>，</w:t>
      </w:r>
      <w:r w:rsidR="00E035B5">
        <w:rPr>
          <w:rFonts w:ascii="宋体" w:hAnsi="宋体" w:hint="eastAsia"/>
          <w:sz w:val="24"/>
        </w:rPr>
        <w:t>而</w:t>
      </w:r>
      <w:r w:rsidR="000A6B01">
        <w:rPr>
          <w:rFonts w:ascii="宋体" w:hAnsi="宋体" w:hint="eastAsia"/>
          <w:sz w:val="24"/>
        </w:rPr>
        <w:t>从股市波动性特征出发并基于</w:t>
      </w:r>
      <w:r w:rsidR="00997F29">
        <w:rPr>
          <w:rFonts w:ascii="宋体" w:hAnsi="宋体" w:hint="eastAsia"/>
          <w:sz w:val="24"/>
        </w:rPr>
        <w:t>分区制的</w:t>
      </w:r>
      <w:r>
        <w:rPr>
          <w:rFonts w:ascii="宋体" w:hAnsi="宋体" w:hint="eastAsia"/>
          <w:sz w:val="24"/>
        </w:rPr>
        <w:t>实证检验</w:t>
      </w:r>
      <w:r w:rsidR="00E035B5">
        <w:rPr>
          <w:rFonts w:ascii="宋体" w:hAnsi="宋体" w:hint="eastAsia"/>
          <w:sz w:val="24"/>
        </w:rPr>
        <w:t>较少</w:t>
      </w:r>
      <w:r>
        <w:rPr>
          <w:rFonts w:ascii="宋体" w:hAnsi="宋体" w:hint="eastAsia"/>
          <w:sz w:val="24"/>
        </w:rPr>
        <w:t>；此外，现有研究多是使用间接的代理变量赋值于经济政策不确定性，</w:t>
      </w:r>
      <w:r w:rsidR="007C7A28" w:rsidRPr="007C7A28">
        <w:rPr>
          <w:rFonts w:ascii="宋体" w:hAnsi="宋体" w:hint="eastAsia"/>
          <w:sz w:val="24"/>
        </w:rPr>
        <w:t>传统的政策工具在很大程度上无法全面反映政策在不确定性层面的特征。这些传统工具主要关注特定政策措施的实施和效果评估，但往往无法捕捉到政策在时间序列上的连续变动和不确定性所带来的影响。另外，事件分析法通常用于分析股市异常点时的政策效应，它可以帮助我们理解政策措施对市场的短期影响。然而，这种方法往往只能关注特定事件或特定时期，难以全面了解政策效应在时间序列上的持续变动。</w:t>
      </w:r>
    </w:p>
    <w:p w14:paraId="766CA4FD" w14:textId="5AB0E739" w:rsidR="0095276A" w:rsidRDefault="0095276A" w:rsidP="008624E8">
      <w:pPr>
        <w:spacing w:after="120" w:line="360" w:lineRule="auto"/>
        <w:ind w:firstLine="480"/>
        <w:rPr>
          <w:rFonts w:ascii="宋体" w:hAnsi="宋体"/>
          <w:sz w:val="24"/>
        </w:rPr>
      </w:pPr>
      <w:r w:rsidRPr="001D765E">
        <w:rPr>
          <w:rFonts w:ascii="宋体" w:hAnsi="宋体" w:hint="eastAsia"/>
          <w:sz w:val="24"/>
        </w:rPr>
        <w:t>因此，本文</w:t>
      </w:r>
      <w:r>
        <w:rPr>
          <w:rFonts w:ascii="宋体" w:hAnsi="宋体" w:hint="eastAsia"/>
          <w:sz w:val="24"/>
        </w:rPr>
        <w:t>基于此提出以下研究问题与假设。</w:t>
      </w:r>
    </w:p>
    <w:p w14:paraId="41028142" w14:textId="0A71A983" w:rsidR="0095276A" w:rsidRDefault="0095276A" w:rsidP="008A0213">
      <w:pPr>
        <w:spacing w:after="120" w:line="360" w:lineRule="auto"/>
        <w:ind w:firstLine="480"/>
        <w:rPr>
          <w:rFonts w:ascii="宋体" w:hAnsi="宋体"/>
          <w:sz w:val="24"/>
        </w:rPr>
      </w:pPr>
      <w:r w:rsidRPr="001273CA">
        <w:rPr>
          <w:rFonts w:ascii="宋体" w:hAnsi="宋体" w:hint="eastAsia"/>
          <w:sz w:val="24"/>
        </w:rPr>
        <w:t>基于区制识别，研究</w:t>
      </w:r>
      <w:r>
        <w:rPr>
          <w:rFonts w:ascii="宋体" w:hAnsi="宋体" w:hint="eastAsia"/>
          <w:sz w:val="24"/>
        </w:rPr>
        <w:t>系统在所处的不同区制</w:t>
      </w:r>
      <w:r w:rsidRPr="001273CA">
        <w:rPr>
          <w:rFonts w:ascii="宋体" w:hAnsi="宋体" w:hint="eastAsia"/>
          <w:sz w:val="24"/>
        </w:rPr>
        <w:t>下，经济政策不确定性冲击</w:t>
      </w:r>
      <w:r>
        <w:rPr>
          <w:rFonts w:ascii="宋体" w:hAnsi="宋体" w:hint="eastAsia"/>
          <w:sz w:val="24"/>
        </w:rPr>
        <w:t>对股市波动</w:t>
      </w:r>
      <w:r w:rsidRPr="001273CA">
        <w:rPr>
          <w:rFonts w:ascii="宋体" w:hAnsi="宋体" w:hint="eastAsia"/>
          <w:sz w:val="24"/>
        </w:rPr>
        <w:t>的</w:t>
      </w:r>
      <w:r>
        <w:rPr>
          <w:rFonts w:ascii="宋体" w:hAnsi="宋体" w:hint="eastAsia"/>
          <w:sz w:val="24"/>
        </w:rPr>
        <w:t>影响，比较不同波动水平组合下影响效果的差异，</w:t>
      </w:r>
      <w:r w:rsidRPr="001273CA">
        <w:rPr>
          <w:rFonts w:ascii="宋体" w:hAnsi="宋体" w:hint="eastAsia"/>
          <w:sz w:val="24"/>
        </w:rPr>
        <w:t>并结合相关时点的重大事件进行分析。</w:t>
      </w:r>
    </w:p>
    <w:p w14:paraId="2F4879B4" w14:textId="3D6F659E" w:rsidR="008A0213" w:rsidRDefault="00444096" w:rsidP="00444096">
      <w:pPr>
        <w:spacing w:after="120" w:line="360" w:lineRule="auto"/>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“政策风险假说”</w:t>
      </w:r>
      <w:r>
        <w:rPr>
          <w:rFonts w:ascii="宋体" w:hAnsi="宋体" w:hint="eastAsia"/>
          <w:sz w:val="24"/>
        </w:rPr>
        <w:t>将政策不确定性看作一种风险，因此资产价格波动和不确定性</w:t>
      </w:r>
      <w:r>
        <w:rPr>
          <w:rFonts w:ascii="宋体" w:hAnsi="宋体" w:hint="eastAsia"/>
          <w:sz w:val="24"/>
        </w:rPr>
        <w:t>往往在较差的宏观环境中呈现出双高的特点。</w:t>
      </w:r>
      <w:r w:rsidR="008A0213">
        <w:rPr>
          <w:rFonts w:ascii="宋体" w:hAnsi="宋体" w:hint="eastAsia"/>
          <w:sz w:val="24"/>
        </w:rPr>
        <w:t>李超杰、郑凯鑫在对中国经济政策和金融市场波动的关系研究</w:t>
      </w:r>
      <w:r w:rsidR="00AD26AC">
        <w:rPr>
          <w:rFonts w:ascii="宋体" w:hAnsi="宋体" w:hint="eastAsia"/>
          <w:sz w:val="24"/>
        </w:rPr>
        <w:t>指</w:t>
      </w:r>
      <w:r w:rsidR="008A0213">
        <w:rPr>
          <w:rFonts w:ascii="宋体" w:hAnsi="宋体" w:hint="eastAsia"/>
          <w:sz w:val="24"/>
        </w:rPr>
        <w:t>出，经济政策不确定性作为一种系统性风险，会加剧金融市场的波动程度，且其中货币政策不确定性每增加1</w:t>
      </w:r>
      <w:r w:rsidR="008A0213">
        <w:rPr>
          <w:rFonts w:ascii="宋体" w:hAnsi="宋体"/>
          <w:sz w:val="24"/>
        </w:rPr>
        <w:t>%</w:t>
      </w:r>
      <w:r w:rsidR="008A0213">
        <w:rPr>
          <w:rFonts w:ascii="宋体" w:hAnsi="宋体" w:hint="eastAsia"/>
          <w:sz w:val="24"/>
        </w:rPr>
        <w:t>，股市的波动率也会相应增加0</w:t>
      </w:r>
      <w:r w:rsidR="008A0213">
        <w:rPr>
          <w:rFonts w:ascii="宋体" w:hAnsi="宋体"/>
          <w:sz w:val="24"/>
        </w:rPr>
        <w:t>.317%</w:t>
      </w:r>
      <w:r w:rsidR="008A0213">
        <w:rPr>
          <w:rFonts w:ascii="宋体" w:hAnsi="宋体" w:hint="eastAsia"/>
          <w:sz w:val="24"/>
        </w:rPr>
        <w:t>，表现最为显著</w:t>
      </w:r>
      <w:r w:rsidR="007725E0">
        <w:rPr>
          <w:rFonts w:ascii="宋体" w:hAnsi="宋体" w:hint="eastAsia"/>
          <w:sz w:val="24"/>
        </w:rPr>
        <w:t>，且会带来超额股票收益率（Patelis，1</w:t>
      </w:r>
      <w:r w:rsidR="007725E0">
        <w:rPr>
          <w:rFonts w:ascii="宋体" w:hAnsi="宋体"/>
          <w:sz w:val="24"/>
        </w:rPr>
        <w:t>997</w:t>
      </w:r>
      <w:r w:rsidR="007725E0">
        <w:rPr>
          <w:rFonts w:ascii="宋体" w:hAnsi="宋体" w:hint="eastAsia"/>
          <w:sz w:val="24"/>
        </w:rPr>
        <w:t>）</w:t>
      </w:r>
      <w:r w:rsidR="008A0213">
        <w:rPr>
          <w:rFonts w:ascii="宋体" w:hAnsi="宋体" w:hint="eastAsia"/>
          <w:sz w:val="24"/>
        </w:rPr>
        <w:t>。</w:t>
      </w:r>
      <w:r w:rsidR="00A15968">
        <w:rPr>
          <w:rFonts w:ascii="宋体" w:hAnsi="宋体" w:hint="eastAsia"/>
          <w:sz w:val="24"/>
        </w:rPr>
        <w:t>关税政策的不确定性使得股票波动率在政策公布日附近显著提升（王红，2</w:t>
      </w:r>
      <w:r w:rsidR="00A15968">
        <w:rPr>
          <w:rFonts w:ascii="宋体" w:hAnsi="宋体"/>
          <w:sz w:val="24"/>
        </w:rPr>
        <w:t>023</w:t>
      </w:r>
      <w:r w:rsidR="00A15968">
        <w:rPr>
          <w:rFonts w:ascii="宋体" w:hAnsi="宋体" w:hint="eastAsia"/>
          <w:sz w:val="24"/>
        </w:rPr>
        <w:t>）。</w:t>
      </w:r>
      <w:r w:rsidR="008A0213">
        <w:rPr>
          <w:rFonts w:ascii="宋体" w:hAnsi="宋体" w:hint="eastAsia"/>
          <w:sz w:val="24"/>
        </w:rPr>
        <w:t>因此提出：</w:t>
      </w:r>
    </w:p>
    <w:p w14:paraId="0561D5D9" w14:textId="2446703B" w:rsidR="00840870" w:rsidRDefault="0095276A" w:rsidP="008624E8">
      <w:pPr>
        <w:spacing w:after="120" w:line="360" w:lineRule="auto"/>
        <w:rPr>
          <w:rFonts w:ascii="宋体" w:hAnsi="宋体"/>
          <w:sz w:val="24"/>
        </w:rPr>
      </w:pPr>
      <w:r w:rsidRPr="00371D3B">
        <w:rPr>
          <w:rFonts w:ascii="宋体" w:hAnsi="宋体" w:hint="eastAsia"/>
          <w:b/>
          <w:bCs/>
          <w:sz w:val="24"/>
        </w:rPr>
        <w:t>假设</w:t>
      </w:r>
      <w:r w:rsidRPr="00371D3B">
        <w:rPr>
          <w:rFonts w:ascii="宋体" w:hAnsi="宋体"/>
          <w:b/>
          <w:bCs/>
          <w:sz w:val="24"/>
        </w:rPr>
        <w:t>1</w:t>
      </w:r>
      <w:r w:rsidR="00E035B5" w:rsidRPr="00E035B5">
        <w:rPr>
          <w:rFonts w:ascii="宋体" w:hAnsi="宋体" w:hint="eastAsia"/>
          <w:sz w:val="24"/>
        </w:rPr>
        <w:t>经济政策</w:t>
      </w:r>
      <w:r>
        <w:rPr>
          <w:rFonts w:ascii="宋体" w:hAnsi="宋体" w:hint="eastAsia"/>
          <w:sz w:val="24"/>
        </w:rPr>
        <w:t>不确定性冲击对股市波动性表现出显著的</w:t>
      </w:r>
      <w:r w:rsidR="00ED4E55">
        <w:rPr>
          <w:rFonts w:ascii="宋体" w:hAnsi="宋体" w:hint="eastAsia"/>
          <w:sz w:val="24"/>
        </w:rPr>
        <w:t>正向影响。</w:t>
      </w:r>
    </w:p>
    <w:p w14:paraId="11E30120" w14:textId="06BD23D7" w:rsidR="00F424B9" w:rsidRDefault="00F424B9" w:rsidP="008624E8">
      <w:pPr>
        <w:spacing w:after="120" w:line="360" w:lineRule="auto"/>
        <w:rPr>
          <w:rFonts w:ascii="宋体" w:hAnsi="宋体" w:hint="eastAsia"/>
          <w:sz w:val="24"/>
        </w:rPr>
      </w:pPr>
      <w:r>
        <w:rPr>
          <w:rFonts w:ascii="宋体" w:hAnsi="宋体" w:hint="eastAsia"/>
          <w:sz w:val="24"/>
        </w:rPr>
        <w:t xml:space="preserve"> </w:t>
      </w:r>
      <w:r>
        <w:rPr>
          <w:rFonts w:ascii="宋体" w:hAnsi="宋体"/>
          <w:sz w:val="24"/>
        </w:rPr>
        <w:t xml:space="preserve">   </w:t>
      </w:r>
      <w:r>
        <w:rPr>
          <w:rFonts w:ascii="宋体" w:hAnsi="宋体" w:hint="eastAsia"/>
          <w:sz w:val="24"/>
        </w:rPr>
        <w:t>宏观经济的高度非线性特征决定了政策不确定性的非线性</w:t>
      </w:r>
      <w:r w:rsidR="00D104F2">
        <w:rPr>
          <w:rFonts w:ascii="宋体" w:hAnsi="宋体" w:hint="eastAsia"/>
          <w:sz w:val="24"/>
        </w:rPr>
        <w:t>，且</w:t>
      </w:r>
      <w:r>
        <w:rPr>
          <w:rFonts w:ascii="宋体" w:hAnsi="宋体" w:hint="eastAsia"/>
          <w:sz w:val="24"/>
        </w:rPr>
        <w:t>包含区制转换的高频波动率模型对中国股票市场波动率的预测表现更好。</w:t>
      </w:r>
      <w:r w:rsidR="00F50B7F">
        <w:rPr>
          <w:rFonts w:ascii="宋体" w:hAnsi="宋体" w:hint="eastAsia"/>
          <w:sz w:val="24"/>
        </w:rPr>
        <w:t>因此提出：</w:t>
      </w:r>
    </w:p>
    <w:p w14:paraId="1825AADA" w14:textId="323B680F" w:rsidR="0095276A" w:rsidRDefault="00840870" w:rsidP="008624E8">
      <w:pPr>
        <w:spacing w:after="120" w:line="360" w:lineRule="auto"/>
        <w:rPr>
          <w:rFonts w:ascii="宋体" w:hAnsi="宋体"/>
          <w:sz w:val="24"/>
        </w:rPr>
      </w:pPr>
      <w:r w:rsidRPr="00371D3B">
        <w:rPr>
          <w:rFonts w:ascii="宋体" w:hAnsi="宋体" w:hint="eastAsia"/>
          <w:b/>
          <w:bCs/>
          <w:sz w:val="24"/>
        </w:rPr>
        <w:t>假设</w:t>
      </w:r>
      <w:r w:rsidR="00A157C3">
        <w:rPr>
          <w:rFonts w:ascii="宋体" w:hAnsi="宋体"/>
          <w:b/>
          <w:bCs/>
          <w:sz w:val="24"/>
        </w:rPr>
        <w:t>2</w:t>
      </w:r>
      <w:r w:rsidRPr="00840870">
        <w:rPr>
          <w:rFonts w:ascii="宋体" w:hAnsi="宋体"/>
          <w:sz w:val="24"/>
        </w:rPr>
        <w:t>截距、方差都是区制依赖的，即在不同的区制状态下</w:t>
      </w:r>
      <w:r w:rsidR="006031D5">
        <w:rPr>
          <w:rFonts w:ascii="宋体" w:hAnsi="宋体" w:hint="eastAsia"/>
          <w:sz w:val="24"/>
        </w:rPr>
        <w:t>经济政策不确定性对股市的影响</w:t>
      </w:r>
      <w:r w:rsidRPr="00840870">
        <w:rPr>
          <w:rFonts w:ascii="宋体" w:hAnsi="宋体"/>
          <w:sz w:val="24"/>
        </w:rPr>
        <w:t>的系数都是变动的</w:t>
      </w:r>
      <w:r>
        <w:rPr>
          <w:rFonts w:ascii="宋体" w:hAnsi="宋体" w:hint="eastAsia"/>
          <w:sz w:val="24"/>
        </w:rPr>
        <w:t>，即</w:t>
      </w:r>
      <w:r w:rsidR="0095276A" w:rsidRPr="00E872BC">
        <w:rPr>
          <w:rFonts w:ascii="宋体" w:hAnsi="宋体" w:hint="eastAsia"/>
          <w:sz w:val="24"/>
        </w:rPr>
        <w:t>不确定性冲击含一定时变特征</w:t>
      </w:r>
      <w:r w:rsidR="0095276A">
        <w:rPr>
          <w:rFonts w:ascii="宋体" w:hAnsi="宋体" w:hint="eastAsia"/>
          <w:sz w:val="24"/>
        </w:rPr>
        <w:t>。</w:t>
      </w:r>
    </w:p>
    <w:p w14:paraId="090EF54B" w14:textId="3BD9509A" w:rsidR="00986FCA" w:rsidRDefault="00986FCA" w:rsidP="008624E8">
      <w:pPr>
        <w:spacing w:after="120" w:line="360" w:lineRule="auto"/>
        <w:rPr>
          <w:rFonts w:ascii="宋体" w:hAnsi="宋体"/>
          <w:sz w:val="24"/>
        </w:rPr>
      </w:pPr>
      <w:r>
        <w:rPr>
          <w:rFonts w:ascii="宋体" w:hAnsi="宋体"/>
          <w:sz w:val="24"/>
        </w:rPr>
        <w:lastRenderedPageBreak/>
        <w:t xml:space="preserve">    </w:t>
      </w:r>
      <w:r>
        <w:rPr>
          <w:rFonts w:ascii="宋体" w:hAnsi="宋体" w:hint="eastAsia"/>
          <w:sz w:val="24"/>
        </w:rPr>
        <w:t>MP理论认为政策变动的传导机制使得其对资产价格的影响存在滞后性，对于政策变动的反应并非有效的；粘性信息理论（Mankiw，2</w:t>
      </w:r>
      <w:r>
        <w:rPr>
          <w:rFonts w:ascii="宋体" w:hAnsi="宋体"/>
          <w:sz w:val="24"/>
        </w:rPr>
        <w:t>00</w:t>
      </w:r>
      <w:r w:rsidR="00994CD8">
        <w:rPr>
          <w:rFonts w:ascii="宋体" w:hAnsi="宋体"/>
          <w:sz w:val="24"/>
        </w:rPr>
        <w:t>6</w:t>
      </w:r>
      <w:r>
        <w:rPr>
          <w:rFonts w:ascii="宋体" w:hAnsi="宋体" w:hint="eastAsia"/>
          <w:sz w:val="24"/>
        </w:rPr>
        <w:t>）也认为，投资者对于货币政策的冲击的反应存在</w:t>
      </w:r>
      <w:r w:rsidR="00994CD8">
        <w:rPr>
          <w:rFonts w:ascii="宋体" w:hAnsi="宋体" w:hint="eastAsia"/>
          <w:sz w:val="24"/>
        </w:rPr>
        <w:t>滞后性。</w:t>
      </w:r>
      <w:r w:rsidR="0002515A">
        <w:rPr>
          <w:rFonts w:ascii="宋体" w:hAnsi="宋体" w:hint="eastAsia"/>
          <w:sz w:val="24"/>
        </w:rPr>
        <w:t>因此提出：</w:t>
      </w:r>
    </w:p>
    <w:p w14:paraId="0DF6927E" w14:textId="71C062AA" w:rsidR="0095276A" w:rsidRPr="001273CA" w:rsidRDefault="0095276A" w:rsidP="00FA7DA2">
      <w:pPr>
        <w:spacing w:after="120" w:line="360" w:lineRule="auto"/>
        <w:rPr>
          <w:rFonts w:ascii="宋体" w:hAnsi="宋体"/>
          <w:sz w:val="24"/>
        </w:rPr>
      </w:pPr>
      <w:r w:rsidRPr="00371D3B">
        <w:rPr>
          <w:rFonts w:ascii="宋体" w:hAnsi="宋体" w:hint="eastAsia"/>
          <w:b/>
          <w:bCs/>
          <w:sz w:val="24"/>
        </w:rPr>
        <w:t>假设</w:t>
      </w:r>
      <w:r w:rsidR="00840870">
        <w:rPr>
          <w:rFonts w:ascii="宋体" w:hAnsi="宋体"/>
          <w:b/>
          <w:bCs/>
          <w:sz w:val="24"/>
        </w:rPr>
        <w:t>3</w:t>
      </w:r>
      <w:r w:rsidRPr="00C65150">
        <w:rPr>
          <w:rFonts w:ascii="宋体" w:hAnsi="宋体" w:hint="eastAsia"/>
          <w:sz w:val="24"/>
        </w:rPr>
        <w:t>当EPU指数处于低波动状态时，能够较好的抑制股市波动</w:t>
      </w:r>
      <w:r>
        <w:rPr>
          <w:rFonts w:ascii="宋体" w:hAnsi="宋体" w:hint="eastAsia"/>
          <w:sz w:val="24"/>
        </w:rPr>
        <w:t>。当EPU指数处于高波动状态时，股市会相应大幅震荡，表现为滞后效应的正负变化，且在股市波动水平较高时更为显著。</w:t>
      </w:r>
    </w:p>
    <w:p w14:paraId="475EABB0" w14:textId="7157873A" w:rsidR="0095276A" w:rsidRPr="009A1946" w:rsidRDefault="009A1946" w:rsidP="009A1946">
      <w:pPr>
        <w:pStyle w:val="2"/>
        <w:spacing w:before="156" w:after="156"/>
        <w:ind w:firstLine="600"/>
      </w:pPr>
      <w:bookmarkStart w:id="17" w:name="_Toc135748075"/>
      <w:r w:rsidRPr="009A1946">
        <w:rPr>
          <w:rFonts w:hint="eastAsia"/>
        </w:rPr>
        <w:t>3</w:t>
      </w:r>
      <w:r w:rsidRPr="009A1946">
        <w:t>.2</w:t>
      </w:r>
      <w:r w:rsidR="0095276A" w:rsidRPr="009A1946">
        <w:rPr>
          <w:rFonts w:hint="eastAsia"/>
        </w:rPr>
        <w:t>研究方法与方案</w:t>
      </w:r>
      <w:bookmarkEnd w:id="17"/>
    </w:p>
    <w:p w14:paraId="15ED5675" w14:textId="350FA2DD" w:rsidR="0095276A" w:rsidRPr="004E5EAF" w:rsidRDefault="009A1946" w:rsidP="004E5EAF">
      <w:pPr>
        <w:pStyle w:val="3"/>
        <w:spacing w:before="156" w:after="156"/>
        <w:ind w:firstLine="560"/>
      </w:pPr>
      <w:bookmarkStart w:id="18" w:name="_Toc135748076"/>
      <w:r w:rsidRPr="004E5EAF">
        <w:t>3.2</w:t>
      </w:r>
      <w:r w:rsidR="0095276A" w:rsidRPr="004E5EAF">
        <w:t>.1</w:t>
      </w:r>
      <w:r w:rsidR="0095276A" w:rsidRPr="004E5EAF">
        <w:rPr>
          <w:rFonts w:hint="eastAsia"/>
        </w:rPr>
        <w:t>数据及变量选取</w:t>
      </w:r>
      <w:bookmarkEnd w:id="18"/>
    </w:p>
    <w:p w14:paraId="61015FCB" w14:textId="77777777" w:rsidR="00956911" w:rsidRDefault="0095276A" w:rsidP="009A1946">
      <w:pPr>
        <w:spacing w:line="400" w:lineRule="atLeast"/>
        <w:ind w:firstLineChars="200" w:firstLine="480"/>
        <w:rPr>
          <w:rFonts w:ascii="宋体" w:hAnsi="宋体"/>
          <w:sz w:val="24"/>
        </w:rPr>
      </w:pPr>
      <w:r>
        <w:rPr>
          <w:rFonts w:ascii="宋体" w:hAnsi="宋体" w:hint="eastAsia"/>
          <w:sz w:val="24"/>
        </w:rPr>
        <w:t>经济政策不确定性的度量</w:t>
      </w:r>
      <w:r w:rsidRPr="001273CA">
        <w:rPr>
          <w:rFonts w:ascii="宋体" w:hAnsi="宋体" w:hint="eastAsia"/>
          <w:sz w:val="24"/>
        </w:rPr>
        <w:t>采用2000年1月～202</w:t>
      </w:r>
      <w:r w:rsidRPr="001273CA">
        <w:rPr>
          <w:rFonts w:ascii="宋体" w:hAnsi="宋体"/>
          <w:sz w:val="24"/>
        </w:rPr>
        <w:t>2</w:t>
      </w:r>
      <w:r w:rsidRPr="001273CA">
        <w:rPr>
          <w:rFonts w:ascii="宋体" w:hAnsi="宋体" w:hint="eastAsia"/>
          <w:sz w:val="24"/>
        </w:rPr>
        <w:t>年</w:t>
      </w:r>
      <w:r w:rsidRPr="001273CA">
        <w:rPr>
          <w:rFonts w:ascii="宋体" w:hAnsi="宋体"/>
          <w:sz w:val="24"/>
        </w:rPr>
        <w:t>4</w:t>
      </w:r>
      <w:r w:rsidRPr="001273CA">
        <w:rPr>
          <w:rFonts w:ascii="宋体" w:hAnsi="宋体" w:hint="eastAsia"/>
          <w:sz w:val="24"/>
        </w:rPr>
        <w:t>月</w:t>
      </w:r>
      <w:r w:rsidRPr="001273CA">
        <w:rPr>
          <w:rFonts w:ascii="宋体" w:hAnsi="宋体"/>
          <w:sz w:val="24"/>
        </w:rPr>
        <w:t>Huang和Luk(2020)</w:t>
      </w:r>
      <w:r w:rsidRPr="001273CA">
        <w:rPr>
          <w:rFonts w:ascii="宋体" w:hAnsi="宋体" w:hint="eastAsia"/>
          <w:sz w:val="24"/>
        </w:rPr>
        <w:t>构造的中国不同类型经济政策(包括财政政策、货币政策、贸易政策以及汇率和资本账户政策)不确定性指数</w:t>
      </w:r>
      <w:r>
        <w:rPr>
          <w:rFonts w:ascii="宋体" w:hAnsi="宋体" w:hint="eastAsia"/>
          <w:sz w:val="24"/>
        </w:rPr>
        <w:t>。</w:t>
      </w:r>
    </w:p>
    <w:p w14:paraId="11292F23" w14:textId="3737E399" w:rsidR="0095276A" w:rsidRDefault="0095276A" w:rsidP="009A1946">
      <w:pPr>
        <w:spacing w:line="400" w:lineRule="atLeast"/>
        <w:ind w:firstLineChars="200" w:firstLine="480"/>
        <w:rPr>
          <w:rFonts w:ascii="宋体" w:hAnsi="宋体"/>
          <w:sz w:val="24"/>
        </w:rPr>
      </w:pPr>
      <w:r>
        <w:rPr>
          <w:rFonts w:ascii="宋体" w:hAnsi="宋体" w:hint="eastAsia"/>
          <w:sz w:val="24"/>
        </w:rPr>
        <w:t>股票市场的波动性以</w:t>
      </w:r>
      <w:r w:rsidRPr="001273CA">
        <w:rPr>
          <w:rFonts w:ascii="宋体" w:hAnsi="宋体" w:hint="eastAsia"/>
          <w:sz w:val="24"/>
        </w:rPr>
        <w:t>上证综指(SZZZ)月度数据</w:t>
      </w:r>
      <w:r>
        <w:rPr>
          <w:rFonts w:ascii="宋体" w:hAnsi="宋体" w:hint="eastAsia"/>
          <w:sz w:val="24"/>
        </w:rPr>
        <w:t>为基础</w:t>
      </w:r>
      <w:r w:rsidRPr="001273CA">
        <w:rPr>
          <w:rFonts w:ascii="宋体" w:hAnsi="宋体" w:hint="eastAsia"/>
          <w:sz w:val="24"/>
        </w:rPr>
        <w:t>展开研究分析</w:t>
      </w:r>
      <w:r>
        <w:rPr>
          <w:rFonts w:ascii="宋体" w:hAnsi="宋体" w:hint="eastAsia"/>
          <w:sz w:val="24"/>
        </w:rPr>
        <w:t>，分别从</w:t>
      </w:r>
      <w:r w:rsidR="003C1F72">
        <w:rPr>
          <w:rFonts w:ascii="宋体" w:hAnsi="宋体" w:hint="eastAsia"/>
          <w:sz w:val="24"/>
        </w:rPr>
        <w:t>股市收益率</w:t>
      </w:r>
      <w:r>
        <w:rPr>
          <w:rFonts w:ascii="宋体" w:hAnsi="宋体" w:hint="eastAsia"/>
          <w:sz w:val="24"/>
        </w:rPr>
        <w:t>、波动率以及股市流动性三个方面考察</w:t>
      </w:r>
      <w:r w:rsidRPr="001273CA">
        <w:rPr>
          <w:rFonts w:ascii="宋体" w:hAnsi="宋体" w:hint="eastAsia"/>
          <w:sz w:val="24"/>
        </w:rPr>
        <w:t>。林建浩等（2</w:t>
      </w:r>
      <w:r w:rsidRPr="001273CA">
        <w:rPr>
          <w:rFonts w:ascii="宋体" w:hAnsi="宋体"/>
          <w:sz w:val="24"/>
        </w:rPr>
        <w:t>021</w:t>
      </w:r>
      <w:r w:rsidRPr="001273CA">
        <w:rPr>
          <w:rFonts w:ascii="宋体" w:hAnsi="宋体" w:hint="eastAsia"/>
          <w:sz w:val="24"/>
        </w:rPr>
        <w:t>）认为，基于上海股市相对成熟、对冲击反映迅速，使用上证综指能够更好反映中国</w:t>
      </w:r>
      <w:r>
        <w:rPr>
          <w:rFonts w:ascii="宋体" w:hAnsi="宋体" w:hint="eastAsia"/>
          <w:sz w:val="24"/>
        </w:rPr>
        <w:t>股票市场</w:t>
      </w:r>
      <w:r w:rsidRPr="001273CA">
        <w:rPr>
          <w:rFonts w:ascii="宋体" w:hAnsi="宋体" w:hint="eastAsia"/>
          <w:sz w:val="24"/>
        </w:rPr>
        <w:t>的波动。</w:t>
      </w:r>
    </w:p>
    <w:p w14:paraId="74021EE3" w14:textId="77777777" w:rsidR="0095276A" w:rsidRDefault="0095276A" w:rsidP="008624E8">
      <w:pPr>
        <w:spacing w:line="360" w:lineRule="auto"/>
        <w:ind w:firstLine="440"/>
        <w:rPr>
          <w:rFonts w:ascii="宋体" w:hAnsi="宋体"/>
          <w:sz w:val="24"/>
        </w:rPr>
      </w:pPr>
    </w:p>
    <w:p w14:paraId="63861BA5" w14:textId="04E025B4" w:rsidR="00CE2D37" w:rsidRPr="00CE2D37" w:rsidRDefault="00CE2D37" w:rsidP="00CE2D37">
      <w:pPr>
        <w:pStyle w:val="Caption"/>
        <w:keepNext/>
        <w:jc w:val="center"/>
        <w:rPr>
          <w:color w:val="auto"/>
        </w:rPr>
      </w:pPr>
      <w:r w:rsidRPr="00CE2D37">
        <w:rPr>
          <w:color w:val="auto"/>
        </w:rPr>
        <w:t xml:space="preserve">Table </w:t>
      </w:r>
      <w:r w:rsidRPr="00CE2D37">
        <w:rPr>
          <w:color w:val="auto"/>
        </w:rPr>
        <w:fldChar w:fldCharType="begin"/>
      </w:r>
      <w:r w:rsidRPr="00CE2D37">
        <w:rPr>
          <w:color w:val="auto"/>
        </w:rPr>
        <w:instrText xml:space="preserve"> SEQ Table \* ARABIC </w:instrText>
      </w:r>
      <w:r w:rsidRPr="00CE2D37">
        <w:rPr>
          <w:color w:val="auto"/>
        </w:rPr>
        <w:fldChar w:fldCharType="separate"/>
      </w:r>
      <w:r w:rsidR="007C5AAC">
        <w:rPr>
          <w:noProof/>
          <w:color w:val="auto"/>
        </w:rPr>
        <w:t>1</w:t>
      </w:r>
      <w:r w:rsidRPr="00CE2D37">
        <w:rPr>
          <w:color w:val="auto"/>
        </w:rPr>
        <w:fldChar w:fldCharType="end"/>
      </w:r>
      <w:r w:rsidRPr="00CE2D37">
        <w:rPr>
          <w:color w:val="auto"/>
        </w:rPr>
        <w:t xml:space="preserve"> </w:t>
      </w:r>
      <w:r w:rsidRPr="00CE2D37">
        <w:rPr>
          <w:rFonts w:hint="eastAsia"/>
          <w:color w:val="auto"/>
        </w:rPr>
        <w:t>选取变量总结</w:t>
      </w:r>
    </w:p>
    <w:tbl>
      <w:tblPr>
        <w:tblW w:w="5000" w:type="pct"/>
        <w:jc w:val="center"/>
        <w:tblLook w:val="04A0" w:firstRow="1" w:lastRow="0" w:firstColumn="1" w:lastColumn="0" w:noHBand="0" w:noVBand="1"/>
      </w:tblPr>
      <w:tblGrid>
        <w:gridCol w:w="1278"/>
        <w:gridCol w:w="1699"/>
        <w:gridCol w:w="1842"/>
        <w:gridCol w:w="3233"/>
        <w:gridCol w:w="254"/>
      </w:tblGrid>
      <w:tr w:rsidR="0095276A" w:rsidRPr="00F14EA6" w14:paraId="5220A661" w14:textId="77777777" w:rsidTr="00F93A24">
        <w:trPr>
          <w:trHeight w:val="290"/>
          <w:jc w:val="center"/>
        </w:trPr>
        <w:tc>
          <w:tcPr>
            <w:tcW w:w="769" w:type="pct"/>
            <w:tcBorders>
              <w:top w:val="single" w:sz="4" w:space="0" w:color="auto"/>
              <w:bottom w:val="single" w:sz="4" w:space="0" w:color="auto"/>
              <w:right w:val="single" w:sz="4" w:space="0" w:color="000000"/>
            </w:tcBorders>
            <w:vAlign w:val="center"/>
          </w:tcPr>
          <w:p w14:paraId="1067EE1E"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类型</w:t>
            </w:r>
          </w:p>
        </w:tc>
        <w:tc>
          <w:tcPr>
            <w:tcW w:w="1023" w:type="pct"/>
            <w:tcBorders>
              <w:top w:val="single" w:sz="4" w:space="0" w:color="auto"/>
              <w:bottom w:val="single" w:sz="4" w:space="0" w:color="auto"/>
              <w:right w:val="single" w:sz="4" w:space="0" w:color="000000"/>
            </w:tcBorders>
            <w:shd w:val="clear" w:color="auto" w:fill="auto"/>
            <w:vAlign w:val="center"/>
          </w:tcPr>
          <w:p w14:paraId="7E26ADEA"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变</w:t>
            </w:r>
            <w:r w:rsidRPr="00F14EA6">
              <w:rPr>
                <w:rFonts w:ascii="宋体" w:hAnsi="宋体" w:cs="Calibri"/>
                <w:color w:val="000000"/>
                <w:sz w:val="20"/>
                <w:szCs w:val="20"/>
              </w:rPr>
              <w:t>量</w:t>
            </w:r>
            <w:r w:rsidRPr="00F14EA6">
              <w:rPr>
                <w:rFonts w:ascii="宋体" w:hAnsi="宋体" w:cs="Calibri" w:hint="eastAsia"/>
                <w:color w:val="000000"/>
                <w:sz w:val="20"/>
                <w:szCs w:val="20"/>
              </w:rPr>
              <w:t>名称</w:t>
            </w:r>
          </w:p>
        </w:tc>
        <w:tc>
          <w:tcPr>
            <w:tcW w:w="1109" w:type="pct"/>
            <w:tcBorders>
              <w:top w:val="single" w:sz="4" w:space="0" w:color="auto"/>
              <w:left w:val="nil"/>
              <w:bottom w:val="single" w:sz="4" w:space="0" w:color="auto"/>
              <w:right w:val="single" w:sz="4" w:space="0" w:color="000000"/>
            </w:tcBorders>
            <w:shd w:val="clear" w:color="auto" w:fill="auto"/>
            <w:vAlign w:val="center"/>
          </w:tcPr>
          <w:p w14:paraId="2CEAF2FA"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color w:val="000000"/>
                <w:sz w:val="20"/>
                <w:szCs w:val="20"/>
              </w:rPr>
              <w:t>符号</w:t>
            </w:r>
          </w:p>
        </w:tc>
        <w:tc>
          <w:tcPr>
            <w:tcW w:w="1946" w:type="pct"/>
            <w:tcBorders>
              <w:top w:val="single" w:sz="4" w:space="0" w:color="auto"/>
              <w:left w:val="nil"/>
              <w:bottom w:val="single" w:sz="4" w:space="0" w:color="auto"/>
            </w:tcBorders>
            <w:shd w:val="clear" w:color="auto" w:fill="auto"/>
            <w:vAlign w:val="center"/>
          </w:tcPr>
          <w:p w14:paraId="4C783C28"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变量取值</w:t>
            </w:r>
          </w:p>
        </w:tc>
        <w:tc>
          <w:tcPr>
            <w:tcW w:w="153" w:type="pct"/>
            <w:tcBorders>
              <w:left w:val="nil"/>
            </w:tcBorders>
            <w:vAlign w:val="center"/>
          </w:tcPr>
          <w:p w14:paraId="3BA8B47B" w14:textId="77777777" w:rsidR="0095276A" w:rsidRPr="00F14EA6" w:rsidRDefault="0095276A" w:rsidP="008624E8">
            <w:pPr>
              <w:spacing w:line="360" w:lineRule="auto"/>
              <w:rPr>
                <w:rFonts w:ascii="宋体" w:hAnsi="宋体"/>
                <w:b/>
                <w:bCs/>
                <w:sz w:val="20"/>
                <w:szCs w:val="20"/>
              </w:rPr>
            </w:pPr>
          </w:p>
        </w:tc>
      </w:tr>
      <w:tr w:rsidR="0095276A" w:rsidRPr="00F14EA6" w14:paraId="16B60873" w14:textId="77777777" w:rsidTr="00F93A24">
        <w:trPr>
          <w:trHeight w:val="20"/>
          <w:jc w:val="center"/>
        </w:trPr>
        <w:tc>
          <w:tcPr>
            <w:tcW w:w="769" w:type="pct"/>
            <w:vMerge w:val="restart"/>
            <w:tcBorders>
              <w:top w:val="single" w:sz="4" w:space="0" w:color="auto"/>
              <w:right w:val="single" w:sz="4" w:space="0" w:color="000000"/>
            </w:tcBorders>
            <w:vAlign w:val="center"/>
          </w:tcPr>
          <w:p w14:paraId="499BACF5"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政策层面</w:t>
            </w:r>
          </w:p>
        </w:tc>
        <w:tc>
          <w:tcPr>
            <w:tcW w:w="1023" w:type="pct"/>
            <w:vMerge w:val="restart"/>
            <w:tcBorders>
              <w:top w:val="single" w:sz="4" w:space="0" w:color="auto"/>
              <w:right w:val="single" w:sz="4" w:space="0" w:color="000000"/>
            </w:tcBorders>
            <w:shd w:val="clear" w:color="auto" w:fill="auto"/>
            <w:vAlign w:val="center"/>
            <w:hideMark/>
          </w:tcPr>
          <w:p w14:paraId="7447050C"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政策</w:t>
            </w:r>
            <w:r w:rsidRPr="00F14EA6">
              <w:rPr>
                <w:rFonts w:ascii="宋体" w:hAnsi="宋体" w:cs="Calibri"/>
                <w:color w:val="000000"/>
                <w:sz w:val="20"/>
                <w:szCs w:val="20"/>
              </w:rPr>
              <w:t>不确</w:t>
            </w:r>
            <w:r w:rsidRPr="00F14EA6">
              <w:rPr>
                <w:rFonts w:ascii="宋体" w:hAnsi="宋体" w:cs="Calibri" w:hint="eastAsia"/>
                <w:color w:val="000000"/>
                <w:sz w:val="20"/>
                <w:szCs w:val="20"/>
              </w:rPr>
              <w:t>定性</w:t>
            </w:r>
          </w:p>
        </w:tc>
        <w:tc>
          <w:tcPr>
            <w:tcW w:w="1109" w:type="pct"/>
            <w:tcBorders>
              <w:top w:val="single" w:sz="4" w:space="0" w:color="auto"/>
              <w:left w:val="nil"/>
              <w:right w:val="single" w:sz="4" w:space="0" w:color="000000"/>
            </w:tcBorders>
            <w:shd w:val="clear" w:color="auto" w:fill="auto"/>
            <w:vAlign w:val="center"/>
          </w:tcPr>
          <w:p w14:paraId="63999997"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color w:val="000000"/>
                <w:sz w:val="20"/>
                <w:szCs w:val="20"/>
              </w:rPr>
              <w:t>C</w:t>
            </w:r>
            <w:r w:rsidRPr="00F14EA6">
              <w:rPr>
                <w:rFonts w:ascii="宋体" w:hAnsi="宋体" w:cs="Calibri" w:hint="eastAsia"/>
                <w:color w:val="000000"/>
                <w:sz w:val="20"/>
                <w:szCs w:val="20"/>
              </w:rPr>
              <w:t>EPU</w:t>
            </w:r>
          </w:p>
        </w:tc>
        <w:tc>
          <w:tcPr>
            <w:tcW w:w="1946" w:type="pct"/>
            <w:tcBorders>
              <w:top w:val="single" w:sz="4" w:space="0" w:color="auto"/>
              <w:left w:val="nil"/>
            </w:tcBorders>
            <w:shd w:val="clear" w:color="auto" w:fill="auto"/>
            <w:vAlign w:val="center"/>
          </w:tcPr>
          <w:p w14:paraId="16A615FE" w14:textId="2BB708E4"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经济政策不确定性</w:t>
            </w:r>
          </w:p>
        </w:tc>
        <w:tc>
          <w:tcPr>
            <w:tcW w:w="153" w:type="pct"/>
            <w:tcBorders>
              <w:left w:val="nil"/>
            </w:tcBorders>
            <w:vAlign w:val="center"/>
            <w:hideMark/>
          </w:tcPr>
          <w:p w14:paraId="7CA66678" w14:textId="77777777" w:rsidR="0095276A" w:rsidRPr="00F14EA6" w:rsidRDefault="0095276A" w:rsidP="008624E8">
            <w:pPr>
              <w:spacing w:line="360" w:lineRule="auto"/>
              <w:rPr>
                <w:rFonts w:ascii="宋体" w:hAnsi="宋体"/>
                <w:sz w:val="20"/>
                <w:szCs w:val="20"/>
              </w:rPr>
            </w:pPr>
          </w:p>
        </w:tc>
      </w:tr>
      <w:tr w:rsidR="0095276A" w:rsidRPr="00F14EA6" w14:paraId="137C7D4C" w14:textId="77777777" w:rsidTr="00880514">
        <w:trPr>
          <w:trHeight w:val="20"/>
          <w:jc w:val="center"/>
        </w:trPr>
        <w:tc>
          <w:tcPr>
            <w:tcW w:w="769" w:type="pct"/>
            <w:vMerge/>
            <w:tcBorders>
              <w:right w:val="single" w:sz="4" w:space="0" w:color="000000"/>
            </w:tcBorders>
            <w:vAlign w:val="center"/>
          </w:tcPr>
          <w:p w14:paraId="606EEB2F" w14:textId="77777777" w:rsidR="0095276A" w:rsidRPr="00F14EA6" w:rsidRDefault="0095276A" w:rsidP="008624E8">
            <w:pPr>
              <w:spacing w:line="360" w:lineRule="auto"/>
              <w:jc w:val="center"/>
              <w:rPr>
                <w:rFonts w:ascii="宋体" w:hAnsi="宋体" w:cs="Calibri"/>
                <w:color w:val="000000"/>
                <w:sz w:val="20"/>
                <w:szCs w:val="20"/>
              </w:rPr>
            </w:pPr>
          </w:p>
        </w:tc>
        <w:tc>
          <w:tcPr>
            <w:tcW w:w="1023" w:type="pct"/>
            <w:vMerge/>
            <w:tcBorders>
              <w:right w:val="single" w:sz="4" w:space="0" w:color="000000"/>
            </w:tcBorders>
            <w:shd w:val="clear" w:color="auto" w:fill="auto"/>
            <w:vAlign w:val="center"/>
            <w:hideMark/>
          </w:tcPr>
          <w:p w14:paraId="1A4147E3" w14:textId="77777777" w:rsidR="0095276A" w:rsidRPr="00F14EA6" w:rsidRDefault="0095276A" w:rsidP="008624E8">
            <w:pPr>
              <w:spacing w:line="360" w:lineRule="auto"/>
              <w:jc w:val="center"/>
              <w:rPr>
                <w:rFonts w:ascii="宋体" w:hAnsi="宋体" w:cs="Calibri"/>
                <w:color w:val="000000"/>
                <w:sz w:val="20"/>
                <w:szCs w:val="20"/>
              </w:rPr>
            </w:pPr>
          </w:p>
        </w:tc>
        <w:tc>
          <w:tcPr>
            <w:tcW w:w="1109" w:type="pct"/>
            <w:tcBorders>
              <w:top w:val="nil"/>
              <w:left w:val="nil"/>
              <w:right w:val="single" w:sz="4" w:space="0" w:color="000000"/>
            </w:tcBorders>
            <w:shd w:val="clear" w:color="auto" w:fill="auto"/>
            <w:vAlign w:val="center"/>
          </w:tcPr>
          <w:p w14:paraId="556F92D3"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EPU</w:t>
            </w:r>
            <w:r w:rsidRPr="00F14EA6">
              <w:rPr>
                <w:rFonts w:ascii="宋体" w:hAnsi="宋体" w:cs="Calibri"/>
                <w:color w:val="000000"/>
                <w:sz w:val="20"/>
                <w:szCs w:val="20"/>
              </w:rPr>
              <w:t>M</w:t>
            </w:r>
          </w:p>
        </w:tc>
        <w:tc>
          <w:tcPr>
            <w:tcW w:w="1946" w:type="pct"/>
            <w:tcBorders>
              <w:top w:val="nil"/>
              <w:left w:val="nil"/>
            </w:tcBorders>
            <w:shd w:val="clear" w:color="auto" w:fill="auto"/>
            <w:vAlign w:val="center"/>
          </w:tcPr>
          <w:p w14:paraId="34608DCE" w14:textId="27DCD118"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货币政策不确定性</w:t>
            </w:r>
          </w:p>
        </w:tc>
        <w:tc>
          <w:tcPr>
            <w:tcW w:w="153" w:type="pct"/>
            <w:tcBorders>
              <w:left w:val="nil"/>
            </w:tcBorders>
            <w:vAlign w:val="center"/>
            <w:hideMark/>
          </w:tcPr>
          <w:p w14:paraId="772CF9EA" w14:textId="77777777" w:rsidR="0095276A" w:rsidRPr="00F14EA6" w:rsidRDefault="0095276A" w:rsidP="008624E8">
            <w:pPr>
              <w:spacing w:line="360" w:lineRule="auto"/>
              <w:rPr>
                <w:rFonts w:ascii="宋体" w:hAnsi="宋体"/>
                <w:sz w:val="20"/>
                <w:szCs w:val="20"/>
              </w:rPr>
            </w:pPr>
          </w:p>
        </w:tc>
      </w:tr>
      <w:tr w:rsidR="0095276A" w:rsidRPr="00F14EA6" w14:paraId="39B71B08" w14:textId="77777777" w:rsidTr="00880514">
        <w:trPr>
          <w:trHeight w:val="20"/>
          <w:jc w:val="center"/>
        </w:trPr>
        <w:tc>
          <w:tcPr>
            <w:tcW w:w="769" w:type="pct"/>
            <w:vMerge/>
            <w:tcBorders>
              <w:right w:val="single" w:sz="4" w:space="0" w:color="000000"/>
            </w:tcBorders>
            <w:vAlign w:val="center"/>
          </w:tcPr>
          <w:p w14:paraId="29DF86AE" w14:textId="77777777" w:rsidR="0095276A" w:rsidRPr="00F14EA6" w:rsidRDefault="0095276A" w:rsidP="008624E8">
            <w:pPr>
              <w:spacing w:line="360" w:lineRule="auto"/>
              <w:jc w:val="center"/>
              <w:rPr>
                <w:rFonts w:ascii="宋体" w:hAnsi="宋体" w:cs="Calibri"/>
                <w:color w:val="000000"/>
                <w:sz w:val="20"/>
                <w:szCs w:val="20"/>
              </w:rPr>
            </w:pPr>
          </w:p>
        </w:tc>
        <w:tc>
          <w:tcPr>
            <w:tcW w:w="1023" w:type="pct"/>
            <w:vMerge/>
            <w:tcBorders>
              <w:right w:val="single" w:sz="4" w:space="0" w:color="000000"/>
            </w:tcBorders>
            <w:shd w:val="clear" w:color="auto" w:fill="auto"/>
            <w:vAlign w:val="center"/>
            <w:hideMark/>
          </w:tcPr>
          <w:p w14:paraId="7F3E9248" w14:textId="77777777" w:rsidR="0095276A" w:rsidRPr="00F14EA6" w:rsidRDefault="0095276A" w:rsidP="008624E8">
            <w:pPr>
              <w:spacing w:line="360" w:lineRule="auto"/>
              <w:jc w:val="center"/>
              <w:rPr>
                <w:rFonts w:ascii="宋体" w:hAnsi="宋体" w:cs="Calibri"/>
                <w:color w:val="000000"/>
                <w:sz w:val="20"/>
                <w:szCs w:val="20"/>
              </w:rPr>
            </w:pPr>
          </w:p>
        </w:tc>
        <w:tc>
          <w:tcPr>
            <w:tcW w:w="1109" w:type="pct"/>
            <w:tcBorders>
              <w:top w:val="nil"/>
              <w:left w:val="nil"/>
              <w:right w:val="single" w:sz="4" w:space="0" w:color="000000"/>
            </w:tcBorders>
            <w:shd w:val="clear" w:color="auto" w:fill="auto"/>
            <w:vAlign w:val="center"/>
          </w:tcPr>
          <w:p w14:paraId="1E7EC287"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color w:val="000000"/>
                <w:sz w:val="20"/>
                <w:szCs w:val="20"/>
              </w:rPr>
              <w:t>EPUF</w:t>
            </w:r>
          </w:p>
        </w:tc>
        <w:tc>
          <w:tcPr>
            <w:tcW w:w="1946" w:type="pct"/>
            <w:tcBorders>
              <w:top w:val="nil"/>
              <w:left w:val="nil"/>
            </w:tcBorders>
            <w:shd w:val="clear" w:color="auto" w:fill="auto"/>
            <w:vAlign w:val="center"/>
          </w:tcPr>
          <w:p w14:paraId="7FF97DF2" w14:textId="5D4E5D62"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财政政策不确定性</w:t>
            </w:r>
          </w:p>
        </w:tc>
        <w:tc>
          <w:tcPr>
            <w:tcW w:w="153" w:type="pct"/>
            <w:tcBorders>
              <w:left w:val="nil"/>
            </w:tcBorders>
            <w:vAlign w:val="center"/>
            <w:hideMark/>
          </w:tcPr>
          <w:p w14:paraId="2161A301" w14:textId="77777777" w:rsidR="0095276A" w:rsidRPr="00F14EA6" w:rsidRDefault="0095276A" w:rsidP="008624E8">
            <w:pPr>
              <w:spacing w:line="360" w:lineRule="auto"/>
              <w:rPr>
                <w:rFonts w:ascii="宋体" w:hAnsi="宋体"/>
                <w:sz w:val="20"/>
                <w:szCs w:val="20"/>
              </w:rPr>
            </w:pPr>
          </w:p>
        </w:tc>
      </w:tr>
      <w:tr w:rsidR="0095276A" w:rsidRPr="00F14EA6" w14:paraId="031B7240" w14:textId="77777777" w:rsidTr="00880514">
        <w:trPr>
          <w:trHeight w:val="20"/>
          <w:jc w:val="center"/>
        </w:trPr>
        <w:tc>
          <w:tcPr>
            <w:tcW w:w="769" w:type="pct"/>
            <w:vMerge/>
            <w:tcBorders>
              <w:right w:val="single" w:sz="4" w:space="0" w:color="000000"/>
            </w:tcBorders>
            <w:vAlign w:val="center"/>
          </w:tcPr>
          <w:p w14:paraId="4094C830" w14:textId="77777777" w:rsidR="0095276A" w:rsidRPr="00F14EA6" w:rsidRDefault="0095276A" w:rsidP="008624E8">
            <w:pPr>
              <w:spacing w:line="360" w:lineRule="auto"/>
              <w:jc w:val="center"/>
              <w:rPr>
                <w:rFonts w:ascii="宋体" w:hAnsi="宋体" w:cs="Calibri"/>
                <w:color w:val="000000"/>
                <w:sz w:val="20"/>
                <w:szCs w:val="20"/>
              </w:rPr>
            </w:pPr>
          </w:p>
        </w:tc>
        <w:tc>
          <w:tcPr>
            <w:tcW w:w="1023" w:type="pct"/>
            <w:vMerge/>
            <w:tcBorders>
              <w:right w:val="single" w:sz="4" w:space="0" w:color="000000"/>
            </w:tcBorders>
            <w:shd w:val="clear" w:color="auto" w:fill="auto"/>
            <w:vAlign w:val="center"/>
            <w:hideMark/>
          </w:tcPr>
          <w:p w14:paraId="26D0C1D1" w14:textId="77777777" w:rsidR="0095276A" w:rsidRPr="00F14EA6" w:rsidRDefault="0095276A" w:rsidP="008624E8">
            <w:pPr>
              <w:spacing w:line="360" w:lineRule="auto"/>
              <w:jc w:val="center"/>
              <w:rPr>
                <w:rFonts w:ascii="宋体" w:hAnsi="宋体" w:cs="Calibri"/>
                <w:color w:val="000000"/>
                <w:sz w:val="20"/>
                <w:szCs w:val="20"/>
              </w:rPr>
            </w:pPr>
          </w:p>
        </w:tc>
        <w:tc>
          <w:tcPr>
            <w:tcW w:w="1109" w:type="pct"/>
            <w:tcBorders>
              <w:top w:val="nil"/>
              <w:left w:val="nil"/>
              <w:right w:val="single" w:sz="4" w:space="0" w:color="000000"/>
            </w:tcBorders>
            <w:shd w:val="clear" w:color="auto" w:fill="auto"/>
            <w:vAlign w:val="center"/>
          </w:tcPr>
          <w:p w14:paraId="31A82360"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color w:val="000000"/>
                <w:sz w:val="20"/>
                <w:szCs w:val="20"/>
              </w:rPr>
              <w:t>EPUE</w:t>
            </w:r>
          </w:p>
        </w:tc>
        <w:tc>
          <w:tcPr>
            <w:tcW w:w="1946" w:type="pct"/>
            <w:tcBorders>
              <w:top w:val="nil"/>
              <w:left w:val="nil"/>
            </w:tcBorders>
            <w:shd w:val="clear" w:color="auto" w:fill="auto"/>
            <w:vAlign w:val="center"/>
          </w:tcPr>
          <w:p w14:paraId="1A61F969" w14:textId="0DA12853"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外汇与资本账户政</w:t>
            </w:r>
          </w:p>
        </w:tc>
        <w:tc>
          <w:tcPr>
            <w:tcW w:w="153" w:type="pct"/>
            <w:tcBorders>
              <w:left w:val="nil"/>
            </w:tcBorders>
            <w:vAlign w:val="center"/>
            <w:hideMark/>
          </w:tcPr>
          <w:p w14:paraId="3BA9FB53" w14:textId="77777777" w:rsidR="0095276A" w:rsidRPr="00F14EA6" w:rsidRDefault="0095276A" w:rsidP="008624E8">
            <w:pPr>
              <w:spacing w:line="360" w:lineRule="auto"/>
              <w:rPr>
                <w:rFonts w:ascii="宋体" w:hAnsi="宋体"/>
                <w:sz w:val="20"/>
                <w:szCs w:val="20"/>
              </w:rPr>
            </w:pPr>
          </w:p>
        </w:tc>
      </w:tr>
      <w:tr w:rsidR="0095276A" w:rsidRPr="00F14EA6" w14:paraId="3EFED966" w14:textId="77777777" w:rsidTr="00880514">
        <w:trPr>
          <w:trHeight w:val="20"/>
          <w:jc w:val="center"/>
        </w:trPr>
        <w:tc>
          <w:tcPr>
            <w:tcW w:w="769" w:type="pct"/>
            <w:vMerge/>
            <w:tcBorders>
              <w:right w:val="single" w:sz="4" w:space="0" w:color="000000"/>
            </w:tcBorders>
            <w:vAlign w:val="center"/>
          </w:tcPr>
          <w:p w14:paraId="4EFAC596" w14:textId="77777777" w:rsidR="0095276A" w:rsidRPr="00F14EA6" w:rsidRDefault="0095276A" w:rsidP="008624E8">
            <w:pPr>
              <w:spacing w:line="360" w:lineRule="auto"/>
              <w:jc w:val="center"/>
              <w:rPr>
                <w:rFonts w:ascii="宋体" w:hAnsi="宋体" w:cs="Calibri"/>
                <w:color w:val="000000"/>
                <w:sz w:val="20"/>
                <w:szCs w:val="20"/>
              </w:rPr>
            </w:pPr>
          </w:p>
        </w:tc>
        <w:tc>
          <w:tcPr>
            <w:tcW w:w="1023" w:type="pct"/>
            <w:vMerge/>
            <w:tcBorders>
              <w:right w:val="single" w:sz="4" w:space="0" w:color="000000"/>
            </w:tcBorders>
            <w:shd w:val="clear" w:color="auto" w:fill="auto"/>
            <w:vAlign w:val="center"/>
            <w:hideMark/>
          </w:tcPr>
          <w:p w14:paraId="057AD826" w14:textId="77777777" w:rsidR="0095276A" w:rsidRPr="00F14EA6" w:rsidRDefault="0095276A" w:rsidP="008624E8">
            <w:pPr>
              <w:spacing w:line="360" w:lineRule="auto"/>
              <w:jc w:val="center"/>
              <w:rPr>
                <w:rFonts w:ascii="宋体" w:hAnsi="宋体" w:cs="Calibri"/>
                <w:color w:val="000000"/>
                <w:sz w:val="20"/>
                <w:szCs w:val="20"/>
              </w:rPr>
            </w:pPr>
          </w:p>
        </w:tc>
        <w:tc>
          <w:tcPr>
            <w:tcW w:w="1109" w:type="pct"/>
            <w:vMerge w:val="restart"/>
            <w:tcBorders>
              <w:top w:val="nil"/>
              <w:left w:val="nil"/>
              <w:right w:val="single" w:sz="4" w:space="0" w:color="000000"/>
            </w:tcBorders>
            <w:shd w:val="clear" w:color="auto" w:fill="auto"/>
            <w:vAlign w:val="center"/>
          </w:tcPr>
          <w:p w14:paraId="54C2ED50"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color w:val="000000"/>
                <w:sz w:val="20"/>
                <w:szCs w:val="20"/>
              </w:rPr>
              <w:t>EPUT</w:t>
            </w:r>
          </w:p>
        </w:tc>
        <w:tc>
          <w:tcPr>
            <w:tcW w:w="1946" w:type="pct"/>
            <w:vMerge w:val="restart"/>
            <w:tcBorders>
              <w:top w:val="nil"/>
              <w:left w:val="nil"/>
            </w:tcBorders>
            <w:shd w:val="clear" w:color="auto" w:fill="auto"/>
            <w:vAlign w:val="center"/>
          </w:tcPr>
          <w:p w14:paraId="55170927" w14:textId="36EA75BE" w:rsidR="00BB22E0" w:rsidRPr="00F14EA6" w:rsidRDefault="0095276A" w:rsidP="00BB22E0">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贸易政策不确定</w:t>
            </w:r>
          </w:p>
        </w:tc>
        <w:tc>
          <w:tcPr>
            <w:tcW w:w="153" w:type="pct"/>
            <w:tcBorders>
              <w:left w:val="nil"/>
            </w:tcBorders>
            <w:vAlign w:val="center"/>
            <w:hideMark/>
          </w:tcPr>
          <w:p w14:paraId="6FC6F701" w14:textId="77777777" w:rsidR="0095276A" w:rsidRPr="00F14EA6" w:rsidRDefault="0095276A" w:rsidP="008624E8">
            <w:pPr>
              <w:spacing w:line="360" w:lineRule="auto"/>
              <w:rPr>
                <w:rFonts w:ascii="宋体" w:hAnsi="宋体"/>
                <w:sz w:val="20"/>
                <w:szCs w:val="20"/>
              </w:rPr>
            </w:pPr>
          </w:p>
        </w:tc>
      </w:tr>
      <w:tr w:rsidR="0095276A" w:rsidRPr="00F14EA6" w14:paraId="4F489462" w14:textId="77777777" w:rsidTr="00880514">
        <w:trPr>
          <w:trHeight w:val="20"/>
          <w:jc w:val="center"/>
        </w:trPr>
        <w:tc>
          <w:tcPr>
            <w:tcW w:w="769" w:type="pct"/>
            <w:vMerge/>
            <w:tcBorders>
              <w:right w:val="single" w:sz="4" w:space="0" w:color="000000"/>
            </w:tcBorders>
            <w:vAlign w:val="center"/>
          </w:tcPr>
          <w:p w14:paraId="51E6F798" w14:textId="77777777" w:rsidR="0095276A" w:rsidRPr="00F14EA6" w:rsidRDefault="0095276A" w:rsidP="008624E8">
            <w:pPr>
              <w:spacing w:line="360" w:lineRule="auto"/>
              <w:jc w:val="center"/>
              <w:rPr>
                <w:rFonts w:ascii="宋体" w:hAnsi="宋体" w:cs="Calibri"/>
                <w:color w:val="000000"/>
                <w:sz w:val="20"/>
                <w:szCs w:val="20"/>
              </w:rPr>
            </w:pPr>
          </w:p>
        </w:tc>
        <w:tc>
          <w:tcPr>
            <w:tcW w:w="1023" w:type="pct"/>
            <w:vMerge/>
            <w:tcBorders>
              <w:right w:val="single" w:sz="4" w:space="0" w:color="000000"/>
            </w:tcBorders>
            <w:shd w:val="clear" w:color="auto" w:fill="auto"/>
            <w:vAlign w:val="center"/>
            <w:hideMark/>
          </w:tcPr>
          <w:p w14:paraId="24B55E62" w14:textId="77777777" w:rsidR="0095276A" w:rsidRPr="00F14EA6" w:rsidRDefault="0095276A" w:rsidP="008624E8">
            <w:pPr>
              <w:spacing w:line="360" w:lineRule="auto"/>
              <w:jc w:val="center"/>
              <w:rPr>
                <w:rFonts w:ascii="宋体" w:hAnsi="宋体" w:cs="Calibri"/>
                <w:color w:val="000000"/>
                <w:sz w:val="20"/>
                <w:szCs w:val="20"/>
              </w:rPr>
            </w:pPr>
          </w:p>
        </w:tc>
        <w:tc>
          <w:tcPr>
            <w:tcW w:w="1109" w:type="pct"/>
            <w:vMerge/>
            <w:tcBorders>
              <w:left w:val="nil"/>
              <w:right w:val="single" w:sz="4" w:space="0" w:color="000000"/>
            </w:tcBorders>
            <w:shd w:val="clear" w:color="auto" w:fill="auto"/>
            <w:vAlign w:val="center"/>
          </w:tcPr>
          <w:p w14:paraId="5CF2991C" w14:textId="77777777" w:rsidR="0095276A" w:rsidRPr="00F14EA6" w:rsidRDefault="0095276A" w:rsidP="008624E8">
            <w:pPr>
              <w:spacing w:line="360" w:lineRule="auto"/>
              <w:jc w:val="center"/>
              <w:rPr>
                <w:rFonts w:ascii="宋体" w:hAnsi="宋体" w:cs="Calibri"/>
                <w:color w:val="000000"/>
                <w:sz w:val="20"/>
                <w:szCs w:val="20"/>
              </w:rPr>
            </w:pPr>
          </w:p>
        </w:tc>
        <w:tc>
          <w:tcPr>
            <w:tcW w:w="1946" w:type="pct"/>
            <w:vMerge/>
            <w:tcBorders>
              <w:left w:val="nil"/>
            </w:tcBorders>
            <w:shd w:val="clear" w:color="auto" w:fill="auto"/>
            <w:vAlign w:val="center"/>
          </w:tcPr>
          <w:p w14:paraId="61E8BA43" w14:textId="77777777" w:rsidR="0095276A" w:rsidRPr="00F14EA6" w:rsidRDefault="0095276A" w:rsidP="008624E8">
            <w:pPr>
              <w:spacing w:line="360" w:lineRule="auto"/>
              <w:jc w:val="center"/>
              <w:rPr>
                <w:rFonts w:ascii="宋体" w:hAnsi="宋体" w:cs="Calibri"/>
                <w:color w:val="000000"/>
                <w:sz w:val="20"/>
                <w:szCs w:val="20"/>
              </w:rPr>
            </w:pPr>
          </w:p>
        </w:tc>
        <w:tc>
          <w:tcPr>
            <w:tcW w:w="153" w:type="pct"/>
            <w:tcBorders>
              <w:left w:val="nil"/>
            </w:tcBorders>
            <w:vAlign w:val="center"/>
            <w:hideMark/>
          </w:tcPr>
          <w:p w14:paraId="383E762E" w14:textId="77777777" w:rsidR="0095276A" w:rsidRPr="00F14EA6" w:rsidRDefault="0095276A" w:rsidP="008624E8">
            <w:pPr>
              <w:spacing w:line="360" w:lineRule="auto"/>
              <w:rPr>
                <w:rFonts w:ascii="宋体" w:hAnsi="宋体"/>
                <w:sz w:val="20"/>
                <w:szCs w:val="20"/>
              </w:rPr>
            </w:pPr>
          </w:p>
        </w:tc>
      </w:tr>
      <w:tr w:rsidR="0095276A" w:rsidRPr="00F14EA6" w14:paraId="3288112E" w14:textId="77777777" w:rsidTr="00880514">
        <w:trPr>
          <w:trHeight w:val="20"/>
          <w:jc w:val="center"/>
        </w:trPr>
        <w:tc>
          <w:tcPr>
            <w:tcW w:w="769" w:type="pct"/>
            <w:vMerge/>
            <w:tcBorders>
              <w:right w:val="single" w:sz="4" w:space="0" w:color="000000"/>
            </w:tcBorders>
            <w:vAlign w:val="center"/>
          </w:tcPr>
          <w:p w14:paraId="2E714CFE" w14:textId="77777777" w:rsidR="0095276A" w:rsidRPr="00F14EA6" w:rsidRDefault="0095276A" w:rsidP="008624E8">
            <w:pPr>
              <w:spacing w:line="360" w:lineRule="auto"/>
              <w:jc w:val="center"/>
              <w:rPr>
                <w:rFonts w:ascii="宋体" w:hAnsi="宋体" w:cs="Calibri"/>
                <w:color w:val="000000"/>
                <w:sz w:val="20"/>
                <w:szCs w:val="20"/>
              </w:rPr>
            </w:pPr>
          </w:p>
        </w:tc>
        <w:tc>
          <w:tcPr>
            <w:tcW w:w="1023" w:type="pct"/>
            <w:vMerge/>
            <w:tcBorders>
              <w:right w:val="single" w:sz="4" w:space="0" w:color="000000"/>
            </w:tcBorders>
            <w:shd w:val="clear" w:color="auto" w:fill="auto"/>
            <w:vAlign w:val="center"/>
            <w:hideMark/>
          </w:tcPr>
          <w:p w14:paraId="4BA37A80" w14:textId="77777777" w:rsidR="0095276A" w:rsidRPr="00F14EA6" w:rsidRDefault="0095276A" w:rsidP="008624E8">
            <w:pPr>
              <w:spacing w:line="360" w:lineRule="auto"/>
              <w:jc w:val="center"/>
              <w:rPr>
                <w:rFonts w:ascii="宋体" w:hAnsi="宋体" w:cs="Calibri"/>
                <w:color w:val="000000"/>
                <w:sz w:val="20"/>
                <w:szCs w:val="20"/>
              </w:rPr>
            </w:pPr>
          </w:p>
        </w:tc>
        <w:tc>
          <w:tcPr>
            <w:tcW w:w="1109" w:type="pct"/>
            <w:vMerge/>
            <w:tcBorders>
              <w:left w:val="nil"/>
              <w:right w:val="single" w:sz="4" w:space="0" w:color="000000"/>
            </w:tcBorders>
            <w:shd w:val="clear" w:color="auto" w:fill="auto"/>
            <w:vAlign w:val="center"/>
          </w:tcPr>
          <w:p w14:paraId="599F4C40" w14:textId="77777777" w:rsidR="0095276A" w:rsidRPr="00F14EA6" w:rsidRDefault="0095276A" w:rsidP="008624E8">
            <w:pPr>
              <w:spacing w:line="360" w:lineRule="auto"/>
              <w:jc w:val="center"/>
              <w:rPr>
                <w:rFonts w:ascii="宋体" w:hAnsi="宋体" w:cs="Calibri"/>
                <w:color w:val="000000"/>
                <w:sz w:val="20"/>
                <w:szCs w:val="20"/>
              </w:rPr>
            </w:pPr>
          </w:p>
        </w:tc>
        <w:tc>
          <w:tcPr>
            <w:tcW w:w="1946" w:type="pct"/>
            <w:vMerge/>
            <w:tcBorders>
              <w:left w:val="nil"/>
            </w:tcBorders>
            <w:shd w:val="clear" w:color="auto" w:fill="auto"/>
            <w:vAlign w:val="center"/>
          </w:tcPr>
          <w:p w14:paraId="4F3D2597" w14:textId="77777777" w:rsidR="0095276A" w:rsidRPr="00F14EA6" w:rsidRDefault="0095276A" w:rsidP="008624E8">
            <w:pPr>
              <w:spacing w:line="360" w:lineRule="auto"/>
              <w:jc w:val="center"/>
              <w:rPr>
                <w:rFonts w:ascii="宋体" w:hAnsi="宋体" w:cs="Calibri"/>
                <w:color w:val="000000"/>
                <w:sz w:val="20"/>
                <w:szCs w:val="20"/>
              </w:rPr>
            </w:pPr>
          </w:p>
        </w:tc>
        <w:tc>
          <w:tcPr>
            <w:tcW w:w="153" w:type="pct"/>
            <w:tcBorders>
              <w:left w:val="nil"/>
            </w:tcBorders>
            <w:vAlign w:val="center"/>
            <w:hideMark/>
          </w:tcPr>
          <w:p w14:paraId="77D7F2BC" w14:textId="77777777" w:rsidR="0095276A" w:rsidRPr="00F14EA6" w:rsidRDefault="0095276A" w:rsidP="008624E8">
            <w:pPr>
              <w:spacing w:line="360" w:lineRule="auto"/>
              <w:rPr>
                <w:rFonts w:ascii="宋体" w:hAnsi="宋体"/>
                <w:sz w:val="20"/>
                <w:szCs w:val="20"/>
              </w:rPr>
            </w:pPr>
          </w:p>
        </w:tc>
      </w:tr>
      <w:tr w:rsidR="0095276A" w:rsidRPr="00F14EA6" w14:paraId="3B23EFC8" w14:textId="77777777" w:rsidTr="00880514">
        <w:trPr>
          <w:trHeight w:val="20"/>
          <w:jc w:val="center"/>
        </w:trPr>
        <w:tc>
          <w:tcPr>
            <w:tcW w:w="769" w:type="pct"/>
            <w:vMerge/>
            <w:tcBorders>
              <w:right w:val="single" w:sz="4" w:space="0" w:color="000000"/>
            </w:tcBorders>
            <w:vAlign w:val="center"/>
          </w:tcPr>
          <w:p w14:paraId="2907E75B" w14:textId="77777777" w:rsidR="0095276A" w:rsidRPr="00F14EA6" w:rsidRDefault="0095276A" w:rsidP="008624E8">
            <w:pPr>
              <w:spacing w:line="360" w:lineRule="auto"/>
              <w:jc w:val="center"/>
              <w:rPr>
                <w:rFonts w:ascii="宋体" w:hAnsi="宋体" w:cs="Calibri"/>
                <w:color w:val="000000"/>
                <w:sz w:val="20"/>
                <w:szCs w:val="20"/>
              </w:rPr>
            </w:pPr>
          </w:p>
        </w:tc>
        <w:tc>
          <w:tcPr>
            <w:tcW w:w="1023" w:type="pct"/>
            <w:vMerge/>
            <w:tcBorders>
              <w:right w:val="single" w:sz="4" w:space="0" w:color="000000"/>
            </w:tcBorders>
            <w:shd w:val="clear" w:color="auto" w:fill="auto"/>
            <w:vAlign w:val="center"/>
            <w:hideMark/>
          </w:tcPr>
          <w:p w14:paraId="2F435923" w14:textId="77777777" w:rsidR="0095276A" w:rsidRPr="00F14EA6" w:rsidRDefault="0095276A" w:rsidP="008624E8">
            <w:pPr>
              <w:spacing w:line="360" w:lineRule="auto"/>
              <w:jc w:val="center"/>
              <w:rPr>
                <w:rFonts w:ascii="宋体" w:hAnsi="宋体" w:cs="Calibri"/>
                <w:color w:val="000000"/>
                <w:sz w:val="20"/>
                <w:szCs w:val="20"/>
              </w:rPr>
            </w:pPr>
          </w:p>
        </w:tc>
        <w:tc>
          <w:tcPr>
            <w:tcW w:w="1109" w:type="pct"/>
            <w:vMerge/>
            <w:tcBorders>
              <w:left w:val="single" w:sz="4" w:space="0" w:color="000000"/>
              <w:right w:val="single" w:sz="4" w:space="0" w:color="000000"/>
            </w:tcBorders>
            <w:vAlign w:val="center"/>
          </w:tcPr>
          <w:p w14:paraId="45BF6DB4" w14:textId="77777777" w:rsidR="0095276A" w:rsidRPr="00F14EA6" w:rsidRDefault="0095276A" w:rsidP="008624E8">
            <w:pPr>
              <w:spacing w:line="360" w:lineRule="auto"/>
              <w:jc w:val="center"/>
              <w:rPr>
                <w:rFonts w:ascii="宋体" w:hAnsi="宋体" w:cs="Calibri"/>
                <w:color w:val="000000"/>
                <w:sz w:val="20"/>
                <w:szCs w:val="20"/>
              </w:rPr>
            </w:pPr>
          </w:p>
        </w:tc>
        <w:tc>
          <w:tcPr>
            <w:tcW w:w="1946" w:type="pct"/>
            <w:vMerge/>
            <w:tcBorders>
              <w:left w:val="nil"/>
            </w:tcBorders>
            <w:shd w:val="clear" w:color="auto" w:fill="auto"/>
            <w:vAlign w:val="center"/>
          </w:tcPr>
          <w:p w14:paraId="5BE071FF" w14:textId="77777777" w:rsidR="0095276A" w:rsidRPr="00F14EA6" w:rsidRDefault="0095276A" w:rsidP="008624E8">
            <w:pPr>
              <w:spacing w:line="360" w:lineRule="auto"/>
              <w:jc w:val="center"/>
              <w:rPr>
                <w:rFonts w:ascii="宋体" w:hAnsi="宋体" w:cs="Calibri"/>
                <w:color w:val="000000"/>
                <w:sz w:val="20"/>
                <w:szCs w:val="20"/>
              </w:rPr>
            </w:pPr>
          </w:p>
        </w:tc>
        <w:tc>
          <w:tcPr>
            <w:tcW w:w="153" w:type="pct"/>
            <w:tcBorders>
              <w:left w:val="nil"/>
            </w:tcBorders>
            <w:vAlign w:val="center"/>
            <w:hideMark/>
          </w:tcPr>
          <w:p w14:paraId="4C823B26" w14:textId="77777777" w:rsidR="0095276A" w:rsidRPr="00F14EA6" w:rsidRDefault="0095276A" w:rsidP="008624E8">
            <w:pPr>
              <w:spacing w:line="360" w:lineRule="auto"/>
              <w:rPr>
                <w:rFonts w:ascii="宋体" w:hAnsi="宋体"/>
                <w:sz w:val="20"/>
                <w:szCs w:val="20"/>
              </w:rPr>
            </w:pPr>
          </w:p>
        </w:tc>
      </w:tr>
      <w:tr w:rsidR="0095276A" w:rsidRPr="00F14EA6" w14:paraId="2AF4BBF7" w14:textId="77777777" w:rsidTr="00880514">
        <w:trPr>
          <w:trHeight w:val="20"/>
          <w:jc w:val="center"/>
        </w:trPr>
        <w:tc>
          <w:tcPr>
            <w:tcW w:w="769" w:type="pct"/>
            <w:vMerge/>
            <w:tcBorders>
              <w:right w:val="single" w:sz="4" w:space="0" w:color="000000"/>
            </w:tcBorders>
            <w:vAlign w:val="center"/>
          </w:tcPr>
          <w:p w14:paraId="6CB2905D" w14:textId="77777777" w:rsidR="0095276A" w:rsidRPr="00F14EA6" w:rsidRDefault="0095276A" w:rsidP="008624E8">
            <w:pPr>
              <w:spacing w:line="360" w:lineRule="auto"/>
              <w:jc w:val="center"/>
              <w:rPr>
                <w:rFonts w:ascii="宋体" w:hAnsi="宋体" w:cs="Calibri"/>
                <w:color w:val="000000"/>
                <w:sz w:val="20"/>
                <w:szCs w:val="20"/>
              </w:rPr>
            </w:pPr>
          </w:p>
        </w:tc>
        <w:tc>
          <w:tcPr>
            <w:tcW w:w="1023" w:type="pct"/>
            <w:vMerge/>
            <w:tcBorders>
              <w:right w:val="single" w:sz="4" w:space="0" w:color="000000"/>
            </w:tcBorders>
            <w:shd w:val="clear" w:color="auto" w:fill="auto"/>
            <w:vAlign w:val="center"/>
            <w:hideMark/>
          </w:tcPr>
          <w:p w14:paraId="19592F48" w14:textId="77777777" w:rsidR="0095276A" w:rsidRPr="00F14EA6" w:rsidRDefault="0095276A" w:rsidP="008624E8">
            <w:pPr>
              <w:spacing w:line="360" w:lineRule="auto"/>
              <w:jc w:val="center"/>
              <w:rPr>
                <w:rFonts w:ascii="宋体" w:hAnsi="宋体" w:cs="Calibri"/>
                <w:color w:val="000000"/>
                <w:sz w:val="20"/>
                <w:szCs w:val="20"/>
              </w:rPr>
            </w:pPr>
          </w:p>
        </w:tc>
        <w:tc>
          <w:tcPr>
            <w:tcW w:w="1109" w:type="pct"/>
            <w:vMerge/>
            <w:tcBorders>
              <w:left w:val="single" w:sz="4" w:space="0" w:color="000000"/>
              <w:right w:val="single" w:sz="4" w:space="0" w:color="000000"/>
            </w:tcBorders>
            <w:shd w:val="clear" w:color="auto" w:fill="auto"/>
            <w:vAlign w:val="center"/>
            <w:hideMark/>
          </w:tcPr>
          <w:p w14:paraId="0D779B6D" w14:textId="77777777" w:rsidR="0095276A" w:rsidRPr="00F14EA6" w:rsidRDefault="0095276A" w:rsidP="008624E8">
            <w:pPr>
              <w:spacing w:line="360" w:lineRule="auto"/>
              <w:jc w:val="center"/>
              <w:rPr>
                <w:rFonts w:ascii="宋体" w:hAnsi="宋体" w:cs="Calibri"/>
                <w:color w:val="000000"/>
                <w:sz w:val="20"/>
                <w:szCs w:val="20"/>
              </w:rPr>
            </w:pPr>
          </w:p>
        </w:tc>
        <w:tc>
          <w:tcPr>
            <w:tcW w:w="1946" w:type="pct"/>
            <w:vMerge/>
            <w:tcBorders>
              <w:left w:val="nil"/>
            </w:tcBorders>
            <w:shd w:val="clear" w:color="auto" w:fill="auto"/>
            <w:vAlign w:val="center"/>
            <w:hideMark/>
          </w:tcPr>
          <w:p w14:paraId="409255E7" w14:textId="77777777" w:rsidR="0095276A" w:rsidRPr="00F14EA6" w:rsidRDefault="0095276A" w:rsidP="008624E8">
            <w:pPr>
              <w:spacing w:line="360" w:lineRule="auto"/>
              <w:jc w:val="center"/>
              <w:rPr>
                <w:rFonts w:ascii="宋体" w:hAnsi="宋体" w:cs="Calibri"/>
                <w:color w:val="000000"/>
                <w:sz w:val="20"/>
                <w:szCs w:val="20"/>
              </w:rPr>
            </w:pPr>
          </w:p>
        </w:tc>
        <w:tc>
          <w:tcPr>
            <w:tcW w:w="153" w:type="pct"/>
            <w:tcBorders>
              <w:left w:val="nil"/>
            </w:tcBorders>
            <w:vAlign w:val="center"/>
            <w:hideMark/>
          </w:tcPr>
          <w:p w14:paraId="48F64653" w14:textId="77777777" w:rsidR="0095276A" w:rsidRPr="00F14EA6" w:rsidRDefault="0095276A" w:rsidP="008624E8">
            <w:pPr>
              <w:spacing w:line="360" w:lineRule="auto"/>
              <w:rPr>
                <w:rFonts w:ascii="宋体" w:hAnsi="宋体"/>
                <w:sz w:val="20"/>
                <w:szCs w:val="20"/>
              </w:rPr>
            </w:pPr>
          </w:p>
        </w:tc>
      </w:tr>
      <w:tr w:rsidR="0095276A" w:rsidRPr="00F14EA6" w14:paraId="1582CF46" w14:textId="77777777" w:rsidTr="00880514">
        <w:trPr>
          <w:trHeight w:val="20"/>
          <w:jc w:val="center"/>
        </w:trPr>
        <w:tc>
          <w:tcPr>
            <w:tcW w:w="769" w:type="pct"/>
            <w:vMerge w:val="restart"/>
            <w:tcBorders>
              <w:top w:val="single" w:sz="4" w:space="0" w:color="000000"/>
              <w:right w:val="single" w:sz="4" w:space="0" w:color="000000"/>
            </w:tcBorders>
            <w:vAlign w:val="center"/>
          </w:tcPr>
          <w:p w14:paraId="1C09742B"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股市层面</w:t>
            </w:r>
          </w:p>
        </w:tc>
        <w:tc>
          <w:tcPr>
            <w:tcW w:w="1023" w:type="pct"/>
            <w:tcBorders>
              <w:top w:val="single" w:sz="4" w:space="0" w:color="000000"/>
              <w:bottom w:val="single" w:sz="4" w:space="0" w:color="auto"/>
              <w:right w:val="single" w:sz="4" w:space="0" w:color="000000"/>
            </w:tcBorders>
            <w:shd w:val="clear" w:color="auto" w:fill="auto"/>
            <w:vAlign w:val="center"/>
          </w:tcPr>
          <w:p w14:paraId="31BA5E74"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波动性</w:t>
            </w:r>
          </w:p>
        </w:tc>
        <w:tc>
          <w:tcPr>
            <w:tcW w:w="1109" w:type="pct"/>
            <w:tcBorders>
              <w:top w:val="single" w:sz="4" w:space="0" w:color="000000"/>
              <w:left w:val="nil"/>
              <w:bottom w:val="single" w:sz="4" w:space="0" w:color="auto"/>
              <w:right w:val="single" w:sz="4" w:space="0" w:color="000000"/>
            </w:tcBorders>
            <w:shd w:val="clear" w:color="auto" w:fill="auto"/>
            <w:vAlign w:val="center"/>
          </w:tcPr>
          <w:p w14:paraId="55C650E5"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VOL</w:t>
            </w:r>
          </w:p>
        </w:tc>
        <w:tc>
          <w:tcPr>
            <w:tcW w:w="1946" w:type="pct"/>
            <w:tcBorders>
              <w:top w:val="single" w:sz="4" w:space="0" w:color="000000"/>
              <w:left w:val="nil"/>
              <w:bottom w:val="single" w:sz="4" w:space="0" w:color="auto"/>
            </w:tcBorders>
            <w:shd w:val="clear" w:color="auto" w:fill="auto"/>
            <w:vAlign w:val="center"/>
          </w:tcPr>
          <w:p w14:paraId="341A4958"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日收益标准差月度化</w:t>
            </w:r>
          </w:p>
        </w:tc>
        <w:tc>
          <w:tcPr>
            <w:tcW w:w="153" w:type="pct"/>
            <w:tcBorders>
              <w:left w:val="nil"/>
            </w:tcBorders>
            <w:vAlign w:val="center"/>
          </w:tcPr>
          <w:p w14:paraId="6F7C7AE0" w14:textId="77777777" w:rsidR="0095276A" w:rsidRPr="00F14EA6" w:rsidRDefault="0095276A" w:rsidP="008624E8">
            <w:pPr>
              <w:spacing w:line="360" w:lineRule="auto"/>
              <w:rPr>
                <w:rFonts w:ascii="宋体" w:hAnsi="宋体"/>
                <w:sz w:val="20"/>
                <w:szCs w:val="20"/>
              </w:rPr>
            </w:pPr>
          </w:p>
        </w:tc>
      </w:tr>
      <w:tr w:rsidR="0095276A" w:rsidRPr="00F14EA6" w14:paraId="7F7017EA" w14:textId="77777777" w:rsidTr="00880514">
        <w:trPr>
          <w:trHeight w:val="20"/>
          <w:jc w:val="center"/>
        </w:trPr>
        <w:tc>
          <w:tcPr>
            <w:tcW w:w="769" w:type="pct"/>
            <w:vMerge/>
            <w:tcBorders>
              <w:right w:val="single" w:sz="4" w:space="0" w:color="000000"/>
            </w:tcBorders>
            <w:vAlign w:val="center"/>
          </w:tcPr>
          <w:p w14:paraId="5656797C" w14:textId="77777777" w:rsidR="0095276A" w:rsidRPr="00F14EA6" w:rsidRDefault="0095276A" w:rsidP="008624E8">
            <w:pPr>
              <w:spacing w:line="360" w:lineRule="auto"/>
              <w:jc w:val="center"/>
              <w:rPr>
                <w:rFonts w:ascii="宋体" w:hAnsi="宋体" w:cs="Calibri"/>
                <w:color w:val="000000"/>
                <w:sz w:val="20"/>
                <w:szCs w:val="20"/>
              </w:rPr>
            </w:pPr>
          </w:p>
        </w:tc>
        <w:tc>
          <w:tcPr>
            <w:tcW w:w="1023" w:type="pct"/>
            <w:tcBorders>
              <w:top w:val="single" w:sz="4" w:space="0" w:color="000000"/>
              <w:bottom w:val="single" w:sz="4" w:space="0" w:color="auto"/>
              <w:right w:val="single" w:sz="4" w:space="0" w:color="000000"/>
            </w:tcBorders>
            <w:shd w:val="clear" w:color="auto" w:fill="auto"/>
            <w:vAlign w:val="center"/>
          </w:tcPr>
          <w:p w14:paraId="4E7F67B5"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流动性</w:t>
            </w:r>
          </w:p>
        </w:tc>
        <w:tc>
          <w:tcPr>
            <w:tcW w:w="1109" w:type="pct"/>
            <w:tcBorders>
              <w:top w:val="single" w:sz="4" w:space="0" w:color="000000"/>
              <w:left w:val="nil"/>
              <w:bottom w:val="single" w:sz="4" w:space="0" w:color="auto"/>
              <w:right w:val="single" w:sz="4" w:space="0" w:color="000000"/>
            </w:tcBorders>
            <w:shd w:val="clear" w:color="auto" w:fill="auto"/>
            <w:vAlign w:val="center"/>
          </w:tcPr>
          <w:p w14:paraId="08BA668B"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LIQ</w:t>
            </w:r>
          </w:p>
        </w:tc>
        <w:tc>
          <w:tcPr>
            <w:tcW w:w="1946" w:type="pct"/>
            <w:tcBorders>
              <w:top w:val="single" w:sz="4" w:space="0" w:color="000000"/>
              <w:left w:val="nil"/>
              <w:bottom w:val="single" w:sz="4" w:space="0" w:color="auto"/>
            </w:tcBorders>
            <w:shd w:val="clear" w:color="auto" w:fill="auto"/>
            <w:vAlign w:val="center"/>
          </w:tcPr>
          <w:p w14:paraId="71FCA987"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换手率</w:t>
            </w:r>
          </w:p>
        </w:tc>
        <w:tc>
          <w:tcPr>
            <w:tcW w:w="153" w:type="pct"/>
            <w:tcBorders>
              <w:left w:val="nil"/>
            </w:tcBorders>
            <w:vAlign w:val="center"/>
          </w:tcPr>
          <w:p w14:paraId="05008161" w14:textId="77777777" w:rsidR="0095276A" w:rsidRPr="00F14EA6" w:rsidRDefault="0095276A" w:rsidP="008624E8">
            <w:pPr>
              <w:spacing w:line="360" w:lineRule="auto"/>
              <w:rPr>
                <w:rFonts w:ascii="宋体" w:hAnsi="宋体"/>
                <w:sz w:val="20"/>
                <w:szCs w:val="20"/>
              </w:rPr>
            </w:pPr>
          </w:p>
        </w:tc>
      </w:tr>
      <w:tr w:rsidR="0095276A" w:rsidRPr="00F14EA6" w14:paraId="17E61214" w14:textId="77777777" w:rsidTr="00880514">
        <w:trPr>
          <w:trHeight w:val="20"/>
          <w:jc w:val="center"/>
        </w:trPr>
        <w:tc>
          <w:tcPr>
            <w:tcW w:w="769" w:type="pct"/>
            <w:vMerge/>
            <w:tcBorders>
              <w:right w:val="single" w:sz="4" w:space="0" w:color="000000"/>
            </w:tcBorders>
            <w:vAlign w:val="center"/>
          </w:tcPr>
          <w:p w14:paraId="0A525642" w14:textId="77777777" w:rsidR="0095276A" w:rsidRPr="00F14EA6" w:rsidRDefault="0095276A" w:rsidP="008624E8">
            <w:pPr>
              <w:spacing w:line="360" w:lineRule="auto"/>
              <w:jc w:val="center"/>
              <w:rPr>
                <w:rFonts w:ascii="宋体" w:hAnsi="宋体" w:cs="Calibri"/>
                <w:color w:val="000000"/>
                <w:sz w:val="20"/>
                <w:szCs w:val="20"/>
              </w:rPr>
            </w:pPr>
          </w:p>
        </w:tc>
        <w:tc>
          <w:tcPr>
            <w:tcW w:w="1023" w:type="pct"/>
            <w:vMerge w:val="restart"/>
            <w:tcBorders>
              <w:top w:val="single" w:sz="4" w:space="0" w:color="auto"/>
              <w:right w:val="single" w:sz="4" w:space="0" w:color="000000"/>
            </w:tcBorders>
            <w:shd w:val="clear" w:color="auto" w:fill="auto"/>
            <w:vAlign w:val="center"/>
            <w:hideMark/>
          </w:tcPr>
          <w:p w14:paraId="13C3EB56"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color w:val="000000"/>
                <w:sz w:val="20"/>
                <w:szCs w:val="20"/>
              </w:rPr>
              <w:t>收益率</w:t>
            </w:r>
          </w:p>
        </w:tc>
        <w:tc>
          <w:tcPr>
            <w:tcW w:w="1109" w:type="pct"/>
            <w:vMerge w:val="restart"/>
            <w:tcBorders>
              <w:top w:val="single" w:sz="4" w:space="0" w:color="auto"/>
              <w:left w:val="nil"/>
              <w:right w:val="single" w:sz="4" w:space="0" w:color="000000"/>
            </w:tcBorders>
            <w:shd w:val="clear" w:color="auto" w:fill="auto"/>
            <w:vAlign w:val="center"/>
            <w:hideMark/>
          </w:tcPr>
          <w:p w14:paraId="5E27EF0C"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color w:val="000000"/>
                <w:sz w:val="20"/>
                <w:szCs w:val="20"/>
              </w:rPr>
              <w:t>RE</w:t>
            </w:r>
          </w:p>
        </w:tc>
        <w:tc>
          <w:tcPr>
            <w:tcW w:w="1946" w:type="pct"/>
            <w:vMerge w:val="restart"/>
            <w:tcBorders>
              <w:top w:val="single" w:sz="4" w:space="0" w:color="auto"/>
              <w:left w:val="nil"/>
            </w:tcBorders>
            <w:shd w:val="clear" w:color="auto" w:fill="auto"/>
            <w:vAlign w:val="center"/>
            <w:hideMark/>
          </w:tcPr>
          <w:p w14:paraId="3D0A9107"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hint="eastAsia"/>
                <w:color w:val="000000"/>
                <w:sz w:val="20"/>
                <w:szCs w:val="20"/>
              </w:rPr>
              <w:t>上证综指收盘价</w:t>
            </w:r>
          </w:p>
          <w:p w14:paraId="596A8213" w14:textId="77777777" w:rsidR="0095276A" w:rsidRPr="00F14EA6" w:rsidRDefault="0095276A" w:rsidP="008624E8">
            <w:pPr>
              <w:spacing w:line="360" w:lineRule="auto"/>
              <w:jc w:val="center"/>
              <w:rPr>
                <w:rFonts w:ascii="宋体" w:hAnsi="宋体" w:cs="Calibri"/>
                <w:color w:val="000000"/>
                <w:sz w:val="20"/>
                <w:szCs w:val="20"/>
              </w:rPr>
            </w:pPr>
            <w:r w:rsidRPr="00F14EA6">
              <w:rPr>
                <w:rFonts w:ascii="宋体" w:hAnsi="宋体" w:cs="Calibri"/>
                <w:color w:val="000000"/>
                <w:sz w:val="20"/>
                <w:szCs w:val="20"/>
              </w:rPr>
              <w:t>rt=100*ln(Pi,t/Pi,t-1)</w:t>
            </w:r>
          </w:p>
        </w:tc>
        <w:tc>
          <w:tcPr>
            <w:tcW w:w="153" w:type="pct"/>
            <w:tcBorders>
              <w:left w:val="nil"/>
            </w:tcBorders>
            <w:vAlign w:val="center"/>
            <w:hideMark/>
          </w:tcPr>
          <w:p w14:paraId="660CE625" w14:textId="77777777" w:rsidR="0095276A" w:rsidRPr="00F14EA6" w:rsidRDefault="0095276A" w:rsidP="008624E8">
            <w:pPr>
              <w:spacing w:line="360" w:lineRule="auto"/>
              <w:jc w:val="center"/>
              <w:rPr>
                <w:rFonts w:ascii="宋体" w:hAnsi="宋体" w:cs="Calibri"/>
                <w:color w:val="000000"/>
                <w:sz w:val="20"/>
                <w:szCs w:val="20"/>
              </w:rPr>
            </w:pPr>
          </w:p>
        </w:tc>
      </w:tr>
      <w:tr w:rsidR="0095276A" w:rsidRPr="00F14EA6" w14:paraId="35AAC9C2" w14:textId="77777777" w:rsidTr="00880514">
        <w:trPr>
          <w:trHeight w:val="290"/>
          <w:jc w:val="center"/>
        </w:trPr>
        <w:tc>
          <w:tcPr>
            <w:tcW w:w="769" w:type="pct"/>
            <w:vMerge/>
            <w:tcBorders>
              <w:bottom w:val="single" w:sz="4" w:space="0" w:color="000000"/>
              <w:right w:val="single" w:sz="4" w:space="0" w:color="000000"/>
            </w:tcBorders>
            <w:vAlign w:val="center"/>
          </w:tcPr>
          <w:p w14:paraId="70504DAC" w14:textId="77777777" w:rsidR="0095276A" w:rsidRPr="00F14EA6" w:rsidRDefault="0095276A" w:rsidP="008624E8">
            <w:pPr>
              <w:spacing w:line="360" w:lineRule="auto"/>
              <w:jc w:val="center"/>
              <w:rPr>
                <w:rFonts w:ascii="宋体" w:hAnsi="宋体" w:cs="Calibri"/>
                <w:b/>
                <w:bCs/>
                <w:color w:val="000000"/>
                <w:sz w:val="20"/>
                <w:szCs w:val="20"/>
              </w:rPr>
            </w:pPr>
          </w:p>
        </w:tc>
        <w:tc>
          <w:tcPr>
            <w:tcW w:w="1023" w:type="pct"/>
            <w:vMerge/>
            <w:tcBorders>
              <w:bottom w:val="single" w:sz="4" w:space="0" w:color="000000"/>
              <w:right w:val="single" w:sz="4" w:space="0" w:color="000000"/>
            </w:tcBorders>
            <w:shd w:val="clear" w:color="auto" w:fill="auto"/>
            <w:vAlign w:val="center"/>
            <w:hideMark/>
          </w:tcPr>
          <w:p w14:paraId="53C0B977" w14:textId="77777777" w:rsidR="0095276A" w:rsidRPr="00F14EA6" w:rsidRDefault="0095276A" w:rsidP="008624E8">
            <w:pPr>
              <w:spacing w:line="360" w:lineRule="auto"/>
              <w:jc w:val="center"/>
              <w:rPr>
                <w:rFonts w:ascii="宋体" w:hAnsi="宋体" w:cs="Calibri"/>
                <w:color w:val="000000"/>
                <w:sz w:val="20"/>
                <w:szCs w:val="20"/>
              </w:rPr>
            </w:pPr>
          </w:p>
        </w:tc>
        <w:tc>
          <w:tcPr>
            <w:tcW w:w="1109" w:type="pct"/>
            <w:vMerge/>
            <w:tcBorders>
              <w:left w:val="nil"/>
              <w:bottom w:val="single" w:sz="4" w:space="0" w:color="000000"/>
              <w:right w:val="single" w:sz="4" w:space="0" w:color="000000"/>
            </w:tcBorders>
            <w:shd w:val="clear" w:color="auto" w:fill="auto"/>
            <w:vAlign w:val="center"/>
            <w:hideMark/>
          </w:tcPr>
          <w:p w14:paraId="2397FF58" w14:textId="77777777" w:rsidR="0095276A" w:rsidRPr="00F14EA6" w:rsidRDefault="0095276A" w:rsidP="008624E8">
            <w:pPr>
              <w:spacing w:line="360" w:lineRule="auto"/>
              <w:jc w:val="center"/>
              <w:rPr>
                <w:rFonts w:ascii="宋体" w:hAnsi="宋体" w:cs="Calibri"/>
                <w:color w:val="000000"/>
                <w:sz w:val="20"/>
                <w:szCs w:val="20"/>
              </w:rPr>
            </w:pPr>
          </w:p>
        </w:tc>
        <w:tc>
          <w:tcPr>
            <w:tcW w:w="1946" w:type="pct"/>
            <w:vMerge/>
            <w:tcBorders>
              <w:left w:val="nil"/>
              <w:bottom w:val="single" w:sz="4" w:space="0" w:color="000000"/>
            </w:tcBorders>
            <w:shd w:val="clear" w:color="auto" w:fill="auto"/>
            <w:vAlign w:val="center"/>
            <w:hideMark/>
          </w:tcPr>
          <w:p w14:paraId="192BA924" w14:textId="77777777" w:rsidR="0095276A" w:rsidRPr="00F14EA6" w:rsidRDefault="0095276A" w:rsidP="008624E8">
            <w:pPr>
              <w:spacing w:line="360" w:lineRule="auto"/>
              <w:jc w:val="center"/>
              <w:rPr>
                <w:rFonts w:ascii="宋体" w:hAnsi="宋体" w:cs="Calibri"/>
                <w:color w:val="000000"/>
                <w:sz w:val="20"/>
                <w:szCs w:val="20"/>
              </w:rPr>
            </w:pPr>
          </w:p>
        </w:tc>
        <w:tc>
          <w:tcPr>
            <w:tcW w:w="153" w:type="pct"/>
            <w:tcBorders>
              <w:left w:val="nil"/>
            </w:tcBorders>
            <w:vAlign w:val="center"/>
            <w:hideMark/>
          </w:tcPr>
          <w:p w14:paraId="3B047935" w14:textId="77777777" w:rsidR="0095276A" w:rsidRPr="00F14EA6" w:rsidRDefault="0095276A" w:rsidP="008624E8">
            <w:pPr>
              <w:keepNext/>
              <w:spacing w:line="360" w:lineRule="auto"/>
              <w:rPr>
                <w:rFonts w:ascii="宋体" w:hAnsi="宋体"/>
                <w:sz w:val="20"/>
                <w:szCs w:val="20"/>
              </w:rPr>
            </w:pPr>
          </w:p>
        </w:tc>
      </w:tr>
    </w:tbl>
    <w:p w14:paraId="641A739C" w14:textId="77777777" w:rsidR="0095276A" w:rsidRDefault="0095276A" w:rsidP="008624E8">
      <w:pPr>
        <w:spacing w:after="120" w:line="360" w:lineRule="auto"/>
        <w:rPr>
          <w:rFonts w:ascii="宋体" w:hAnsi="宋体"/>
          <w:sz w:val="24"/>
        </w:rPr>
      </w:pPr>
    </w:p>
    <w:p w14:paraId="65D22660" w14:textId="733E2F9F" w:rsidR="0095276A" w:rsidRPr="004E5EAF" w:rsidRDefault="004E5EAF" w:rsidP="005B51F1">
      <w:pPr>
        <w:pStyle w:val="3"/>
        <w:spacing w:before="156" w:after="156"/>
        <w:ind w:firstLine="560"/>
      </w:pPr>
      <w:bookmarkStart w:id="19" w:name="_Toc135748077"/>
      <w:r>
        <w:t>3.</w:t>
      </w:r>
      <w:r w:rsidR="0095276A" w:rsidRPr="004E5EAF">
        <w:t>2.2</w:t>
      </w:r>
      <w:r w:rsidR="0095276A" w:rsidRPr="004E5EAF">
        <w:rPr>
          <w:rFonts w:hint="eastAsia"/>
        </w:rPr>
        <w:t>模型说明</w:t>
      </w:r>
      <w:r w:rsidR="0095276A" w:rsidRPr="004E5EAF">
        <w:t>---</w:t>
      </w:r>
      <w:r w:rsidR="0095276A" w:rsidRPr="004E5EAF">
        <w:rPr>
          <w:rFonts w:hint="eastAsia"/>
        </w:rPr>
        <w:t>MS</w:t>
      </w:r>
      <w:r w:rsidR="0095276A" w:rsidRPr="004E5EAF">
        <w:t>-</w:t>
      </w:r>
      <w:r w:rsidR="0095276A" w:rsidRPr="004E5EAF">
        <w:rPr>
          <w:rFonts w:hint="eastAsia"/>
        </w:rPr>
        <w:t>VAR</w:t>
      </w:r>
      <w:r w:rsidR="0095276A" w:rsidRPr="004E5EAF">
        <w:rPr>
          <w:rFonts w:hint="eastAsia"/>
        </w:rPr>
        <w:t>模型</w:t>
      </w:r>
      <w:bookmarkEnd w:id="19"/>
    </w:p>
    <w:p w14:paraId="4A1710A2" w14:textId="77777777" w:rsidR="0095276A" w:rsidRPr="002A02C6" w:rsidRDefault="0095276A" w:rsidP="008624E8">
      <w:pPr>
        <w:spacing w:after="120" w:line="360" w:lineRule="auto"/>
        <w:ind w:firstLine="480"/>
        <w:rPr>
          <w:rFonts w:ascii="宋体" w:hAnsi="宋体"/>
          <w:sz w:val="24"/>
        </w:rPr>
      </w:pPr>
      <w:r>
        <w:rPr>
          <w:rFonts w:ascii="宋体" w:hAnsi="宋体" w:hint="eastAsia"/>
          <w:sz w:val="24"/>
        </w:rPr>
        <w:t>针对研究问题，</w:t>
      </w:r>
      <w:r w:rsidRPr="002A02C6">
        <w:rPr>
          <w:rFonts w:ascii="宋体" w:hAnsi="宋体" w:hint="eastAsia"/>
          <w:sz w:val="24"/>
        </w:rPr>
        <w:t>采用MS</w:t>
      </w:r>
      <w:r w:rsidRPr="002A02C6">
        <w:rPr>
          <w:rFonts w:ascii="宋体" w:hAnsi="宋体"/>
          <w:sz w:val="24"/>
        </w:rPr>
        <w:t>-</w:t>
      </w:r>
      <w:r w:rsidRPr="002A02C6">
        <w:rPr>
          <w:rFonts w:ascii="宋体" w:hAnsi="宋体" w:hint="eastAsia"/>
          <w:sz w:val="24"/>
        </w:rPr>
        <w:t>VAR模型以考察经济政策不确定性与股市之间的冲</w:t>
      </w:r>
      <w:r w:rsidRPr="002A02C6">
        <w:rPr>
          <w:rFonts w:ascii="宋体" w:hAnsi="宋体" w:hint="eastAsia"/>
          <w:sz w:val="24"/>
        </w:rPr>
        <w:lastRenderedPageBreak/>
        <w:t>击传导机制</w:t>
      </w:r>
      <w:r>
        <w:rPr>
          <w:rFonts w:ascii="宋体" w:hAnsi="宋体" w:hint="eastAsia"/>
          <w:sz w:val="24"/>
        </w:rPr>
        <w:t>。</w:t>
      </w:r>
    </w:p>
    <w:p w14:paraId="71E5F5EF" w14:textId="77777777" w:rsidR="0095276A" w:rsidRPr="001273CA" w:rsidRDefault="0095276A" w:rsidP="008624E8">
      <w:pPr>
        <w:spacing w:after="120" w:line="360" w:lineRule="auto"/>
        <w:ind w:firstLine="480"/>
        <w:rPr>
          <w:rFonts w:ascii="宋体" w:hAnsi="宋体"/>
          <w:sz w:val="24"/>
        </w:rPr>
      </w:pPr>
      <w:r w:rsidRPr="001273CA">
        <w:rPr>
          <w:rFonts w:ascii="宋体" w:hAnsi="宋体" w:hint="eastAsia"/>
          <w:sz w:val="24"/>
        </w:rPr>
        <w:t>由于我国EPU指数、股市均存在高、低波动状态，特别是在政策或宏观经济冲击后，股票价格可以从趋势急剧改变为波动，因此采用区制转移模型（RSM），通过将时间序列分为不同的“状态”，设定区制数，将模型部分或全部参数会因为处于不同市场区制而</w:t>
      </w:r>
      <w:r>
        <w:rPr>
          <w:rFonts w:ascii="宋体" w:hAnsi="宋体" w:hint="eastAsia"/>
          <w:sz w:val="24"/>
        </w:rPr>
        <w:t>发生的</w:t>
      </w:r>
      <w:r w:rsidRPr="001273CA">
        <w:rPr>
          <w:rFonts w:ascii="宋体" w:hAnsi="宋体" w:hint="eastAsia"/>
          <w:sz w:val="24"/>
        </w:rPr>
        <w:t>改变纳入考虑，以此来解决基本时间序列建模中的不足。</w:t>
      </w:r>
      <w:r>
        <w:rPr>
          <w:rFonts w:ascii="宋体" w:hAnsi="宋体" w:hint="eastAsia"/>
          <w:sz w:val="24"/>
        </w:rPr>
        <w:t>胡一博（2</w:t>
      </w:r>
      <w:r>
        <w:rPr>
          <w:rFonts w:ascii="宋体" w:hAnsi="宋体"/>
          <w:sz w:val="24"/>
        </w:rPr>
        <w:t>016</w:t>
      </w:r>
      <w:r>
        <w:rPr>
          <w:rFonts w:ascii="宋体" w:hAnsi="宋体" w:hint="eastAsia"/>
          <w:sz w:val="24"/>
        </w:rPr>
        <w:t>）认为MS-VAR</w:t>
      </w:r>
      <w:r w:rsidRPr="00C2138C">
        <w:rPr>
          <w:rFonts w:ascii="宋体" w:hAnsi="宋体" w:hint="eastAsia"/>
          <w:sz w:val="24"/>
        </w:rPr>
        <w:t>模型所涉及到的区制个数、不同状态的相对独立性以及参数的可变性等也为旨在为分析非线性、动态非平稳经济问题提供灵活条件</w:t>
      </w:r>
      <w:r>
        <w:rPr>
          <w:rFonts w:ascii="宋体" w:hAnsi="宋体" w:hint="eastAsia"/>
          <w:sz w:val="24"/>
        </w:rPr>
        <w:t>。</w:t>
      </w:r>
      <w:r w:rsidRPr="001273CA">
        <w:rPr>
          <w:rFonts w:ascii="宋体" w:hAnsi="宋体" w:hint="eastAsia"/>
          <w:sz w:val="24"/>
        </w:rPr>
        <w:t>郑丽君（2</w:t>
      </w:r>
      <w:r w:rsidRPr="001273CA">
        <w:rPr>
          <w:rFonts w:ascii="宋体" w:hAnsi="宋体"/>
          <w:sz w:val="24"/>
        </w:rPr>
        <w:t>022</w:t>
      </w:r>
      <w:r w:rsidRPr="001273CA">
        <w:rPr>
          <w:rFonts w:ascii="宋体" w:hAnsi="宋体" w:hint="eastAsia"/>
          <w:sz w:val="24"/>
        </w:rPr>
        <w:t>）等比较分别使用了考虑和不考虑马尔可夫区制转换的VAR模型后发现考虑马尔科夫区制转换的VAR模型在刻画金融时间序列由于政策不确定变化等因素导致的突然跳跃方面具有优越性，明显优于不考虑区制转换的VAR模型。</w:t>
      </w:r>
    </w:p>
    <w:p w14:paraId="08590D0B" w14:textId="77777777" w:rsidR="00630E00" w:rsidRPr="00630E00" w:rsidRDefault="00630E00" w:rsidP="00630E00">
      <w:pPr>
        <w:spacing w:after="120" w:line="360" w:lineRule="auto"/>
        <w:ind w:firstLine="480"/>
        <w:rPr>
          <w:rFonts w:ascii="宋体" w:hAnsi="宋体"/>
          <w:sz w:val="24"/>
        </w:rPr>
      </w:pPr>
      <w:r w:rsidRPr="00630E00">
        <w:rPr>
          <w:rFonts w:ascii="宋体" w:hAnsi="宋体" w:hint="eastAsia"/>
          <w:sz w:val="24"/>
        </w:rPr>
        <w:t>为了研究经济不确定性对股市稳定性的影响，我们引入了马尔科夫链到向量自回归模型中，建立了马尔科夫区制转换向量自回归模型，用于分析变量之间的相互作用关系。这种</w:t>
      </w:r>
      <w:r w:rsidRPr="00630E00">
        <w:rPr>
          <w:rFonts w:ascii="宋体" w:hAnsi="宋体"/>
          <w:sz w:val="24"/>
        </w:rPr>
        <w:t>MS-VAR</w:t>
      </w:r>
      <w:r w:rsidRPr="00630E00">
        <w:rPr>
          <w:rFonts w:ascii="宋体" w:hAnsi="宋体" w:hint="eastAsia"/>
          <w:sz w:val="24"/>
        </w:rPr>
        <w:t>模型可以估计系统在不同区制转换的状态下的行为，并基于此模型计算系统在不同区制下的累计脉冲响应函数。</w:t>
      </w:r>
    </w:p>
    <w:p w14:paraId="5B56037C" w14:textId="77777777" w:rsidR="00630E00" w:rsidRPr="00630E00" w:rsidRDefault="00630E00" w:rsidP="00630E00">
      <w:pPr>
        <w:spacing w:after="120" w:line="360" w:lineRule="auto"/>
        <w:ind w:firstLine="480"/>
        <w:rPr>
          <w:rFonts w:ascii="宋体" w:hAnsi="宋体"/>
          <w:sz w:val="24"/>
        </w:rPr>
      </w:pPr>
      <w:r w:rsidRPr="00630E00">
        <w:rPr>
          <w:rFonts w:ascii="宋体" w:hAnsi="宋体" w:hint="eastAsia"/>
          <w:sz w:val="24"/>
        </w:rPr>
        <w:t>马尔科夫区制转换向量自回归模型（</w:t>
      </w:r>
      <w:r w:rsidRPr="00630E00">
        <w:rPr>
          <w:rFonts w:ascii="宋体" w:hAnsi="宋体"/>
          <w:sz w:val="24"/>
        </w:rPr>
        <w:t>MS-VAR</w:t>
      </w:r>
      <w:r w:rsidRPr="00630E00">
        <w:rPr>
          <w:rFonts w:ascii="宋体" w:hAnsi="宋体" w:hint="eastAsia"/>
          <w:sz w:val="24"/>
        </w:rPr>
        <w:t>）最早由国外学者</w:t>
      </w:r>
      <w:r w:rsidRPr="00630E00">
        <w:rPr>
          <w:rFonts w:ascii="宋体" w:hAnsi="宋体"/>
          <w:sz w:val="24"/>
        </w:rPr>
        <w:t>Hamilton</w:t>
      </w:r>
      <w:r w:rsidRPr="00630E00">
        <w:rPr>
          <w:rFonts w:ascii="宋体" w:hAnsi="宋体" w:hint="eastAsia"/>
          <w:sz w:val="24"/>
        </w:rPr>
        <w:t>（</w:t>
      </w:r>
      <w:r w:rsidRPr="00630E00">
        <w:rPr>
          <w:rFonts w:ascii="宋体" w:hAnsi="宋体"/>
          <w:sz w:val="24"/>
        </w:rPr>
        <w:t>1989</w:t>
      </w:r>
      <w:r w:rsidRPr="00630E00">
        <w:rPr>
          <w:rFonts w:ascii="宋体" w:hAnsi="宋体" w:hint="eastAsia"/>
          <w:sz w:val="24"/>
        </w:rPr>
        <w:t>）提出。该模型假设回归系数随着一个代表不同区制状态的不可观测离散变量的变化而变化。模型认为时间序列向量</w:t>
      </w:r>
      <w:r w:rsidRPr="00630E00">
        <w:rPr>
          <w:rFonts w:ascii="宋体" w:hAnsi="宋体"/>
          <w:sz w:val="24"/>
        </w:rPr>
        <w:t>yt</w:t>
      </w:r>
      <w:r w:rsidRPr="00630E00">
        <w:rPr>
          <w:rFonts w:ascii="宋体" w:hAnsi="宋体" w:hint="eastAsia"/>
          <w:sz w:val="24"/>
        </w:rPr>
        <w:t>由其不可观测的离散状态变量</w:t>
      </w:r>
      <w:r w:rsidRPr="00630E00">
        <w:rPr>
          <w:rFonts w:ascii="宋体" w:hAnsi="宋体"/>
          <w:sz w:val="24"/>
        </w:rPr>
        <w:t>st</w:t>
      </w:r>
      <w:r w:rsidRPr="00630E00">
        <w:rPr>
          <w:rFonts w:ascii="宋体" w:hAnsi="宋体" w:hint="eastAsia"/>
          <w:sz w:val="24"/>
        </w:rPr>
        <w:t>决定，根据</w:t>
      </w:r>
      <w:r w:rsidRPr="00630E00">
        <w:rPr>
          <w:rFonts w:ascii="宋体" w:hAnsi="宋体"/>
          <w:sz w:val="24"/>
        </w:rPr>
        <w:t>st</w:t>
      </w:r>
      <w:r w:rsidRPr="00630E00">
        <w:rPr>
          <w:rFonts w:ascii="宋体" w:hAnsi="宋体" w:hint="eastAsia"/>
          <w:sz w:val="24"/>
        </w:rPr>
        <w:t>的取值，研究问题或系统可以被划分为</w:t>
      </w:r>
      <w:r w:rsidRPr="00630E00">
        <w:rPr>
          <w:rFonts w:ascii="宋体" w:hAnsi="宋体"/>
          <w:sz w:val="24"/>
        </w:rPr>
        <w:t>M</w:t>
      </w:r>
      <w:r w:rsidRPr="00630E00">
        <w:rPr>
          <w:rFonts w:ascii="宋体" w:hAnsi="宋体" w:hint="eastAsia"/>
          <w:sz w:val="24"/>
        </w:rPr>
        <w:t>个区制（状态），即</w:t>
      </w:r>
      <w:r w:rsidRPr="00630E00">
        <w:rPr>
          <w:rFonts w:ascii="宋体" w:hAnsi="宋体"/>
          <w:sz w:val="24"/>
        </w:rPr>
        <w:t>st=m</w:t>
      </w:r>
      <w:r w:rsidRPr="00630E00">
        <w:rPr>
          <w:rFonts w:ascii="宋体" w:hAnsi="宋体" w:hint="eastAsia"/>
          <w:sz w:val="24"/>
        </w:rPr>
        <w:t>，其中</w:t>
      </w:r>
      <w:r w:rsidRPr="00630E00">
        <w:rPr>
          <w:rFonts w:ascii="宋体" w:hAnsi="宋体"/>
          <w:sz w:val="24"/>
        </w:rPr>
        <w:t>m=1,2,...,M</w:t>
      </w:r>
      <w:r w:rsidRPr="00630E00">
        <w:rPr>
          <w:rFonts w:ascii="宋体" w:hAnsi="宋体" w:hint="eastAsia"/>
          <w:sz w:val="24"/>
        </w:rPr>
        <w:t>。模型参数的估计将根据系统所处的不同状态而发生变化。当系统状态发生转变时，</w:t>
      </w:r>
      <w:r w:rsidRPr="00630E00">
        <w:rPr>
          <w:rFonts w:ascii="宋体" w:hAnsi="宋体"/>
          <w:sz w:val="24"/>
        </w:rPr>
        <w:t>MS-VAR</w:t>
      </w:r>
      <w:r w:rsidRPr="00630E00">
        <w:rPr>
          <w:rFonts w:ascii="宋体" w:hAnsi="宋体" w:hint="eastAsia"/>
          <w:sz w:val="24"/>
        </w:rPr>
        <w:t>模型可以自动调整</w:t>
      </w:r>
      <w:r w:rsidRPr="00630E00">
        <w:rPr>
          <w:rFonts w:ascii="宋体" w:hAnsi="宋体"/>
          <w:sz w:val="24"/>
        </w:rPr>
        <w:t>VAR</w:t>
      </w:r>
      <w:r w:rsidRPr="00630E00">
        <w:rPr>
          <w:rFonts w:ascii="宋体" w:hAnsi="宋体" w:hint="eastAsia"/>
          <w:sz w:val="24"/>
        </w:rPr>
        <w:t>模型的参数，并描述特定状态以及状态转变时变量之间的动态特征和相互关系。在对各参数进行一致有效估计的基础上，该模型还能提供各状态之间的转换概率。</w:t>
      </w:r>
    </w:p>
    <w:p w14:paraId="0DD0977F" w14:textId="77777777" w:rsidR="00630E00" w:rsidRPr="00630E00" w:rsidRDefault="00630E00" w:rsidP="00630E00">
      <w:pPr>
        <w:spacing w:after="120" w:line="360" w:lineRule="auto"/>
        <w:ind w:firstLine="480"/>
        <w:rPr>
          <w:rFonts w:ascii="宋体" w:hAnsi="宋体"/>
          <w:sz w:val="24"/>
        </w:rPr>
      </w:pPr>
      <w:r w:rsidRPr="00630E00">
        <w:rPr>
          <w:rFonts w:ascii="宋体" w:hAnsi="宋体" w:hint="eastAsia"/>
          <w:sz w:val="24"/>
        </w:rPr>
        <w:t>马尔科夫区制转换向量自回归模型主要包括转换截距模型和转换均值模型，这些模型的引入允许我们更好地理解和分析系统中的状态转换和变量之间的动态特征。通过将马尔科夫链与向量自回归模型相结合，我们能够更全面地揭示经济不确定性对股市稳定性的影响机制，为投资者和决策者提供更准确的市场预测和风险管理依据。</w:t>
      </w:r>
    </w:p>
    <w:p w14:paraId="10AE5690" w14:textId="77777777" w:rsidR="00294C29" w:rsidRDefault="0095276A" w:rsidP="008624E8">
      <w:pPr>
        <w:spacing w:after="120" w:line="360" w:lineRule="auto"/>
        <w:ind w:firstLine="480"/>
        <w:rPr>
          <w:rFonts w:ascii="宋体" w:hAnsi="宋体"/>
          <w:sz w:val="24"/>
        </w:rPr>
      </w:pPr>
      <w:r>
        <w:rPr>
          <w:rFonts w:ascii="宋体" w:hAnsi="宋体" w:hint="eastAsia"/>
          <w:sz w:val="24"/>
        </w:rPr>
        <w:lastRenderedPageBreak/>
        <w:t>建模过程如下，首先对时间序列进行平稳性检验并依据结果确定差分阶数，并</w:t>
      </w:r>
      <w:r w:rsidRPr="002B2EC0">
        <w:rPr>
          <w:rFonts w:ascii="宋体" w:hAnsi="宋体" w:hint="eastAsia"/>
          <w:b/>
          <w:bCs/>
          <w:sz w:val="24"/>
        </w:rPr>
        <w:t>建立传统的VAR模型</w:t>
      </w:r>
      <w:r>
        <w:rPr>
          <w:rFonts w:ascii="宋体" w:hAnsi="宋体" w:hint="eastAsia"/>
          <w:sz w:val="24"/>
        </w:rPr>
        <w:t>。</w:t>
      </w:r>
    </w:p>
    <w:p w14:paraId="66AE4BE6" w14:textId="4B34EB32" w:rsidR="00294C29" w:rsidRPr="00294C29" w:rsidRDefault="00294C29" w:rsidP="008624E8">
      <w:pPr>
        <w:spacing w:after="120" w:line="360" w:lineRule="auto"/>
        <w:ind w:firstLine="480"/>
        <w:rPr>
          <w:rFonts w:ascii="宋体" w:hAnsi="宋体"/>
          <w:sz w:val="24"/>
        </w:rPr>
      </w:pPr>
      <w:r w:rsidRPr="00294C29">
        <w:rPr>
          <w:rFonts w:ascii="宋体" w:hAnsi="宋体"/>
          <w:sz w:val="24"/>
        </w:rPr>
        <w:t>一个K维、p阶滞后的VAR模型可以表示为：</w:t>
      </w:r>
    </w:p>
    <w:p w14:paraId="47A2AFDD" w14:textId="71F93855" w:rsidR="00294C29" w:rsidRPr="00294C29" w:rsidRDefault="00294C29" w:rsidP="008624E8">
      <w:pPr>
        <w:spacing w:after="120" w:line="360" w:lineRule="auto"/>
        <w:jc w:val="center"/>
        <w:rPr>
          <w:rFonts w:ascii="Cambria Math" w:hAnsi="Cambria Math"/>
          <w:i/>
        </w:rPr>
      </w:pPr>
      <w:r w:rsidRPr="00294C29">
        <w:rPr>
          <w:rFonts w:ascii="Cambria Math" w:hAnsi="Cambria Math"/>
          <w:i/>
        </w:rPr>
        <w:t>y</w:t>
      </w:r>
      <w:r w:rsidRPr="00294C29">
        <w:rPr>
          <w:rFonts w:ascii="Cambria Math" w:hAnsi="Cambria Math"/>
          <w:i/>
          <w:vertAlign w:val="subscript"/>
        </w:rPr>
        <w:t>t</w:t>
      </w:r>
      <w:r w:rsidRPr="00294C29">
        <w:rPr>
          <w:rFonts w:ascii="Cambria Math" w:hAnsi="Cambria Math"/>
          <w:i/>
        </w:rPr>
        <w:t>=ν+A</w:t>
      </w:r>
      <w:r w:rsidRPr="00294C29">
        <w:rPr>
          <w:rFonts w:ascii="Cambria Math" w:hAnsi="Cambria Math"/>
          <w:i/>
          <w:vertAlign w:val="subscript"/>
        </w:rPr>
        <w:t>1</w:t>
      </w:r>
      <w:r w:rsidRPr="00294C29">
        <w:rPr>
          <w:rFonts w:ascii="Cambria Math" w:hAnsi="Cambria Math"/>
          <w:i/>
        </w:rPr>
        <w:t>y</w:t>
      </w:r>
      <w:r w:rsidRPr="00294C29">
        <w:rPr>
          <w:rFonts w:ascii="Cambria Math" w:hAnsi="Cambria Math"/>
          <w:i/>
          <w:vertAlign w:val="subscript"/>
        </w:rPr>
        <w:t>t-1</w:t>
      </w:r>
      <w:r w:rsidRPr="00294C29">
        <w:rPr>
          <w:rFonts w:ascii="Cambria Math" w:hAnsi="Cambria Math"/>
          <w:i/>
        </w:rPr>
        <w:t>+…+A</w:t>
      </w:r>
      <w:r w:rsidRPr="00294C29">
        <w:rPr>
          <w:rFonts w:ascii="Cambria Math" w:hAnsi="Cambria Math"/>
          <w:i/>
          <w:vertAlign w:val="subscript"/>
        </w:rPr>
        <w:t>p</w:t>
      </w:r>
      <w:r w:rsidRPr="00294C29">
        <w:rPr>
          <w:rFonts w:ascii="Cambria Math" w:hAnsi="Cambria Math"/>
          <w:i/>
        </w:rPr>
        <w:t>y</w:t>
      </w:r>
      <w:r w:rsidRPr="00294C29">
        <w:rPr>
          <w:rFonts w:ascii="Cambria Math" w:hAnsi="Cambria Math"/>
          <w:i/>
          <w:vertAlign w:val="subscript"/>
        </w:rPr>
        <w:t>t-p</w:t>
      </w:r>
      <w:r w:rsidRPr="00294C29">
        <w:rPr>
          <w:rFonts w:ascii="Cambria Math" w:hAnsi="Cambria Math"/>
          <w:i/>
        </w:rPr>
        <w:t>+u</w:t>
      </w:r>
      <w:r w:rsidRPr="00294C29">
        <w:rPr>
          <w:rFonts w:ascii="Cambria Math" w:hAnsi="Cambria Math"/>
          <w:i/>
          <w:vertAlign w:val="subscript"/>
        </w:rPr>
        <w:t>t</w:t>
      </w:r>
      <w:r w:rsidR="0000018D">
        <w:rPr>
          <w:rFonts w:ascii="Cambria Math" w:hAnsi="Cambria Math"/>
          <w:i/>
          <w:vertAlign w:val="subscript"/>
        </w:rPr>
        <w:t xml:space="preserve">   </w:t>
      </w:r>
      <w:r w:rsidRPr="00E4720B">
        <w:t>(</w:t>
      </w:r>
      <w:r>
        <w:t>1</w:t>
      </w:r>
      <w:r w:rsidRPr="00E4720B">
        <w:t>)</w:t>
      </w:r>
    </w:p>
    <w:p w14:paraId="47418E0C" w14:textId="394205EA" w:rsidR="00294C29" w:rsidRPr="00294C29" w:rsidRDefault="00294C29" w:rsidP="008624E8">
      <w:pPr>
        <w:spacing w:after="120" w:line="360" w:lineRule="auto"/>
        <w:ind w:firstLine="480"/>
        <w:rPr>
          <w:rFonts w:ascii="宋体" w:hAnsi="宋体"/>
          <w:sz w:val="24"/>
        </w:rPr>
      </w:pPr>
      <w:r w:rsidRPr="00294C29">
        <w:rPr>
          <w:rFonts w:ascii="宋体" w:hAnsi="宋体"/>
          <w:sz w:val="24"/>
        </w:rPr>
        <w:t>其中y</w:t>
      </w:r>
      <w:r w:rsidRPr="00294C29">
        <w:rPr>
          <w:rFonts w:ascii="宋体" w:hAnsi="宋体"/>
          <w:sz w:val="24"/>
          <w:vertAlign w:val="subscript"/>
        </w:rPr>
        <w:t>t</w:t>
      </w:r>
      <w:r w:rsidRPr="00294C29">
        <w:rPr>
          <w:rFonts w:ascii="宋体" w:hAnsi="宋体"/>
          <w:sz w:val="24"/>
        </w:rPr>
        <w:t>=(y</w:t>
      </w:r>
      <w:r w:rsidRPr="00294C29">
        <w:rPr>
          <w:rFonts w:ascii="宋体" w:hAnsi="宋体"/>
          <w:sz w:val="24"/>
          <w:vertAlign w:val="subscript"/>
        </w:rPr>
        <w:t>1t</w:t>
      </w:r>
      <w:r w:rsidRPr="00294C29">
        <w:rPr>
          <w:rFonts w:ascii="宋体" w:hAnsi="宋体"/>
          <w:sz w:val="24"/>
        </w:rPr>
        <w:t>,y</w:t>
      </w:r>
      <w:r w:rsidRPr="00294C29">
        <w:rPr>
          <w:rFonts w:ascii="宋体" w:hAnsi="宋体"/>
          <w:sz w:val="24"/>
          <w:vertAlign w:val="subscript"/>
        </w:rPr>
        <w:t>2t</w:t>
      </w:r>
      <w:r w:rsidRPr="00294C29">
        <w:rPr>
          <w:rFonts w:ascii="宋体" w:hAnsi="宋体"/>
          <w:sz w:val="24"/>
        </w:rPr>
        <w:t>,…y</w:t>
      </w:r>
      <w:r w:rsidRPr="00294C29">
        <w:rPr>
          <w:rFonts w:ascii="宋体" w:hAnsi="宋体"/>
          <w:sz w:val="24"/>
          <w:vertAlign w:val="subscript"/>
        </w:rPr>
        <w:t>kt</w:t>
      </w:r>
      <w:r w:rsidRPr="00294C29">
        <w:rPr>
          <w:rFonts w:ascii="宋体" w:hAnsi="宋体"/>
          <w:sz w:val="24"/>
        </w:rPr>
        <w:t>)′,t=1,…,T,截距项矩阵用</w:t>
      </w:r>
      <w:r>
        <w:rPr>
          <w:rFonts w:ascii="宋体" w:hAnsi="宋体"/>
          <w:sz w:val="24"/>
        </w:rPr>
        <w:t>v</w:t>
      </w:r>
      <w:r w:rsidRPr="00294C29">
        <w:rPr>
          <w:rFonts w:ascii="宋体" w:hAnsi="宋体"/>
          <w:sz w:val="24"/>
        </w:rPr>
        <w:t>表示，A</w:t>
      </w:r>
      <w:r w:rsidRPr="00294C29">
        <w:rPr>
          <w:rFonts w:ascii="宋体" w:hAnsi="宋体"/>
          <w:sz w:val="24"/>
          <w:vertAlign w:val="subscript"/>
        </w:rPr>
        <w:t>j</w:t>
      </w:r>
      <w:r w:rsidRPr="00294C29">
        <w:rPr>
          <w:rFonts w:ascii="宋体" w:hAnsi="宋体"/>
          <w:sz w:val="24"/>
        </w:rPr>
        <w:t>为自回归系数矩阵，u</w:t>
      </w:r>
      <w:r w:rsidRPr="00294C29">
        <w:rPr>
          <w:rFonts w:ascii="宋体" w:hAnsi="宋体"/>
          <w:sz w:val="24"/>
          <w:vertAlign w:val="subscript"/>
        </w:rPr>
        <w:t>t</w:t>
      </w:r>
      <w:r w:rsidRPr="00294C29">
        <w:rPr>
          <w:rFonts w:ascii="宋体" w:hAnsi="宋体"/>
          <w:sz w:val="24"/>
        </w:rPr>
        <w:t>为误差项。若u</w:t>
      </w:r>
      <w:r w:rsidRPr="00294C29">
        <w:rPr>
          <w:rFonts w:ascii="宋体" w:hAnsi="宋体"/>
          <w:sz w:val="24"/>
          <w:vertAlign w:val="subscript"/>
        </w:rPr>
        <w:t>t</w:t>
      </w:r>
      <w:r w:rsidRPr="00294C29">
        <w:rPr>
          <w:rFonts w:ascii="宋体" w:hAnsi="宋体"/>
          <w:sz w:val="24"/>
        </w:rPr>
        <w:t>~NID（0</w:t>
      </w:r>
      <w:r w:rsidRPr="00294C29">
        <w:rPr>
          <w:rFonts w:ascii="宋体" w:hAnsi="宋体" w:hint="eastAsia"/>
          <w:sz w:val="24"/>
        </w:rPr>
        <w:t>，</w:t>
      </w:r>
      <w:r w:rsidRPr="00294C29">
        <w:rPr>
          <w:rFonts w:ascii="宋体" w:hAnsi="宋体"/>
          <w:sz w:val="24"/>
        </w:rPr>
        <w:t>Σ），方程（1）可以变换为其均值调整模型：</w:t>
      </w:r>
    </w:p>
    <w:p w14:paraId="38F33741" w14:textId="6C3AA4AA" w:rsidR="00294C29" w:rsidRPr="00294C29" w:rsidRDefault="00294C29" w:rsidP="008624E8">
      <w:pPr>
        <w:spacing w:after="120" w:line="360" w:lineRule="auto"/>
        <w:jc w:val="center"/>
        <w:rPr>
          <w:rFonts w:ascii="Cambria Math" w:hAnsi="Cambria Math"/>
          <w:i/>
        </w:rPr>
      </w:pPr>
      <w:r w:rsidRPr="00294C29">
        <w:rPr>
          <w:rFonts w:ascii="Cambria Math" w:hAnsi="Cambria Math"/>
          <w:i/>
        </w:rPr>
        <w:t>y</w:t>
      </w:r>
      <w:r w:rsidRPr="00294C29">
        <w:rPr>
          <w:rFonts w:ascii="Cambria Math" w:hAnsi="Cambria Math"/>
          <w:i/>
          <w:vertAlign w:val="subscript"/>
        </w:rPr>
        <w:t>t-u</w:t>
      </w:r>
      <w:r w:rsidRPr="00294C29">
        <w:rPr>
          <w:rFonts w:ascii="Cambria Math" w:hAnsi="Cambria Math"/>
          <w:i/>
        </w:rPr>
        <w:t>=A1(y</w:t>
      </w:r>
      <w:r w:rsidRPr="00294C29">
        <w:rPr>
          <w:rFonts w:ascii="Cambria Math" w:hAnsi="Cambria Math"/>
          <w:i/>
          <w:vertAlign w:val="subscript"/>
        </w:rPr>
        <w:t>t-1</w:t>
      </w:r>
      <w:r w:rsidRPr="00294C29">
        <w:rPr>
          <w:rFonts w:ascii="Cambria Math" w:hAnsi="Cambria Math"/>
          <w:i/>
        </w:rPr>
        <w:t>-u)+A</w:t>
      </w:r>
      <w:r w:rsidRPr="00294C29">
        <w:rPr>
          <w:rFonts w:ascii="Cambria Math" w:hAnsi="Cambria Math"/>
          <w:i/>
          <w:vertAlign w:val="subscript"/>
        </w:rPr>
        <w:t>2</w:t>
      </w:r>
      <w:r w:rsidRPr="00294C29">
        <w:rPr>
          <w:rFonts w:ascii="Cambria Math" w:hAnsi="Cambria Math"/>
          <w:i/>
        </w:rPr>
        <w:t>(y</w:t>
      </w:r>
      <w:r w:rsidRPr="00294C29">
        <w:rPr>
          <w:rFonts w:ascii="Cambria Math" w:hAnsi="Cambria Math"/>
          <w:i/>
          <w:vertAlign w:val="subscript"/>
        </w:rPr>
        <w:t>t-2</w:t>
      </w:r>
      <w:r w:rsidRPr="00294C29">
        <w:rPr>
          <w:rFonts w:ascii="Cambria Math" w:hAnsi="Cambria Math"/>
          <w:i/>
        </w:rPr>
        <w:t>-u)+…+A</w:t>
      </w:r>
      <w:r w:rsidRPr="00294C29">
        <w:rPr>
          <w:rFonts w:ascii="Cambria Math" w:hAnsi="Cambria Math"/>
          <w:i/>
          <w:vertAlign w:val="subscript"/>
        </w:rPr>
        <w:t>p</w:t>
      </w:r>
      <w:r w:rsidRPr="00294C29">
        <w:rPr>
          <w:rFonts w:ascii="Cambria Math" w:hAnsi="Cambria Math"/>
          <w:i/>
        </w:rPr>
        <w:t>(y</w:t>
      </w:r>
      <w:r w:rsidRPr="00294C29">
        <w:rPr>
          <w:rFonts w:ascii="Cambria Math" w:hAnsi="Cambria Math"/>
          <w:i/>
          <w:vertAlign w:val="subscript"/>
        </w:rPr>
        <w:t>t-p</w:t>
      </w:r>
      <w:r w:rsidRPr="00294C29">
        <w:rPr>
          <w:rFonts w:ascii="Cambria Math" w:hAnsi="Cambria Math"/>
          <w:i/>
        </w:rPr>
        <w:t>-u)</w:t>
      </w:r>
      <w:r w:rsidR="0000018D">
        <w:rPr>
          <w:rFonts w:ascii="Cambria Math" w:hAnsi="Cambria Math"/>
          <w:i/>
        </w:rPr>
        <w:t xml:space="preserve">  </w:t>
      </w:r>
      <w:r w:rsidRPr="00E4720B">
        <w:t>(</w:t>
      </w:r>
      <w:r>
        <w:t>2</w:t>
      </w:r>
      <w:r w:rsidRPr="00E4720B">
        <w:t>)</w:t>
      </w:r>
    </w:p>
    <w:p w14:paraId="06D2F930" w14:textId="6F4203A8" w:rsidR="00294C29" w:rsidRDefault="00294C29" w:rsidP="008624E8">
      <w:pPr>
        <w:spacing w:after="120" w:line="360" w:lineRule="auto"/>
        <w:ind w:firstLine="480"/>
        <w:rPr>
          <w:rFonts w:ascii="宋体" w:hAnsi="宋体"/>
          <w:sz w:val="24"/>
        </w:rPr>
      </w:pPr>
      <w:r w:rsidRPr="00294C29">
        <w:rPr>
          <w:rFonts w:ascii="宋体" w:hAnsi="宋体"/>
          <w:sz w:val="24"/>
        </w:rPr>
        <w:t>以上VAR模型适用于时间序列变量，yt所处的状态不随时间推移发生改变</w:t>
      </w:r>
      <w:r w:rsidRPr="00294C29">
        <w:rPr>
          <w:rFonts w:ascii="宋体" w:hAnsi="宋体" w:hint="eastAsia"/>
          <w:sz w:val="24"/>
        </w:rPr>
        <w:t>。</w:t>
      </w:r>
    </w:p>
    <w:p w14:paraId="48762540" w14:textId="06A20534" w:rsidR="0095276A" w:rsidRPr="00E4720B" w:rsidRDefault="0095276A" w:rsidP="008624E8">
      <w:pPr>
        <w:spacing w:after="120" w:line="360" w:lineRule="auto"/>
        <w:ind w:firstLine="480"/>
        <w:rPr>
          <w:rFonts w:ascii="宋体" w:hAnsi="宋体"/>
          <w:sz w:val="24"/>
        </w:rPr>
      </w:pPr>
      <w:r>
        <w:rPr>
          <w:rFonts w:ascii="宋体" w:hAnsi="宋体" w:hint="eastAsia"/>
          <w:sz w:val="24"/>
        </w:rPr>
        <w:t>其次</w:t>
      </w:r>
      <w:r w:rsidRPr="00F52B10">
        <w:rPr>
          <w:rFonts w:ascii="宋体" w:hAnsi="宋体" w:hint="eastAsia"/>
          <w:sz w:val="24"/>
        </w:rPr>
        <w:t>通过比较不同滞后阶数信息准则</w:t>
      </w:r>
      <w:r>
        <w:rPr>
          <w:rFonts w:ascii="宋体" w:hAnsi="宋体" w:hint="eastAsia"/>
          <w:sz w:val="24"/>
        </w:rPr>
        <w:t>（</w:t>
      </w:r>
      <w:r>
        <w:rPr>
          <w:rFonts w:ascii="宋体" w:hAnsi="宋体"/>
          <w:sz w:val="24"/>
        </w:rPr>
        <w:t>AIC</w:t>
      </w:r>
      <w:r>
        <w:rPr>
          <w:rFonts w:ascii="宋体" w:hAnsi="宋体" w:hint="eastAsia"/>
          <w:sz w:val="24"/>
        </w:rPr>
        <w:t>、LL、S</w:t>
      </w:r>
      <w:r>
        <w:rPr>
          <w:rFonts w:ascii="宋体" w:hAnsi="宋体"/>
          <w:sz w:val="24"/>
        </w:rPr>
        <w:t>C）</w:t>
      </w:r>
      <w:r w:rsidRPr="00F52B10">
        <w:rPr>
          <w:rFonts w:ascii="宋体" w:hAnsi="宋体" w:hint="eastAsia"/>
          <w:sz w:val="24"/>
        </w:rPr>
        <w:t>的大小来确定</w:t>
      </w:r>
      <w:r>
        <w:rPr>
          <w:rFonts w:ascii="宋体" w:hAnsi="宋体" w:hint="eastAsia"/>
          <w:sz w:val="24"/>
        </w:rPr>
        <w:t>VAR模型</w:t>
      </w:r>
      <w:r w:rsidRPr="00F52B10">
        <w:rPr>
          <w:rFonts w:ascii="宋体" w:hAnsi="宋体" w:hint="eastAsia"/>
          <w:sz w:val="24"/>
        </w:rPr>
        <w:t>最优的滞后期</w:t>
      </w:r>
      <w:r>
        <w:rPr>
          <w:rFonts w:ascii="宋体" w:hAnsi="宋体" w:hint="eastAsia"/>
          <w:sz w:val="24"/>
        </w:rPr>
        <w:t>，基于</w:t>
      </w:r>
      <w:r w:rsidRPr="00C36E29">
        <w:rPr>
          <w:rFonts w:ascii="宋体" w:hAnsi="宋体" w:hint="eastAsia"/>
          <w:sz w:val="24"/>
        </w:rPr>
        <w:t>股市</w:t>
      </w:r>
      <w:r>
        <w:rPr>
          <w:rFonts w:ascii="宋体" w:hAnsi="宋体" w:hint="eastAsia"/>
          <w:sz w:val="24"/>
        </w:rPr>
        <w:t>存在m</w:t>
      </w:r>
      <w:r w:rsidRPr="00C36E29">
        <w:rPr>
          <w:rFonts w:ascii="宋体" w:hAnsi="宋体" w:hint="eastAsia"/>
          <w:sz w:val="24"/>
        </w:rPr>
        <w:t>种</w:t>
      </w:r>
      <w:r>
        <w:rPr>
          <w:rFonts w:ascii="宋体" w:hAnsi="宋体" w:hint="eastAsia"/>
          <w:sz w:val="24"/>
        </w:rPr>
        <w:t>波动</w:t>
      </w:r>
      <w:r w:rsidRPr="00C36E29">
        <w:rPr>
          <w:rFonts w:ascii="宋体" w:hAnsi="宋体" w:hint="eastAsia"/>
          <w:sz w:val="24"/>
        </w:rPr>
        <w:t>状态，</w:t>
      </w:r>
      <w:r>
        <w:rPr>
          <w:rFonts w:ascii="宋体" w:hAnsi="宋体" w:hint="eastAsia"/>
          <w:sz w:val="24"/>
        </w:rPr>
        <w:t>因此设置一个m</w:t>
      </w:r>
      <w:r w:rsidRPr="00C36E29">
        <w:rPr>
          <w:rFonts w:ascii="宋体" w:hAnsi="宋体" w:hint="eastAsia"/>
          <w:sz w:val="24"/>
        </w:rPr>
        <w:t>状态的Markov转换过程，St∈{1,2</w:t>
      </w:r>
      <w:r>
        <w:rPr>
          <w:rFonts w:ascii="宋体" w:hAnsi="宋体" w:hint="eastAsia"/>
          <w:sz w:val="24"/>
        </w:rPr>
        <w:t>，</w:t>
      </w:r>
      <w:r>
        <w:rPr>
          <w:rFonts w:ascii="宋体" w:hAnsi="宋体"/>
          <w:sz w:val="24"/>
        </w:rPr>
        <w:t>…,n}</w:t>
      </w:r>
      <w:r>
        <w:rPr>
          <w:rFonts w:ascii="宋体" w:hAnsi="宋体" w:hint="eastAsia"/>
          <w:sz w:val="24"/>
        </w:rPr>
        <w:t>，</w:t>
      </w:r>
      <w:r w:rsidRPr="007D3F7B">
        <w:rPr>
          <w:rFonts w:ascii="宋体" w:hAnsi="宋体" w:hint="eastAsia"/>
          <w:sz w:val="24"/>
        </w:rPr>
        <w:t>通过建立截距(I)、系数(A)、方差(H)和均值(M)等各个参数随状态变化的MS-VAR不同组合模型</w:t>
      </w:r>
      <w:r>
        <w:rPr>
          <w:rFonts w:ascii="宋体" w:hAnsi="宋体" w:hint="eastAsia"/>
          <w:sz w:val="24"/>
        </w:rPr>
        <w:t>,最后选择在不同区制下的最优模型。其表达式为：</w:t>
      </w:r>
    </w:p>
    <w:p w14:paraId="777FEA07" w14:textId="3A9ABAE8" w:rsidR="0095276A" w:rsidRPr="00E4720B" w:rsidRDefault="00000000" w:rsidP="008624E8">
      <w:pPr>
        <w:spacing w:after="120" w:line="360" w:lineRule="auto"/>
        <w:ind w:firstLine="48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=µ+</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t-k</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m:t>
            </m:r>
          </m:sub>
        </m:sSub>
        <m:r>
          <w:rPr>
            <w:rFonts w:ascii="Cambria Math" w:hAnsi="Cambria Math"/>
          </w:rPr>
          <m:t>~IID</m:t>
        </m:r>
        <m:d>
          <m:dPr>
            <m:ctrlPr>
              <w:rPr>
                <w:rFonts w:ascii="Cambria Math" w:hAnsi="Cambria Math"/>
                <w:i/>
              </w:rPr>
            </m:ctrlPr>
          </m:dPr>
          <m:e>
            <m:r>
              <w:rPr>
                <w:rFonts w:ascii="Cambria Math" w:hAnsi="Cambria Math"/>
              </w:rPr>
              <m:t>0,Ω</m:t>
            </m:r>
          </m:e>
        </m:d>
        <m:r>
          <w:rPr>
            <w:rFonts w:ascii="Cambria Math" w:hAnsi="Cambria Math"/>
          </w:rPr>
          <m:t xml:space="preserve">  </m:t>
        </m:r>
      </m:oMath>
      <w:r w:rsidR="0095276A" w:rsidRPr="00E4720B">
        <w:t>(</w:t>
      </w:r>
      <w:r w:rsidR="00294C29">
        <w:t>3</w:t>
      </w:r>
      <w:r w:rsidR="0095276A" w:rsidRPr="00E4720B">
        <w:t>)</w:t>
      </w:r>
    </w:p>
    <w:p w14:paraId="01421053" w14:textId="76624AE2" w:rsidR="0095276A" w:rsidRDefault="0095276A" w:rsidP="008624E8">
      <w:pPr>
        <w:spacing w:after="120" w:line="360" w:lineRule="auto"/>
        <w:ind w:firstLine="480"/>
        <w:rPr>
          <w:rFonts w:ascii="宋体" w:hAnsi="宋体"/>
          <w:sz w:val="24"/>
        </w:rPr>
      </w:pPr>
      <w:r w:rsidRPr="00A75C33">
        <w:rPr>
          <w:rFonts w:ascii="宋体" w:hAnsi="宋体" w:hint="eastAsia"/>
          <w:sz w:val="24"/>
        </w:rPr>
        <w:t>其中μ</w:t>
      </w:r>
      <w:r w:rsidRPr="000443CA">
        <w:rPr>
          <w:rFonts w:ascii="宋体" w:hAnsi="宋体" w:hint="eastAsia"/>
          <w:sz w:val="24"/>
          <w:vertAlign w:val="subscript"/>
        </w:rPr>
        <w:t>t</w:t>
      </w:r>
      <w:r w:rsidRPr="00A75C33">
        <w:rPr>
          <w:rFonts w:ascii="宋体" w:hAnsi="宋体" w:hint="eastAsia"/>
          <w:sz w:val="24"/>
        </w:rPr>
        <w:t>~NID(0,Σ(s</w:t>
      </w:r>
      <w:r w:rsidRPr="00DB0F98">
        <w:rPr>
          <w:rFonts w:ascii="宋体" w:hAnsi="宋体" w:hint="eastAsia"/>
          <w:b/>
          <w:bCs/>
          <w:sz w:val="24"/>
          <w:vertAlign w:val="subscript"/>
        </w:rPr>
        <w:t>t</w:t>
      </w:r>
      <w:r w:rsidRPr="00A75C33">
        <w:rPr>
          <w:rFonts w:ascii="宋体" w:hAnsi="宋体" w:hint="eastAsia"/>
          <w:sz w:val="24"/>
        </w:rPr>
        <w:t>)),</w:t>
      </w:r>
      <w:r>
        <w:rPr>
          <w:rFonts w:ascii="宋体" w:hAnsi="宋体" w:hint="eastAsia"/>
          <w:sz w:val="24"/>
        </w:rPr>
        <w:t>π</w:t>
      </w:r>
      <w:r w:rsidRPr="00DB0F98">
        <w:rPr>
          <w:rFonts w:ascii="宋体" w:hAnsi="宋体" w:hint="eastAsia"/>
          <w:b/>
          <w:bCs/>
          <w:sz w:val="24"/>
          <w:vertAlign w:val="subscript"/>
        </w:rPr>
        <w:t>i</w:t>
      </w:r>
      <w:r w:rsidRPr="00A75C33">
        <w:rPr>
          <w:rFonts w:ascii="宋体" w:hAnsi="宋体" w:hint="eastAsia"/>
          <w:sz w:val="24"/>
        </w:rPr>
        <w:t>(i=1,…,p)为方程的系数向量,方程的滞后阶数为p,设s</w:t>
      </w:r>
      <w:r w:rsidRPr="00DB0F98">
        <w:rPr>
          <w:rFonts w:ascii="宋体" w:hAnsi="宋体" w:hint="eastAsia"/>
          <w:b/>
          <w:bCs/>
          <w:sz w:val="24"/>
          <w:vertAlign w:val="subscript"/>
        </w:rPr>
        <w:t>t</w:t>
      </w:r>
      <w:r w:rsidRPr="00A75C33">
        <w:rPr>
          <w:rFonts w:ascii="宋体" w:hAnsi="宋体" w:hint="eastAsia"/>
          <w:sz w:val="24"/>
        </w:rPr>
        <w:t>为一个代表不同区制状态、不可观测的离散变量,且取值区间为{1,2,…,m}的马尔可夫链,该变量所表示的含义为经济系统的m种状态区制</w:t>
      </w:r>
      <w:r>
        <w:rPr>
          <w:rFonts w:ascii="宋体" w:hAnsi="宋体" w:hint="eastAsia"/>
          <w:sz w:val="24"/>
        </w:rPr>
        <w:t>。</w:t>
      </w:r>
    </w:p>
    <w:p w14:paraId="5E78E457" w14:textId="77777777" w:rsidR="0095276A" w:rsidRDefault="0095276A" w:rsidP="008624E8">
      <w:pPr>
        <w:spacing w:after="120" w:line="360" w:lineRule="auto"/>
        <w:ind w:firstLine="480"/>
        <w:rPr>
          <w:rFonts w:ascii="宋体" w:hAnsi="宋体"/>
          <w:sz w:val="24"/>
        </w:rPr>
      </w:pPr>
      <w:r>
        <w:rPr>
          <w:rFonts w:ascii="宋体" w:hAnsi="宋体" w:hint="eastAsia"/>
          <w:sz w:val="24"/>
        </w:rPr>
        <w:t>其中二维时间序列变量Yt</w:t>
      </w:r>
      <w:r w:rsidRPr="003B0C3C">
        <w:rPr>
          <w:rFonts w:ascii="宋体" w:hAnsi="宋体" w:hint="eastAsia"/>
          <w:sz w:val="24"/>
        </w:rPr>
        <w:t>可拆分为如下联立方程式：</w:t>
      </w:r>
    </w:p>
    <w:p w14:paraId="58AC5D0D" w14:textId="7605FEFF" w:rsidR="0095276A" w:rsidRPr="00AA120D" w:rsidRDefault="0095276A" w:rsidP="00AA120D">
      <w:pPr>
        <w:spacing w:line="360" w:lineRule="auto"/>
        <w:jc w:val="center"/>
      </w:pPr>
      <m:oMath>
        <m:r>
          <w:rPr>
            <w:rFonts w:ascii="Cambria Math" w:hAnsi="Cambria Math" w:hint="eastAsia"/>
          </w:rPr>
          <m:t>Yt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EPU,t</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11.1</m:t>
                    </m:r>
                  </m:sub>
                </m:sSub>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12.1</m:t>
                    </m:r>
                  </m:sub>
                </m:sSub>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1n.1</m:t>
                    </m:r>
                  </m:sub>
                </m:sSub>
                <m:sSub>
                  <m:sSubPr>
                    <m:ctrlPr>
                      <w:rPr>
                        <w:rFonts w:ascii="Cambria Math" w:hAnsi="Cambria Math"/>
                        <w:i/>
                      </w:rPr>
                    </m:ctrlPr>
                  </m:sSubPr>
                  <m:e>
                    <m:r>
                      <w:rPr>
                        <w:rFonts w:ascii="Cambria Math" w:hAnsi="Cambria Math"/>
                      </w:rPr>
                      <m:t>y</m:t>
                    </m:r>
                  </m:e>
                  <m:sub>
                    <m:r>
                      <w:rPr>
                        <w:rFonts w:ascii="Cambria Math" w:hAnsi="Cambria Math"/>
                      </w:rPr>
                      <m:t>n,t-1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1t</m:t>
                    </m:r>
                  </m:sub>
                </m:sSub>
              </m:e>
              <m:e>
                <m:sSub>
                  <m:sSubPr>
                    <m:ctrlPr>
                      <w:rPr>
                        <w:rFonts w:ascii="Cambria Math" w:hAnsi="Cambria Math"/>
                        <w:i/>
                      </w:rPr>
                    </m:ctrlPr>
                  </m:sSubPr>
                  <m:e>
                    <m:r>
                      <w:rPr>
                        <w:rFonts w:ascii="Cambria Math" w:hAnsi="Cambria Math"/>
                      </w:rPr>
                      <m:t>y</m:t>
                    </m:r>
                  </m:e>
                  <m:sub>
                    <m:r>
                      <w:rPr>
                        <w:rFonts w:ascii="Cambria Math" w:hAnsi="Cambria Math"/>
                      </w:rPr>
                      <m:t>VOL,t</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21.1</m:t>
                    </m:r>
                  </m:sub>
                </m:sSub>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22.1</m:t>
                    </m:r>
                  </m:sub>
                </m:sSub>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2n.1</m:t>
                    </m:r>
                  </m:sub>
                </m:sSub>
                <m:sSub>
                  <m:sSubPr>
                    <m:ctrlPr>
                      <w:rPr>
                        <w:rFonts w:ascii="Cambria Math" w:hAnsi="Cambria Math"/>
                        <w:i/>
                      </w:rPr>
                    </m:ctrlPr>
                  </m:sSubPr>
                  <m:e>
                    <m:r>
                      <w:rPr>
                        <w:rFonts w:ascii="Cambria Math" w:hAnsi="Cambria Math"/>
                      </w:rPr>
                      <m:t>y</m:t>
                    </m:r>
                  </m:e>
                  <m:sub>
                    <m:r>
                      <w:rPr>
                        <w:rFonts w:ascii="Cambria Math" w:hAnsi="Cambria Math"/>
                      </w:rPr>
                      <m:t>n,t-1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2t</m:t>
                    </m:r>
                  </m:sub>
                </m:sSub>
              </m:e>
            </m:eqArr>
          </m:e>
        </m:d>
        <m:r>
          <w:rPr>
            <w:rFonts w:ascii="Cambria Math" w:hAnsi="Cambria Math"/>
          </w:rPr>
          <m:t xml:space="preserve"> </m:t>
        </m:r>
      </m:oMath>
      <w:r>
        <w:t>(</w:t>
      </w:r>
      <w:r w:rsidR="00294C29">
        <w:t>4</w:t>
      </w:r>
      <w:r>
        <w:t>)</w:t>
      </w:r>
    </w:p>
    <w:p w14:paraId="677AA897" w14:textId="29BDABDA" w:rsidR="0095276A" w:rsidRDefault="0095276A" w:rsidP="00AA120D">
      <w:pPr>
        <w:spacing w:before="240" w:after="120" w:line="360" w:lineRule="auto"/>
        <w:ind w:firstLine="480"/>
        <w:rPr>
          <w:rFonts w:ascii="宋体" w:hAnsi="宋体"/>
          <w:sz w:val="24"/>
        </w:rPr>
      </w:pPr>
      <w:r w:rsidRPr="00E33200">
        <w:rPr>
          <w:rFonts w:ascii="宋体" w:hAnsi="宋体" w:hint="eastAsia"/>
          <w:sz w:val="24"/>
        </w:rPr>
        <w:t>在</w:t>
      </w:r>
      <w:r>
        <w:rPr>
          <w:rFonts w:ascii="宋体" w:hAnsi="宋体" w:hint="eastAsia"/>
          <w:sz w:val="24"/>
        </w:rPr>
        <w:t>此</w:t>
      </w:r>
      <w:r w:rsidRPr="00E33200">
        <w:rPr>
          <w:rFonts w:ascii="宋体" w:hAnsi="宋体" w:hint="eastAsia"/>
          <w:sz w:val="24"/>
        </w:rPr>
        <w:t>基础上,假定时间序列yt依赖的不可观测的状态变量</w:t>
      </w:r>
      <w:r w:rsidRPr="00A75C33">
        <w:rPr>
          <w:rFonts w:ascii="宋体" w:hAnsi="宋体" w:hint="eastAsia"/>
          <w:sz w:val="24"/>
        </w:rPr>
        <w:t>s</w:t>
      </w:r>
      <w:r w:rsidRPr="00DB0F98">
        <w:rPr>
          <w:rFonts w:ascii="宋体" w:hAnsi="宋体" w:hint="eastAsia"/>
          <w:b/>
          <w:bCs/>
          <w:sz w:val="24"/>
          <w:vertAlign w:val="subscript"/>
        </w:rPr>
        <w:t>t</w:t>
      </w:r>
      <w:r w:rsidRPr="00E33200">
        <w:rPr>
          <w:rFonts w:ascii="宋体" w:hAnsi="宋体" w:hint="eastAsia"/>
          <w:sz w:val="24"/>
        </w:rPr>
        <w:t>,其截距项v、误差项μ</w:t>
      </w:r>
      <w:r w:rsidRPr="00DB0F98">
        <w:rPr>
          <w:rFonts w:ascii="宋体" w:hAnsi="宋体" w:hint="eastAsia"/>
          <w:b/>
          <w:bCs/>
          <w:sz w:val="24"/>
          <w:vertAlign w:val="subscript"/>
        </w:rPr>
        <w:t>t</w:t>
      </w:r>
      <w:r w:rsidRPr="00E33200">
        <w:rPr>
          <w:rFonts w:ascii="宋体" w:hAnsi="宋体" w:hint="eastAsia"/>
          <w:sz w:val="24"/>
        </w:rPr>
        <w:t>均具有状态转换特征,则</w:t>
      </w:r>
      <w:r w:rsidRPr="00A75C33">
        <w:rPr>
          <w:rFonts w:ascii="宋体" w:hAnsi="宋体" w:hint="eastAsia"/>
          <w:sz w:val="24"/>
        </w:rPr>
        <w:t>s</w:t>
      </w:r>
      <w:r w:rsidRPr="00DB0F98">
        <w:rPr>
          <w:rFonts w:ascii="宋体" w:hAnsi="宋体" w:hint="eastAsia"/>
          <w:b/>
          <w:bCs/>
          <w:sz w:val="24"/>
          <w:vertAlign w:val="subscript"/>
        </w:rPr>
        <w:t>t</w:t>
      </w:r>
      <w:r w:rsidRPr="00E33200">
        <w:rPr>
          <w:rFonts w:ascii="宋体" w:hAnsi="宋体" w:hint="eastAsia"/>
          <w:sz w:val="24"/>
        </w:rPr>
        <w:t>的转换概率可表示为</w:t>
      </w:r>
      <w:r>
        <w:rPr>
          <w:rFonts w:ascii="宋体" w:hAnsi="宋体" w:hint="eastAsia"/>
          <w:sz w:val="24"/>
        </w:rPr>
        <w:t>：</w:t>
      </w:r>
    </w:p>
    <w:p w14:paraId="67A2A622" w14:textId="10F8B8D4" w:rsidR="0095276A" w:rsidRDefault="00000000" w:rsidP="008624E8">
      <w:pPr>
        <w:spacing w:after="120" w:line="360" w:lineRule="auto"/>
        <w:ind w:firstLine="480"/>
        <w:jc w:val="center"/>
        <w:rPr>
          <w:rFonts w:ascii="宋体" w:hAnsi="宋体"/>
          <w:sz w:val="24"/>
        </w:rPr>
      </w:pPr>
      <m:oMath>
        <m:sSub>
          <m:sSubPr>
            <m:ctrlPr>
              <w:rPr>
                <w:rFonts w:ascii="Cambria Math" w:hAnsi="Cambria Math"/>
                <w:i/>
              </w:rPr>
            </m:ctrlPr>
          </m:sSubPr>
          <m:e>
            <m:r>
              <w:rPr>
                <w:rFonts w:ascii="Cambria Math" w:hAnsi="Cambria Math" w:hint="eastAsia"/>
              </w:rPr>
              <m:t>p</m:t>
            </m:r>
          </m:e>
          <m:sub>
            <m:r>
              <w:rPr>
                <w:rFonts w:ascii="Cambria Math" w:hAnsi="Cambria Math"/>
              </w:rPr>
              <m:t>i,j</m:t>
            </m:r>
          </m:sub>
        </m:sSub>
        <m:r>
          <w:rPr>
            <w:rFonts w:ascii="Cambria Math" w:eastAsia="Cambria Math" w:hAnsi="Cambria Math" w:cs="Cambria Math"/>
            <w:sz w:val="24"/>
          </w:rPr>
          <m:t>=P</m:t>
        </m:r>
        <m:r>
          <w:rPr>
            <w:rFonts w:ascii="Cambria Math" w:eastAsiaTheme="minorEastAsia" w:hAnsi="Cambria Math" w:cs="Cambria Math" w:hint="eastAsia"/>
            <w:sz w:val="24"/>
          </w:rPr>
          <m:t>r</m:t>
        </m:r>
        <m:d>
          <m:dPr>
            <m:ctrlPr>
              <w:rPr>
                <w:rFonts w:ascii="Cambria Math" w:eastAsia="Cambria Math" w:hAnsi="Cambria Math" w:cs="Cambria Math"/>
                <w:i/>
                <w:sz w:val="24"/>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=j⎸</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=i</m:t>
            </m:r>
            <m:ctrlPr>
              <w:rPr>
                <w:rFonts w:ascii="Cambria Math" w:hAnsi="Cambria Math"/>
                <w:sz w:val="24"/>
              </w:rPr>
            </m:ctrlPr>
          </m:e>
        </m:d>
        <m:r>
          <m:rPr>
            <m:sty m:val="p"/>
          </m:rPr>
          <w:rPr>
            <w:rFonts w:ascii="Cambria Math" w:hAnsi="Cambria Math"/>
            <w:sz w:val="24"/>
          </w:rPr>
          <m:t>,</m:t>
        </m:r>
        <m:nary>
          <m:naryPr>
            <m:chr m:val="∑"/>
            <m:grow m:val="1"/>
            <m:ctrlPr>
              <w:rPr>
                <w:rFonts w:ascii="Cambria Math" w:hAnsi="Cambria Math"/>
                <w:sz w:val="24"/>
              </w:rPr>
            </m:ctrlPr>
          </m:naryPr>
          <m:sub>
            <m:r>
              <w:rPr>
                <w:rFonts w:ascii="Cambria Math" w:eastAsia="Cambria Math" w:hAnsi="Cambria Math" w:cs="Cambria Math"/>
                <w:sz w:val="24"/>
              </w:rPr>
              <m:t>j=1</m:t>
            </m:r>
          </m:sub>
          <m:sup>
            <m:r>
              <w:rPr>
                <w:rFonts w:ascii="Cambria Math" w:hAnsi="Cambria Math" w:cs="宋体" w:hint="eastAsia"/>
                <w:sz w:val="24"/>
              </w:rPr>
              <m:t>m</m:t>
            </m:r>
          </m:sup>
          <m:e>
            <m:sSub>
              <m:sSubPr>
                <m:ctrlPr>
                  <w:rPr>
                    <w:rFonts w:ascii="Cambria Math" w:hAnsi="Cambria Math"/>
                    <w:i/>
                  </w:rPr>
                </m:ctrlPr>
              </m:sSubPr>
              <m:e>
                <m:r>
                  <w:rPr>
                    <w:rFonts w:ascii="Cambria Math" w:hAnsi="Cambria Math" w:hint="eastAsia"/>
                  </w:rPr>
                  <m:t>p</m:t>
                </m:r>
              </m:e>
              <m:sub>
                <m:r>
                  <w:rPr>
                    <w:rFonts w:ascii="Cambria Math" w:hAnsi="Cambria Math"/>
                  </w:rPr>
                  <m:t>i,j</m:t>
                </m:r>
              </m:sub>
            </m:sSub>
            <m:r>
              <w:rPr>
                <w:rFonts w:ascii="Cambria Math" w:hAnsi="Cambria Math"/>
              </w:rPr>
              <m:t>=1</m:t>
            </m:r>
            <m:r>
              <w:rPr>
                <w:rFonts w:ascii="Cambria Math" w:hAnsi="Cambria Math" w:hint="eastAsia"/>
              </w:rPr>
              <m:t>且</m:t>
            </m:r>
          </m:e>
        </m:nary>
        <m:r>
          <w:rPr>
            <w:rFonts w:ascii="Cambria Math" w:hAnsi="Cambria Math"/>
            <w:sz w:val="24"/>
          </w:rPr>
          <m:t>∇</m:t>
        </m:r>
        <m:r>
          <w:rPr>
            <w:rFonts w:ascii="Cambria Math" w:hAnsi="Cambria Math" w:hint="eastAsia"/>
            <w:sz w:val="24"/>
          </w:rPr>
          <m:t>i</m:t>
        </m:r>
        <m:r>
          <w:rPr>
            <w:rFonts w:ascii="Cambria Math" w:hAnsi="Cambria Math"/>
            <w:sz w:val="24"/>
          </w:rPr>
          <m:t>,jϵ{1,…,m}</m:t>
        </m:r>
      </m:oMath>
      <w:r w:rsidR="0095276A" w:rsidRPr="00425E16">
        <w:t>(</w:t>
      </w:r>
      <w:r w:rsidR="00294C29">
        <w:t>5</w:t>
      </w:r>
      <w:r w:rsidR="0095276A" w:rsidRPr="00425E16">
        <w:t>)</w:t>
      </w:r>
    </w:p>
    <w:p w14:paraId="2EB4D276" w14:textId="4B3134B3" w:rsidR="002B2EC0" w:rsidRPr="001256F0" w:rsidRDefault="0095276A" w:rsidP="008624E8">
      <w:pPr>
        <w:spacing w:after="120" w:line="360" w:lineRule="auto"/>
        <w:ind w:firstLine="480"/>
        <w:rPr>
          <w:rFonts w:ascii="宋体" w:hAnsi="宋体"/>
          <w:sz w:val="24"/>
        </w:rPr>
      </w:pPr>
      <w:r w:rsidRPr="00E33200">
        <w:rPr>
          <w:rFonts w:ascii="宋体" w:hAnsi="宋体" w:hint="eastAsia"/>
          <w:sz w:val="24"/>
        </w:rPr>
        <w:t>如果st服从一个不可约的遍历Markov过程，假设该过程存在M种状态。转换矩阵如下：</w:t>
      </w:r>
    </w:p>
    <w:p w14:paraId="6BD23AEA" w14:textId="1AE8F4DA" w:rsidR="0095276A" w:rsidRPr="006D7E5A" w:rsidRDefault="001256F0" w:rsidP="008624E8">
      <w:pPr>
        <w:spacing w:after="120" w:line="360" w:lineRule="auto"/>
        <w:ind w:firstLine="480"/>
        <w:jc w:val="center"/>
        <w:rPr>
          <w:rFonts w:ascii="宋体" w:hAnsi="宋体"/>
          <w:sz w:val="18"/>
          <w:szCs w:val="18"/>
        </w:rPr>
      </w:pPr>
      <m:oMath>
        <m:r>
          <w:rPr>
            <w:rFonts w:ascii="Cambria Math" w:hAnsi="Cambria Math"/>
            <w:sz w:val="18"/>
            <w:szCs w:val="18"/>
          </w:rPr>
          <w:lastRenderedPageBreak/>
          <m:t>p=</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rPr>
                    </m:ctrlPr>
                  </m:sSubPr>
                  <m:e>
                    <m:r>
                      <w:rPr>
                        <w:rFonts w:ascii="Cambria Math" w:hAnsi="Cambria Math" w:hint="eastAsia"/>
                      </w:rPr>
                      <m:t>p</m:t>
                    </m:r>
                  </m:e>
                  <m:sub>
                    <m:r>
                      <w:rPr>
                        <w:rFonts w:ascii="Cambria Math" w:hAnsi="Cambria Math"/>
                      </w:rPr>
                      <m:t>11</m:t>
                    </m:r>
                  </m:sub>
                </m:sSub>
              </m:e>
              <m:e>
                <m:sSub>
                  <m:sSubPr>
                    <m:ctrlPr>
                      <w:rPr>
                        <w:rFonts w:ascii="Cambria Math" w:hAnsi="Cambria Math"/>
                        <w:i/>
                      </w:rPr>
                    </m:ctrlPr>
                  </m:sSubPr>
                  <m:e>
                    <m:r>
                      <w:rPr>
                        <w:rFonts w:ascii="Cambria Math" w:hAnsi="Cambria Math" w:hint="eastAsia"/>
                      </w:rPr>
                      <m:t>p</m:t>
                    </m:r>
                  </m:e>
                  <m:sub>
                    <m:r>
                      <w:rPr>
                        <w:rFonts w:ascii="Cambria Math" w:hAnsi="Cambria Math"/>
                      </w:rPr>
                      <m:t>21</m:t>
                    </m:r>
                  </m:sub>
                </m:sSub>
                <m:ctrlPr>
                  <w:rPr>
                    <w:rFonts w:ascii="Cambria Math" w:eastAsia="Cambria Math" w:hAnsi="Cambria Math" w:cs="Cambria Math"/>
                    <w:i/>
                    <w:sz w:val="18"/>
                    <w:szCs w:val="18"/>
                  </w:rPr>
                </m:ctrlPr>
              </m:e>
              <m:e>
                <m:r>
                  <w:rPr>
                    <w:rFonts w:ascii="Cambria Math" w:eastAsia="Cambria Math" w:hAnsi="Cambria Math" w:cs="Cambria Math"/>
                    <w:sz w:val="18"/>
                    <w:szCs w:val="18"/>
                  </w:rPr>
                  <m:t>⋮</m:t>
                </m:r>
                <m:ctrlPr>
                  <w:rPr>
                    <w:rFonts w:ascii="Cambria Math" w:eastAsia="Cambria Math" w:hAnsi="Cambria Math" w:cs="Cambria Math"/>
                    <w:i/>
                    <w:sz w:val="18"/>
                    <w:szCs w:val="18"/>
                  </w:rPr>
                </m:ctrlPr>
              </m:e>
              <m:e>
                <m:sSub>
                  <m:sSubPr>
                    <m:ctrlPr>
                      <w:rPr>
                        <w:rFonts w:ascii="Cambria Math" w:hAnsi="Cambria Math"/>
                        <w:i/>
                      </w:rPr>
                    </m:ctrlPr>
                  </m:sSubPr>
                  <m:e>
                    <m:r>
                      <w:rPr>
                        <w:rFonts w:ascii="Cambria Math" w:hAnsi="Cambria Math" w:hint="eastAsia"/>
                      </w:rPr>
                      <m:t>p</m:t>
                    </m:r>
                  </m:e>
                  <m:sub>
                    <m:r>
                      <w:rPr>
                        <w:rFonts w:ascii="Cambria Math" w:hAnsi="Cambria Math"/>
                      </w:rPr>
                      <m:t>M1</m:t>
                    </m:r>
                  </m:sub>
                </m:sSub>
              </m:e>
            </m:eqArr>
            <m:eqArr>
              <m:eqArrPr>
                <m:ctrlPr>
                  <w:rPr>
                    <w:rFonts w:ascii="Cambria Math" w:hAnsi="Cambria Math"/>
                    <w:i/>
                    <w:sz w:val="18"/>
                    <w:szCs w:val="18"/>
                  </w:rPr>
                </m:ctrlPr>
              </m:eqArrPr>
              <m:e>
                <m:sSub>
                  <m:sSubPr>
                    <m:ctrlPr>
                      <w:rPr>
                        <w:rFonts w:ascii="Cambria Math" w:hAnsi="Cambria Math"/>
                        <w:i/>
                      </w:rPr>
                    </m:ctrlPr>
                  </m:sSubPr>
                  <m:e>
                    <m:r>
                      <w:rPr>
                        <w:rFonts w:ascii="Cambria Math" w:hAnsi="Cambria Math" w:hint="eastAsia"/>
                      </w:rPr>
                      <m:t>p</m:t>
                    </m:r>
                  </m:e>
                  <m:sub>
                    <m:r>
                      <w:rPr>
                        <w:rFonts w:ascii="Cambria Math" w:hAnsi="Cambria Math"/>
                      </w:rPr>
                      <m:t>12</m:t>
                    </m:r>
                  </m:sub>
                </m:sSub>
              </m:e>
              <m:e>
                <m:sSub>
                  <m:sSubPr>
                    <m:ctrlPr>
                      <w:rPr>
                        <w:rFonts w:ascii="Cambria Math" w:hAnsi="Cambria Math"/>
                        <w:i/>
                      </w:rPr>
                    </m:ctrlPr>
                  </m:sSubPr>
                  <m:e>
                    <m:r>
                      <w:rPr>
                        <w:rFonts w:ascii="Cambria Math" w:hAnsi="Cambria Math" w:hint="eastAsia"/>
                      </w:rPr>
                      <m:t>p</m:t>
                    </m:r>
                  </m:e>
                  <m:sub>
                    <m:r>
                      <w:rPr>
                        <w:rFonts w:ascii="Cambria Math" w:hAnsi="Cambria Math"/>
                      </w:rPr>
                      <m:t>22</m:t>
                    </m:r>
                  </m:sub>
                </m:sSub>
                <m:ctrlPr>
                  <w:rPr>
                    <w:rFonts w:ascii="Cambria Math" w:eastAsia="Cambria Math" w:hAnsi="Cambria Math" w:cs="Cambria Math"/>
                    <w:i/>
                    <w:sz w:val="18"/>
                    <w:szCs w:val="18"/>
                  </w:rPr>
                </m:ctrlPr>
              </m:e>
              <m:e>
                <m:r>
                  <w:rPr>
                    <w:rFonts w:ascii="Cambria Math" w:eastAsia="Cambria Math" w:hAnsi="Cambria Math" w:cs="Cambria Math"/>
                    <w:sz w:val="18"/>
                    <w:szCs w:val="18"/>
                  </w:rPr>
                  <m:t>⋮</m:t>
                </m:r>
                <m:ctrlPr>
                  <w:rPr>
                    <w:rFonts w:ascii="Cambria Math" w:eastAsia="Cambria Math" w:hAnsi="Cambria Math" w:cs="Cambria Math"/>
                    <w:i/>
                    <w:sz w:val="18"/>
                    <w:szCs w:val="18"/>
                  </w:rPr>
                </m:ctrlPr>
              </m:e>
              <m:e>
                <m:sSub>
                  <m:sSubPr>
                    <m:ctrlPr>
                      <w:rPr>
                        <w:rFonts w:ascii="Cambria Math" w:hAnsi="Cambria Math"/>
                        <w:i/>
                      </w:rPr>
                    </m:ctrlPr>
                  </m:sSubPr>
                  <m:e>
                    <m:r>
                      <w:rPr>
                        <w:rFonts w:ascii="Cambria Math" w:hAnsi="Cambria Math" w:hint="eastAsia"/>
                      </w:rPr>
                      <m:t>p</m:t>
                    </m:r>
                  </m:e>
                  <m:sub>
                    <m:r>
                      <w:rPr>
                        <w:rFonts w:ascii="Cambria Math" w:hAnsi="Cambria Math"/>
                      </w:rPr>
                      <m:t>M2</m:t>
                    </m:r>
                  </m:sub>
                </m:sSub>
              </m:e>
            </m:eqArr>
            <m:eqArr>
              <m:eqArrPr>
                <m:ctrlPr>
                  <w:rPr>
                    <w:rFonts w:ascii="Cambria Math" w:hAnsi="Cambria Math"/>
                    <w:i/>
                    <w:sz w:val="18"/>
                    <w:szCs w:val="18"/>
                  </w:rPr>
                </m:ctrlPr>
              </m:eqArrPr>
              <m:e>
                <m:r>
                  <w:rPr>
                    <w:rFonts w:ascii="Cambria Math" w:hAnsi="Cambria Math"/>
                    <w:sz w:val="18"/>
                    <w:szCs w:val="18"/>
                  </w:rPr>
                  <m:t>…</m:t>
                </m:r>
              </m:e>
              <m:e>
                <m:r>
                  <w:rPr>
                    <w:rFonts w:ascii="Cambria Math" w:hAnsi="Cambria Math"/>
                    <w:sz w:val="18"/>
                    <w:szCs w:val="18"/>
                  </w:rPr>
                  <m:t>…</m:t>
                </m:r>
                <m:ctrlPr>
                  <w:rPr>
                    <w:rFonts w:ascii="Cambria Math" w:eastAsia="Cambria Math" w:hAnsi="Cambria Math" w:cs="Cambria Math"/>
                    <w:i/>
                    <w:sz w:val="18"/>
                    <w:szCs w:val="18"/>
                  </w:rPr>
                </m:ctrlPr>
              </m:e>
              <m:e>
                <m:r>
                  <w:rPr>
                    <w:rFonts w:ascii="Cambria Math" w:eastAsia="Cambria Math" w:hAnsi="Cambria Math" w:cs="Cambria Math"/>
                    <w:sz w:val="18"/>
                    <w:szCs w:val="18"/>
                  </w:rPr>
                  <m:t>⋱</m:t>
                </m:r>
                <m:ctrlPr>
                  <w:rPr>
                    <w:rFonts w:ascii="Cambria Math" w:eastAsia="Cambria Math" w:hAnsi="Cambria Math" w:cs="Cambria Math"/>
                    <w:i/>
                    <w:sz w:val="18"/>
                    <w:szCs w:val="18"/>
                  </w:rPr>
                </m:ctrlPr>
              </m:e>
              <m:e>
                <m:r>
                  <w:rPr>
                    <w:rFonts w:ascii="Cambria Math" w:eastAsia="Cambria Math" w:hAnsi="Cambria Math" w:cs="Cambria Math"/>
                    <w:sz w:val="18"/>
                    <w:szCs w:val="18"/>
                  </w:rPr>
                  <m:t>…</m:t>
                </m:r>
              </m:e>
            </m:eqArr>
            <m:eqArr>
              <m:eqArrPr>
                <m:ctrlPr>
                  <w:rPr>
                    <w:rFonts w:ascii="Cambria Math" w:hAnsi="Cambria Math"/>
                    <w:i/>
                    <w:sz w:val="18"/>
                    <w:szCs w:val="18"/>
                  </w:rPr>
                </m:ctrlPr>
              </m:eqArrPr>
              <m:e>
                <m:sSub>
                  <m:sSubPr>
                    <m:ctrlPr>
                      <w:rPr>
                        <w:rFonts w:ascii="Cambria Math" w:hAnsi="Cambria Math"/>
                        <w:i/>
                      </w:rPr>
                    </m:ctrlPr>
                  </m:sSubPr>
                  <m:e>
                    <m:r>
                      <w:rPr>
                        <w:rFonts w:ascii="Cambria Math" w:hAnsi="Cambria Math" w:hint="eastAsia"/>
                      </w:rPr>
                      <m:t>p</m:t>
                    </m:r>
                  </m:e>
                  <m:sub>
                    <m:r>
                      <w:rPr>
                        <w:rFonts w:ascii="Cambria Math" w:hAnsi="Cambria Math"/>
                      </w:rPr>
                      <m:t>1M</m:t>
                    </m:r>
                  </m:sub>
                </m:sSub>
              </m:e>
              <m:e>
                <m:sSub>
                  <m:sSubPr>
                    <m:ctrlPr>
                      <w:rPr>
                        <w:rFonts w:ascii="Cambria Math" w:hAnsi="Cambria Math"/>
                        <w:i/>
                      </w:rPr>
                    </m:ctrlPr>
                  </m:sSubPr>
                  <m:e>
                    <m:r>
                      <w:rPr>
                        <w:rFonts w:ascii="Cambria Math" w:hAnsi="Cambria Math" w:hint="eastAsia"/>
                      </w:rPr>
                      <m:t>p</m:t>
                    </m:r>
                  </m:e>
                  <m:sub>
                    <m:r>
                      <w:rPr>
                        <w:rFonts w:ascii="Cambria Math" w:hAnsi="Cambria Math"/>
                      </w:rPr>
                      <m:t>2M</m:t>
                    </m:r>
                  </m:sub>
                </m:sSub>
                <m:ctrlPr>
                  <w:rPr>
                    <w:rFonts w:ascii="Cambria Math" w:eastAsia="Cambria Math" w:hAnsi="Cambria Math" w:cs="Cambria Math"/>
                    <w:i/>
                    <w:sz w:val="18"/>
                    <w:szCs w:val="18"/>
                  </w:rPr>
                </m:ctrlPr>
              </m:e>
              <m:e>
                <m:r>
                  <w:rPr>
                    <w:rFonts w:ascii="Cambria Math" w:eastAsia="Cambria Math" w:hAnsi="Cambria Math" w:cs="Cambria Math"/>
                    <w:sz w:val="18"/>
                    <w:szCs w:val="18"/>
                  </w:rPr>
                  <m:t>⋮</m:t>
                </m:r>
                <m:ctrlPr>
                  <w:rPr>
                    <w:rFonts w:ascii="Cambria Math" w:eastAsia="Cambria Math" w:hAnsi="Cambria Math" w:cs="Cambria Math"/>
                    <w:i/>
                    <w:sz w:val="18"/>
                    <w:szCs w:val="18"/>
                  </w:rPr>
                </m:ctrlPr>
              </m:e>
              <m:e>
                <m:sSub>
                  <m:sSubPr>
                    <m:ctrlPr>
                      <w:rPr>
                        <w:rFonts w:ascii="Cambria Math" w:hAnsi="Cambria Math"/>
                        <w:i/>
                      </w:rPr>
                    </m:ctrlPr>
                  </m:sSubPr>
                  <m:e>
                    <m:r>
                      <w:rPr>
                        <w:rFonts w:ascii="Cambria Math" w:hAnsi="Cambria Math" w:hint="eastAsia"/>
                      </w:rPr>
                      <m:t>p</m:t>
                    </m:r>
                  </m:e>
                  <m:sub>
                    <m:r>
                      <w:rPr>
                        <w:rFonts w:ascii="Cambria Math" w:hAnsi="Cambria Math"/>
                      </w:rPr>
                      <m:t>MM</m:t>
                    </m:r>
                  </m:sub>
                </m:sSub>
              </m:e>
            </m:eqArr>
          </m:e>
        </m:d>
      </m:oMath>
      <w:r w:rsidR="0000018D">
        <w:rPr>
          <w:sz w:val="18"/>
          <w:szCs w:val="18"/>
        </w:rPr>
        <w:t xml:space="preserve"> </w:t>
      </w:r>
      <w:r w:rsidR="0095276A">
        <w:t>(</w:t>
      </w:r>
      <w:r w:rsidR="00294C29">
        <w:t>6</w:t>
      </w:r>
      <w:r w:rsidR="0095276A">
        <w:t>)</w:t>
      </w:r>
    </w:p>
    <w:p w14:paraId="7B2B08FB" w14:textId="77777777" w:rsidR="0095276A" w:rsidRDefault="0095276A" w:rsidP="008624E8">
      <w:pPr>
        <w:spacing w:after="120" w:line="360" w:lineRule="auto"/>
        <w:ind w:firstLine="480"/>
        <w:rPr>
          <w:rFonts w:ascii="宋体" w:hAnsi="宋体"/>
          <w:sz w:val="24"/>
        </w:rPr>
      </w:pPr>
      <w:r>
        <w:rPr>
          <w:rFonts w:ascii="宋体" w:hAnsi="宋体" w:hint="eastAsia"/>
          <w:sz w:val="24"/>
        </w:rPr>
        <w:t>在此基础之上，</w:t>
      </w:r>
      <w:r w:rsidRPr="00364629">
        <w:rPr>
          <w:rFonts w:ascii="宋体" w:hAnsi="宋体" w:hint="eastAsia"/>
          <w:sz w:val="24"/>
        </w:rPr>
        <w:t>采用广义脉冲响应函数，</w:t>
      </w:r>
      <w:r>
        <w:rPr>
          <w:rFonts w:ascii="宋体" w:hAnsi="宋体" w:hint="eastAsia"/>
          <w:sz w:val="24"/>
        </w:rPr>
        <w:t>基于MS</w:t>
      </w:r>
      <w:r>
        <w:rPr>
          <w:rFonts w:ascii="宋体" w:hAnsi="宋体"/>
          <w:sz w:val="24"/>
        </w:rPr>
        <w:t>-</w:t>
      </w:r>
      <w:r>
        <w:rPr>
          <w:rFonts w:ascii="宋体" w:hAnsi="宋体" w:hint="eastAsia"/>
          <w:sz w:val="24"/>
        </w:rPr>
        <w:t>VAR模型的区制划分，</w:t>
      </w:r>
      <w:r w:rsidRPr="00364629">
        <w:rPr>
          <w:rFonts w:ascii="宋体" w:hAnsi="宋体" w:hint="eastAsia"/>
          <w:sz w:val="24"/>
        </w:rPr>
        <w:t>分析在不同区制</w:t>
      </w:r>
      <w:r>
        <w:rPr>
          <w:rFonts w:ascii="宋体" w:hAnsi="宋体" w:hint="eastAsia"/>
          <w:sz w:val="24"/>
        </w:rPr>
        <w:t>，即不同EPU和股市波动的组合下，不确定性</w:t>
      </w:r>
      <w:r w:rsidRPr="00364629">
        <w:rPr>
          <w:rFonts w:ascii="宋体" w:hAnsi="宋体" w:hint="eastAsia"/>
          <w:sz w:val="24"/>
        </w:rPr>
        <w:t>增加一个标准差(新息)时，</w:t>
      </w:r>
      <w:r>
        <w:rPr>
          <w:rFonts w:ascii="宋体" w:hAnsi="宋体" w:hint="eastAsia"/>
          <w:sz w:val="24"/>
        </w:rPr>
        <w:t>股市波动性</w:t>
      </w:r>
      <w:r w:rsidRPr="00364629">
        <w:rPr>
          <w:rFonts w:ascii="宋体" w:hAnsi="宋体" w:hint="eastAsia"/>
          <w:sz w:val="24"/>
        </w:rPr>
        <w:t>在当期和未来各期的动态响应过程</w:t>
      </w:r>
      <w:r>
        <w:rPr>
          <w:rFonts w:ascii="宋体" w:hAnsi="宋体" w:hint="eastAsia"/>
          <w:sz w:val="24"/>
        </w:rPr>
        <w:t>。(</w:t>
      </w:r>
      <w:r w:rsidRPr="005371FE">
        <w:rPr>
          <w:rFonts w:ascii="宋体" w:hAnsi="宋体" w:hint="eastAsia"/>
          <w:sz w:val="24"/>
        </w:rPr>
        <w:t>模型的创建与运算通过OxMetrics软件编写的MS-VAR程序包来</w:t>
      </w:r>
      <w:r>
        <w:rPr>
          <w:rFonts w:ascii="宋体" w:hAnsi="宋体" w:hint="eastAsia"/>
          <w:sz w:val="24"/>
        </w:rPr>
        <w:t>实现)</w:t>
      </w:r>
    </w:p>
    <w:p w14:paraId="3D048DA1" w14:textId="77777777" w:rsidR="0095276A" w:rsidRPr="00811E8F" w:rsidRDefault="0095276A" w:rsidP="008624E8">
      <w:pPr>
        <w:spacing w:after="120" w:line="360" w:lineRule="auto"/>
        <w:ind w:firstLine="480"/>
        <w:rPr>
          <w:rFonts w:ascii="宋体" w:hAnsi="宋体"/>
          <w:sz w:val="24"/>
        </w:rPr>
      </w:pPr>
      <w:r w:rsidRPr="00DA2BD8">
        <w:rPr>
          <w:rFonts w:ascii="宋体" w:hAnsi="宋体" w:hint="eastAsia"/>
          <w:sz w:val="24"/>
        </w:rPr>
        <w:t>对于每一个VAR模型都可以表示成为一个无限阶的向量MA(∞)过程。</w:t>
      </w:r>
    </w:p>
    <w:p w14:paraId="72BA2A7C" w14:textId="48571660" w:rsidR="0095276A" w:rsidRPr="00524801" w:rsidRDefault="00000000" w:rsidP="008624E8">
      <w:pPr>
        <w:spacing w:line="360" w:lineRule="auto"/>
        <w:jc w:val="center"/>
        <w:rPr>
          <w:b/>
          <w:bCs/>
        </w:rP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m:rPr>
            <m:sty m:val="bi"/>
          </m:rPr>
          <w:rPr>
            <w:rFonts w:ascii="Cambria Math" w:hAnsi="Cambria Math"/>
          </w:rPr>
          <m:t>µ+</m:t>
        </m:r>
        <m:sSub>
          <m:sSubPr>
            <m:ctrlPr>
              <w:rPr>
                <w:rFonts w:ascii="Cambria Math" w:hAnsi="Cambria Math"/>
                <w:i/>
              </w:rPr>
            </m:ctrlPr>
          </m:sSubPr>
          <m:e>
            <m:r>
              <w:rPr>
                <w:rFonts w:ascii="Cambria Math" w:hAnsi="Cambria Math"/>
              </w:rPr>
              <m:t>µ</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sz w:val="20"/>
                <w:szCs w:val="20"/>
              </w:rPr>
              <m:t>ψ</m:t>
            </m:r>
          </m:e>
          <m:sub>
            <m:r>
              <w:rPr>
                <w:rFonts w:ascii="Cambria Math" w:hAnsi="Cambria Math"/>
              </w:rPr>
              <m:t>1</m:t>
            </m:r>
          </m:sub>
        </m:sSub>
        <m:sSub>
          <m:sSubPr>
            <m:ctrlPr>
              <w:rPr>
                <w:rFonts w:ascii="Cambria Math" w:hAnsi="Cambria Math"/>
                <w:i/>
              </w:rPr>
            </m:ctrlPr>
          </m:sSubPr>
          <m:e>
            <m:r>
              <w:rPr>
                <w:rFonts w:ascii="Cambria Math" w:hAnsi="Cambria Math"/>
              </w:rPr>
              <m:t>µ</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sz w:val="20"/>
                <w:szCs w:val="20"/>
              </w:rPr>
              <m:t>ψ</m:t>
            </m:r>
          </m:e>
          <m:sub>
            <m:r>
              <w:rPr>
                <w:rFonts w:ascii="Cambria Math" w:hAnsi="Cambria Math"/>
              </w:rPr>
              <m:t>2</m:t>
            </m:r>
          </m:sub>
        </m:sSub>
        <m:sSub>
          <m:sSubPr>
            <m:ctrlPr>
              <w:rPr>
                <w:rFonts w:ascii="Cambria Math" w:hAnsi="Cambria Math"/>
                <w:i/>
              </w:rPr>
            </m:ctrlPr>
          </m:sSubPr>
          <m:e>
            <m:r>
              <w:rPr>
                <w:rFonts w:ascii="Cambria Math" w:hAnsi="Cambria Math"/>
              </w:rPr>
              <m:t>µ</m:t>
            </m:r>
          </m:e>
          <m:sub>
            <m:r>
              <w:rPr>
                <w:rFonts w:ascii="Cambria Math" w:hAnsi="Cambria Math"/>
              </w:rPr>
              <m:t>t-2</m:t>
            </m:r>
          </m:sub>
        </m:sSub>
        <m:r>
          <w:rPr>
            <w:rFonts w:ascii="Cambria Math" w:hAnsi="Cambria Math"/>
          </w:rPr>
          <m:t>+…</m:t>
        </m:r>
      </m:oMath>
      <w:r w:rsidR="0095276A">
        <w:t>(</w:t>
      </w:r>
      <w:r w:rsidR="00294C29">
        <w:t>7</w:t>
      </w:r>
      <w:r w:rsidR="0095276A">
        <w:t>)</w:t>
      </w:r>
    </w:p>
    <w:p w14:paraId="6AFCBE72" w14:textId="16266970" w:rsidR="0095276A" w:rsidRDefault="0095276A" w:rsidP="008624E8">
      <w:pPr>
        <w:spacing w:after="120" w:line="360" w:lineRule="auto"/>
        <w:ind w:firstLine="480"/>
        <w:rPr>
          <w:rFonts w:ascii="宋体" w:hAnsi="宋体"/>
          <w:sz w:val="24"/>
        </w:rPr>
      </w:pPr>
      <w:r w:rsidRPr="00E47854">
        <w:rPr>
          <w:rFonts w:ascii="宋体" w:hAnsi="宋体" w:hint="eastAsia"/>
          <w:sz w:val="24"/>
        </w:rPr>
        <w:t>Ψs</w:t>
      </w:r>
      <w:r w:rsidRPr="00DA2BD8">
        <w:rPr>
          <w:rFonts w:ascii="宋体" w:hAnsi="宋体" w:hint="eastAsia"/>
          <w:sz w:val="24"/>
        </w:rPr>
        <w:t>中第i行第j列元素表示的是，令其他误差项在任何时期都不变的条件下，当第j个变量对应的误差项u</w:t>
      </w:r>
      <w:r w:rsidRPr="00EB3FA4">
        <w:rPr>
          <w:rFonts w:ascii="宋体" w:hAnsi="宋体" w:hint="eastAsia"/>
          <w:sz w:val="24"/>
          <w:vertAlign w:val="subscript"/>
        </w:rPr>
        <w:t>jt</w:t>
      </w:r>
      <w:r w:rsidRPr="00DA2BD8">
        <w:rPr>
          <w:rFonts w:ascii="宋体" w:hAnsi="宋体" w:hint="eastAsia"/>
          <w:sz w:val="24"/>
        </w:rPr>
        <w:t>在t期受到一个单位的冲击后，对第i个内生变量在t+s期造成的影响。对于u</w:t>
      </w:r>
      <w:r w:rsidRPr="00EB3FA4">
        <w:rPr>
          <w:rFonts w:ascii="宋体" w:hAnsi="宋体" w:hint="eastAsia"/>
          <w:sz w:val="24"/>
          <w:vertAlign w:val="subscript"/>
        </w:rPr>
        <w:t>t</w:t>
      </w:r>
      <w:r w:rsidRPr="00DA2BD8">
        <w:rPr>
          <w:rFonts w:ascii="宋体" w:hAnsi="宋体" w:hint="eastAsia"/>
          <w:sz w:val="24"/>
        </w:rPr>
        <w:t>中的每一个误差项，内生变量都对应着一个脉冲响应函数。</w:t>
      </w:r>
    </w:p>
    <w:p w14:paraId="0D24C094" w14:textId="3ACFD75B" w:rsidR="003B1AFE" w:rsidRPr="004E5EAF" w:rsidRDefault="004E5EAF" w:rsidP="004E5EAF">
      <w:pPr>
        <w:pStyle w:val="2"/>
        <w:spacing w:before="156" w:after="156"/>
        <w:ind w:firstLine="600"/>
      </w:pPr>
      <w:bookmarkStart w:id="20" w:name="_Toc135748078"/>
      <w:r w:rsidRPr="004E5EAF">
        <w:rPr>
          <w:rFonts w:hint="eastAsia"/>
        </w:rPr>
        <w:t>3</w:t>
      </w:r>
      <w:r w:rsidRPr="004E5EAF">
        <w:t>.2</w:t>
      </w:r>
      <w:r w:rsidR="003B1AFE" w:rsidRPr="004E5EAF">
        <w:rPr>
          <w:rFonts w:hint="eastAsia"/>
        </w:rPr>
        <w:t>数据处理</w:t>
      </w:r>
      <w:bookmarkEnd w:id="20"/>
    </w:p>
    <w:p w14:paraId="02AAD831" w14:textId="5479706E" w:rsidR="0064640F" w:rsidRPr="004E5EAF" w:rsidRDefault="002B2EC0" w:rsidP="004E5EAF">
      <w:pPr>
        <w:pStyle w:val="3"/>
        <w:spacing w:before="156" w:after="156"/>
        <w:ind w:firstLine="560"/>
      </w:pPr>
      <w:bookmarkStart w:id="21" w:name="_Toc135748079"/>
      <w:r w:rsidRPr="00BC7333">
        <w:t>3.</w:t>
      </w:r>
      <w:r w:rsidR="004E5EAF" w:rsidRPr="00BC7333">
        <w:t>2.1</w:t>
      </w:r>
      <w:r w:rsidR="008E0499" w:rsidRPr="00BC7333">
        <w:rPr>
          <w:rFonts w:hint="eastAsia"/>
        </w:rPr>
        <w:t>变量描述性统计</w:t>
      </w:r>
      <w:bookmarkEnd w:id="21"/>
    </w:p>
    <w:p w14:paraId="48DC56DF" w14:textId="2E4EEBD5" w:rsidR="00231968" w:rsidRDefault="00231968" w:rsidP="00231968">
      <w:pPr>
        <w:pStyle w:val="Caption"/>
        <w:keepNext/>
        <w:jc w:val="center"/>
      </w:pPr>
      <w:r>
        <w:t xml:space="preserve">Table </w:t>
      </w:r>
      <w:fldSimple w:instr=" SEQ Table \* ARABIC ">
        <w:r w:rsidR="007C5AAC">
          <w:rPr>
            <w:noProof/>
          </w:rPr>
          <w:t>2</w:t>
        </w:r>
      </w:fldSimple>
      <w:r>
        <w:rPr>
          <w:rFonts w:hint="eastAsia"/>
        </w:rPr>
        <w:t>变量描述性统计</w:t>
      </w:r>
    </w:p>
    <w:tbl>
      <w:tblPr>
        <w:tblW w:w="6680" w:type="dxa"/>
        <w:tblLook w:val="04A0" w:firstRow="1" w:lastRow="0" w:firstColumn="1" w:lastColumn="0" w:noHBand="0" w:noVBand="1"/>
      </w:tblPr>
      <w:tblGrid>
        <w:gridCol w:w="1305"/>
        <w:gridCol w:w="846"/>
        <w:gridCol w:w="846"/>
        <w:gridCol w:w="846"/>
        <w:gridCol w:w="846"/>
        <w:gridCol w:w="846"/>
        <w:gridCol w:w="936"/>
        <w:gridCol w:w="846"/>
        <w:gridCol w:w="936"/>
      </w:tblGrid>
      <w:tr w:rsidR="00A57F85" w:rsidRPr="00A57F85" w14:paraId="4DED1B26" w14:textId="77777777" w:rsidTr="00A57F85">
        <w:trPr>
          <w:trHeight w:val="280"/>
        </w:trPr>
        <w:tc>
          <w:tcPr>
            <w:tcW w:w="1080" w:type="dxa"/>
            <w:tcBorders>
              <w:top w:val="single" w:sz="4" w:space="0" w:color="auto"/>
              <w:left w:val="nil"/>
              <w:bottom w:val="single" w:sz="4" w:space="0" w:color="auto"/>
              <w:right w:val="nil"/>
            </w:tcBorders>
            <w:shd w:val="clear" w:color="auto" w:fill="auto"/>
            <w:vAlign w:val="center"/>
            <w:hideMark/>
          </w:tcPr>
          <w:p w14:paraId="01DCBCA1" w14:textId="4C156B09" w:rsidR="00A57F85" w:rsidRPr="00A57F85" w:rsidRDefault="00A57F85" w:rsidP="00A57F85">
            <w:pPr>
              <w:spacing w:line="360" w:lineRule="auto"/>
              <w:jc w:val="center"/>
              <w:rPr>
                <w:rFonts w:ascii="宋体" w:hAnsi="宋体" w:cs="Calibri"/>
                <w:sz w:val="20"/>
                <w:szCs w:val="20"/>
              </w:rPr>
            </w:pPr>
          </w:p>
        </w:tc>
        <w:tc>
          <w:tcPr>
            <w:tcW w:w="660" w:type="dxa"/>
            <w:tcBorders>
              <w:top w:val="single" w:sz="4" w:space="0" w:color="auto"/>
              <w:left w:val="nil"/>
              <w:bottom w:val="single" w:sz="4" w:space="0" w:color="auto"/>
              <w:right w:val="nil"/>
            </w:tcBorders>
            <w:shd w:val="clear" w:color="auto" w:fill="auto"/>
            <w:vAlign w:val="center"/>
            <w:hideMark/>
          </w:tcPr>
          <w:p w14:paraId="0C3D1674" w14:textId="77777777" w:rsidR="00A57F85" w:rsidRPr="00A57F85" w:rsidRDefault="00A57F85" w:rsidP="00A57F85">
            <w:pPr>
              <w:spacing w:line="360" w:lineRule="auto"/>
              <w:jc w:val="center"/>
              <w:rPr>
                <w:rFonts w:ascii="宋体" w:hAnsi="宋体" w:cs="Calibri"/>
                <w:b/>
                <w:bCs/>
                <w:color w:val="000000"/>
                <w:sz w:val="20"/>
                <w:szCs w:val="20"/>
              </w:rPr>
            </w:pPr>
            <w:r w:rsidRPr="00A57F85">
              <w:rPr>
                <w:rFonts w:ascii="宋体" w:hAnsi="宋体" w:cs="Calibri"/>
                <w:b/>
                <w:bCs/>
                <w:color w:val="000000"/>
                <w:sz w:val="20"/>
                <w:szCs w:val="20"/>
              </w:rPr>
              <w:t>DCEPU</w:t>
            </w:r>
          </w:p>
        </w:tc>
        <w:tc>
          <w:tcPr>
            <w:tcW w:w="660" w:type="dxa"/>
            <w:tcBorders>
              <w:top w:val="single" w:sz="4" w:space="0" w:color="auto"/>
              <w:left w:val="nil"/>
              <w:bottom w:val="single" w:sz="4" w:space="0" w:color="auto"/>
              <w:right w:val="nil"/>
            </w:tcBorders>
            <w:shd w:val="clear" w:color="auto" w:fill="auto"/>
            <w:vAlign w:val="center"/>
            <w:hideMark/>
          </w:tcPr>
          <w:p w14:paraId="1E9308D5" w14:textId="77777777" w:rsidR="00A57F85" w:rsidRPr="00A57F85" w:rsidRDefault="00A57F85" w:rsidP="00A57F85">
            <w:pPr>
              <w:spacing w:line="360" w:lineRule="auto"/>
              <w:jc w:val="center"/>
              <w:rPr>
                <w:rFonts w:ascii="宋体" w:hAnsi="宋体" w:cs="Calibri"/>
                <w:b/>
                <w:bCs/>
                <w:color w:val="000000"/>
                <w:sz w:val="20"/>
                <w:szCs w:val="20"/>
              </w:rPr>
            </w:pPr>
            <w:r w:rsidRPr="00A57F85">
              <w:rPr>
                <w:rFonts w:ascii="宋体" w:hAnsi="宋体" w:cs="Calibri"/>
                <w:b/>
                <w:bCs/>
                <w:color w:val="000000"/>
                <w:sz w:val="20"/>
                <w:szCs w:val="20"/>
              </w:rPr>
              <w:t>DEPUE</w:t>
            </w:r>
          </w:p>
        </w:tc>
        <w:tc>
          <w:tcPr>
            <w:tcW w:w="640" w:type="dxa"/>
            <w:tcBorders>
              <w:top w:val="single" w:sz="4" w:space="0" w:color="auto"/>
              <w:left w:val="nil"/>
              <w:bottom w:val="single" w:sz="4" w:space="0" w:color="auto"/>
              <w:right w:val="nil"/>
            </w:tcBorders>
            <w:shd w:val="clear" w:color="auto" w:fill="auto"/>
            <w:vAlign w:val="center"/>
            <w:hideMark/>
          </w:tcPr>
          <w:p w14:paraId="09C68FB1" w14:textId="77777777" w:rsidR="00A57F85" w:rsidRPr="00A57F85" w:rsidRDefault="00A57F85" w:rsidP="00A57F85">
            <w:pPr>
              <w:spacing w:line="360" w:lineRule="auto"/>
              <w:jc w:val="center"/>
              <w:rPr>
                <w:rFonts w:ascii="宋体" w:hAnsi="宋体" w:cs="Calibri"/>
                <w:b/>
                <w:bCs/>
                <w:color w:val="000000"/>
                <w:sz w:val="20"/>
                <w:szCs w:val="20"/>
              </w:rPr>
            </w:pPr>
            <w:r w:rsidRPr="00A57F85">
              <w:rPr>
                <w:rFonts w:ascii="宋体" w:hAnsi="宋体" w:cs="Calibri"/>
                <w:b/>
                <w:bCs/>
                <w:color w:val="000000"/>
                <w:sz w:val="20"/>
                <w:szCs w:val="20"/>
              </w:rPr>
              <w:t>DEPUF</w:t>
            </w:r>
          </w:p>
        </w:tc>
        <w:tc>
          <w:tcPr>
            <w:tcW w:w="760" w:type="dxa"/>
            <w:tcBorders>
              <w:top w:val="single" w:sz="4" w:space="0" w:color="auto"/>
              <w:left w:val="nil"/>
              <w:bottom w:val="single" w:sz="4" w:space="0" w:color="auto"/>
              <w:right w:val="nil"/>
            </w:tcBorders>
            <w:shd w:val="clear" w:color="auto" w:fill="auto"/>
            <w:vAlign w:val="center"/>
            <w:hideMark/>
          </w:tcPr>
          <w:p w14:paraId="218325FF" w14:textId="77777777" w:rsidR="00A57F85" w:rsidRPr="00A57F85" w:rsidRDefault="00A57F85" w:rsidP="00A57F85">
            <w:pPr>
              <w:spacing w:line="360" w:lineRule="auto"/>
              <w:jc w:val="center"/>
              <w:rPr>
                <w:rFonts w:ascii="宋体" w:hAnsi="宋体" w:cs="Calibri"/>
                <w:b/>
                <w:bCs/>
                <w:color w:val="000000"/>
                <w:sz w:val="20"/>
                <w:szCs w:val="20"/>
              </w:rPr>
            </w:pPr>
            <w:r w:rsidRPr="00A57F85">
              <w:rPr>
                <w:rFonts w:ascii="宋体" w:hAnsi="宋体" w:cs="Calibri"/>
                <w:b/>
                <w:bCs/>
                <w:color w:val="000000"/>
                <w:sz w:val="20"/>
                <w:szCs w:val="20"/>
              </w:rPr>
              <w:t>DEPUM</w:t>
            </w:r>
          </w:p>
        </w:tc>
        <w:tc>
          <w:tcPr>
            <w:tcW w:w="640" w:type="dxa"/>
            <w:tcBorders>
              <w:top w:val="single" w:sz="4" w:space="0" w:color="auto"/>
              <w:left w:val="nil"/>
              <w:bottom w:val="single" w:sz="4" w:space="0" w:color="auto"/>
              <w:right w:val="nil"/>
            </w:tcBorders>
            <w:shd w:val="clear" w:color="auto" w:fill="auto"/>
            <w:vAlign w:val="center"/>
            <w:hideMark/>
          </w:tcPr>
          <w:p w14:paraId="3F557BAB" w14:textId="77777777" w:rsidR="00A57F85" w:rsidRPr="00A57F85" w:rsidRDefault="00A57F85" w:rsidP="00A57F85">
            <w:pPr>
              <w:spacing w:line="360" w:lineRule="auto"/>
              <w:jc w:val="center"/>
              <w:rPr>
                <w:rFonts w:ascii="宋体" w:hAnsi="宋体" w:cs="Calibri"/>
                <w:b/>
                <w:bCs/>
                <w:color w:val="000000"/>
                <w:sz w:val="20"/>
                <w:szCs w:val="20"/>
              </w:rPr>
            </w:pPr>
            <w:r w:rsidRPr="00A57F85">
              <w:rPr>
                <w:rFonts w:ascii="宋体" w:hAnsi="宋体" w:cs="Calibri"/>
                <w:b/>
                <w:bCs/>
                <w:color w:val="000000"/>
                <w:sz w:val="20"/>
                <w:szCs w:val="20"/>
              </w:rPr>
              <w:t>DEPUT</w:t>
            </w:r>
          </w:p>
        </w:tc>
        <w:tc>
          <w:tcPr>
            <w:tcW w:w="740" w:type="dxa"/>
            <w:tcBorders>
              <w:top w:val="single" w:sz="4" w:space="0" w:color="auto"/>
              <w:left w:val="nil"/>
              <w:bottom w:val="single" w:sz="4" w:space="0" w:color="auto"/>
              <w:right w:val="nil"/>
            </w:tcBorders>
            <w:shd w:val="clear" w:color="auto" w:fill="auto"/>
            <w:vAlign w:val="center"/>
            <w:hideMark/>
          </w:tcPr>
          <w:p w14:paraId="4D763104" w14:textId="77777777" w:rsidR="00A57F85" w:rsidRPr="00A57F85" w:rsidRDefault="00A57F85" w:rsidP="00A57F85">
            <w:pPr>
              <w:spacing w:line="360" w:lineRule="auto"/>
              <w:jc w:val="center"/>
              <w:rPr>
                <w:rFonts w:ascii="宋体" w:hAnsi="宋体" w:cs="Calibri"/>
                <w:b/>
                <w:bCs/>
                <w:color w:val="000000"/>
                <w:sz w:val="20"/>
                <w:szCs w:val="20"/>
              </w:rPr>
            </w:pPr>
            <w:r w:rsidRPr="00A57F85">
              <w:rPr>
                <w:rFonts w:ascii="宋体" w:hAnsi="宋体" w:cs="Calibri"/>
                <w:b/>
                <w:bCs/>
                <w:color w:val="000000"/>
                <w:sz w:val="20"/>
                <w:szCs w:val="20"/>
              </w:rPr>
              <w:t>LIQ</w:t>
            </w:r>
          </w:p>
        </w:tc>
        <w:tc>
          <w:tcPr>
            <w:tcW w:w="760" w:type="dxa"/>
            <w:tcBorders>
              <w:top w:val="single" w:sz="4" w:space="0" w:color="auto"/>
              <w:left w:val="nil"/>
              <w:bottom w:val="single" w:sz="4" w:space="0" w:color="auto"/>
              <w:right w:val="nil"/>
            </w:tcBorders>
            <w:shd w:val="clear" w:color="auto" w:fill="auto"/>
            <w:vAlign w:val="center"/>
            <w:hideMark/>
          </w:tcPr>
          <w:p w14:paraId="4A43392C" w14:textId="77777777" w:rsidR="00A57F85" w:rsidRPr="00A57F85" w:rsidRDefault="00A57F85" w:rsidP="00A57F85">
            <w:pPr>
              <w:spacing w:line="360" w:lineRule="auto"/>
              <w:jc w:val="center"/>
              <w:rPr>
                <w:rFonts w:ascii="宋体" w:hAnsi="宋体" w:cs="Calibri"/>
                <w:b/>
                <w:bCs/>
                <w:color w:val="000000"/>
                <w:sz w:val="20"/>
                <w:szCs w:val="20"/>
              </w:rPr>
            </w:pPr>
            <w:r w:rsidRPr="00A57F85">
              <w:rPr>
                <w:rFonts w:ascii="宋体" w:hAnsi="宋体" w:cs="Calibri"/>
                <w:b/>
                <w:bCs/>
                <w:color w:val="000000"/>
                <w:sz w:val="20"/>
                <w:szCs w:val="20"/>
              </w:rPr>
              <w:t>RET</w:t>
            </w:r>
          </w:p>
        </w:tc>
        <w:tc>
          <w:tcPr>
            <w:tcW w:w="740" w:type="dxa"/>
            <w:tcBorders>
              <w:top w:val="single" w:sz="4" w:space="0" w:color="auto"/>
              <w:left w:val="nil"/>
              <w:bottom w:val="single" w:sz="4" w:space="0" w:color="auto"/>
              <w:right w:val="nil"/>
            </w:tcBorders>
            <w:shd w:val="clear" w:color="auto" w:fill="auto"/>
            <w:vAlign w:val="center"/>
            <w:hideMark/>
          </w:tcPr>
          <w:p w14:paraId="0FF53B35" w14:textId="77777777" w:rsidR="00A57F85" w:rsidRPr="00A57F85" w:rsidRDefault="00A57F85" w:rsidP="00A57F85">
            <w:pPr>
              <w:spacing w:line="360" w:lineRule="auto"/>
              <w:jc w:val="center"/>
              <w:rPr>
                <w:rFonts w:ascii="宋体" w:hAnsi="宋体" w:cs="Calibri"/>
                <w:b/>
                <w:bCs/>
                <w:color w:val="000000"/>
                <w:sz w:val="20"/>
                <w:szCs w:val="20"/>
              </w:rPr>
            </w:pPr>
            <w:r w:rsidRPr="00A57F85">
              <w:rPr>
                <w:rFonts w:ascii="宋体" w:hAnsi="宋体" w:cs="Calibri"/>
                <w:b/>
                <w:bCs/>
                <w:color w:val="000000"/>
                <w:sz w:val="20"/>
                <w:szCs w:val="20"/>
              </w:rPr>
              <w:t>VOL</w:t>
            </w:r>
          </w:p>
        </w:tc>
      </w:tr>
      <w:tr w:rsidR="00A57F85" w:rsidRPr="00A57F85" w14:paraId="697E4F24" w14:textId="77777777" w:rsidTr="00A57F85">
        <w:trPr>
          <w:trHeight w:val="280"/>
        </w:trPr>
        <w:tc>
          <w:tcPr>
            <w:tcW w:w="1080" w:type="dxa"/>
            <w:tcBorders>
              <w:top w:val="nil"/>
              <w:left w:val="nil"/>
              <w:bottom w:val="nil"/>
              <w:right w:val="nil"/>
            </w:tcBorders>
            <w:shd w:val="clear" w:color="auto" w:fill="auto"/>
            <w:vAlign w:val="center"/>
            <w:hideMark/>
          </w:tcPr>
          <w:p w14:paraId="1C3751CE" w14:textId="77777777" w:rsidR="00A57F85" w:rsidRPr="00A57F85" w:rsidRDefault="00A57F85" w:rsidP="00A57F85">
            <w:pPr>
              <w:spacing w:line="360" w:lineRule="auto"/>
              <w:jc w:val="center"/>
              <w:rPr>
                <w:rFonts w:ascii="宋体" w:hAnsi="宋体" w:cs="Calibri"/>
                <w:b/>
                <w:bCs/>
                <w:sz w:val="18"/>
                <w:szCs w:val="18"/>
              </w:rPr>
            </w:pPr>
            <w:r w:rsidRPr="00A57F85">
              <w:rPr>
                <w:rFonts w:ascii="宋体" w:hAnsi="宋体" w:cs="Calibri"/>
                <w:b/>
                <w:bCs/>
                <w:sz w:val="18"/>
                <w:szCs w:val="18"/>
              </w:rPr>
              <w:t>Mean</w:t>
            </w:r>
          </w:p>
        </w:tc>
        <w:tc>
          <w:tcPr>
            <w:tcW w:w="660" w:type="dxa"/>
            <w:tcBorders>
              <w:top w:val="nil"/>
              <w:left w:val="nil"/>
              <w:bottom w:val="nil"/>
              <w:right w:val="nil"/>
            </w:tcBorders>
            <w:shd w:val="clear" w:color="auto" w:fill="auto"/>
            <w:vAlign w:val="bottom"/>
            <w:hideMark/>
          </w:tcPr>
          <w:p w14:paraId="114A0CE0"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0.0071</w:t>
            </w:r>
          </w:p>
        </w:tc>
        <w:tc>
          <w:tcPr>
            <w:tcW w:w="660" w:type="dxa"/>
            <w:tcBorders>
              <w:top w:val="nil"/>
              <w:left w:val="nil"/>
              <w:bottom w:val="nil"/>
              <w:right w:val="nil"/>
            </w:tcBorders>
            <w:shd w:val="clear" w:color="auto" w:fill="auto"/>
            <w:vAlign w:val="bottom"/>
            <w:hideMark/>
          </w:tcPr>
          <w:p w14:paraId="60DCBA53"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0.0004</w:t>
            </w:r>
          </w:p>
        </w:tc>
        <w:tc>
          <w:tcPr>
            <w:tcW w:w="640" w:type="dxa"/>
            <w:tcBorders>
              <w:top w:val="nil"/>
              <w:left w:val="nil"/>
              <w:bottom w:val="nil"/>
              <w:right w:val="nil"/>
            </w:tcBorders>
            <w:shd w:val="clear" w:color="auto" w:fill="auto"/>
            <w:vAlign w:val="bottom"/>
            <w:hideMark/>
          </w:tcPr>
          <w:p w14:paraId="0EE4F0E6"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0.0048</w:t>
            </w:r>
          </w:p>
        </w:tc>
        <w:tc>
          <w:tcPr>
            <w:tcW w:w="760" w:type="dxa"/>
            <w:tcBorders>
              <w:top w:val="nil"/>
              <w:left w:val="nil"/>
              <w:bottom w:val="nil"/>
              <w:right w:val="nil"/>
            </w:tcBorders>
            <w:shd w:val="clear" w:color="auto" w:fill="auto"/>
            <w:vAlign w:val="bottom"/>
            <w:hideMark/>
          </w:tcPr>
          <w:p w14:paraId="7FFA6CDC"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0.0045</w:t>
            </w:r>
          </w:p>
        </w:tc>
        <w:tc>
          <w:tcPr>
            <w:tcW w:w="640" w:type="dxa"/>
            <w:tcBorders>
              <w:top w:val="nil"/>
              <w:left w:val="nil"/>
              <w:bottom w:val="nil"/>
              <w:right w:val="nil"/>
            </w:tcBorders>
            <w:shd w:val="clear" w:color="auto" w:fill="auto"/>
            <w:vAlign w:val="bottom"/>
            <w:hideMark/>
          </w:tcPr>
          <w:p w14:paraId="452F34CC"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0.0049</w:t>
            </w:r>
          </w:p>
        </w:tc>
        <w:tc>
          <w:tcPr>
            <w:tcW w:w="740" w:type="dxa"/>
            <w:tcBorders>
              <w:top w:val="nil"/>
              <w:left w:val="nil"/>
              <w:bottom w:val="nil"/>
              <w:right w:val="nil"/>
            </w:tcBorders>
            <w:shd w:val="clear" w:color="auto" w:fill="auto"/>
            <w:vAlign w:val="bottom"/>
            <w:hideMark/>
          </w:tcPr>
          <w:p w14:paraId="3F096022"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1.6902</w:t>
            </w:r>
          </w:p>
        </w:tc>
        <w:tc>
          <w:tcPr>
            <w:tcW w:w="760" w:type="dxa"/>
            <w:tcBorders>
              <w:top w:val="nil"/>
              <w:left w:val="nil"/>
              <w:bottom w:val="nil"/>
              <w:right w:val="nil"/>
            </w:tcBorders>
            <w:shd w:val="clear" w:color="auto" w:fill="auto"/>
            <w:vAlign w:val="bottom"/>
            <w:hideMark/>
          </w:tcPr>
          <w:p w14:paraId="65B9D303"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0.0028</w:t>
            </w:r>
          </w:p>
        </w:tc>
        <w:tc>
          <w:tcPr>
            <w:tcW w:w="740" w:type="dxa"/>
            <w:tcBorders>
              <w:top w:val="nil"/>
              <w:left w:val="nil"/>
              <w:bottom w:val="nil"/>
              <w:right w:val="nil"/>
            </w:tcBorders>
            <w:shd w:val="clear" w:color="auto" w:fill="auto"/>
            <w:vAlign w:val="bottom"/>
            <w:hideMark/>
          </w:tcPr>
          <w:p w14:paraId="24E1120D"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0.0136</w:t>
            </w:r>
          </w:p>
        </w:tc>
      </w:tr>
      <w:tr w:rsidR="00A57F85" w:rsidRPr="00A57F85" w14:paraId="3A44105E" w14:textId="77777777" w:rsidTr="00A57F85">
        <w:trPr>
          <w:trHeight w:val="280"/>
        </w:trPr>
        <w:tc>
          <w:tcPr>
            <w:tcW w:w="1080" w:type="dxa"/>
            <w:tcBorders>
              <w:top w:val="nil"/>
              <w:left w:val="nil"/>
              <w:bottom w:val="nil"/>
              <w:right w:val="nil"/>
            </w:tcBorders>
            <w:shd w:val="clear" w:color="auto" w:fill="auto"/>
            <w:vAlign w:val="center"/>
            <w:hideMark/>
          </w:tcPr>
          <w:p w14:paraId="2DAF10CA" w14:textId="77777777" w:rsidR="00A57F85" w:rsidRPr="00A57F85" w:rsidRDefault="00A57F85" w:rsidP="00A57F85">
            <w:pPr>
              <w:spacing w:line="360" w:lineRule="auto"/>
              <w:jc w:val="center"/>
              <w:rPr>
                <w:rFonts w:ascii="宋体" w:hAnsi="宋体" w:cs="Calibri"/>
                <w:b/>
                <w:bCs/>
                <w:sz w:val="18"/>
                <w:szCs w:val="18"/>
              </w:rPr>
            </w:pPr>
            <w:r w:rsidRPr="00A57F85">
              <w:rPr>
                <w:rFonts w:ascii="宋体" w:hAnsi="宋体" w:cs="Calibri"/>
                <w:b/>
                <w:bCs/>
                <w:sz w:val="18"/>
                <w:szCs w:val="18"/>
              </w:rPr>
              <w:t>Median</w:t>
            </w:r>
          </w:p>
        </w:tc>
        <w:tc>
          <w:tcPr>
            <w:tcW w:w="660" w:type="dxa"/>
            <w:tcBorders>
              <w:top w:val="nil"/>
              <w:left w:val="nil"/>
              <w:bottom w:val="nil"/>
              <w:right w:val="nil"/>
            </w:tcBorders>
            <w:shd w:val="clear" w:color="auto" w:fill="auto"/>
            <w:vAlign w:val="bottom"/>
            <w:hideMark/>
          </w:tcPr>
          <w:p w14:paraId="3023E0C3"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0.0303</w:t>
            </w:r>
          </w:p>
        </w:tc>
        <w:tc>
          <w:tcPr>
            <w:tcW w:w="660" w:type="dxa"/>
            <w:tcBorders>
              <w:top w:val="nil"/>
              <w:left w:val="nil"/>
              <w:bottom w:val="nil"/>
              <w:right w:val="nil"/>
            </w:tcBorders>
            <w:shd w:val="clear" w:color="auto" w:fill="auto"/>
            <w:vAlign w:val="bottom"/>
            <w:hideMark/>
          </w:tcPr>
          <w:p w14:paraId="6B726856"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0.0138</w:t>
            </w:r>
          </w:p>
        </w:tc>
        <w:tc>
          <w:tcPr>
            <w:tcW w:w="640" w:type="dxa"/>
            <w:tcBorders>
              <w:top w:val="nil"/>
              <w:left w:val="nil"/>
              <w:bottom w:val="nil"/>
              <w:right w:val="nil"/>
            </w:tcBorders>
            <w:shd w:val="clear" w:color="auto" w:fill="auto"/>
            <w:vAlign w:val="bottom"/>
            <w:hideMark/>
          </w:tcPr>
          <w:p w14:paraId="1F19A0BB"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0.0328</w:t>
            </w:r>
          </w:p>
        </w:tc>
        <w:tc>
          <w:tcPr>
            <w:tcW w:w="760" w:type="dxa"/>
            <w:tcBorders>
              <w:top w:val="nil"/>
              <w:left w:val="nil"/>
              <w:bottom w:val="nil"/>
              <w:right w:val="nil"/>
            </w:tcBorders>
            <w:shd w:val="clear" w:color="auto" w:fill="auto"/>
            <w:vAlign w:val="bottom"/>
            <w:hideMark/>
          </w:tcPr>
          <w:p w14:paraId="3537F895"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0.0045</w:t>
            </w:r>
          </w:p>
        </w:tc>
        <w:tc>
          <w:tcPr>
            <w:tcW w:w="640" w:type="dxa"/>
            <w:tcBorders>
              <w:top w:val="nil"/>
              <w:left w:val="nil"/>
              <w:bottom w:val="nil"/>
              <w:right w:val="nil"/>
            </w:tcBorders>
            <w:shd w:val="clear" w:color="auto" w:fill="auto"/>
            <w:vAlign w:val="bottom"/>
            <w:hideMark/>
          </w:tcPr>
          <w:p w14:paraId="3F482D04"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0.0233</w:t>
            </w:r>
          </w:p>
        </w:tc>
        <w:tc>
          <w:tcPr>
            <w:tcW w:w="740" w:type="dxa"/>
            <w:tcBorders>
              <w:top w:val="nil"/>
              <w:left w:val="nil"/>
              <w:bottom w:val="nil"/>
              <w:right w:val="nil"/>
            </w:tcBorders>
            <w:shd w:val="clear" w:color="auto" w:fill="auto"/>
            <w:vAlign w:val="bottom"/>
            <w:hideMark/>
          </w:tcPr>
          <w:p w14:paraId="4EF3D7D5"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1.4955</w:t>
            </w:r>
          </w:p>
        </w:tc>
        <w:tc>
          <w:tcPr>
            <w:tcW w:w="760" w:type="dxa"/>
            <w:tcBorders>
              <w:top w:val="nil"/>
              <w:left w:val="nil"/>
              <w:bottom w:val="nil"/>
              <w:right w:val="nil"/>
            </w:tcBorders>
            <w:shd w:val="clear" w:color="auto" w:fill="auto"/>
            <w:vAlign w:val="bottom"/>
            <w:hideMark/>
          </w:tcPr>
          <w:p w14:paraId="7BABD700"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0.0063</w:t>
            </w:r>
          </w:p>
        </w:tc>
        <w:tc>
          <w:tcPr>
            <w:tcW w:w="740" w:type="dxa"/>
            <w:tcBorders>
              <w:top w:val="nil"/>
              <w:left w:val="nil"/>
              <w:bottom w:val="nil"/>
              <w:right w:val="nil"/>
            </w:tcBorders>
            <w:shd w:val="clear" w:color="auto" w:fill="auto"/>
            <w:vAlign w:val="bottom"/>
            <w:hideMark/>
          </w:tcPr>
          <w:p w14:paraId="0A6405ED"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0.0114</w:t>
            </w:r>
          </w:p>
        </w:tc>
      </w:tr>
      <w:tr w:rsidR="00A57F85" w:rsidRPr="00A57F85" w14:paraId="3838C3AD" w14:textId="77777777" w:rsidTr="00A57F85">
        <w:trPr>
          <w:trHeight w:val="280"/>
        </w:trPr>
        <w:tc>
          <w:tcPr>
            <w:tcW w:w="1080" w:type="dxa"/>
            <w:tcBorders>
              <w:top w:val="nil"/>
              <w:left w:val="nil"/>
              <w:bottom w:val="nil"/>
              <w:right w:val="nil"/>
            </w:tcBorders>
            <w:shd w:val="clear" w:color="auto" w:fill="auto"/>
            <w:vAlign w:val="center"/>
            <w:hideMark/>
          </w:tcPr>
          <w:p w14:paraId="6034B39F" w14:textId="77777777" w:rsidR="00A57F85" w:rsidRPr="00A57F85" w:rsidRDefault="00A57F85" w:rsidP="00A57F85">
            <w:pPr>
              <w:spacing w:line="360" w:lineRule="auto"/>
              <w:jc w:val="center"/>
              <w:rPr>
                <w:rFonts w:ascii="宋体" w:hAnsi="宋体" w:cs="Calibri"/>
                <w:b/>
                <w:bCs/>
                <w:sz w:val="18"/>
                <w:szCs w:val="18"/>
              </w:rPr>
            </w:pPr>
            <w:r w:rsidRPr="00A57F85">
              <w:rPr>
                <w:rFonts w:ascii="宋体" w:hAnsi="宋体" w:cs="Calibri"/>
                <w:b/>
                <w:bCs/>
                <w:sz w:val="18"/>
                <w:szCs w:val="18"/>
              </w:rPr>
              <w:t>Maximum</w:t>
            </w:r>
          </w:p>
        </w:tc>
        <w:tc>
          <w:tcPr>
            <w:tcW w:w="660" w:type="dxa"/>
            <w:tcBorders>
              <w:top w:val="nil"/>
              <w:left w:val="nil"/>
              <w:bottom w:val="nil"/>
              <w:right w:val="nil"/>
            </w:tcBorders>
            <w:shd w:val="clear" w:color="auto" w:fill="auto"/>
            <w:vAlign w:val="bottom"/>
            <w:hideMark/>
          </w:tcPr>
          <w:p w14:paraId="60DBD3EB"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1.6561</w:t>
            </w:r>
          </w:p>
        </w:tc>
        <w:tc>
          <w:tcPr>
            <w:tcW w:w="660" w:type="dxa"/>
            <w:tcBorders>
              <w:top w:val="nil"/>
              <w:left w:val="nil"/>
              <w:bottom w:val="nil"/>
              <w:right w:val="nil"/>
            </w:tcBorders>
            <w:shd w:val="clear" w:color="auto" w:fill="auto"/>
            <w:vAlign w:val="bottom"/>
            <w:hideMark/>
          </w:tcPr>
          <w:p w14:paraId="6C5DD38E"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1.3797</w:t>
            </w:r>
          </w:p>
        </w:tc>
        <w:tc>
          <w:tcPr>
            <w:tcW w:w="640" w:type="dxa"/>
            <w:tcBorders>
              <w:top w:val="nil"/>
              <w:left w:val="nil"/>
              <w:bottom w:val="nil"/>
              <w:right w:val="nil"/>
            </w:tcBorders>
            <w:shd w:val="clear" w:color="auto" w:fill="auto"/>
            <w:vAlign w:val="bottom"/>
            <w:hideMark/>
          </w:tcPr>
          <w:p w14:paraId="6689F215"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1.6342</w:t>
            </w:r>
          </w:p>
        </w:tc>
        <w:tc>
          <w:tcPr>
            <w:tcW w:w="760" w:type="dxa"/>
            <w:tcBorders>
              <w:top w:val="nil"/>
              <w:left w:val="nil"/>
              <w:bottom w:val="nil"/>
              <w:right w:val="nil"/>
            </w:tcBorders>
            <w:shd w:val="clear" w:color="auto" w:fill="auto"/>
            <w:vAlign w:val="bottom"/>
            <w:hideMark/>
          </w:tcPr>
          <w:p w14:paraId="55190770"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0.8491</w:t>
            </w:r>
          </w:p>
        </w:tc>
        <w:tc>
          <w:tcPr>
            <w:tcW w:w="640" w:type="dxa"/>
            <w:tcBorders>
              <w:top w:val="nil"/>
              <w:left w:val="nil"/>
              <w:bottom w:val="nil"/>
              <w:right w:val="nil"/>
            </w:tcBorders>
            <w:shd w:val="clear" w:color="auto" w:fill="auto"/>
            <w:vAlign w:val="bottom"/>
            <w:hideMark/>
          </w:tcPr>
          <w:p w14:paraId="3C3F3E89"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1.5781</w:t>
            </w:r>
          </w:p>
        </w:tc>
        <w:tc>
          <w:tcPr>
            <w:tcW w:w="740" w:type="dxa"/>
            <w:tcBorders>
              <w:top w:val="nil"/>
              <w:left w:val="nil"/>
              <w:bottom w:val="nil"/>
              <w:right w:val="nil"/>
            </w:tcBorders>
            <w:shd w:val="clear" w:color="auto" w:fill="auto"/>
            <w:vAlign w:val="bottom"/>
            <w:hideMark/>
          </w:tcPr>
          <w:p w14:paraId="614EE85B"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6.9680</w:t>
            </w:r>
          </w:p>
        </w:tc>
        <w:tc>
          <w:tcPr>
            <w:tcW w:w="760" w:type="dxa"/>
            <w:tcBorders>
              <w:top w:val="nil"/>
              <w:left w:val="nil"/>
              <w:bottom w:val="nil"/>
              <w:right w:val="nil"/>
            </w:tcBorders>
            <w:shd w:val="clear" w:color="auto" w:fill="auto"/>
            <w:vAlign w:val="bottom"/>
            <w:hideMark/>
          </w:tcPr>
          <w:p w14:paraId="2B34DC0D"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0.2425</w:t>
            </w:r>
          </w:p>
        </w:tc>
        <w:tc>
          <w:tcPr>
            <w:tcW w:w="740" w:type="dxa"/>
            <w:tcBorders>
              <w:top w:val="nil"/>
              <w:left w:val="nil"/>
              <w:bottom w:val="nil"/>
              <w:right w:val="nil"/>
            </w:tcBorders>
            <w:shd w:val="clear" w:color="auto" w:fill="auto"/>
            <w:vAlign w:val="bottom"/>
            <w:hideMark/>
          </w:tcPr>
          <w:p w14:paraId="25EAB544"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0.0393</w:t>
            </w:r>
          </w:p>
        </w:tc>
      </w:tr>
      <w:tr w:rsidR="00A57F85" w:rsidRPr="00A57F85" w14:paraId="789C3633" w14:textId="77777777" w:rsidTr="00A57F85">
        <w:trPr>
          <w:trHeight w:val="280"/>
        </w:trPr>
        <w:tc>
          <w:tcPr>
            <w:tcW w:w="1080" w:type="dxa"/>
            <w:tcBorders>
              <w:top w:val="nil"/>
              <w:left w:val="nil"/>
              <w:bottom w:val="nil"/>
              <w:right w:val="nil"/>
            </w:tcBorders>
            <w:shd w:val="clear" w:color="auto" w:fill="auto"/>
            <w:vAlign w:val="center"/>
            <w:hideMark/>
          </w:tcPr>
          <w:p w14:paraId="74B792BF" w14:textId="77777777" w:rsidR="00A57F85" w:rsidRPr="00A57F85" w:rsidRDefault="00A57F85" w:rsidP="00A57F85">
            <w:pPr>
              <w:spacing w:line="360" w:lineRule="auto"/>
              <w:jc w:val="center"/>
              <w:rPr>
                <w:rFonts w:ascii="宋体" w:hAnsi="宋体" w:cs="Calibri"/>
                <w:b/>
                <w:bCs/>
                <w:sz w:val="18"/>
                <w:szCs w:val="18"/>
              </w:rPr>
            </w:pPr>
            <w:r w:rsidRPr="00A57F85">
              <w:rPr>
                <w:rFonts w:ascii="宋体" w:hAnsi="宋体" w:cs="Calibri"/>
                <w:b/>
                <w:bCs/>
                <w:sz w:val="18"/>
                <w:szCs w:val="18"/>
              </w:rPr>
              <w:t>Minimum</w:t>
            </w:r>
          </w:p>
        </w:tc>
        <w:tc>
          <w:tcPr>
            <w:tcW w:w="660" w:type="dxa"/>
            <w:tcBorders>
              <w:top w:val="nil"/>
              <w:left w:val="nil"/>
              <w:bottom w:val="nil"/>
              <w:right w:val="nil"/>
            </w:tcBorders>
            <w:shd w:val="clear" w:color="auto" w:fill="auto"/>
            <w:vAlign w:val="bottom"/>
            <w:hideMark/>
          </w:tcPr>
          <w:p w14:paraId="41858D7E"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-1.7889</w:t>
            </w:r>
          </w:p>
        </w:tc>
        <w:tc>
          <w:tcPr>
            <w:tcW w:w="660" w:type="dxa"/>
            <w:tcBorders>
              <w:top w:val="nil"/>
              <w:left w:val="nil"/>
              <w:bottom w:val="nil"/>
              <w:right w:val="nil"/>
            </w:tcBorders>
            <w:shd w:val="clear" w:color="auto" w:fill="auto"/>
            <w:vAlign w:val="bottom"/>
            <w:hideMark/>
          </w:tcPr>
          <w:p w14:paraId="3B91E806"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-1.4371</w:t>
            </w:r>
          </w:p>
        </w:tc>
        <w:tc>
          <w:tcPr>
            <w:tcW w:w="640" w:type="dxa"/>
            <w:tcBorders>
              <w:top w:val="nil"/>
              <w:left w:val="nil"/>
              <w:bottom w:val="nil"/>
              <w:right w:val="nil"/>
            </w:tcBorders>
            <w:shd w:val="clear" w:color="auto" w:fill="auto"/>
            <w:vAlign w:val="bottom"/>
            <w:hideMark/>
          </w:tcPr>
          <w:p w14:paraId="677F126F"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-1.3003</w:t>
            </w:r>
          </w:p>
        </w:tc>
        <w:tc>
          <w:tcPr>
            <w:tcW w:w="760" w:type="dxa"/>
            <w:tcBorders>
              <w:top w:val="nil"/>
              <w:left w:val="nil"/>
              <w:bottom w:val="nil"/>
              <w:right w:val="nil"/>
            </w:tcBorders>
            <w:shd w:val="clear" w:color="auto" w:fill="auto"/>
            <w:vAlign w:val="bottom"/>
            <w:hideMark/>
          </w:tcPr>
          <w:p w14:paraId="10F30784"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0.9003</w:t>
            </w:r>
          </w:p>
        </w:tc>
        <w:tc>
          <w:tcPr>
            <w:tcW w:w="640" w:type="dxa"/>
            <w:tcBorders>
              <w:top w:val="nil"/>
              <w:left w:val="nil"/>
              <w:bottom w:val="nil"/>
              <w:right w:val="nil"/>
            </w:tcBorders>
            <w:shd w:val="clear" w:color="auto" w:fill="auto"/>
            <w:vAlign w:val="bottom"/>
            <w:hideMark/>
          </w:tcPr>
          <w:p w14:paraId="5674089A"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-1.9661</w:t>
            </w:r>
          </w:p>
        </w:tc>
        <w:tc>
          <w:tcPr>
            <w:tcW w:w="740" w:type="dxa"/>
            <w:tcBorders>
              <w:top w:val="nil"/>
              <w:left w:val="nil"/>
              <w:bottom w:val="nil"/>
              <w:right w:val="nil"/>
            </w:tcBorders>
            <w:shd w:val="clear" w:color="auto" w:fill="auto"/>
            <w:vAlign w:val="bottom"/>
            <w:hideMark/>
          </w:tcPr>
          <w:p w14:paraId="3C7AD7E2"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0.0000</w:t>
            </w:r>
          </w:p>
        </w:tc>
        <w:tc>
          <w:tcPr>
            <w:tcW w:w="760" w:type="dxa"/>
            <w:tcBorders>
              <w:top w:val="nil"/>
              <w:left w:val="nil"/>
              <w:bottom w:val="nil"/>
              <w:right w:val="nil"/>
            </w:tcBorders>
            <w:shd w:val="clear" w:color="auto" w:fill="auto"/>
            <w:vAlign w:val="bottom"/>
            <w:hideMark/>
          </w:tcPr>
          <w:p w14:paraId="4FB8CE12"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-0.2828</w:t>
            </w:r>
          </w:p>
        </w:tc>
        <w:tc>
          <w:tcPr>
            <w:tcW w:w="740" w:type="dxa"/>
            <w:tcBorders>
              <w:top w:val="nil"/>
              <w:left w:val="nil"/>
              <w:bottom w:val="nil"/>
              <w:right w:val="nil"/>
            </w:tcBorders>
            <w:shd w:val="clear" w:color="auto" w:fill="auto"/>
            <w:vAlign w:val="bottom"/>
            <w:hideMark/>
          </w:tcPr>
          <w:p w14:paraId="7FC661A0"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0.0028</w:t>
            </w:r>
          </w:p>
        </w:tc>
      </w:tr>
      <w:tr w:rsidR="00A57F85" w:rsidRPr="00A57F85" w14:paraId="52C776F0" w14:textId="77777777" w:rsidTr="00A57F85">
        <w:trPr>
          <w:trHeight w:val="280"/>
        </w:trPr>
        <w:tc>
          <w:tcPr>
            <w:tcW w:w="1080" w:type="dxa"/>
            <w:tcBorders>
              <w:top w:val="nil"/>
              <w:left w:val="nil"/>
              <w:bottom w:val="nil"/>
              <w:right w:val="nil"/>
            </w:tcBorders>
            <w:shd w:val="clear" w:color="auto" w:fill="auto"/>
            <w:vAlign w:val="center"/>
            <w:hideMark/>
          </w:tcPr>
          <w:p w14:paraId="1BD84521" w14:textId="77777777" w:rsidR="00A57F85" w:rsidRPr="00A57F85" w:rsidRDefault="00A57F85" w:rsidP="00A57F85">
            <w:pPr>
              <w:spacing w:line="360" w:lineRule="auto"/>
              <w:jc w:val="center"/>
              <w:rPr>
                <w:rFonts w:ascii="宋体" w:hAnsi="宋体" w:cs="Calibri"/>
                <w:b/>
                <w:bCs/>
                <w:sz w:val="18"/>
                <w:szCs w:val="18"/>
              </w:rPr>
            </w:pPr>
            <w:r w:rsidRPr="00A57F85">
              <w:rPr>
                <w:rFonts w:ascii="宋体" w:hAnsi="宋体" w:cs="Calibri"/>
                <w:b/>
                <w:bCs/>
                <w:sz w:val="18"/>
                <w:szCs w:val="18"/>
              </w:rPr>
              <w:t>Std.Dev</w:t>
            </w:r>
          </w:p>
        </w:tc>
        <w:tc>
          <w:tcPr>
            <w:tcW w:w="660" w:type="dxa"/>
            <w:tcBorders>
              <w:top w:val="nil"/>
              <w:left w:val="nil"/>
              <w:bottom w:val="nil"/>
              <w:right w:val="nil"/>
            </w:tcBorders>
            <w:shd w:val="clear" w:color="auto" w:fill="auto"/>
            <w:vAlign w:val="bottom"/>
            <w:hideMark/>
          </w:tcPr>
          <w:p w14:paraId="52E0CD8B"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0.4671</w:t>
            </w:r>
          </w:p>
        </w:tc>
        <w:tc>
          <w:tcPr>
            <w:tcW w:w="660" w:type="dxa"/>
            <w:tcBorders>
              <w:top w:val="nil"/>
              <w:left w:val="nil"/>
              <w:bottom w:val="nil"/>
              <w:right w:val="nil"/>
            </w:tcBorders>
            <w:shd w:val="clear" w:color="auto" w:fill="auto"/>
            <w:vAlign w:val="bottom"/>
            <w:hideMark/>
          </w:tcPr>
          <w:p w14:paraId="153A1D13"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0.4210</w:t>
            </w:r>
          </w:p>
        </w:tc>
        <w:tc>
          <w:tcPr>
            <w:tcW w:w="640" w:type="dxa"/>
            <w:tcBorders>
              <w:top w:val="nil"/>
              <w:left w:val="nil"/>
              <w:bottom w:val="nil"/>
              <w:right w:val="nil"/>
            </w:tcBorders>
            <w:shd w:val="clear" w:color="auto" w:fill="auto"/>
            <w:vAlign w:val="bottom"/>
            <w:hideMark/>
          </w:tcPr>
          <w:p w14:paraId="717A11A1"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0.4540</w:t>
            </w:r>
          </w:p>
        </w:tc>
        <w:tc>
          <w:tcPr>
            <w:tcW w:w="760" w:type="dxa"/>
            <w:tcBorders>
              <w:top w:val="nil"/>
              <w:left w:val="nil"/>
              <w:bottom w:val="nil"/>
              <w:right w:val="nil"/>
            </w:tcBorders>
            <w:shd w:val="clear" w:color="auto" w:fill="auto"/>
            <w:vAlign w:val="bottom"/>
            <w:hideMark/>
          </w:tcPr>
          <w:p w14:paraId="73034260"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0.3027</w:t>
            </w:r>
          </w:p>
        </w:tc>
        <w:tc>
          <w:tcPr>
            <w:tcW w:w="640" w:type="dxa"/>
            <w:tcBorders>
              <w:top w:val="nil"/>
              <w:left w:val="nil"/>
              <w:bottom w:val="nil"/>
              <w:right w:val="nil"/>
            </w:tcBorders>
            <w:shd w:val="clear" w:color="auto" w:fill="auto"/>
            <w:vAlign w:val="bottom"/>
            <w:hideMark/>
          </w:tcPr>
          <w:p w14:paraId="5F164480"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0.5745</w:t>
            </w:r>
          </w:p>
        </w:tc>
        <w:tc>
          <w:tcPr>
            <w:tcW w:w="740" w:type="dxa"/>
            <w:tcBorders>
              <w:top w:val="nil"/>
              <w:left w:val="nil"/>
              <w:bottom w:val="nil"/>
              <w:right w:val="nil"/>
            </w:tcBorders>
            <w:shd w:val="clear" w:color="auto" w:fill="auto"/>
            <w:vAlign w:val="bottom"/>
            <w:hideMark/>
          </w:tcPr>
          <w:p w14:paraId="744EC46E"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1.0277</w:t>
            </w:r>
          </w:p>
        </w:tc>
        <w:tc>
          <w:tcPr>
            <w:tcW w:w="760" w:type="dxa"/>
            <w:tcBorders>
              <w:top w:val="nil"/>
              <w:left w:val="nil"/>
              <w:bottom w:val="nil"/>
              <w:right w:val="nil"/>
            </w:tcBorders>
            <w:shd w:val="clear" w:color="auto" w:fill="auto"/>
            <w:vAlign w:val="bottom"/>
            <w:hideMark/>
          </w:tcPr>
          <w:p w14:paraId="0CD29950"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0.0750</w:t>
            </w:r>
          </w:p>
        </w:tc>
        <w:tc>
          <w:tcPr>
            <w:tcW w:w="740" w:type="dxa"/>
            <w:tcBorders>
              <w:top w:val="nil"/>
              <w:left w:val="nil"/>
              <w:bottom w:val="nil"/>
              <w:right w:val="nil"/>
            </w:tcBorders>
            <w:shd w:val="clear" w:color="auto" w:fill="auto"/>
            <w:vAlign w:val="bottom"/>
            <w:hideMark/>
          </w:tcPr>
          <w:p w14:paraId="06505487"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0.0070</w:t>
            </w:r>
          </w:p>
        </w:tc>
      </w:tr>
      <w:tr w:rsidR="00A57F85" w:rsidRPr="00A57F85" w14:paraId="3CF305C0" w14:textId="77777777" w:rsidTr="00A57F85">
        <w:trPr>
          <w:trHeight w:val="280"/>
        </w:trPr>
        <w:tc>
          <w:tcPr>
            <w:tcW w:w="1080" w:type="dxa"/>
            <w:tcBorders>
              <w:top w:val="nil"/>
              <w:left w:val="nil"/>
              <w:bottom w:val="nil"/>
              <w:right w:val="nil"/>
            </w:tcBorders>
            <w:shd w:val="clear" w:color="auto" w:fill="auto"/>
            <w:vAlign w:val="center"/>
            <w:hideMark/>
          </w:tcPr>
          <w:p w14:paraId="492AC25C" w14:textId="77777777" w:rsidR="00A57F85" w:rsidRPr="00A57F85" w:rsidRDefault="00A57F85" w:rsidP="00A57F85">
            <w:pPr>
              <w:spacing w:line="360" w:lineRule="auto"/>
              <w:jc w:val="center"/>
              <w:rPr>
                <w:rFonts w:ascii="宋体" w:hAnsi="宋体" w:cs="Calibri"/>
                <w:b/>
                <w:bCs/>
                <w:sz w:val="18"/>
                <w:szCs w:val="18"/>
              </w:rPr>
            </w:pPr>
            <w:r w:rsidRPr="00A57F85">
              <w:rPr>
                <w:rFonts w:ascii="宋体" w:hAnsi="宋体" w:cs="Calibri"/>
                <w:b/>
                <w:bCs/>
                <w:sz w:val="18"/>
                <w:szCs w:val="18"/>
              </w:rPr>
              <w:t>Skewess</w:t>
            </w:r>
          </w:p>
        </w:tc>
        <w:tc>
          <w:tcPr>
            <w:tcW w:w="660" w:type="dxa"/>
            <w:tcBorders>
              <w:top w:val="nil"/>
              <w:left w:val="nil"/>
              <w:bottom w:val="nil"/>
              <w:right w:val="nil"/>
            </w:tcBorders>
            <w:shd w:val="clear" w:color="auto" w:fill="auto"/>
            <w:vAlign w:val="bottom"/>
            <w:hideMark/>
          </w:tcPr>
          <w:p w14:paraId="086F0FDA"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0.0331</w:t>
            </w:r>
          </w:p>
        </w:tc>
        <w:tc>
          <w:tcPr>
            <w:tcW w:w="660" w:type="dxa"/>
            <w:tcBorders>
              <w:top w:val="nil"/>
              <w:left w:val="nil"/>
              <w:bottom w:val="nil"/>
              <w:right w:val="nil"/>
            </w:tcBorders>
            <w:shd w:val="clear" w:color="auto" w:fill="auto"/>
            <w:vAlign w:val="bottom"/>
            <w:hideMark/>
          </w:tcPr>
          <w:p w14:paraId="27BFDC2A"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0.1946</w:t>
            </w:r>
          </w:p>
        </w:tc>
        <w:tc>
          <w:tcPr>
            <w:tcW w:w="640" w:type="dxa"/>
            <w:tcBorders>
              <w:top w:val="nil"/>
              <w:left w:val="nil"/>
              <w:bottom w:val="nil"/>
              <w:right w:val="nil"/>
            </w:tcBorders>
            <w:shd w:val="clear" w:color="auto" w:fill="auto"/>
            <w:vAlign w:val="bottom"/>
            <w:hideMark/>
          </w:tcPr>
          <w:p w14:paraId="066DF30E"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0.2892</w:t>
            </w:r>
          </w:p>
        </w:tc>
        <w:tc>
          <w:tcPr>
            <w:tcW w:w="760" w:type="dxa"/>
            <w:tcBorders>
              <w:top w:val="nil"/>
              <w:left w:val="nil"/>
              <w:bottom w:val="nil"/>
              <w:right w:val="nil"/>
            </w:tcBorders>
            <w:shd w:val="clear" w:color="auto" w:fill="auto"/>
            <w:vAlign w:val="bottom"/>
            <w:hideMark/>
          </w:tcPr>
          <w:p w14:paraId="4312119D"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0.1132</w:t>
            </w:r>
          </w:p>
        </w:tc>
        <w:tc>
          <w:tcPr>
            <w:tcW w:w="640" w:type="dxa"/>
            <w:tcBorders>
              <w:top w:val="nil"/>
              <w:left w:val="nil"/>
              <w:bottom w:val="nil"/>
              <w:right w:val="nil"/>
            </w:tcBorders>
            <w:shd w:val="clear" w:color="auto" w:fill="auto"/>
            <w:vAlign w:val="bottom"/>
            <w:hideMark/>
          </w:tcPr>
          <w:p w14:paraId="273A9059"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-0.0239</w:t>
            </w:r>
          </w:p>
        </w:tc>
        <w:tc>
          <w:tcPr>
            <w:tcW w:w="740" w:type="dxa"/>
            <w:tcBorders>
              <w:top w:val="nil"/>
              <w:left w:val="nil"/>
              <w:bottom w:val="nil"/>
              <w:right w:val="nil"/>
            </w:tcBorders>
            <w:shd w:val="clear" w:color="auto" w:fill="auto"/>
            <w:vAlign w:val="bottom"/>
            <w:hideMark/>
          </w:tcPr>
          <w:p w14:paraId="0CC077C8"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0.2080</w:t>
            </w:r>
          </w:p>
        </w:tc>
        <w:tc>
          <w:tcPr>
            <w:tcW w:w="760" w:type="dxa"/>
            <w:tcBorders>
              <w:top w:val="nil"/>
              <w:left w:val="nil"/>
              <w:bottom w:val="nil"/>
              <w:right w:val="nil"/>
            </w:tcBorders>
            <w:shd w:val="clear" w:color="auto" w:fill="auto"/>
            <w:vAlign w:val="bottom"/>
            <w:hideMark/>
          </w:tcPr>
          <w:p w14:paraId="4EBFF824"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-0.5560</w:t>
            </w:r>
          </w:p>
        </w:tc>
        <w:tc>
          <w:tcPr>
            <w:tcW w:w="740" w:type="dxa"/>
            <w:tcBorders>
              <w:top w:val="nil"/>
              <w:left w:val="nil"/>
              <w:bottom w:val="nil"/>
              <w:right w:val="nil"/>
            </w:tcBorders>
            <w:shd w:val="clear" w:color="auto" w:fill="auto"/>
            <w:vAlign w:val="bottom"/>
            <w:hideMark/>
          </w:tcPr>
          <w:p w14:paraId="359F57AB"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1.4062</w:t>
            </w:r>
          </w:p>
        </w:tc>
      </w:tr>
      <w:tr w:rsidR="00A57F85" w:rsidRPr="00A57F85" w14:paraId="3DDB3B61" w14:textId="77777777" w:rsidTr="00A57F85">
        <w:trPr>
          <w:trHeight w:val="280"/>
        </w:trPr>
        <w:tc>
          <w:tcPr>
            <w:tcW w:w="1080" w:type="dxa"/>
            <w:tcBorders>
              <w:top w:val="nil"/>
              <w:left w:val="nil"/>
              <w:bottom w:val="nil"/>
              <w:right w:val="nil"/>
            </w:tcBorders>
            <w:shd w:val="clear" w:color="auto" w:fill="auto"/>
            <w:vAlign w:val="center"/>
            <w:hideMark/>
          </w:tcPr>
          <w:p w14:paraId="52306D4B" w14:textId="77777777" w:rsidR="00A57F85" w:rsidRPr="00A57F85" w:rsidRDefault="00A57F85" w:rsidP="00A57F85">
            <w:pPr>
              <w:spacing w:line="360" w:lineRule="auto"/>
              <w:jc w:val="center"/>
              <w:rPr>
                <w:rFonts w:ascii="宋体" w:hAnsi="宋体" w:cs="Calibri"/>
                <w:b/>
                <w:bCs/>
                <w:sz w:val="18"/>
                <w:szCs w:val="18"/>
              </w:rPr>
            </w:pPr>
            <w:r w:rsidRPr="00A57F85">
              <w:rPr>
                <w:rFonts w:ascii="宋体" w:hAnsi="宋体" w:cs="Calibri"/>
                <w:b/>
                <w:bCs/>
                <w:sz w:val="18"/>
                <w:szCs w:val="18"/>
              </w:rPr>
              <w:t>Kurtosis</w:t>
            </w:r>
          </w:p>
        </w:tc>
        <w:tc>
          <w:tcPr>
            <w:tcW w:w="660" w:type="dxa"/>
            <w:tcBorders>
              <w:top w:val="nil"/>
              <w:left w:val="nil"/>
              <w:bottom w:val="nil"/>
              <w:right w:val="nil"/>
            </w:tcBorders>
            <w:shd w:val="clear" w:color="auto" w:fill="auto"/>
            <w:vAlign w:val="bottom"/>
            <w:hideMark/>
          </w:tcPr>
          <w:p w14:paraId="26DDA838"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4.1115</w:t>
            </w:r>
          </w:p>
        </w:tc>
        <w:tc>
          <w:tcPr>
            <w:tcW w:w="660" w:type="dxa"/>
            <w:tcBorders>
              <w:top w:val="nil"/>
              <w:left w:val="nil"/>
              <w:bottom w:val="nil"/>
              <w:right w:val="nil"/>
            </w:tcBorders>
            <w:shd w:val="clear" w:color="auto" w:fill="auto"/>
            <w:vAlign w:val="bottom"/>
            <w:hideMark/>
          </w:tcPr>
          <w:p w14:paraId="208B3B3F"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3.4590</w:t>
            </w:r>
          </w:p>
        </w:tc>
        <w:tc>
          <w:tcPr>
            <w:tcW w:w="640" w:type="dxa"/>
            <w:tcBorders>
              <w:top w:val="nil"/>
              <w:left w:val="nil"/>
              <w:bottom w:val="nil"/>
              <w:right w:val="nil"/>
            </w:tcBorders>
            <w:shd w:val="clear" w:color="auto" w:fill="auto"/>
            <w:vAlign w:val="bottom"/>
            <w:hideMark/>
          </w:tcPr>
          <w:p w14:paraId="186C9DA1"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3.8884</w:t>
            </w:r>
          </w:p>
        </w:tc>
        <w:tc>
          <w:tcPr>
            <w:tcW w:w="760" w:type="dxa"/>
            <w:tcBorders>
              <w:top w:val="nil"/>
              <w:left w:val="nil"/>
              <w:bottom w:val="nil"/>
              <w:right w:val="nil"/>
            </w:tcBorders>
            <w:shd w:val="clear" w:color="auto" w:fill="auto"/>
            <w:vAlign w:val="bottom"/>
            <w:hideMark/>
          </w:tcPr>
          <w:p w14:paraId="19E7F6BE"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3.0115</w:t>
            </w:r>
          </w:p>
        </w:tc>
        <w:tc>
          <w:tcPr>
            <w:tcW w:w="640" w:type="dxa"/>
            <w:tcBorders>
              <w:top w:val="nil"/>
              <w:left w:val="nil"/>
              <w:bottom w:val="nil"/>
              <w:right w:val="nil"/>
            </w:tcBorders>
            <w:shd w:val="clear" w:color="auto" w:fill="auto"/>
            <w:vAlign w:val="bottom"/>
            <w:hideMark/>
          </w:tcPr>
          <w:p w14:paraId="72F194E9"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3.5390</w:t>
            </w:r>
          </w:p>
        </w:tc>
        <w:tc>
          <w:tcPr>
            <w:tcW w:w="740" w:type="dxa"/>
            <w:tcBorders>
              <w:top w:val="nil"/>
              <w:left w:val="nil"/>
              <w:bottom w:val="nil"/>
              <w:right w:val="nil"/>
            </w:tcBorders>
            <w:shd w:val="clear" w:color="auto" w:fill="auto"/>
            <w:vAlign w:val="bottom"/>
            <w:hideMark/>
          </w:tcPr>
          <w:p w14:paraId="38EAB032"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9.5942</w:t>
            </w:r>
          </w:p>
        </w:tc>
        <w:tc>
          <w:tcPr>
            <w:tcW w:w="760" w:type="dxa"/>
            <w:tcBorders>
              <w:top w:val="nil"/>
              <w:left w:val="nil"/>
              <w:bottom w:val="nil"/>
              <w:right w:val="nil"/>
            </w:tcBorders>
            <w:shd w:val="clear" w:color="auto" w:fill="auto"/>
            <w:vAlign w:val="bottom"/>
            <w:hideMark/>
          </w:tcPr>
          <w:p w14:paraId="1E764A41"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5.2051</w:t>
            </w:r>
          </w:p>
        </w:tc>
        <w:tc>
          <w:tcPr>
            <w:tcW w:w="740" w:type="dxa"/>
            <w:tcBorders>
              <w:top w:val="nil"/>
              <w:left w:val="nil"/>
              <w:bottom w:val="nil"/>
              <w:right w:val="nil"/>
            </w:tcBorders>
            <w:shd w:val="clear" w:color="auto" w:fill="auto"/>
            <w:vAlign w:val="bottom"/>
            <w:hideMark/>
          </w:tcPr>
          <w:p w14:paraId="3B0B5C28"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4.7874</w:t>
            </w:r>
          </w:p>
        </w:tc>
      </w:tr>
      <w:tr w:rsidR="00A57F85" w:rsidRPr="00A57F85" w14:paraId="7ECECA10" w14:textId="77777777" w:rsidTr="00A57F85">
        <w:trPr>
          <w:trHeight w:val="280"/>
        </w:trPr>
        <w:tc>
          <w:tcPr>
            <w:tcW w:w="1080" w:type="dxa"/>
            <w:tcBorders>
              <w:top w:val="nil"/>
              <w:left w:val="nil"/>
              <w:bottom w:val="nil"/>
              <w:right w:val="nil"/>
            </w:tcBorders>
            <w:shd w:val="clear" w:color="auto" w:fill="auto"/>
            <w:vAlign w:val="center"/>
            <w:hideMark/>
          </w:tcPr>
          <w:p w14:paraId="1E81D1B4" w14:textId="77777777" w:rsidR="00A57F85" w:rsidRPr="00A57F85" w:rsidRDefault="00A57F85" w:rsidP="00A57F85">
            <w:pPr>
              <w:spacing w:line="360" w:lineRule="auto"/>
              <w:jc w:val="center"/>
              <w:rPr>
                <w:rFonts w:ascii="宋体" w:hAnsi="宋体" w:cs="Calibri"/>
                <w:b/>
                <w:bCs/>
                <w:sz w:val="18"/>
                <w:szCs w:val="18"/>
              </w:rPr>
            </w:pPr>
            <w:r w:rsidRPr="00A57F85">
              <w:rPr>
                <w:rFonts w:ascii="宋体" w:hAnsi="宋体" w:cs="Calibri"/>
                <w:b/>
                <w:bCs/>
                <w:sz w:val="18"/>
                <w:szCs w:val="18"/>
              </w:rPr>
              <w:t>Jarque-Bera</w:t>
            </w:r>
          </w:p>
        </w:tc>
        <w:tc>
          <w:tcPr>
            <w:tcW w:w="660" w:type="dxa"/>
            <w:tcBorders>
              <w:top w:val="nil"/>
              <w:left w:val="nil"/>
              <w:bottom w:val="nil"/>
              <w:right w:val="nil"/>
            </w:tcBorders>
            <w:shd w:val="clear" w:color="auto" w:fill="auto"/>
            <w:vAlign w:val="bottom"/>
            <w:hideMark/>
          </w:tcPr>
          <w:p w14:paraId="7556BB95"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12.0359</w:t>
            </w:r>
          </w:p>
        </w:tc>
        <w:tc>
          <w:tcPr>
            <w:tcW w:w="660" w:type="dxa"/>
            <w:tcBorders>
              <w:top w:val="nil"/>
              <w:left w:val="nil"/>
              <w:bottom w:val="nil"/>
              <w:right w:val="nil"/>
            </w:tcBorders>
            <w:shd w:val="clear" w:color="auto" w:fill="auto"/>
            <w:vAlign w:val="bottom"/>
            <w:hideMark/>
          </w:tcPr>
          <w:p w14:paraId="1B673120"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3.5163</w:t>
            </w:r>
          </w:p>
        </w:tc>
        <w:tc>
          <w:tcPr>
            <w:tcW w:w="640" w:type="dxa"/>
            <w:tcBorders>
              <w:top w:val="nil"/>
              <w:left w:val="nil"/>
              <w:bottom w:val="nil"/>
              <w:right w:val="nil"/>
            </w:tcBorders>
            <w:shd w:val="clear" w:color="auto" w:fill="auto"/>
            <w:vAlign w:val="bottom"/>
            <w:hideMark/>
          </w:tcPr>
          <w:p w14:paraId="60D464FA"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10.9095</w:t>
            </w:r>
          </w:p>
        </w:tc>
        <w:tc>
          <w:tcPr>
            <w:tcW w:w="760" w:type="dxa"/>
            <w:tcBorders>
              <w:top w:val="nil"/>
              <w:left w:val="nil"/>
              <w:bottom w:val="nil"/>
              <w:right w:val="nil"/>
            </w:tcBorders>
            <w:shd w:val="clear" w:color="auto" w:fill="auto"/>
            <w:vAlign w:val="bottom"/>
            <w:hideMark/>
          </w:tcPr>
          <w:p w14:paraId="4F32A82E"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0.4987</w:t>
            </w:r>
          </w:p>
        </w:tc>
        <w:tc>
          <w:tcPr>
            <w:tcW w:w="640" w:type="dxa"/>
            <w:tcBorders>
              <w:top w:val="nil"/>
              <w:left w:val="nil"/>
              <w:bottom w:val="nil"/>
              <w:right w:val="nil"/>
            </w:tcBorders>
            <w:shd w:val="clear" w:color="auto" w:fill="auto"/>
            <w:vAlign w:val="bottom"/>
            <w:hideMark/>
          </w:tcPr>
          <w:p w14:paraId="656AD2FC"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2.8422</w:t>
            </w:r>
          </w:p>
        </w:tc>
        <w:tc>
          <w:tcPr>
            <w:tcW w:w="740" w:type="dxa"/>
            <w:tcBorders>
              <w:top w:val="nil"/>
              <w:left w:val="nil"/>
              <w:bottom w:val="nil"/>
              <w:right w:val="nil"/>
            </w:tcBorders>
            <w:shd w:val="clear" w:color="auto" w:fill="auto"/>
            <w:vAlign w:val="bottom"/>
            <w:hideMark/>
          </w:tcPr>
          <w:p w14:paraId="4E2D0B6D"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590.1995</w:t>
            </w:r>
          </w:p>
        </w:tc>
        <w:tc>
          <w:tcPr>
            <w:tcW w:w="760" w:type="dxa"/>
            <w:tcBorders>
              <w:top w:val="nil"/>
              <w:left w:val="nil"/>
              <w:bottom w:val="nil"/>
              <w:right w:val="nil"/>
            </w:tcBorders>
            <w:shd w:val="clear" w:color="auto" w:fill="auto"/>
            <w:vAlign w:val="bottom"/>
            <w:hideMark/>
          </w:tcPr>
          <w:p w14:paraId="311C346F"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59.2113</w:t>
            </w:r>
          </w:p>
        </w:tc>
        <w:tc>
          <w:tcPr>
            <w:tcW w:w="740" w:type="dxa"/>
            <w:tcBorders>
              <w:top w:val="nil"/>
              <w:left w:val="nil"/>
              <w:bottom w:val="nil"/>
              <w:right w:val="nil"/>
            </w:tcBorders>
            <w:shd w:val="clear" w:color="auto" w:fill="auto"/>
            <w:vAlign w:val="bottom"/>
            <w:hideMark/>
          </w:tcPr>
          <w:p w14:paraId="22144604"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107.7999</w:t>
            </w:r>
          </w:p>
        </w:tc>
      </w:tr>
      <w:tr w:rsidR="00A57F85" w:rsidRPr="00A57F85" w14:paraId="28B21BB2" w14:textId="77777777" w:rsidTr="00A57F85">
        <w:trPr>
          <w:trHeight w:val="280"/>
        </w:trPr>
        <w:tc>
          <w:tcPr>
            <w:tcW w:w="1080" w:type="dxa"/>
            <w:tcBorders>
              <w:top w:val="nil"/>
              <w:left w:val="nil"/>
              <w:bottom w:val="nil"/>
              <w:right w:val="nil"/>
            </w:tcBorders>
            <w:shd w:val="clear" w:color="auto" w:fill="auto"/>
            <w:vAlign w:val="center"/>
            <w:hideMark/>
          </w:tcPr>
          <w:p w14:paraId="5E2AB402" w14:textId="77777777" w:rsidR="00A57F85" w:rsidRPr="00A57F85" w:rsidRDefault="00A57F85" w:rsidP="00A57F85">
            <w:pPr>
              <w:spacing w:line="360" w:lineRule="auto"/>
              <w:jc w:val="center"/>
              <w:rPr>
                <w:rFonts w:ascii="宋体" w:hAnsi="宋体" w:cs="Calibri"/>
                <w:b/>
                <w:bCs/>
                <w:sz w:val="18"/>
                <w:szCs w:val="18"/>
              </w:rPr>
            </w:pPr>
            <w:r w:rsidRPr="00A57F85">
              <w:rPr>
                <w:rFonts w:ascii="宋体" w:hAnsi="宋体" w:cs="Calibri"/>
                <w:b/>
                <w:bCs/>
                <w:sz w:val="18"/>
                <w:szCs w:val="18"/>
              </w:rPr>
              <w:t>Probability</w:t>
            </w:r>
          </w:p>
        </w:tc>
        <w:tc>
          <w:tcPr>
            <w:tcW w:w="660" w:type="dxa"/>
            <w:tcBorders>
              <w:top w:val="nil"/>
              <w:left w:val="nil"/>
              <w:bottom w:val="nil"/>
              <w:right w:val="nil"/>
            </w:tcBorders>
            <w:shd w:val="clear" w:color="auto" w:fill="auto"/>
            <w:vAlign w:val="bottom"/>
            <w:hideMark/>
          </w:tcPr>
          <w:p w14:paraId="274895A8"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0.0024</w:t>
            </w:r>
          </w:p>
        </w:tc>
        <w:tc>
          <w:tcPr>
            <w:tcW w:w="660" w:type="dxa"/>
            <w:tcBorders>
              <w:top w:val="nil"/>
              <w:left w:val="nil"/>
              <w:bottom w:val="nil"/>
              <w:right w:val="nil"/>
            </w:tcBorders>
            <w:shd w:val="clear" w:color="auto" w:fill="auto"/>
            <w:vAlign w:val="bottom"/>
            <w:hideMark/>
          </w:tcPr>
          <w:p w14:paraId="26A21B36"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0.1724</w:t>
            </w:r>
          </w:p>
        </w:tc>
        <w:tc>
          <w:tcPr>
            <w:tcW w:w="640" w:type="dxa"/>
            <w:tcBorders>
              <w:top w:val="nil"/>
              <w:left w:val="nil"/>
              <w:bottom w:val="nil"/>
              <w:right w:val="nil"/>
            </w:tcBorders>
            <w:shd w:val="clear" w:color="auto" w:fill="auto"/>
            <w:vAlign w:val="bottom"/>
            <w:hideMark/>
          </w:tcPr>
          <w:p w14:paraId="33FA9D8A"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0.0043</w:t>
            </w:r>
          </w:p>
        </w:tc>
        <w:tc>
          <w:tcPr>
            <w:tcW w:w="760" w:type="dxa"/>
            <w:tcBorders>
              <w:top w:val="nil"/>
              <w:left w:val="nil"/>
              <w:bottom w:val="nil"/>
              <w:right w:val="nil"/>
            </w:tcBorders>
            <w:shd w:val="clear" w:color="auto" w:fill="auto"/>
            <w:vAlign w:val="bottom"/>
            <w:hideMark/>
          </w:tcPr>
          <w:p w14:paraId="307A9671"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0.7793</w:t>
            </w:r>
          </w:p>
        </w:tc>
        <w:tc>
          <w:tcPr>
            <w:tcW w:w="640" w:type="dxa"/>
            <w:tcBorders>
              <w:top w:val="nil"/>
              <w:left w:val="nil"/>
              <w:bottom w:val="nil"/>
              <w:right w:val="nil"/>
            </w:tcBorders>
            <w:shd w:val="clear" w:color="auto" w:fill="auto"/>
            <w:vAlign w:val="bottom"/>
            <w:hideMark/>
          </w:tcPr>
          <w:p w14:paraId="69EA48B0"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0.2414</w:t>
            </w:r>
          </w:p>
        </w:tc>
        <w:tc>
          <w:tcPr>
            <w:tcW w:w="740" w:type="dxa"/>
            <w:tcBorders>
              <w:top w:val="nil"/>
              <w:left w:val="nil"/>
              <w:bottom w:val="nil"/>
              <w:right w:val="nil"/>
            </w:tcBorders>
            <w:shd w:val="clear" w:color="auto" w:fill="auto"/>
            <w:vAlign w:val="bottom"/>
            <w:hideMark/>
          </w:tcPr>
          <w:p w14:paraId="5BF36765"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0.0000</w:t>
            </w:r>
          </w:p>
        </w:tc>
        <w:tc>
          <w:tcPr>
            <w:tcW w:w="760" w:type="dxa"/>
            <w:tcBorders>
              <w:top w:val="nil"/>
              <w:left w:val="nil"/>
              <w:bottom w:val="nil"/>
              <w:right w:val="nil"/>
            </w:tcBorders>
            <w:shd w:val="clear" w:color="auto" w:fill="auto"/>
            <w:vAlign w:val="bottom"/>
            <w:hideMark/>
          </w:tcPr>
          <w:p w14:paraId="23D27744"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0.0000</w:t>
            </w:r>
          </w:p>
        </w:tc>
        <w:tc>
          <w:tcPr>
            <w:tcW w:w="740" w:type="dxa"/>
            <w:tcBorders>
              <w:top w:val="nil"/>
              <w:left w:val="nil"/>
              <w:bottom w:val="nil"/>
              <w:right w:val="nil"/>
            </w:tcBorders>
            <w:shd w:val="clear" w:color="auto" w:fill="auto"/>
            <w:vAlign w:val="bottom"/>
            <w:hideMark/>
          </w:tcPr>
          <w:p w14:paraId="5C3642EB"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0.0000</w:t>
            </w:r>
          </w:p>
        </w:tc>
      </w:tr>
      <w:tr w:rsidR="00A57F85" w:rsidRPr="00A57F85" w14:paraId="007EA357" w14:textId="77777777" w:rsidTr="00A57F85">
        <w:trPr>
          <w:trHeight w:val="280"/>
        </w:trPr>
        <w:tc>
          <w:tcPr>
            <w:tcW w:w="1080" w:type="dxa"/>
            <w:tcBorders>
              <w:top w:val="nil"/>
              <w:left w:val="nil"/>
              <w:bottom w:val="nil"/>
              <w:right w:val="nil"/>
            </w:tcBorders>
            <w:shd w:val="clear" w:color="auto" w:fill="auto"/>
            <w:vAlign w:val="center"/>
            <w:hideMark/>
          </w:tcPr>
          <w:p w14:paraId="53DD4BD6" w14:textId="77777777" w:rsidR="00A57F85" w:rsidRPr="00A57F85" w:rsidRDefault="00A57F85" w:rsidP="00A57F85">
            <w:pPr>
              <w:spacing w:line="360" w:lineRule="auto"/>
              <w:jc w:val="center"/>
              <w:rPr>
                <w:rFonts w:ascii="宋体" w:hAnsi="宋体" w:cs="Calibri"/>
                <w:b/>
                <w:bCs/>
                <w:sz w:val="18"/>
                <w:szCs w:val="18"/>
              </w:rPr>
            </w:pPr>
            <w:r w:rsidRPr="00A57F85">
              <w:rPr>
                <w:rFonts w:ascii="宋体" w:hAnsi="宋体" w:cs="Calibri"/>
                <w:b/>
                <w:bCs/>
                <w:sz w:val="18"/>
                <w:szCs w:val="18"/>
              </w:rPr>
              <w:t>Sum</w:t>
            </w:r>
          </w:p>
        </w:tc>
        <w:tc>
          <w:tcPr>
            <w:tcW w:w="660" w:type="dxa"/>
            <w:tcBorders>
              <w:top w:val="nil"/>
              <w:left w:val="nil"/>
              <w:bottom w:val="nil"/>
              <w:right w:val="nil"/>
            </w:tcBorders>
            <w:shd w:val="clear" w:color="auto" w:fill="auto"/>
            <w:vAlign w:val="bottom"/>
            <w:hideMark/>
          </w:tcPr>
          <w:p w14:paraId="6BB33837"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1.6539</w:t>
            </w:r>
          </w:p>
        </w:tc>
        <w:tc>
          <w:tcPr>
            <w:tcW w:w="660" w:type="dxa"/>
            <w:tcBorders>
              <w:top w:val="nil"/>
              <w:left w:val="nil"/>
              <w:bottom w:val="nil"/>
              <w:right w:val="nil"/>
            </w:tcBorders>
            <w:shd w:val="clear" w:color="auto" w:fill="auto"/>
            <w:vAlign w:val="bottom"/>
            <w:hideMark/>
          </w:tcPr>
          <w:p w14:paraId="55809043"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0.0875</w:t>
            </w:r>
          </w:p>
        </w:tc>
        <w:tc>
          <w:tcPr>
            <w:tcW w:w="640" w:type="dxa"/>
            <w:tcBorders>
              <w:top w:val="nil"/>
              <w:left w:val="nil"/>
              <w:bottom w:val="nil"/>
              <w:right w:val="nil"/>
            </w:tcBorders>
            <w:shd w:val="clear" w:color="auto" w:fill="auto"/>
            <w:vAlign w:val="bottom"/>
            <w:hideMark/>
          </w:tcPr>
          <w:p w14:paraId="402B44F7"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1.1282</w:t>
            </w:r>
          </w:p>
        </w:tc>
        <w:tc>
          <w:tcPr>
            <w:tcW w:w="760" w:type="dxa"/>
            <w:tcBorders>
              <w:top w:val="nil"/>
              <w:left w:val="nil"/>
              <w:bottom w:val="nil"/>
              <w:right w:val="nil"/>
            </w:tcBorders>
            <w:shd w:val="clear" w:color="auto" w:fill="auto"/>
            <w:vAlign w:val="bottom"/>
            <w:hideMark/>
          </w:tcPr>
          <w:p w14:paraId="57017D6A"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1.0465</w:t>
            </w:r>
          </w:p>
        </w:tc>
        <w:tc>
          <w:tcPr>
            <w:tcW w:w="640" w:type="dxa"/>
            <w:tcBorders>
              <w:top w:val="nil"/>
              <w:left w:val="nil"/>
              <w:bottom w:val="nil"/>
              <w:right w:val="nil"/>
            </w:tcBorders>
            <w:shd w:val="clear" w:color="auto" w:fill="auto"/>
            <w:vAlign w:val="bottom"/>
            <w:hideMark/>
          </w:tcPr>
          <w:p w14:paraId="6F35227F"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1.1339</w:t>
            </w:r>
          </w:p>
        </w:tc>
        <w:tc>
          <w:tcPr>
            <w:tcW w:w="740" w:type="dxa"/>
            <w:tcBorders>
              <w:top w:val="nil"/>
              <w:left w:val="nil"/>
              <w:bottom w:val="nil"/>
              <w:right w:val="nil"/>
            </w:tcBorders>
            <w:shd w:val="clear" w:color="auto" w:fill="auto"/>
            <w:vAlign w:val="bottom"/>
            <w:hideMark/>
          </w:tcPr>
          <w:p w14:paraId="64795DEB"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393.8247</w:t>
            </w:r>
          </w:p>
        </w:tc>
        <w:tc>
          <w:tcPr>
            <w:tcW w:w="760" w:type="dxa"/>
            <w:tcBorders>
              <w:top w:val="nil"/>
              <w:left w:val="nil"/>
              <w:bottom w:val="nil"/>
              <w:right w:val="nil"/>
            </w:tcBorders>
            <w:shd w:val="clear" w:color="auto" w:fill="auto"/>
            <w:vAlign w:val="bottom"/>
            <w:hideMark/>
          </w:tcPr>
          <w:p w14:paraId="1F14DCE9"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0.6540</w:t>
            </w:r>
          </w:p>
        </w:tc>
        <w:tc>
          <w:tcPr>
            <w:tcW w:w="740" w:type="dxa"/>
            <w:tcBorders>
              <w:top w:val="nil"/>
              <w:left w:val="nil"/>
              <w:bottom w:val="nil"/>
              <w:right w:val="nil"/>
            </w:tcBorders>
            <w:shd w:val="clear" w:color="auto" w:fill="auto"/>
            <w:vAlign w:val="bottom"/>
            <w:hideMark/>
          </w:tcPr>
          <w:p w14:paraId="7E6B96A1"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3.1797</w:t>
            </w:r>
          </w:p>
        </w:tc>
      </w:tr>
      <w:tr w:rsidR="00A57F85" w:rsidRPr="00A57F85" w14:paraId="23084F11" w14:textId="77777777" w:rsidTr="00A57F85">
        <w:trPr>
          <w:trHeight w:val="280"/>
        </w:trPr>
        <w:tc>
          <w:tcPr>
            <w:tcW w:w="1080" w:type="dxa"/>
            <w:tcBorders>
              <w:top w:val="nil"/>
              <w:left w:val="nil"/>
              <w:bottom w:val="nil"/>
              <w:right w:val="nil"/>
            </w:tcBorders>
            <w:shd w:val="clear" w:color="auto" w:fill="auto"/>
            <w:vAlign w:val="center"/>
            <w:hideMark/>
          </w:tcPr>
          <w:p w14:paraId="154CF608" w14:textId="77777777" w:rsidR="00A57F85" w:rsidRPr="00A57F85" w:rsidRDefault="00A57F85" w:rsidP="00A57F85">
            <w:pPr>
              <w:spacing w:line="360" w:lineRule="auto"/>
              <w:jc w:val="center"/>
              <w:rPr>
                <w:rFonts w:ascii="宋体" w:hAnsi="宋体" w:cs="Calibri"/>
                <w:b/>
                <w:bCs/>
                <w:sz w:val="18"/>
                <w:szCs w:val="18"/>
              </w:rPr>
            </w:pPr>
            <w:r w:rsidRPr="00A57F85">
              <w:rPr>
                <w:rFonts w:ascii="宋体" w:hAnsi="宋体" w:cs="Calibri"/>
                <w:b/>
                <w:bCs/>
                <w:sz w:val="18"/>
                <w:szCs w:val="18"/>
              </w:rPr>
              <w:t>Sum Sq.Dev</w:t>
            </w:r>
          </w:p>
        </w:tc>
        <w:tc>
          <w:tcPr>
            <w:tcW w:w="660" w:type="dxa"/>
            <w:tcBorders>
              <w:top w:val="nil"/>
              <w:left w:val="nil"/>
              <w:bottom w:val="nil"/>
              <w:right w:val="nil"/>
            </w:tcBorders>
            <w:shd w:val="clear" w:color="auto" w:fill="auto"/>
            <w:vAlign w:val="bottom"/>
            <w:hideMark/>
          </w:tcPr>
          <w:p w14:paraId="448757F1"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50.6185</w:t>
            </w:r>
          </w:p>
        </w:tc>
        <w:tc>
          <w:tcPr>
            <w:tcW w:w="660" w:type="dxa"/>
            <w:tcBorders>
              <w:top w:val="nil"/>
              <w:left w:val="nil"/>
              <w:bottom w:val="nil"/>
              <w:right w:val="nil"/>
            </w:tcBorders>
            <w:shd w:val="clear" w:color="auto" w:fill="auto"/>
            <w:vAlign w:val="bottom"/>
            <w:hideMark/>
          </w:tcPr>
          <w:p w14:paraId="17457F06"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41.1155</w:t>
            </w:r>
          </w:p>
        </w:tc>
        <w:tc>
          <w:tcPr>
            <w:tcW w:w="640" w:type="dxa"/>
            <w:tcBorders>
              <w:top w:val="nil"/>
              <w:left w:val="nil"/>
              <w:bottom w:val="nil"/>
              <w:right w:val="nil"/>
            </w:tcBorders>
            <w:shd w:val="clear" w:color="auto" w:fill="auto"/>
            <w:vAlign w:val="bottom"/>
            <w:hideMark/>
          </w:tcPr>
          <w:p w14:paraId="6026C977"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47.8282</w:t>
            </w:r>
          </w:p>
        </w:tc>
        <w:tc>
          <w:tcPr>
            <w:tcW w:w="760" w:type="dxa"/>
            <w:tcBorders>
              <w:top w:val="nil"/>
              <w:left w:val="nil"/>
              <w:bottom w:val="nil"/>
              <w:right w:val="nil"/>
            </w:tcBorders>
            <w:shd w:val="clear" w:color="auto" w:fill="auto"/>
            <w:vAlign w:val="bottom"/>
            <w:hideMark/>
          </w:tcPr>
          <w:p w14:paraId="4B0BD497"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21.2519</w:t>
            </w:r>
          </w:p>
        </w:tc>
        <w:tc>
          <w:tcPr>
            <w:tcW w:w="640" w:type="dxa"/>
            <w:tcBorders>
              <w:top w:val="nil"/>
              <w:left w:val="nil"/>
              <w:bottom w:val="nil"/>
              <w:right w:val="nil"/>
            </w:tcBorders>
            <w:shd w:val="clear" w:color="auto" w:fill="auto"/>
            <w:vAlign w:val="bottom"/>
            <w:hideMark/>
          </w:tcPr>
          <w:p w14:paraId="1FE77016"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76.5875</w:t>
            </w:r>
          </w:p>
        </w:tc>
        <w:tc>
          <w:tcPr>
            <w:tcW w:w="740" w:type="dxa"/>
            <w:tcBorders>
              <w:top w:val="nil"/>
              <w:left w:val="nil"/>
              <w:bottom w:val="nil"/>
              <w:right w:val="nil"/>
            </w:tcBorders>
            <w:shd w:val="clear" w:color="auto" w:fill="auto"/>
            <w:vAlign w:val="bottom"/>
            <w:hideMark/>
          </w:tcPr>
          <w:p w14:paraId="0CC3BD8F"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245.0292</w:t>
            </w:r>
          </w:p>
        </w:tc>
        <w:tc>
          <w:tcPr>
            <w:tcW w:w="760" w:type="dxa"/>
            <w:tcBorders>
              <w:top w:val="nil"/>
              <w:left w:val="nil"/>
              <w:bottom w:val="nil"/>
              <w:right w:val="nil"/>
            </w:tcBorders>
            <w:shd w:val="clear" w:color="auto" w:fill="auto"/>
            <w:vAlign w:val="bottom"/>
            <w:hideMark/>
          </w:tcPr>
          <w:p w14:paraId="4C4BC7F4"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1.3039</w:t>
            </w:r>
          </w:p>
        </w:tc>
        <w:tc>
          <w:tcPr>
            <w:tcW w:w="740" w:type="dxa"/>
            <w:tcBorders>
              <w:top w:val="nil"/>
              <w:left w:val="nil"/>
              <w:bottom w:val="nil"/>
              <w:right w:val="nil"/>
            </w:tcBorders>
            <w:shd w:val="clear" w:color="auto" w:fill="auto"/>
            <w:vAlign w:val="bottom"/>
            <w:hideMark/>
          </w:tcPr>
          <w:p w14:paraId="1242AD8A"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0.0113</w:t>
            </w:r>
          </w:p>
        </w:tc>
      </w:tr>
      <w:tr w:rsidR="00A57F85" w:rsidRPr="00A57F85" w14:paraId="2F9FF3E8" w14:textId="77777777" w:rsidTr="00A57F85">
        <w:trPr>
          <w:trHeight w:val="280"/>
        </w:trPr>
        <w:tc>
          <w:tcPr>
            <w:tcW w:w="1080" w:type="dxa"/>
            <w:tcBorders>
              <w:top w:val="nil"/>
              <w:left w:val="nil"/>
              <w:bottom w:val="single" w:sz="4" w:space="0" w:color="auto"/>
              <w:right w:val="nil"/>
            </w:tcBorders>
            <w:shd w:val="clear" w:color="auto" w:fill="auto"/>
            <w:vAlign w:val="center"/>
            <w:hideMark/>
          </w:tcPr>
          <w:p w14:paraId="10CE010A" w14:textId="77777777" w:rsidR="00A57F85" w:rsidRPr="00A57F85" w:rsidRDefault="00A57F85" w:rsidP="00A57F85">
            <w:pPr>
              <w:spacing w:line="360" w:lineRule="auto"/>
              <w:jc w:val="center"/>
              <w:rPr>
                <w:rFonts w:ascii="宋体" w:hAnsi="宋体" w:cs="Calibri"/>
                <w:b/>
                <w:bCs/>
                <w:sz w:val="18"/>
                <w:szCs w:val="18"/>
              </w:rPr>
            </w:pPr>
            <w:r w:rsidRPr="00A57F85">
              <w:rPr>
                <w:rFonts w:ascii="宋体" w:hAnsi="宋体" w:cs="Calibri"/>
                <w:b/>
                <w:bCs/>
                <w:sz w:val="18"/>
                <w:szCs w:val="18"/>
              </w:rPr>
              <w:t>Observations</w:t>
            </w:r>
          </w:p>
        </w:tc>
        <w:tc>
          <w:tcPr>
            <w:tcW w:w="660" w:type="dxa"/>
            <w:tcBorders>
              <w:top w:val="nil"/>
              <w:left w:val="nil"/>
              <w:bottom w:val="single" w:sz="4" w:space="0" w:color="auto"/>
              <w:right w:val="nil"/>
            </w:tcBorders>
            <w:shd w:val="clear" w:color="auto" w:fill="auto"/>
            <w:vAlign w:val="bottom"/>
            <w:hideMark/>
          </w:tcPr>
          <w:p w14:paraId="4A0AA982"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233</w:t>
            </w:r>
          </w:p>
        </w:tc>
        <w:tc>
          <w:tcPr>
            <w:tcW w:w="660" w:type="dxa"/>
            <w:tcBorders>
              <w:top w:val="nil"/>
              <w:left w:val="nil"/>
              <w:bottom w:val="single" w:sz="4" w:space="0" w:color="auto"/>
              <w:right w:val="nil"/>
            </w:tcBorders>
            <w:shd w:val="clear" w:color="auto" w:fill="auto"/>
            <w:vAlign w:val="bottom"/>
            <w:hideMark/>
          </w:tcPr>
          <w:p w14:paraId="1615C801"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233</w:t>
            </w:r>
          </w:p>
        </w:tc>
        <w:tc>
          <w:tcPr>
            <w:tcW w:w="640" w:type="dxa"/>
            <w:tcBorders>
              <w:top w:val="nil"/>
              <w:left w:val="nil"/>
              <w:bottom w:val="single" w:sz="4" w:space="0" w:color="auto"/>
              <w:right w:val="nil"/>
            </w:tcBorders>
            <w:shd w:val="clear" w:color="auto" w:fill="auto"/>
            <w:vAlign w:val="bottom"/>
            <w:hideMark/>
          </w:tcPr>
          <w:p w14:paraId="5CA697CB"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233</w:t>
            </w:r>
          </w:p>
        </w:tc>
        <w:tc>
          <w:tcPr>
            <w:tcW w:w="760" w:type="dxa"/>
            <w:tcBorders>
              <w:top w:val="nil"/>
              <w:left w:val="nil"/>
              <w:bottom w:val="single" w:sz="4" w:space="0" w:color="auto"/>
              <w:right w:val="nil"/>
            </w:tcBorders>
            <w:shd w:val="clear" w:color="auto" w:fill="auto"/>
            <w:vAlign w:val="bottom"/>
            <w:hideMark/>
          </w:tcPr>
          <w:p w14:paraId="7E1A20E2"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233</w:t>
            </w:r>
          </w:p>
        </w:tc>
        <w:tc>
          <w:tcPr>
            <w:tcW w:w="640" w:type="dxa"/>
            <w:tcBorders>
              <w:top w:val="nil"/>
              <w:left w:val="nil"/>
              <w:bottom w:val="single" w:sz="4" w:space="0" w:color="auto"/>
              <w:right w:val="nil"/>
            </w:tcBorders>
            <w:shd w:val="clear" w:color="auto" w:fill="auto"/>
            <w:vAlign w:val="bottom"/>
            <w:hideMark/>
          </w:tcPr>
          <w:p w14:paraId="4B6C6BA5"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233</w:t>
            </w:r>
          </w:p>
        </w:tc>
        <w:tc>
          <w:tcPr>
            <w:tcW w:w="740" w:type="dxa"/>
            <w:tcBorders>
              <w:top w:val="nil"/>
              <w:left w:val="nil"/>
              <w:bottom w:val="single" w:sz="4" w:space="0" w:color="auto"/>
              <w:right w:val="nil"/>
            </w:tcBorders>
            <w:shd w:val="clear" w:color="auto" w:fill="auto"/>
            <w:vAlign w:val="bottom"/>
            <w:hideMark/>
          </w:tcPr>
          <w:p w14:paraId="196A885D"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233</w:t>
            </w:r>
          </w:p>
        </w:tc>
        <w:tc>
          <w:tcPr>
            <w:tcW w:w="760" w:type="dxa"/>
            <w:tcBorders>
              <w:top w:val="nil"/>
              <w:left w:val="nil"/>
              <w:bottom w:val="single" w:sz="4" w:space="0" w:color="auto"/>
              <w:right w:val="nil"/>
            </w:tcBorders>
            <w:shd w:val="clear" w:color="auto" w:fill="auto"/>
            <w:vAlign w:val="bottom"/>
            <w:hideMark/>
          </w:tcPr>
          <w:p w14:paraId="26FE0F16"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233</w:t>
            </w:r>
          </w:p>
        </w:tc>
        <w:tc>
          <w:tcPr>
            <w:tcW w:w="740" w:type="dxa"/>
            <w:tcBorders>
              <w:top w:val="nil"/>
              <w:left w:val="nil"/>
              <w:bottom w:val="single" w:sz="4" w:space="0" w:color="auto"/>
              <w:right w:val="nil"/>
            </w:tcBorders>
            <w:shd w:val="clear" w:color="auto" w:fill="auto"/>
            <w:vAlign w:val="bottom"/>
            <w:hideMark/>
          </w:tcPr>
          <w:p w14:paraId="7B95746A" w14:textId="77777777" w:rsidR="00A57F85" w:rsidRPr="00A57F85" w:rsidRDefault="00A57F85" w:rsidP="00A57F85">
            <w:pPr>
              <w:spacing w:line="360" w:lineRule="auto"/>
              <w:jc w:val="center"/>
              <w:rPr>
                <w:rFonts w:ascii="宋体" w:hAnsi="宋体" w:cs="Calibri"/>
                <w:color w:val="000000"/>
                <w:sz w:val="18"/>
                <w:szCs w:val="18"/>
              </w:rPr>
            </w:pPr>
            <w:r w:rsidRPr="00A57F85">
              <w:rPr>
                <w:rFonts w:ascii="宋体" w:hAnsi="宋体" w:cs="Calibri" w:hint="eastAsia"/>
                <w:color w:val="000000"/>
                <w:sz w:val="18"/>
                <w:szCs w:val="18"/>
              </w:rPr>
              <w:t>233</w:t>
            </w:r>
          </w:p>
        </w:tc>
      </w:tr>
    </w:tbl>
    <w:p w14:paraId="03A69719" w14:textId="67D4F841" w:rsidR="00052F31" w:rsidRPr="00715DC3" w:rsidRDefault="00052F31" w:rsidP="00715DC3">
      <w:pPr>
        <w:spacing w:after="120" w:line="360" w:lineRule="auto"/>
        <w:rPr>
          <w:rFonts w:ascii="宋体" w:hAnsi="宋体"/>
          <w:sz w:val="24"/>
        </w:rPr>
      </w:pPr>
    </w:p>
    <w:p w14:paraId="15841AA5" w14:textId="1F172038" w:rsidR="0056015F" w:rsidRDefault="00AA652E" w:rsidP="0056015F">
      <w:pPr>
        <w:keepNext/>
      </w:pPr>
      <w:r w:rsidRPr="00AA652E">
        <w:rPr>
          <w:noProof/>
        </w:rPr>
        <w:lastRenderedPageBreak/>
        <w:drawing>
          <wp:inline distT="0" distB="0" distL="0" distR="0" wp14:anchorId="6143E330" wp14:editId="3744DA6C">
            <wp:extent cx="5274310" cy="3264535"/>
            <wp:effectExtent l="0" t="0" r="2540" b="0"/>
            <wp:docPr id="2065266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64535"/>
                    </a:xfrm>
                    <a:prstGeom prst="rect">
                      <a:avLst/>
                    </a:prstGeom>
                    <a:noFill/>
                    <a:ln>
                      <a:noFill/>
                    </a:ln>
                  </pic:spPr>
                </pic:pic>
              </a:graphicData>
            </a:graphic>
          </wp:inline>
        </w:drawing>
      </w:r>
    </w:p>
    <w:p w14:paraId="14AE9215" w14:textId="126DFD74" w:rsidR="00715DC3" w:rsidRPr="0056015F" w:rsidRDefault="0056015F" w:rsidP="0056015F">
      <w:pPr>
        <w:pStyle w:val="Caption"/>
        <w:jc w:val="center"/>
        <w:rPr>
          <w:color w:val="auto"/>
        </w:rPr>
      </w:pPr>
      <w:r w:rsidRPr="0056015F">
        <w:rPr>
          <w:color w:val="auto"/>
        </w:rPr>
        <w:t xml:space="preserve">Figure </w:t>
      </w:r>
      <w:r w:rsidRPr="0056015F">
        <w:rPr>
          <w:color w:val="auto"/>
        </w:rPr>
        <w:fldChar w:fldCharType="begin"/>
      </w:r>
      <w:r w:rsidRPr="0056015F">
        <w:rPr>
          <w:color w:val="auto"/>
        </w:rPr>
        <w:instrText xml:space="preserve"> SEQ Figure \* ARABIC </w:instrText>
      </w:r>
      <w:r w:rsidRPr="0056015F">
        <w:rPr>
          <w:color w:val="auto"/>
        </w:rPr>
        <w:fldChar w:fldCharType="separate"/>
      </w:r>
      <w:r w:rsidR="00812280">
        <w:rPr>
          <w:noProof/>
          <w:color w:val="auto"/>
        </w:rPr>
        <w:t>2</w:t>
      </w:r>
      <w:r w:rsidRPr="0056015F">
        <w:rPr>
          <w:color w:val="auto"/>
        </w:rPr>
        <w:fldChar w:fldCharType="end"/>
      </w:r>
      <w:r w:rsidRPr="0056015F">
        <w:rPr>
          <w:color w:val="auto"/>
        </w:rPr>
        <w:t xml:space="preserve"> </w:t>
      </w:r>
      <w:r w:rsidRPr="0056015F">
        <w:rPr>
          <w:rFonts w:hint="eastAsia"/>
          <w:color w:val="auto"/>
        </w:rPr>
        <w:t>经济政策不确定性</w:t>
      </w:r>
      <w:r w:rsidR="00AA652E">
        <w:rPr>
          <w:rFonts w:hint="eastAsia"/>
          <w:color w:val="auto"/>
        </w:rPr>
        <w:t>波动率于股市指标</w:t>
      </w:r>
      <w:r w:rsidRPr="0056015F">
        <w:rPr>
          <w:rFonts w:hint="eastAsia"/>
          <w:color w:val="auto"/>
        </w:rPr>
        <w:t>走势图</w:t>
      </w:r>
    </w:p>
    <w:p w14:paraId="2DCF80E5" w14:textId="016FCB6A" w:rsidR="00BF27D6" w:rsidRPr="00786AE9" w:rsidRDefault="00A21D10" w:rsidP="003141E4">
      <w:pPr>
        <w:spacing w:after="120" w:line="360" w:lineRule="auto"/>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图2为经济政策不确定性以及</w:t>
      </w:r>
      <w:r w:rsidR="003141E4">
        <w:rPr>
          <w:rFonts w:ascii="宋体" w:hAnsi="宋体" w:hint="eastAsia"/>
          <w:sz w:val="24"/>
        </w:rPr>
        <w:t>股市波动率、收益率、换手率</w:t>
      </w:r>
      <w:r>
        <w:rPr>
          <w:rFonts w:ascii="宋体" w:hAnsi="宋体" w:hint="eastAsia"/>
          <w:sz w:val="24"/>
        </w:rPr>
        <w:t>的时序图。</w:t>
      </w:r>
      <w:r w:rsidR="00BD5C3D">
        <w:rPr>
          <w:rFonts w:ascii="宋体" w:hAnsi="宋体" w:hint="eastAsia"/>
          <w:sz w:val="24"/>
        </w:rPr>
        <w:t>由图可见，</w:t>
      </w:r>
      <w:r w:rsidR="00BF27D6" w:rsidRPr="00786AE9">
        <w:rPr>
          <w:rFonts w:ascii="宋体" w:hAnsi="宋体" w:hint="eastAsia"/>
          <w:sz w:val="24"/>
        </w:rPr>
        <w:t>股票市场指标与各政策不确定大小</w:t>
      </w:r>
      <w:r w:rsidR="00482A82">
        <w:rPr>
          <w:rFonts w:ascii="宋体" w:hAnsi="宋体" w:hint="eastAsia"/>
          <w:sz w:val="24"/>
        </w:rPr>
        <w:t>的波峰波谷</w:t>
      </w:r>
      <w:r w:rsidR="003141E4">
        <w:rPr>
          <w:rFonts w:ascii="宋体" w:hAnsi="宋体" w:hint="eastAsia"/>
          <w:sz w:val="24"/>
        </w:rPr>
        <w:t>相对应</w:t>
      </w:r>
      <w:r w:rsidR="00BF27D6" w:rsidRPr="00786AE9">
        <w:rPr>
          <w:rFonts w:ascii="宋体" w:hAnsi="宋体" w:hint="eastAsia"/>
          <w:sz w:val="24"/>
        </w:rPr>
        <w:t>，协同性较好。</w:t>
      </w:r>
    </w:p>
    <w:p w14:paraId="6D08824A" w14:textId="0135C374" w:rsidR="005E18BE" w:rsidRPr="004E5EAF" w:rsidRDefault="002B2EC0" w:rsidP="004E5EAF">
      <w:pPr>
        <w:pStyle w:val="3"/>
        <w:spacing w:before="156" w:after="156"/>
        <w:ind w:firstLine="560"/>
      </w:pPr>
      <w:bookmarkStart w:id="22" w:name="_Toc135748080"/>
      <w:r w:rsidRPr="004E5EAF">
        <w:t>3.2</w:t>
      </w:r>
      <w:r w:rsidR="004E5EAF" w:rsidRPr="004E5EAF">
        <w:t>.2</w:t>
      </w:r>
      <w:r w:rsidR="008E0499" w:rsidRPr="004E5EAF">
        <w:rPr>
          <w:rFonts w:hint="eastAsia"/>
        </w:rPr>
        <w:t>平稳性检验</w:t>
      </w:r>
      <w:bookmarkEnd w:id="22"/>
    </w:p>
    <w:p w14:paraId="5AB053B8" w14:textId="348485B1" w:rsidR="00853D79" w:rsidRPr="00853D79" w:rsidRDefault="00853D79" w:rsidP="00853D79">
      <w:pPr>
        <w:pStyle w:val="Caption"/>
        <w:keepNext/>
        <w:jc w:val="center"/>
        <w:rPr>
          <w:color w:val="auto"/>
        </w:rPr>
      </w:pPr>
      <w:r w:rsidRPr="00853D79">
        <w:rPr>
          <w:color w:val="auto"/>
        </w:rPr>
        <w:t xml:space="preserve">Table </w:t>
      </w:r>
      <w:r w:rsidRPr="00853D79">
        <w:rPr>
          <w:color w:val="auto"/>
        </w:rPr>
        <w:fldChar w:fldCharType="begin"/>
      </w:r>
      <w:r w:rsidRPr="00853D79">
        <w:rPr>
          <w:color w:val="auto"/>
        </w:rPr>
        <w:instrText xml:space="preserve"> SEQ Table \* ARABIC </w:instrText>
      </w:r>
      <w:r w:rsidRPr="00853D79">
        <w:rPr>
          <w:color w:val="auto"/>
        </w:rPr>
        <w:fldChar w:fldCharType="separate"/>
      </w:r>
      <w:r w:rsidR="007C5AAC">
        <w:rPr>
          <w:noProof/>
          <w:color w:val="auto"/>
        </w:rPr>
        <w:t>3</w:t>
      </w:r>
      <w:r w:rsidRPr="00853D79">
        <w:rPr>
          <w:color w:val="auto"/>
        </w:rPr>
        <w:fldChar w:fldCharType="end"/>
      </w:r>
      <w:r w:rsidRPr="00853D79">
        <w:rPr>
          <w:color w:val="auto"/>
        </w:rPr>
        <w:t xml:space="preserve">  </w:t>
      </w:r>
      <w:r w:rsidRPr="00853D79">
        <w:rPr>
          <w:rFonts w:hint="eastAsia"/>
          <w:color w:val="auto"/>
        </w:rPr>
        <w:t>ADF</w:t>
      </w:r>
      <w:r w:rsidRPr="00853D79">
        <w:rPr>
          <w:rFonts w:hint="eastAsia"/>
          <w:color w:val="auto"/>
        </w:rPr>
        <w:t>平稳健性检验结果</w:t>
      </w:r>
    </w:p>
    <w:tbl>
      <w:tblPr>
        <w:tblStyle w:val="PlainTable2"/>
        <w:tblW w:w="0" w:type="auto"/>
        <w:tblLayout w:type="fixed"/>
        <w:tblLook w:val="04A0" w:firstRow="1" w:lastRow="0" w:firstColumn="1" w:lastColumn="0" w:noHBand="0" w:noVBand="1"/>
      </w:tblPr>
      <w:tblGrid>
        <w:gridCol w:w="1437"/>
        <w:gridCol w:w="1540"/>
        <w:gridCol w:w="1134"/>
        <w:gridCol w:w="1113"/>
        <w:gridCol w:w="1155"/>
        <w:gridCol w:w="992"/>
        <w:gridCol w:w="935"/>
      </w:tblGrid>
      <w:tr w:rsidR="002272FF" w:rsidRPr="00572CAA" w14:paraId="59172FEB" w14:textId="77777777" w:rsidTr="00312B88">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7F7F7F" w:themeColor="text1" w:themeTint="80"/>
              <w:bottom w:val="single" w:sz="4" w:space="0" w:color="auto"/>
            </w:tcBorders>
            <w:vAlign w:val="center"/>
          </w:tcPr>
          <w:p w14:paraId="66CFAF9B" w14:textId="77777777" w:rsidR="00137DA3" w:rsidRPr="00572CAA" w:rsidRDefault="00137DA3" w:rsidP="008624E8">
            <w:pPr>
              <w:spacing w:line="360" w:lineRule="auto"/>
              <w:jc w:val="center"/>
              <w:rPr>
                <w:rFonts w:ascii="宋体" w:hAnsi="宋体" w:cs="Calibri"/>
                <w:color w:val="000000"/>
                <w:sz w:val="20"/>
                <w:szCs w:val="20"/>
              </w:rPr>
            </w:pPr>
            <w:r w:rsidRPr="00572CAA">
              <w:rPr>
                <w:rFonts w:ascii="宋体" w:hAnsi="宋体" w:cs="Calibri" w:hint="eastAsia"/>
                <w:color w:val="000000"/>
                <w:sz w:val="20"/>
                <w:szCs w:val="20"/>
              </w:rPr>
              <w:t>变量</w:t>
            </w:r>
          </w:p>
        </w:tc>
        <w:tc>
          <w:tcPr>
            <w:tcW w:w="1540" w:type="dxa"/>
            <w:tcBorders>
              <w:top w:val="single" w:sz="4" w:space="0" w:color="7F7F7F" w:themeColor="text1" w:themeTint="80"/>
              <w:bottom w:val="single" w:sz="4" w:space="0" w:color="auto"/>
            </w:tcBorders>
            <w:vAlign w:val="center"/>
          </w:tcPr>
          <w:p w14:paraId="4890B8FB" w14:textId="77777777" w:rsidR="00137DA3" w:rsidRPr="00572CAA" w:rsidRDefault="00137DA3" w:rsidP="008624E8">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hint="eastAsia"/>
                <w:color w:val="000000"/>
                <w:sz w:val="20"/>
                <w:szCs w:val="20"/>
              </w:rPr>
              <w:t>t</w:t>
            </w:r>
            <w:r w:rsidRPr="00572CAA">
              <w:rPr>
                <w:rFonts w:ascii="宋体" w:hAnsi="宋体" w:cs="Calibri"/>
                <w:color w:val="000000"/>
                <w:sz w:val="20"/>
                <w:szCs w:val="20"/>
              </w:rPr>
              <w:t>-statistic</w:t>
            </w:r>
          </w:p>
        </w:tc>
        <w:tc>
          <w:tcPr>
            <w:tcW w:w="1134" w:type="dxa"/>
            <w:tcBorders>
              <w:top w:val="single" w:sz="4" w:space="0" w:color="7F7F7F" w:themeColor="text1" w:themeTint="80"/>
              <w:bottom w:val="single" w:sz="4" w:space="0" w:color="auto"/>
            </w:tcBorders>
            <w:vAlign w:val="center"/>
          </w:tcPr>
          <w:p w14:paraId="73154FB2" w14:textId="77777777" w:rsidR="00137DA3" w:rsidRPr="00572CAA" w:rsidRDefault="00137DA3" w:rsidP="008624E8">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1%level</w:t>
            </w:r>
          </w:p>
        </w:tc>
        <w:tc>
          <w:tcPr>
            <w:tcW w:w="1113" w:type="dxa"/>
            <w:tcBorders>
              <w:top w:val="single" w:sz="4" w:space="0" w:color="7F7F7F" w:themeColor="text1" w:themeTint="80"/>
              <w:bottom w:val="single" w:sz="4" w:space="0" w:color="auto"/>
            </w:tcBorders>
            <w:vAlign w:val="center"/>
          </w:tcPr>
          <w:p w14:paraId="139F49B1" w14:textId="77777777" w:rsidR="00137DA3" w:rsidRPr="00572CAA" w:rsidRDefault="00137DA3" w:rsidP="008624E8">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5%level</w:t>
            </w:r>
          </w:p>
        </w:tc>
        <w:tc>
          <w:tcPr>
            <w:tcW w:w="1155" w:type="dxa"/>
            <w:tcBorders>
              <w:top w:val="single" w:sz="4" w:space="0" w:color="7F7F7F" w:themeColor="text1" w:themeTint="80"/>
              <w:bottom w:val="single" w:sz="4" w:space="0" w:color="auto"/>
            </w:tcBorders>
            <w:vAlign w:val="center"/>
          </w:tcPr>
          <w:p w14:paraId="60DABFAD" w14:textId="77777777" w:rsidR="00137DA3" w:rsidRPr="00572CAA" w:rsidRDefault="00137DA3" w:rsidP="008624E8">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10%level</w:t>
            </w:r>
          </w:p>
        </w:tc>
        <w:tc>
          <w:tcPr>
            <w:tcW w:w="992" w:type="dxa"/>
            <w:tcBorders>
              <w:top w:val="single" w:sz="4" w:space="0" w:color="7F7F7F" w:themeColor="text1" w:themeTint="80"/>
              <w:bottom w:val="single" w:sz="4" w:space="0" w:color="auto"/>
            </w:tcBorders>
            <w:vAlign w:val="center"/>
          </w:tcPr>
          <w:p w14:paraId="42F8286A" w14:textId="77777777" w:rsidR="00137DA3" w:rsidRPr="00572CAA" w:rsidRDefault="00137DA3" w:rsidP="008624E8">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Prob.</w:t>
            </w:r>
          </w:p>
        </w:tc>
        <w:tc>
          <w:tcPr>
            <w:tcW w:w="935" w:type="dxa"/>
            <w:tcBorders>
              <w:top w:val="single" w:sz="4" w:space="0" w:color="7F7F7F" w:themeColor="text1" w:themeTint="80"/>
              <w:bottom w:val="single" w:sz="4" w:space="0" w:color="auto"/>
            </w:tcBorders>
            <w:vAlign w:val="center"/>
          </w:tcPr>
          <w:p w14:paraId="453338CF" w14:textId="77777777" w:rsidR="00137DA3" w:rsidRPr="00572CAA" w:rsidRDefault="00137DA3" w:rsidP="008624E8">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Result</w:t>
            </w:r>
          </w:p>
        </w:tc>
      </w:tr>
      <w:tr w:rsidR="002272FF" w:rsidRPr="00572CAA" w14:paraId="227C9B93" w14:textId="77777777" w:rsidTr="00312B8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auto"/>
              <w:bottom w:val="nil"/>
            </w:tcBorders>
            <w:vAlign w:val="center"/>
          </w:tcPr>
          <w:p w14:paraId="4040D4CE" w14:textId="36848543" w:rsidR="002272FF" w:rsidRPr="00572CAA" w:rsidRDefault="00294C29" w:rsidP="008624E8">
            <w:pPr>
              <w:spacing w:line="360" w:lineRule="auto"/>
              <w:jc w:val="center"/>
              <w:rPr>
                <w:rFonts w:ascii="宋体" w:hAnsi="宋体" w:cs="Calibri"/>
                <w:color w:val="000000"/>
                <w:sz w:val="20"/>
                <w:szCs w:val="20"/>
              </w:rPr>
            </w:pPr>
            <w:r w:rsidRPr="00572CAA">
              <w:rPr>
                <w:rFonts w:ascii="宋体" w:hAnsi="宋体" w:cs="Calibri" w:hint="eastAsia"/>
                <w:color w:val="000000"/>
                <w:sz w:val="20"/>
                <w:szCs w:val="20"/>
              </w:rPr>
              <w:t>l</w:t>
            </w:r>
            <w:r w:rsidR="002272FF" w:rsidRPr="00572CAA">
              <w:rPr>
                <w:rFonts w:ascii="宋体" w:hAnsi="宋体" w:cs="Calibri"/>
                <w:color w:val="000000"/>
                <w:sz w:val="20"/>
                <w:szCs w:val="20"/>
              </w:rPr>
              <w:t>iq</w:t>
            </w:r>
          </w:p>
        </w:tc>
        <w:tc>
          <w:tcPr>
            <w:tcW w:w="1540" w:type="dxa"/>
            <w:tcBorders>
              <w:top w:val="single" w:sz="4" w:space="0" w:color="auto"/>
              <w:bottom w:val="nil"/>
            </w:tcBorders>
            <w:vAlign w:val="center"/>
          </w:tcPr>
          <w:p w14:paraId="1230BFD3" w14:textId="69603230"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-5.83306</w:t>
            </w:r>
          </w:p>
        </w:tc>
        <w:tc>
          <w:tcPr>
            <w:tcW w:w="1134" w:type="dxa"/>
            <w:tcBorders>
              <w:top w:val="single" w:sz="4" w:space="0" w:color="auto"/>
              <w:bottom w:val="nil"/>
            </w:tcBorders>
            <w:vAlign w:val="center"/>
          </w:tcPr>
          <w:p w14:paraId="733BC516" w14:textId="2A72428A"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-3.99810</w:t>
            </w:r>
          </w:p>
        </w:tc>
        <w:tc>
          <w:tcPr>
            <w:tcW w:w="1113" w:type="dxa"/>
            <w:tcBorders>
              <w:top w:val="single" w:sz="4" w:space="0" w:color="auto"/>
              <w:bottom w:val="nil"/>
            </w:tcBorders>
            <w:vAlign w:val="center"/>
          </w:tcPr>
          <w:p w14:paraId="5704C91D" w14:textId="7C6F7F92"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-3.42931</w:t>
            </w:r>
          </w:p>
        </w:tc>
        <w:tc>
          <w:tcPr>
            <w:tcW w:w="1155" w:type="dxa"/>
            <w:tcBorders>
              <w:top w:val="single" w:sz="4" w:space="0" w:color="auto"/>
              <w:bottom w:val="nil"/>
            </w:tcBorders>
            <w:vAlign w:val="center"/>
          </w:tcPr>
          <w:p w14:paraId="6DA43B91" w14:textId="5C7E0344"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-3.13814</w:t>
            </w:r>
          </w:p>
        </w:tc>
        <w:tc>
          <w:tcPr>
            <w:tcW w:w="992" w:type="dxa"/>
            <w:tcBorders>
              <w:top w:val="single" w:sz="4" w:space="0" w:color="auto"/>
              <w:bottom w:val="nil"/>
            </w:tcBorders>
            <w:vAlign w:val="center"/>
          </w:tcPr>
          <w:p w14:paraId="508E284E" w14:textId="69503206"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0.0000</w:t>
            </w:r>
          </w:p>
        </w:tc>
        <w:tc>
          <w:tcPr>
            <w:tcW w:w="935" w:type="dxa"/>
            <w:tcBorders>
              <w:top w:val="single" w:sz="4" w:space="0" w:color="auto"/>
              <w:bottom w:val="nil"/>
            </w:tcBorders>
            <w:vAlign w:val="center"/>
          </w:tcPr>
          <w:p w14:paraId="78AD1146" w14:textId="449C06B7"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hint="eastAsia"/>
                <w:color w:val="000000"/>
                <w:sz w:val="20"/>
                <w:szCs w:val="20"/>
              </w:rPr>
              <w:t>平稳</w:t>
            </w:r>
          </w:p>
        </w:tc>
      </w:tr>
      <w:tr w:rsidR="002272FF" w:rsidRPr="00572CAA" w14:paraId="2DE9FF01" w14:textId="77777777" w:rsidTr="00312B88">
        <w:trPr>
          <w:trHeight w:val="217"/>
        </w:trPr>
        <w:tc>
          <w:tcPr>
            <w:cnfStyle w:val="001000000000" w:firstRow="0" w:lastRow="0" w:firstColumn="1" w:lastColumn="0" w:oddVBand="0" w:evenVBand="0" w:oddHBand="0" w:evenHBand="0" w:firstRowFirstColumn="0" w:firstRowLastColumn="0" w:lastRowFirstColumn="0" w:lastRowLastColumn="0"/>
            <w:tcW w:w="1437" w:type="dxa"/>
            <w:tcBorders>
              <w:top w:val="nil"/>
              <w:bottom w:val="nil"/>
            </w:tcBorders>
            <w:vAlign w:val="center"/>
          </w:tcPr>
          <w:p w14:paraId="33EBB0CB" w14:textId="35D08A86" w:rsidR="002272FF" w:rsidRPr="00572CAA" w:rsidRDefault="00294C29" w:rsidP="008624E8">
            <w:pPr>
              <w:spacing w:line="360" w:lineRule="auto"/>
              <w:jc w:val="center"/>
              <w:rPr>
                <w:rFonts w:ascii="宋体" w:hAnsi="宋体" w:cs="Calibri"/>
                <w:color w:val="000000"/>
                <w:sz w:val="20"/>
                <w:szCs w:val="20"/>
              </w:rPr>
            </w:pPr>
            <w:r w:rsidRPr="00572CAA">
              <w:rPr>
                <w:rFonts w:ascii="宋体" w:hAnsi="宋体" w:cs="Calibri"/>
                <w:color w:val="000000"/>
                <w:sz w:val="20"/>
                <w:szCs w:val="20"/>
              </w:rPr>
              <w:t>r</w:t>
            </w:r>
            <w:r w:rsidR="002272FF" w:rsidRPr="00572CAA">
              <w:rPr>
                <w:rFonts w:ascii="宋体" w:hAnsi="宋体" w:cs="Calibri"/>
                <w:color w:val="000000"/>
                <w:sz w:val="20"/>
                <w:szCs w:val="20"/>
              </w:rPr>
              <w:t>et</w:t>
            </w:r>
          </w:p>
        </w:tc>
        <w:tc>
          <w:tcPr>
            <w:tcW w:w="1540" w:type="dxa"/>
            <w:tcBorders>
              <w:top w:val="nil"/>
              <w:bottom w:val="nil"/>
            </w:tcBorders>
            <w:vAlign w:val="center"/>
          </w:tcPr>
          <w:p w14:paraId="73EA2433" w14:textId="7E1867EC"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-13.5538</w:t>
            </w:r>
          </w:p>
        </w:tc>
        <w:tc>
          <w:tcPr>
            <w:tcW w:w="1134" w:type="dxa"/>
            <w:tcBorders>
              <w:top w:val="nil"/>
              <w:bottom w:val="nil"/>
            </w:tcBorders>
            <w:vAlign w:val="center"/>
          </w:tcPr>
          <w:p w14:paraId="787BAB2A" w14:textId="0957B35C"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-3.99810</w:t>
            </w:r>
          </w:p>
        </w:tc>
        <w:tc>
          <w:tcPr>
            <w:tcW w:w="1113" w:type="dxa"/>
            <w:tcBorders>
              <w:top w:val="nil"/>
              <w:bottom w:val="nil"/>
            </w:tcBorders>
            <w:vAlign w:val="center"/>
          </w:tcPr>
          <w:p w14:paraId="3B62672A" w14:textId="0488962F"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-3.42931</w:t>
            </w:r>
          </w:p>
        </w:tc>
        <w:tc>
          <w:tcPr>
            <w:tcW w:w="1155" w:type="dxa"/>
            <w:tcBorders>
              <w:top w:val="nil"/>
              <w:bottom w:val="nil"/>
            </w:tcBorders>
            <w:vAlign w:val="center"/>
          </w:tcPr>
          <w:p w14:paraId="491C884E" w14:textId="06F640AD"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-3.13814</w:t>
            </w:r>
          </w:p>
        </w:tc>
        <w:tc>
          <w:tcPr>
            <w:tcW w:w="992" w:type="dxa"/>
            <w:tcBorders>
              <w:top w:val="nil"/>
              <w:bottom w:val="nil"/>
            </w:tcBorders>
            <w:vAlign w:val="center"/>
          </w:tcPr>
          <w:p w14:paraId="66A5EE34" w14:textId="301BD7C8"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0.0000</w:t>
            </w:r>
          </w:p>
        </w:tc>
        <w:tc>
          <w:tcPr>
            <w:tcW w:w="935" w:type="dxa"/>
            <w:tcBorders>
              <w:top w:val="nil"/>
              <w:bottom w:val="nil"/>
            </w:tcBorders>
            <w:vAlign w:val="center"/>
          </w:tcPr>
          <w:p w14:paraId="06B020E1" w14:textId="3731F091"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hint="eastAsia"/>
                <w:color w:val="000000"/>
                <w:sz w:val="20"/>
                <w:szCs w:val="20"/>
              </w:rPr>
              <w:t>平稳</w:t>
            </w:r>
          </w:p>
        </w:tc>
      </w:tr>
      <w:tr w:rsidR="002272FF" w:rsidRPr="00572CAA" w14:paraId="311A635A" w14:textId="77777777" w:rsidTr="00312B8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37" w:type="dxa"/>
            <w:tcBorders>
              <w:top w:val="nil"/>
              <w:bottom w:val="nil"/>
            </w:tcBorders>
            <w:vAlign w:val="center"/>
          </w:tcPr>
          <w:p w14:paraId="125846CB" w14:textId="0562D77E" w:rsidR="002272FF" w:rsidRPr="00572CAA" w:rsidRDefault="00294C29" w:rsidP="008624E8">
            <w:pPr>
              <w:spacing w:line="360" w:lineRule="auto"/>
              <w:jc w:val="center"/>
              <w:rPr>
                <w:rFonts w:ascii="宋体" w:hAnsi="宋体" w:cs="Calibri"/>
                <w:color w:val="000000"/>
                <w:sz w:val="20"/>
                <w:szCs w:val="20"/>
              </w:rPr>
            </w:pPr>
            <w:r w:rsidRPr="00572CAA">
              <w:rPr>
                <w:rFonts w:ascii="宋体" w:hAnsi="宋体" w:cs="Calibri"/>
                <w:color w:val="000000"/>
                <w:sz w:val="20"/>
                <w:szCs w:val="20"/>
              </w:rPr>
              <w:t>v</w:t>
            </w:r>
            <w:r w:rsidR="002272FF" w:rsidRPr="00572CAA">
              <w:rPr>
                <w:rFonts w:ascii="宋体" w:hAnsi="宋体" w:cs="Calibri"/>
                <w:color w:val="000000"/>
                <w:sz w:val="20"/>
                <w:szCs w:val="20"/>
              </w:rPr>
              <w:t>ol</w:t>
            </w:r>
          </w:p>
        </w:tc>
        <w:tc>
          <w:tcPr>
            <w:tcW w:w="1540" w:type="dxa"/>
            <w:tcBorders>
              <w:top w:val="nil"/>
              <w:bottom w:val="nil"/>
            </w:tcBorders>
            <w:vAlign w:val="center"/>
          </w:tcPr>
          <w:p w14:paraId="5FA08D72" w14:textId="5E66BE1B"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-6.90764</w:t>
            </w:r>
          </w:p>
        </w:tc>
        <w:tc>
          <w:tcPr>
            <w:tcW w:w="1134" w:type="dxa"/>
            <w:tcBorders>
              <w:top w:val="nil"/>
              <w:bottom w:val="nil"/>
            </w:tcBorders>
            <w:vAlign w:val="center"/>
          </w:tcPr>
          <w:p w14:paraId="2D5F34FE" w14:textId="2697EF65"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-3.99643</w:t>
            </w:r>
          </w:p>
        </w:tc>
        <w:tc>
          <w:tcPr>
            <w:tcW w:w="1113" w:type="dxa"/>
            <w:tcBorders>
              <w:top w:val="nil"/>
              <w:bottom w:val="nil"/>
            </w:tcBorders>
            <w:vAlign w:val="center"/>
          </w:tcPr>
          <w:p w14:paraId="3880C14D" w14:textId="2DC7CA83"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-3.42850</w:t>
            </w:r>
          </w:p>
        </w:tc>
        <w:tc>
          <w:tcPr>
            <w:tcW w:w="1155" w:type="dxa"/>
            <w:tcBorders>
              <w:top w:val="nil"/>
              <w:bottom w:val="nil"/>
            </w:tcBorders>
            <w:vAlign w:val="center"/>
          </w:tcPr>
          <w:p w14:paraId="3E847652" w14:textId="64B0CEBE"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-3.13767</w:t>
            </w:r>
          </w:p>
        </w:tc>
        <w:tc>
          <w:tcPr>
            <w:tcW w:w="992" w:type="dxa"/>
            <w:tcBorders>
              <w:top w:val="nil"/>
              <w:bottom w:val="nil"/>
            </w:tcBorders>
            <w:vAlign w:val="center"/>
          </w:tcPr>
          <w:p w14:paraId="7ABC0F56" w14:textId="6DF82FFA"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0.0000</w:t>
            </w:r>
          </w:p>
        </w:tc>
        <w:tc>
          <w:tcPr>
            <w:tcW w:w="935" w:type="dxa"/>
            <w:tcBorders>
              <w:top w:val="nil"/>
              <w:bottom w:val="nil"/>
            </w:tcBorders>
            <w:vAlign w:val="center"/>
          </w:tcPr>
          <w:p w14:paraId="1BA5577F" w14:textId="65558BAB"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hint="eastAsia"/>
                <w:color w:val="000000"/>
                <w:sz w:val="20"/>
                <w:szCs w:val="20"/>
              </w:rPr>
              <w:t>平稳</w:t>
            </w:r>
          </w:p>
        </w:tc>
      </w:tr>
      <w:tr w:rsidR="00C80249" w:rsidRPr="00572CAA" w14:paraId="57190046" w14:textId="77777777" w:rsidTr="00312B88">
        <w:trPr>
          <w:trHeight w:val="217"/>
        </w:trPr>
        <w:tc>
          <w:tcPr>
            <w:cnfStyle w:val="001000000000" w:firstRow="0" w:lastRow="0" w:firstColumn="1" w:lastColumn="0" w:oddVBand="0" w:evenVBand="0" w:oddHBand="0" w:evenHBand="0" w:firstRowFirstColumn="0" w:firstRowLastColumn="0" w:lastRowFirstColumn="0" w:lastRowLastColumn="0"/>
            <w:tcW w:w="1437" w:type="dxa"/>
            <w:tcBorders>
              <w:top w:val="nil"/>
              <w:bottom w:val="nil"/>
            </w:tcBorders>
            <w:vAlign w:val="center"/>
          </w:tcPr>
          <w:p w14:paraId="01BCD561" w14:textId="23413B40" w:rsidR="00C80249" w:rsidRPr="00572CAA" w:rsidRDefault="00E76801" w:rsidP="008624E8">
            <w:pPr>
              <w:spacing w:line="360" w:lineRule="auto"/>
              <w:jc w:val="center"/>
              <w:rPr>
                <w:rFonts w:ascii="宋体" w:hAnsi="宋体" w:cs="Calibri"/>
                <w:color w:val="000000"/>
                <w:sz w:val="20"/>
                <w:szCs w:val="20"/>
              </w:rPr>
            </w:pPr>
            <w:r w:rsidRPr="00572CAA">
              <w:rPr>
                <w:rFonts w:ascii="宋体" w:hAnsi="宋体" w:cs="Calibri" w:hint="eastAsia"/>
                <w:color w:val="000000"/>
                <w:sz w:val="20"/>
                <w:szCs w:val="20"/>
              </w:rPr>
              <w:t>CEPU</w:t>
            </w:r>
          </w:p>
        </w:tc>
        <w:tc>
          <w:tcPr>
            <w:tcW w:w="1540" w:type="dxa"/>
            <w:tcBorders>
              <w:top w:val="nil"/>
              <w:bottom w:val="nil"/>
            </w:tcBorders>
            <w:vAlign w:val="center"/>
          </w:tcPr>
          <w:p w14:paraId="4452AAC0" w14:textId="48EEC083" w:rsidR="00C80249" w:rsidRPr="00572CAA" w:rsidRDefault="0059033E"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-2.77551</w:t>
            </w:r>
          </w:p>
        </w:tc>
        <w:tc>
          <w:tcPr>
            <w:tcW w:w="1134" w:type="dxa"/>
            <w:tcBorders>
              <w:top w:val="nil"/>
              <w:bottom w:val="nil"/>
            </w:tcBorders>
            <w:vAlign w:val="center"/>
          </w:tcPr>
          <w:p w14:paraId="326D70A7" w14:textId="314B6948" w:rsidR="00C80249" w:rsidRPr="00572CAA" w:rsidRDefault="0059033E"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-3.99846</w:t>
            </w:r>
          </w:p>
        </w:tc>
        <w:tc>
          <w:tcPr>
            <w:tcW w:w="1113" w:type="dxa"/>
            <w:tcBorders>
              <w:top w:val="nil"/>
              <w:bottom w:val="nil"/>
            </w:tcBorders>
            <w:vAlign w:val="center"/>
          </w:tcPr>
          <w:p w14:paraId="2B878C8A" w14:textId="16307B54" w:rsidR="00C80249" w:rsidRPr="00572CAA" w:rsidRDefault="0059033E"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-3.42948</w:t>
            </w:r>
          </w:p>
        </w:tc>
        <w:tc>
          <w:tcPr>
            <w:tcW w:w="1155" w:type="dxa"/>
            <w:tcBorders>
              <w:top w:val="nil"/>
              <w:bottom w:val="nil"/>
            </w:tcBorders>
            <w:vAlign w:val="center"/>
          </w:tcPr>
          <w:p w14:paraId="0A2743C2" w14:textId="08BB7E74" w:rsidR="00C80249" w:rsidRPr="00572CAA" w:rsidRDefault="0059033E"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-3.13824</w:t>
            </w:r>
          </w:p>
        </w:tc>
        <w:tc>
          <w:tcPr>
            <w:tcW w:w="992" w:type="dxa"/>
            <w:tcBorders>
              <w:top w:val="nil"/>
              <w:bottom w:val="nil"/>
            </w:tcBorders>
            <w:vAlign w:val="center"/>
          </w:tcPr>
          <w:p w14:paraId="1F5F10BE" w14:textId="7240E02E" w:rsidR="00C80249" w:rsidRPr="00572CAA" w:rsidRDefault="0059033E"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0.2079</w:t>
            </w:r>
          </w:p>
        </w:tc>
        <w:tc>
          <w:tcPr>
            <w:tcW w:w="935" w:type="dxa"/>
            <w:tcBorders>
              <w:top w:val="nil"/>
              <w:bottom w:val="nil"/>
            </w:tcBorders>
            <w:vAlign w:val="center"/>
          </w:tcPr>
          <w:p w14:paraId="1D120365" w14:textId="1D9C3F64" w:rsidR="00C80249" w:rsidRPr="00572CAA" w:rsidRDefault="00E76801"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hint="eastAsia"/>
                <w:color w:val="000000"/>
                <w:sz w:val="20"/>
                <w:szCs w:val="20"/>
              </w:rPr>
              <w:t>不平稳</w:t>
            </w:r>
          </w:p>
        </w:tc>
      </w:tr>
      <w:tr w:rsidR="006C3E28" w:rsidRPr="00572CAA" w14:paraId="5A1B4AA9" w14:textId="77777777" w:rsidTr="003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nil"/>
              <w:bottom w:val="nil"/>
            </w:tcBorders>
            <w:vAlign w:val="center"/>
          </w:tcPr>
          <w:p w14:paraId="69963897" w14:textId="1FC586CE" w:rsidR="002272FF" w:rsidRPr="00572CAA" w:rsidRDefault="00053D99" w:rsidP="008624E8">
            <w:pPr>
              <w:spacing w:line="360" w:lineRule="auto"/>
              <w:jc w:val="center"/>
              <w:rPr>
                <w:rFonts w:ascii="宋体" w:hAnsi="宋体" w:cs="Calibri"/>
                <w:color w:val="000000"/>
                <w:sz w:val="20"/>
                <w:szCs w:val="20"/>
              </w:rPr>
            </w:pPr>
            <w:r w:rsidRPr="00572CAA">
              <w:rPr>
                <w:rFonts w:ascii="宋体" w:hAnsi="宋体" w:cs="Calibri"/>
                <w:color w:val="000000"/>
                <w:sz w:val="20"/>
                <w:szCs w:val="20"/>
              </w:rPr>
              <w:t>EPUE</w:t>
            </w:r>
          </w:p>
        </w:tc>
        <w:tc>
          <w:tcPr>
            <w:tcW w:w="1540" w:type="dxa"/>
            <w:tcBorders>
              <w:top w:val="nil"/>
              <w:bottom w:val="nil"/>
            </w:tcBorders>
            <w:vAlign w:val="center"/>
          </w:tcPr>
          <w:p w14:paraId="4305DA1D" w14:textId="3133647D"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-3.30882</w:t>
            </w:r>
          </w:p>
        </w:tc>
        <w:tc>
          <w:tcPr>
            <w:tcW w:w="1134" w:type="dxa"/>
            <w:tcBorders>
              <w:top w:val="nil"/>
              <w:bottom w:val="nil"/>
            </w:tcBorders>
            <w:vAlign w:val="center"/>
          </w:tcPr>
          <w:p w14:paraId="528D5B88" w14:textId="53AA301F"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-3.99864</w:t>
            </w:r>
          </w:p>
        </w:tc>
        <w:tc>
          <w:tcPr>
            <w:tcW w:w="1113" w:type="dxa"/>
            <w:tcBorders>
              <w:top w:val="nil"/>
              <w:bottom w:val="nil"/>
            </w:tcBorders>
            <w:vAlign w:val="center"/>
          </w:tcPr>
          <w:p w14:paraId="13FD57CF" w14:textId="2E447668"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-3.42957</w:t>
            </w:r>
          </w:p>
        </w:tc>
        <w:tc>
          <w:tcPr>
            <w:tcW w:w="1155" w:type="dxa"/>
            <w:tcBorders>
              <w:top w:val="nil"/>
              <w:bottom w:val="nil"/>
            </w:tcBorders>
            <w:vAlign w:val="center"/>
          </w:tcPr>
          <w:p w14:paraId="791E6D26" w14:textId="137F2EAE"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-3.13829</w:t>
            </w:r>
          </w:p>
        </w:tc>
        <w:tc>
          <w:tcPr>
            <w:tcW w:w="992" w:type="dxa"/>
            <w:tcBorders>
              <w:top w:val="nil"/>
              <w:bottom w:val="nil"/>
            </w:tcBorders>
            <w:vAlign w:val="center"/>
          </w:tcPr>
          <w:p w14:paraId="1F4E398D" w14:textId="7CBFFB55"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0.0674</w:t>
            </w:r>
          </w:p>
        </w:tc>
        <w:tc>
          <w:tcPr>
            <w:tcW w:w="935" w:type="dxa"/>
            <w:tcBorders>
              <w:top w:val="nil"/>
              <w:bottom w:val="nil"/>
            </w:tcBorders>
            <w:vAlign w:val="center"/>
          </w:tcPr>
          <w:p w14:paraId="17029BAF" w14:textId="5F4E700F"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hint="eastAsia"/>
                <w:color w:val="000000"/>
                <w:sz w:val="20"/>
                <w:szCs w:val="20"/>
              </w:rPr>
              <w:t>不平稳</w:t>
            </w:r>
          </w:p>
        </w:tc>
      </w:tr>
      <w:tr w:rsidR="002272FF" w:rsidRPr="00572CAA" w14:paraId="0AFD957A" w14:textId="77777777" w:rsidTr="00312B88">
        <w:tc>
          <w:tcPr>
            <w:cnfStyle w:val="001000000000" w:firstRow="0" w:lastRow="0" w:firstColumn="1" w:lastColumn="0" w:oddVBand="0" w:evenVBand="0" w:oddHBand="0" w:evenHBand="0" w:firstRowFirstColumn="0" w:firstRowLastColumn="0" w:lastRowFirstColumn="0" w:lastRowLastColumn="0"/>
            <w:tcW w:w="1437" w:type="dxa"/>
            <w:tcBorders>
              <w:top w:val="nil"/>
              <w:bottom w:val="nil"/>
            </w:tcBorders>
            <w:vAlign w:val="center"/>
          </w:tcPr>
          <w:p w14:paraId="640C172D" w14:textId="2B01FCEF" w:rsidR="002272FF" w:rsidRPr="00572CAA" w:rsidRDefault="00053D99" w:rsidP="008624E8">
            <w:pPr>
              <w:spacing w:line="360" w:lineRule="auto"/>
              <w:jc w:val="center"/>
              <w:rPr>
                <w:rFonts w:ascii="宋体" w:hAnsi="宋体" w:cs="Calibri"/>
                <w:color w:val="000000"/>
                <w:sz w:val="20"/>
                <w:szCs w:val="20"/>
              </w:rPr>
            </w:pPr>
            <w:r w:rsidRPr="00572CAA">
              <w:rPr>
                <w:rFonts w:ascii="宋体" w:hAnsi="宋体" w:cs="Calibri"/>
                <w:color w:val="000000"/>
                <w:sz w:val="20"/>
                <w:szCs w:val="20"/>
              </w:rPr>
              <w:t>EPUF</w:t>
            </w:r>
          </w:p>
        </w:tc>
        <w:tc>
          <w:tcPr>
            <w:tcW w:w="1540" w:type="dxa"/>
            <w:tcBorders>
              <w:top w:val="nil"/>
              <w:bottom w:val="nil"/>
            </w:tcBorders>
            <w:vAlign w:val="center"/>
          </w:tcPr>
          <w:p w14:paraId="3EE1F4C3" w14:textId="722E5646"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-4.32072</w:t>
            </w:r>
          </w:p>
        </w:tc>
        <w:tc>
          <w:tcPr>
            <w:tcW w:w="1134" w:type="dxa"/>
            <w:tcBorders>
              <w:top w:val="nil"/>
              <w:bottom w:val="nil"/>
            </w:tcBorders>
            <w:vAlign w:val="center"/>
          </w:tcPr>
          <w:p w14:paraId="7D77A764" w14:textId="33E7B787"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-3.99846</w:t>
            </w:r>
          </w:p>
        </w:tc>
        <w:tc>
          <w:tcPr>
            <w:tcW w:w="1113" w:type="dxa"/>
            <w:tcBorders>
              <w:top w:val="nil"/>
              <w:bottom w:val="nil"/>
            </w:tcBorders>
            <w:vAlign w:val="center"/>
          </w:tcPr>
          <w:p w14:paraId="725D9D43" w14:textId="6B209054"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-3.42948</w:t>
            </w:r>
          </w:p>
        </w:tc>
        <w:tc>
          <w:tcPr>
            <w:tcW w:w="1155" w:type="dxa"/>
            <w:tcBorders>
              <w:top w:val="nil"/>
              <w:bottom w:val="nil"/>
            </w:tcBorders>
            <w:vAlign w:val="center"/>
          </w:tcPr>
          <w:p w14:paraId="0C670FF3" w14:textId="2A7B7EF4"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-3.13824</w:t>
            </w:r>
          </w:p>
        </w:tc>
        <w:tc>
          <w:tcPr>
            <w:tcW w:w="992" w:type="dxa"/>
            <w:tcBorders>
              <w:top w:val="nil"/>
              <w:bottom w:val="nil"/>
            </w:tcBorders>
            <w:vAlign w:val="center"/>
          </w:tcPr>
          <w:p w14:paraId="68DB9373" w14:textId="5637D1AF"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0.0035</w:t>
            </w:r>
          </w:p>
        </w:tc>
        <w:tc>
          <w:tcPr>
            <w:tcW w:w="935" w:type="dxa"/>
            <w:tcBorders>
              <w:top w:val="nil"/>
              <w:bottom w:val="nil"/>
            </w:tcBorders>
            <w:vAlign w:val="center"/>
          </w:tcPr>
          <w:p w14:paraId="4AB48921" w14:textId="77777777"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hint="eastAsia"/>
                <w:color w:val="000000"/>
                <w:sz w:val="20"/>
                <w:szCs w:val="20"/>
              </w:rPr>
              <w:t>平稳</w:t>
            </w:r>
          </w:p>
        </w:tc>
      </w:tr>
      <w:tr w:rsidR="002272FF" w:rsidRPr="00572CAA" w14:paraId="35E96138" w14:textId="77777777" w:rsidTr="003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nil"/>
              <w:bottom w:val="nil"/>
            </w:tcBorders>
            <w:vAlign w:val="center"/>
          </w:tcPr>
          <w:p w14:paraId="3D5C1EAB" w14:textId="69BDD3E1" w:rsidR="002272FF" w:rsidRPr="00572CAA" w:rsidRDefault="00053D99" w:rsidP="008624E8">
            <w:pPr>
              <w:spacing w:line="360" w:lineRule="auto"/>
              <w:jc w:val="center"/>
              <w:rPr>
                <w:rFonts w:ascii="宋体" w:hAnsi="宋体" w:cs="Calibri"/>
                <w:color w:val="000000"/>
                <w:sz w:val="20"/>
                <w:szCs w:val="20"/>
              </w:rPr>
            </w:pPr>
            <w:r w:rsidRPr="00572CAA">
              <w:rPr>
                <w:rFonts w:ascii="宋体" w:hAnsi="宋体" w:cs="Calibri"/>
                <w:color w:val="000000"/>
                <w:sz w:val="20"/>
                <w:szCs w:val="20"/>
              </w:rPr>
              <w:t>EPU</w:t>
            </w:r>
            <w:r w:rsidRPr="00572CAA">
              <w:rPr>
                <w:rFonts w:ascii="宋体" w:hAnsi="宋体" w:cs="Calibri" w:hint="eastAsia"/>
                <w:color w:val="000000"/>
                <w:sz w:val="20"/>
                <w:szCs w:val="20"/>
              </w:rPr>
              <w:t>M</w:t>
            </w:r>
          </w:p>
        </w:tc>
        <w:tc>
          <w:tcPr>
            <w:tcW w:w="1540" w:type="dxa"/>
            <w:tcBorders>
              <w:top w:val="nil"/>
              <w:bottom w:val="nil"/>
            </w:tcBorders>
            <w:vAlign w:val="center"/>
          </w:tcPr>
          <w:p w14:paraId="12116C8D" w14:textId="00348D5C"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-2.67377</w:t>
            </w:r>
          </w:p>
        </w:tc>
        <w:tc>
          <w:tcPr>
            <w:tcW w:w="1134" w:type="dxa"/>
            <w:tcBorders>
              <w:top w:val="nil"/>
              <w:bottom w:val="nil"/>
            </w:tcBorders>
            <w:vAlign w:val="center"/>
          </w:tcPr>
          <w:p w14:paraId="417E1C50" w14:textId="198CFC76"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-3.99864</w:t>
            </w:r>
          </w:p>
        </w:tc>
        <w:tc>
          <w:tcPr>
            <w:tcW w:w="1113" w:type="dxa"/>
            <w:tcBorders>
              <w:top w:val="nil"/>
              <w:bottom w:val="nil"/>
            </w:tcBorders>
            <w:vAlign w:val="center"/>
          </w:tcPr>
          <w:p w14:paraId="1E1100A8" w14:textId="37F9B34B"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-3.42957</w:t>
            </w:r>
          </w:p>
        </w:tc>
        <w:tc>
          <w:tcPr>
            <w:tcW w:w="1155" w:type="dxa"/>
            <w:tcBorders>
              <w:top w:val="nil"/>
              <w:bottom w:val="nil"/>
            </w:tcBorders>
            <w:vAlign w:val="center"/>
          </w:tcPr>
          <w:p w14:paraId="0D52ED79" w14:textId="3CBE0EA8"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-3.13829</w:t>
            </w:r>
          </w:p>
        </w:tc>
        <w:tc>
          <w:tcPr>
            <w:tcW w:w="992" w:type="dxa"/>
            <w:tcBorders>
              <w:top w:val="nil"/>
              <w:bottom w:val="nil"/>
            </w:tcBorders>
            <w:vAlign w:val="center"/>
          </w:tcPr>
          <w:p w14:paraId="416CF686" w14:textId="1F082C5C"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0.2486</w:t>
            </w:r>
          </w:p>
        </w:tc>
        <w:tc>
          <w:tcPr>
            <w:tcW w:w="935" w:type="dxa"/>
            <w:tcBorders>
              <w:top w:val="nil"/>
              <w:bottom w:val="nil"/>
            </w:tcBorders>
            <w:vAlign w:val="center"/>
          </w:tcPr>
          <w:p w14:paraId="0C3A5C08" w14:textId="01078D26"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hint="eastAsia"/>
                <w:color w:val="000000"/>
                <w:sz w:val="20"/>
                <w:szCs w:val="20"/>
              </w:rPr>
              <w:t>不平稳</w:t>
            </w:r>
          </w:p>
        </w:tc>
      </w:tr>
      <w:tr w:rsidR="002272FF" w:rsidRPr="00572CAA" w14:paraId="7956196C" w14:textId="77777777" w:rsidTr="00312B88">
        <w:tc>
          <w:tcPr>
            <w:cnfStyle w:val="001000000000" w:firstRow="0" w:lastRow="0" w:firstColumn="1" w:lastColumn="0" w:oddVBand="0" w:evenVBand="0" w:oddHBand="0" w:evenHBand="0" w:firstRowFirstColumn="0" w:firstRowLastColumn="0" w:lastRowFirstColumn="0" w:lastRowLastColumn="0"/>
            <w:tcW w:w="1437" w:type="dxa"/>
            <w:tcBorders>
              <w:top w:val="nil"/>
              <w:bottom w:val="single" w:sz="4" w:space="0" w:color="auto"/>
            </w:tcBorders>
            <w:vAlign w:val="center"/>
          </w:tcPr>
          <w:p w14:paraId="7743957F" w14:textId="6C90032E" w:rsidR="002272FF" w:rsidRPr="00572CAA" w:rsidRDefault="00053D99" w:rsidP="008624E8">
            <w:pPr>
              <w:spacing w:line="360" w:lineRule="auto"/>
              <w:jc w:val="center"/>
              <w:rPr>
                <w:rFonts w:ascii="宋体" w:hAnsi="宋体" w:cs="Calibri"/>
                <w:color w:val="000000"/>
                <w:sz w:val="20"/>
                <w:szCs w:val="20"/>
              </w:rPr>
            </w:pPr>
            <w:r w:rsidRPr="00572CAA">
              <w:rPr>
                <w:rFonts w:ascii="宋体" w:hAnsi="宋体" w:cs="Calibri"/>
                <w:color w:val="000000"/>
                <w:sz w:val="20"/>
                <w:szCs w:val="20"/>
              </w:rPr>
              <w:t>EPUT</w:t>
            </w:r>
          </w:p>
        </w:tc>
        <w:tc>
          <w:tcPr>
            <w:tcW w:w="1540" w:type="dxa"/>
            <w:tcBorders>
              <w:top w:val="nil"/>
              <w:bottom w:val="single" w:sz="4" w:space="0" w:color="auto"/>
            </w:tcBorders>
            <w:vAlign w:val="center"/>
          </w:tcPr>
          <w:p w14:paraId="76CB1FD2" w14:textId="4971D461"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-4.37567</w:t>
            </w:r>
          </w:p>
        </w:tc>
        <w:tc>
          <w:tcPr>
            <w:tcW w:w="1134" w:type="dxa"/>
            <w:tcBorders>
              <w:top w:val="nil"/>
              <w:bottom w:val="single" w:sz="4" w:space="0" w:color="auto"/>
            </w:tcBorders>
            <w:vAlign w:val="center"/>
          </w:tcPr>
          <w:p w14:paraId="6990B0B3" w14:textId="6DF9CEA8"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-3.99846</w:t>
            </w:r>
          </w:p>
        </w:tc>
        <w:tc>
          <w:tcPr>
            <w:tcW w:w="1113" w:type="dxa"/>
            <w:tcBorders>
              <w:top w:val="nil"/>
              <w:bottom w:val="single" w:sz="4" w:space="0" w:color="auto"/>
            </w:tcBorders>
            <w:vAlign w:val="center"/>
          </w:tcPr>
          <w:p w14:paraId="6ED7B524" w14:textId="4C67297F"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-3.42948</w:t>
            </w:r>
          </w:p>
        </w:tc>
        <w:tc>
          <w:tcPr>
            <w:tcW w:w="1155" w:type="dxa"/>
            <w:tcBorders>
              <w:top w:val="nil"/>
              <w:bottom w:val="single" w:sz="4" w:space="0" w:color="auto"/>
            </w:tcBorders>
            <w:vAlign w:val="center"/>
          </w:tcPr>
          <w:p w14:paraId="644D186B" w14:textId="7ED73279"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-3.13824</w:t>
            </w:r>
          </w:p>
        </w:tc>
        <w:tc>
          <w:tcPr>
            <w:tcW w:w="992" w:type="dxa"/>
            <w:tcBorders>
              <w:top w:val="nil"/>
              <w:bottom w:val="single" w:sz="4" w:space="0" w:color="auto"/>
            </w:tcBorders>
            <w:vAlign w:val="center"/>
          </w:tcPr>
          <w:p w14:paraId="7CAEA1E6" w14:textId="0C9EED2E"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0.0029</w:t>
            </w:r>
          </w:p>
        </w:tc>
        <w:tc>
          <w:tcPr>
            <w:tcW w:w="935" w:type="dxa"/>
            <w:tcBorders>
              <w:top w:val="nil"/>
              <w:bottom w:val="single" w:sz="4" w:space="0" w:color="auto"/>
            </w:tcBorders>
            <w:vAlign w:val="center"/>
          </w:tcPr>
          <w:p w14:paraId="5285FD5F" w14:textId="5BD1D92F"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hint="eastAsia"/>
                <w:color w:val="000000"/>
                <w:sz w:val="20"/>
                <w:szCs w:val="20"/>
              </w:rPr>
              <w:t>平稳</w:t>
            </w:r>
          </w:p>
        </w:tc>
      </w:tr>
      <w:tr w:rsidR="00E76801" w:rsidRPr="00572CAA" w14:paraId="5B497693" w14:textId="77777777" w:rsidTr="003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auto"/>
              <w:bottom w:val="nil"/>
            </w:tcBorders>
            <w:vAlign w:val="center"/>
          </w:tcPr>
          <w:p w14:paraId="6DB36EF0" w14:textId="3965BF57" w:rsidR="00E76801" w:rsidRPr="00572CAA" w:rsidRDefault="006C3E28" w:rsidP="008624E8">
            <w:pPr>
              <w:spacing w:line="360" w:lineRule="auto"/>
              <w:jc w:val="center"/>
              <w:rPr>
                <w:rFonts w:ascii="宋体" w:hAnsi="宋体" w:cs="Calibri"/>
                <w:color w:val="000000"/>
                <w:sz w:val="20"/>
                <w:szCs w:val="20"/>
              </w:rPr>
            </w:pPr>
            <w:r w:rsidRPr="00572CAA">
              <w:rPr>
                <w:rFonts w:ascii="宋体" w:hAnsi="宋体" w:cs="Calibri"/>
                <w:color w:val="000000"/>
                <w:sz w:val="20"/>
                <w:szCs w:val="20"/>
              </w:rPr>
              <w:t>D</w:t>
            </w:r>
            <w:r w:rsidR="00E76801" w:rsidRPr="00572CAA">
              <w:rPr>
                <w:rFonts w:ascii="宋体" w:hAnsi="宋体" w:cs="Calibri" w:hint="eastAsia"/>
                <w:color w:val="000000"/>
                <w:sz w:val="20"/>
                <w:szCs w:val="20"/>
              </w:rPr>
              <w:t>CEPU</w:t>
            </w:r>
          </w:p>
        </w:tc>
        <w:tc>
          <w:tcPr>
            <w:tcW w:w="1540" w:type="dxa"/>
            <w:tcBorders>
              <w:top w:val="single" w:sz="4" w:space="0" w:color="auto"/>
              <w:bottom w:val="nil"/>
            </w:tcBorders>
            <w:vAlign w:val="center"/>
          </w:tcPr>
          <w:p w14:paraId="17B3CCB9" w14:textId="46FBF522" w:rsidR="00E76801" w:rsidRPr="00572CAA" w:rsidRDefault="00E76801"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-16.0799</w:t>
            </w:r>
          </w:p>
        </w:tc>
        <w:tc>
          <w:tcPr>
            <w:tcW w:w="1134" w:type="dxa"/>
            <w:tcBorders>
              <w:top w:val="single" w:sz="4" w:space="0" w:color="auto"/>
              <w:bottom w:val="nil"/>
            </w:tcBorders>
            <w:vAlign w:val="center"/>
          </w:tcPr>
          <w:p w14:paraId="67C19F75" w14:textId="59743DB5" w:rsidR="00E76801" w:rsidRPr="00572CAA" w:rsidRDefault="00E76801"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-2.57506</w:t>
            </w:r>
          </w:p>
        </w:tc>
        <w:tc>
          <w:tcPr>
            <w:tcW w:w="1113" w:type="dxa"/>
            <w:tcBorders>
              <w:top w:val="single" w:sz="4" w:space="0" w:color="auto"/>
              <w:bottom w:val="nil"/>
            </w:tcBorders>
            <w:vAlign w:val="center"/>
          </w:tcPr>
          <w:p w14:paraId="0A0F4BEF" w14:textId="0721EBBE" w:rsidR="00E76801" w:rsidRPr="00572CAA" w:rsidRDefault="00E76801"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-1.94221</w:t>
            </w:r>
          </w:p>
        </w:tc>
        <w:tc>
          <w:tcPr>
            <w:tcW w:w="1155" w:type="dxa"/>
            <w:tcBorders>
              <w:top w:val="single" w:sz="4" w:space="0" w:color="auto"/>
              <w:bottom w:val="nil"/>
            </w:tcBorders>
            <w:vAlign w:val="center"/>
          </w:tcPr>
          <w:p w14:paraId="07E0D00B" w14:textId="5B237519" w:rsidR="00E76801" w:rsidRPr="00572CAA" w:rsidRDefault="00E76801"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-1.61578</w:t>
            </w:r>
          </w:p>
        </w:tc>
        <w:tc>
          <w:tcPr>
            <w:tcW w:w="992" w:type="dxa"/>
            <w:tcBorders>
              <w:top w:val="single" w:sz="4" w:space="0" w:color="auto"/>
              <w:bottom w:val="nil"/>
            </w:tcBorders>
            <w:vAlign w:val="center"/>
          </w:tcPr>
          <w:p w14:paraId="5699DCA8" w14:textId="43EB4722" w:rsidR="00E76801" w:rsidRPr="00572CAA" w:rsidRDefault="00E76801"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0.0000</w:t>
            </w:r>
          </w:p>
        </w:tc>
        <w:tc>
          <w:tcPr>
            <w:tcW w:w="935" w:type="dxa"/>
            <w:tcBorders>
              <w:top w:val="single" w:sz="4" w:space="0" w:color="auto"/>
              <w:bottom w:val="nil"/>
            </w:tcBorders>
            <w:vAlign w:val="center"/>
          </w:tcPr>
          <w:p w14:paraId="67B30EBE" w14:textId="4DD83218" w:rsidR="00E76801" w:rsidRPr="00572CAA" w:rsidRDefault="00E76801"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hint="eastAsia"/>
                <w:color w:val="000000"/>
                <w:sz w:val="20"/>
                <w:szCs w:val="20"/>
              </w:rPr>
              <w:t>平稳</w:t>
            </w:r>
          </w:p>
        </w:tc>
      </w:tr>
      <w:tr w:rsidR="002272FF" w:rsidRPr="00572CAA" w14:paraId="57A33950" w14:textId="77777777" w:rsidTr="00312B88">
        <w:tc>
          <w:tcPr>
            <w:cnfStyle w:val="001000000000" w:firstRow="0" w:lastRow="0" w:firstColumn="1" w:lastColumn="0" w:oddVBand="0" w:evenVBand="0" w:oddHBand="0" w:evenHBand="0" w:firstRowFirstColumn="0" w:firstRowLastColumn="0" w:lastRowFirstColumn="0" w:lastRowLastColumn="0"/>
            <w:tcW w:w="1437" w:type="dxa"/>
            <w:tcBorders>
              <w:top w:val="nil"/>
              <w:bottom w:val="nil"/>
            </w:tcBorders>
            <w:vAlign w:val="center"/>
          </w:tcPr>
          <w:p w14:paraId="762FC371" w14:textId="0F6A49E5" w:rsidR="002272FF" w:rsidRPr="00572CAA" w:rsidRDefault="006C3E28" w:rsidP="008624E8">
            <w:pPr>
              <w:spacing w:line="360" w:lineRule="auto"/>
              <w:jc w:val="center"/>
              <w:rPr>
                <w:rFonts w:ascii="宋体" w:hAnsi="宋体" w:cs="Calibri"/>
                <w:color w:val="000000"/>
                <w:sz w:val="20"/>
                <w:szCs w:val="20"/>
              </w:rPr>
            </w:pPr>
            <w:r w:rsidRPr="00572CAA">
              <w:rPr>
                <w:rFonts w:ascii="宋体" w:hAnsi="宋体" w:cs="Calibri"/>
                <w:color w:val="000000"/>
                <w:sz w:val="20"/>
                <w:szCs w:val="20"/>
              </w:rPr>
              <w:t>D</w:t>
            </w:r>
            <w:r w:rsidR="00053D99" w:rsidRPr="00572CAA">
              <w:rPr>
                <w:rFonts w:ascii="宋体" w:hAnsi="宋体" w:cs="Calibri"/>
                <w:color w:val="000000"/>
                <w:sz w:val="20"/>
                <w:szCs w:val="20"/>
              </w:rPr>
              <w:t>EPUE</w:t>
            </w:r>
          </w:p>
        </w:tc>
        <w:tc>
          <w:tcPr>
            <w:tcW w:w="1540" w:type="dxa"/>
            <w:tcBorders>
              <w:top w:val="nil"/>
              <w:bottom w:val="nil"/>
            </w:tcBorders>
            <w:vAlign w:val="center"/>
          </w:tcPr>
          <w:p w14:paraId="2169B267" w14:textId="0AD8AE74" w:rsidR="002272FF" w:rsidRPr="00572CAA" w:rsidRDefault="00053D99"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-15.1315</w:t>
            </w:r>
          </w:p>
        </w:tc>
        <w:tc>
          <w:tcPr>
            <w:tcW w:w="1134" w:type="dxa"/>
            <w:tcBorders>
              <w:top w:val="nil"/>
              <w:bottom w:val="nil"/>
            </w:tcBorders>
            <w:vAlign w:val="center"/>
          </w:tcPr>
          <w:p w14:paraId="6EEDCB18" w14:textId="125A95E0" w:rsidR="002272FF" w:rsidRPr="00572CAA" w:rsidRDefault="00053D99"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-2.57510</w:t>
            </w:r>
          </w:p>
        </w:tc>
        <w:tc>
          <w:tcPr>
            <w:tcW w:w="1113" w:type="dxa"/>
            <w:tcBorders>
              <w:top w:val="nil"/>
              <w:bottom w:val="nil"/>
            </w:tcBorders>
            <w:vAlign w:val="center"/>
          </w:tcPr>
          <w:p w14:paraId="339541F8" w14:textId="5B8A2501" w:rsidR="002272FF" w:rsidRPr="00572CAA" w:rsidRDefault="00053D99"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-1.94222</w:t>
            </w:r>
          </w:p>
        </w:tc>
        <w:tc>
          <w:tcPr>
            <w:tcW w:w="1155" w:type="dxa"/>
            <w:tcBorders>
              <w:top w:val="nil"/>
              <w:bottom w:val="nil"/>
            </w:tcBorders>
            <w:vAlign w:val="center"/>
          </w:tcPr>
          <w:p w14:paraId="00109074" w14:textId="1A64379A" w:rsidR="002272FF" w:rsidRPr="00572CAA" w:rsidRDefault="00053D99"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-1.61578</w:t>
            </w:r>
          </w:p>
        </w:tc>
        <w:tc>
          <w:tcPr>
            <w:tcW w:w="992" w:type="dxa"/>
            <w:tcBorders>
              <w:top w:val="nil"/>
              <w:bottom w:val="nil"/>
            </w:tcBorders>
            <w:vAlign w:val="center"/>
          </w:tcPr>
          <w:p w14:paraId="16825EF3" w14:textId="0394E160"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0.0000</w:t>
            </w:r>
          </w:p>
        </w:tc>
        <w:tc>
          <w:tcPr>
            <w:tcW w:w="935" w:type="dxa"/>
            <w:tcBorders>
              <w:top w:val="nil"/>
              <w:bottom w:val="nil"/>
            </w:tcBorders>
            <w:vAlign w:val="center"/>
          </w:tcPr>
          <w:p w14:paraId="22815B95" w14:textId="192CCD53" w:rsidR="002272FF" w:rsidRPr="00572CAA" w:rsidRDefault="002272FF"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572CAA">
              <w:rPr>
                <w:rFonts w:ascii="宋体" w:hAnsi="宋体" w:cs="Calibri" w:hint="eastAsia"/>
                <w:color w:val="000000"/>
                <w:sz w:val="20"/>
                <w:szCs w:val="20"/>
              </w:rPr>
              <w:t>平稳</w:t>
            </w:r>
          </w:p>
        </w:tc>
      </w:tr>
      <w:tr w:rsidR="002272FF" w:rsidRPr="00572CAA" w14:paraId="483706F9" w14:textId="77777777" w:rsidTr="00312B8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37" w:type="dxa"/>
            <w:tcBorders>
              <w:top w:val="nil"/>
              <w:bottom w:val="single" w:sz="4" w:space="0" w:color="auto"/>
            </w:tcBorders>
            <w:vAlign w:val="center"/>
          </w:tcPr>
          <w:p w14:paraId="55B670E2" w14:textId="7BA18F22" w:rsidR="002272FF" w:rsidRPr="00572CAA" w:rsidRDefault="006C3E28" w:rsidP="008624E8">
            <w:pPr>
              <w:spacing w:line="360" w:lineRule="auto"/>
              <w:jc w:val="center"/>
              <w:rPr>
                <w:rFonts w:ascii="宋体" w:hAnsi="宋体" w:cs="Calibri"/>
                <w:color w:val="000000"/>
                <w:sz w:val="20"/>
                <w:szCs w:val="20"/>
              </w:rPr>
            </w:pPr>
            <w:r w:rsidRPr="00572CAA">
              <w:rPr>
                <w:rFonts w:ascii="宋体" w:hAnsi="宋体" w:cs="Calibri"/>
                <w:color w:val="000000"/>
                <w:sz w:val="20"/>
                <w:szCs w:val="20"/>
              </w:rPr>
              <w:t>D</w:t>
            </w:r>
            <w:r w:rsidR="00053D99" w:rsidRPr="00572CAA">
              <w:rPr>
                <w:rFonts w:ascii="宋体" w:hAnsi="宋体" w:cs="Calibri"/>
                <w:color w:val="000000"/>
                <w:sz w:val="20"/>
                <w:szCs w:val="20"/>
              </w:rPr>
              <w:t>EPUT</w:t>
            </w:r>
          </w:p>
        </w:tc>
        <w:tc>
          <w:tcPr>
            <w:tcW w:w="1540" w:type="dxa"/>
            <w:tcBorders>
              <w:top w:val="nil"/>
              <w:bottom w:val="single" w:sz="4" w:space="0" w:color="auto"/>
            </w:tcBorders>
            <w:vAlign w:val="center"/>
          </w:tcPr>
          <w:p w14:paraId="53158310" w14:textId="201CCA49"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-18.3041</w:t>
            </w:r>
          </w:p>
        </w:tc>
        <w:tc>
          <w:tcPr>
            <w:tcW w:w="1134" w:type="dxa"/>
            <w:tcBorders>
              <w:top w:val="nil"/>
              <w:bottom w:val="single" w:sz="4" w:space="0" w:color="auto"/>
            </w:tcBorders>
            <w:vAlign w:val="center"/>
          </w:tcPr>
          <w:p w14:paraId="7B51EB67" w14:textId="788E6485"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-2.57506</w:t>
            </w:r>
          </w:p>
        </w:tc>
        <w:tc>
          <w:tcPr>
            <w:tcW w:w="1113" w:type="dxa"/>
            <w:tcBorders>
              <w:top w:val="nil"/>
              <w:bottom w:val="single" w:sz="4" w:space="0" w:color="auto"/>
            </w:tcBorders>
            <w:vAlign w:val="center"/>
          </w:tcPr>
          <w:p w14:paraId="10C0D285" w14:textId="6E8D24F2"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-1.94221</w:t>
            </w:r>
          </w:p>
        </w:tc>
        <w:tc>
          <w:tcPr>
            <w:tcW w:w="1155" w:type="dxa"/>
            <w:tcBorders>
              <w:top w:val="nil"/>
              <w:bottom w:val="single" w:sz="4" w:space="0" w:color="auto"/>
            </w:tcBorders>
            <w:vAlign w:val="center"/>
          </w:tcPr>
          <w:p w14:paraId="5058F4C8" w14:textId="768B4B3D"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-1.61578</w:t>
            </w:r>
          </w:p>
        </w:tc>
        <w:tc>
          <w:tcPr>
            <w:tcW w:w="992" w:type="dxa"/>
            <w:tcBorders>
              <w:top w:val="nil"/>
              <w:bottom w:val="single" w:sz="4" w:space="0" w:color="auto"/>
            </w:tcBorders>
            <w:vAlign w:val="center"/>
          </w:tcPr>
          <w:p w14:paraId="7FB38CE5" w14:textId="0196E44A"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color w:val="000000"/>
                <w:sz w:val="20"/>
                <w:szCs w:val="20"/>
              </w:rPr>
              <w:t>0.0000</w:t>
            </w:r>
          </w:p>
        </w:tc>
        <w:tc>
          <w:tcPr>
            <w:tcW w:w="935" w:type="dxa"/>
            <w:tcBorders>
              <w:top w:val="nil"/>
              <w:bottom w:val="single" w:sz="4" w:space="0" w:color="auto"/>
            </w:tcBorders>
            <w:vAlign w:val="center"/>
          </w:tcPr>
          <w:p w14:paraId="26313124" w14:textId="66CD9AAE" w:rsidR="002272FF" w:rsidRPr="00572CAA" w:rsidRDefault="002272FF"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572CAA">
              <w:rPr>
                <w:rFonts w:ascii="宋体" w:hAnsi="宋体" w:cs="Calibri" w:hint="eastAsia"/>
                <w:color w:val="000000"/>
                <w:sz w:val="20"/>
                <w:szCs w:val="20"/>
              </w:rPr>
              <w:t>平稳</w:t>
            </w:r>
          </w:p>
        </w:tc>
      </w:tr>
    </w:tbl>
    <w:p w14:paraId="7350E7BC" w14:textId="77777777" w:rsidR="00A47D52" w:rsidRDefault="00EB5BC0" w:rsidP="004052CA">
      <w:pPr>
        <w:spacing w:after="120" w:line="360" w:lineRule="auto"/>
        <w:ind w:firstLine="480"/>
        <w:rPr>
          <w:rFonts w:ascii="宋体" w:hAnsi="宋体"/>
          <w:sz w:val="24"/>
        </w:rPr>
      </w:pPr>
      <w:r>
        <w:rPr>
          <w:rFonts w:ascii="宋体" w:hAnsi="宋体" w:hint="eastAsia"/>
          <w:sz w:val="24"/>
        </w:rPr>
        <w:t>首先使用ADF检验</w:t>
      </w:r>
      <w:r w:rsidR="00E2091C" w:rsidRPr="00E2091C">
        <w:rPr>
          <w:rFonts w:ascii="宋体" w:hAnsi="宋体" w:hint="eastAsia"/>
          <w:sz w:val="24"/>
        </w:rPr>
        <w:t>对变量原数据进行单位根检验</w:t>
      </w:r>
      <w:r>
        <w:rPr>
          <w:rFonts w:ascii="宋体" w:hAnsi="宋体" w:hint="eastAsia"/>
          <w:sz w:val="24"/>
        </w:rPr>
        <w:t>（如上表所示）</w:t>
      </w:r>
      <w:r w:rsidR="00E2091C" w:rsidRPr="00E2091C">
        <w:rPr>
          <w:rFonts w:ascii="宋体" w:hAnsi="宋体" w:hint="eastAsia"/>
          <w:sz w:val="24"/>
        </w:rPr>
        <w:t>，其中CEPU，EPUE，EPUM</w:t>
      </w:r>
      <w:r w:rsidR="00E2091C">
        <w:rPr>
          <w:rFonts w:ascii="宋体" w:hAnsi="宋体" w:hint="eastAsia"/>
          <w:sz w:val="24"/>
        </w:rPr>
        <w:t>存在单位根，序列不平稳，因此对原序列做一阶差分并再次进行单</w:t>
      </w:r>
      <w:r w:rsidR="00E2091C">
        <w:rPr>
          <w:rFonts w:ascii="宋体" w:hAnsi="宋体" w:hint="eastAsia"/>
          <w:sz w:val="24"/>
        </w:rPr>
        <w:lastRenderedPageBreak/>
        <w:t>位根检验，一阶差分序列D</w:t>
      </w:r>
      <w:r w:rsidR="00E2091C" w:rsidRPr="00E2091C">
        <w:rPr>
          <w:rFonts w:ascii="宋体" w:hAnsi="宋体" w:hint="eastAsia"/>
          <w:sz w:val="24"/>
        </w:rPr>
        <w:t>CEPU，</w:t>
      </w:r>
      <w:r w:rsidR="00E2091C">
        <w:rPr>
          <w:rFonts w:ascii="宋体" w:hAnsi="宋体" w:hint="eastAsia"/>
          <w:sz w:val="24"/>
        </w:rPr>
        <w:t>D</w:t>
      </w:r>
      <w:r w:rsidR="00E2091C" w:rsidRPr="00E2091C">
        <w:rPr>
          <w:rFonts w:ascii="宋体" w:hAnsi="宋体" w:hint="eastAsia"/>
          <w:sz w:val="24"/>
        </w:rPr>
        <w:t>EPUE，</w:t>
      </w:r>
      <w:r w:rsidR="00E2091C">
        <w:rPr>
          <w:rFonts w:ascii="宋体" w:hAnsi="宋体" w:hint="eastAsia"/>
          <w:sz w:val="24"/>
        </w:rPr>
        <w:t>D</w:t>
      </w:r>
      <w:r w:rsidR="00E2091C" w:rsidRPr="00E2091C">
        <w:rPr>
          <w:rFonts w:ascii="宋体" w:hAnsi="宋体" w:hint="eastAsia"/>
          <w:sz w:val="24"/>
        </w:rPr>
        <w:t>EPUM</w:t>
      </w:r>
      <w:r w:rsidR="00E2091C">
        <w:rPr>
          <w:rFonts w:ascii="宋体" w:hAnsi="宋体" w:hint="eastAsia"/>
          <w:sz w:val="24"/>
        </w:rPr>
        <w:t>平稳</w:t>
      </w:r>
      <w:r>
        <w:rPr>
          <w:rFonts w:ascii="宋体" w:hAnsi="宋体" w:hint="eastAsia"/>
          <w:sz w:val="24"/>
        </w:rPr>
        <w:t>。</w:t>
      </w:r>
    </w:p>
    <w:p w14:paraId="64C53DFB" w14:textId="0E3F4EA1" w:rsidR="000C1D40" w:rsidRPr="00E2091C" w:rsidRDefault="00A47D52" w:rsidP="004052CA">
      <w:pPr>
        <w:spacing w:after="120" w:line="360" w:lineRule="auto"/>
        <w:ind w:firstLine="480"/>
        <w:rPr>
          <w:rFonts w:ascii="宋体" w:hAnsi="宋体"/>
          <w:sz w:val="24"/>
        </w:rPr>
      </w:pPr>
      <w:r w:rsidRPr="00A47D52">
        <w:rPr>
          <w:rFonts w:ascii="宋体" w:hAnsi="宋体" w:hint="eastAsia"/>
          <w:sz w:val="24"/>
        </w:rPr>
        <w:t>在</w:t>
      </w:r>
      <w:r>
        <w:rPr>
          <w:rFonts w:ascii="宋体" w:hAnsi="宋体" w:hint="eastAsia"/>
          <w:sz w:val="24"/>
        </w:rPr>
        <w:t>对经济政策不确定性的五个变量取对数</w:t>
      </w:r>
      <w:r w:rsidRPr="00A47D52">
        <w:rPr>
          <w:rFonts w:ascii="宋体" w:hAnsi="宋体" w:hint="eastAsia"/>
          <w:sz w:val="24"/>
        </w:rPr>
        <w:t>以后</w:t>
      </w:r>
      <w:r>
        <w:rPr>
          <w:rFonts w:ascii="宋体" w:hAnsi="宋体" w:hint="eastAsia"/>
          <w:sz w:val="24"/>
        </w:rPr>
        <w:t>，</w:t>
      </w:r>
      <w:r w:rsidRPr="00A47D52">
        <w:rPr>
          <w:rFonts w:ascii="宋体" w:hAnsi="宋体" w:hint="eastAsia"/>
          <w:sz w:val="24"/>
        </w:rPr>
        <w:t>所有变量在</w:t>
      </w:r>
      <w:r>
        <w:rPr>
          <w:rFonts w:ascii="宋体" w:hAnsi="宋体"/>
          <w:sz w:val="24"/>
        </w:rPr>
        <w:t>5</w:t>
      </w:r>
      <w:r w:rsidRPr="00A47D52">
        <w:rPr>
          <w:rFonts w:ascii="宋体" w:hAnsi="宋体" w:hint="eastAsia"/>
          <w:sz w:val="24"/>
        </w:rPr>
        <w:t>%的置信水平上平稳，不存在单位根。</w:t>
      </w:r>
      <w:r>
        <w:rPr>
          <w:rFonts w:ascii="宋体" w:hAnsi="宋体" w:hint="eastAsia"/>
          <w:sz w:val="24"/>
        </w:rPr>
        <w:t>因此使用经济政策不确定性的</w:t>
      </w:r>
      <w:r w:rsidR="00D83C8D">
        <w:rPr>
          <w:rFonts w:ascii="宋体" w:hAnsi="宋体" w:hint="eastAsia"/>
          <w:sz w:val="24"/>
        </w:rPr>
        <w:t>一阶差分</w:t>
      </w:r>
      <w:r>
        <w:rPr>
          <w:rFonts w:ascii="宋体" w:hAnsi="宋体" w:hint="eastAsia"/>
          <w:sz w:val="24"/>
        </w:rPr>
        <w:t>序列</w:t>
      </w:r>
      <w:r w:rsidRPr="00A47D52">
        <w:rPr>
          <w:rFonts w:ascii="宋体" w:hAnsi="宋体" w:hint="eastAsia"/>
          <w:sz w:val="24"/>
        </w:rPr>
        <w:t>，作为实证研究数据。</w:t>
      </w:r>
      <w:r w:rsidR="00EB5BC0" w:rsidRPr="005E18BE">
        <w:rPr>
          <w:rFonts w:ascii="宋体" w:hAnsi="宋体"/>
          <w:sz w:val="24"/>
        </w:rPr>
        <w:t>接下来运用变量</w:t>
      </w:r>
      <w:r w:rsidR="00EB5BC0" w:rsidRPr="005E18BE">
        <w:rPr>
          <w:rFonts w:ascii="宋体" w:hAnsi="宋体" w:hint="eastAsia"/>
          <w:sz w:val="24"/>
        </w:rPr>
        <w:t>的平稳序列</w:t>
      </w:r>
      <w:r w:rsidR="00EB5BC0" w:rsidRPr="005E18BE">
        <w:rPr>
          <w:rFonts w:ascii="宋体" w:hAnsi="宋体"/>
          <w:sz w:val="24"/>
        </w:rPr>
        <w:t>数据进行相关实证分析</w:t>
      </w:r>
      <w:r w:rsidR="00EB5BC0" w:rsidRPr="005E18BE">
        <w:rPr>
          <w:rFonts w:ascii="宋体" w:hAnsi="宋体" w:hint="eastAsia"/>
          <w:sz w:val="24"/>
        </w:rPr>
        <w:t>。</w:t>
      </w:r>
    </w:p>
    <w:p w14:paraId="584F8D29" w14:textId="3F16EDBE" w:rsidR="000C1D40" w:rsidRPr="004E5EAF" w:rsidRDefault="000C1D40" w:rsidP="005B51F1">
      <w:pPr>
        <w:pStyle w:val="3"/>
        <w:spacing w:before="156" w:after="156"/>
        <w:ind w:firstLine="560"/>
      </w:pPr>
      <w:bookmarkStart w:id="23" w:name="_Toc135748081"/>
      <w:r w:rsidRPr="00BA5A75">
        <w:t>3.</w:t>
      </w:r>
      <w:r w:rsidR="004E5EAF" w:rsidRPr="00BA5A75">
        <w:t>2.</w:t>
      </w:r>
      <w:r w:rsidRPr="00BA5A75">
        <w:t>3</w:t>
      </w:r>
      <w:r w:rsidRPr="00BA5A75">
        <w:rPr>
          <w:rFonts w:hint="eastAsia"/>
        </w:rPr>
        <w:t>协整检验</w:t>
      </w:r>
      <w:bookmarkEnd w:id="23"/>
    </w:p>
    <w:p w14:paraId="1FA38417" w14:textId="34ECD42E" w:rsidR="00D600E6" w:rsidRPr="00D600E6" w:rsidRDefault="00D600E6" w:rsidP="00D600E6">
      <w:pPr>
        <w:spacing w:after="120" w:line="360" w:lineRule="auto"/>
        <w:ind w:firstLine="480"/>
        <w:rPr>
          <w:rFonts w:ascii="宋体" w:hAnsi="宋体"/>
          <w:sz w:val="24"/>
        </w:rPr>
      </w:pPr>
      <w:r w:rsidRPr="00D600E6">
        <w:rPr>
          <w:rFonts w:ascii="宋体" w:hAnsi="宋体" w:hint="eastAsia"/>
          <w:sz w:val="24"/>
        </w:rPr>
        <w:t>非平稳序列常常存在伪回归问题，为了准确判断变量之间是否存在稳定的关系，需要使用协整检验方法。协整检验能够判断变量是否具有长期稳定的关系，其中所有参与协整回归的变量必须是同阶单整的。</w:t>
      </w:r>
    </w:p>
    <w:p w14:paraId="0406614A" w14:textId="0578A431" w:rsidR="000C1D40" w:rsidRDefault="00D600E6" w:rsidP="00D600E6">
      <w:pPr>
        <w:spacing w:after="120" w:line="360" w:lineRule="auto"/>
        <w:ind w:firstLine="480"/>
        <w:rPr>
          <w:rFonts w:ascii="宋体" w:hAnsi="宋体"/>
          <w:sz w:val="24"/>
        </w:rPr>
      </w:pPr>
      <w:r w:rsidRPr="00D600E6">
        <w:rPr>
          <w:rFonts w:ascii="宋体" w:hAnsi="宋体" w:hint="eastAsia"/>
          <w:sz w:val="24"/>
        </w:rPr>
        <w:t>本文采用了</w:t>
      </w:r>
      <w:r w:rsidRPr="00D600E6">
        <w:rPr>
          <w:rFonts w:ascii="宋体" w:hAnsi="宋体"/>
          <w:sz w:val="24"/>
        </w:rPr>
        <w:t>Johansen</w:t>
      </w:r>
      <w:r w:rsidRPr="00D600E6">
        <w:rPr>
          <w:rFonts w:ascii="宋体" w:hAnsi="宋体" w:hint="eastAsia"/>
          <w:sz w:val="24"/>
        </w:rPr>
        <w:t>协整检验方法来判断</w:t>
      </w:r>
      <w:r w:rsidRPr="00D600E6">
        <w:rPr>
          <w:rFonts w:ascii="宋体" w:hAnsi="宋体"/>
          <w:sz w:val="24"/>
        </w:rPr>
        <w:t>DCEPU</w:t>
      </w:r>
      <w:r w:rsidRPr="00D600E6">
        <w:rPr>
          <w:rFonts w:ascii="宋体" w:hAnsi="宋体" w:hint="eastAsia"/>
          <w:sz w:val="24"/>
        </w:rPr>
        <w:t>、</w:t>
      </w:r>
      <w:r w:rsidRPr="00D600E6">
        <w:rPr>
          <w:rFonts w:ascii="宋体" w:hAnsi="宋体"/>
          <w:sz w:val="24"/>
        </w:rPr>
        <w:t>DEPUE</w:t>
      </w:r>
      <w:r w:rsidRPr="00D600E6">
        <w:rPr>
          <w:rFonts w:ascii="宋体" w:hAnsi="宋体" w:hint="eastAsia"/>
          <w:sz w:val="24"/>
        </w:rPr>
        <w:t>、</w:t>
      </w:r>
      <w:r w:rsidRPr="00D600E6">
        <w:rPr>
          <w:rFonts w:ascii="宋体" w:hAnsi="宋体"/>
          <w:sz w:val="24"/>
        </w:rPr>
        <w:t>DEPUF</w:t>
      </w:r>
      <w:r w:rsidRPr="00D600E6">
        <w:rPr>
          <w:rFonts w:ascii="宋体" w:hAnsi="宋体" w:hint="eastAsia"/>
          <w:sz w:val="24"/>
        </w:rPr>
        <w:t>、</w:t>
      </w:r>
      <w:r w:rsidRPr="00D600E6">
        <w:rPr>
          <w:rFonts w:ascii="宋体" w:hAnsi="宋体"/>
          <w:sz w:val="24"/>
        </w:rPr>
        <w:t>DEPUM</w:t>
      </w:r>
      <w:r w:rsidRPr="00D600E6">
        <w:rPr>
          <w:rFonts w:ascii="宋体" w:hAnsi="宋体" w:hint="eastAsia"/>
          <w:sz w:val="24"/>
        </w:rPr>
        <w:t>、</w:t>
      </w:r>
      <w:r w:rsidRPr="00D600E6">
        <w:rPr>
          <w:rFonts w:ascii="宋体" w:hAnsi="宋体"/>
          <w:sz w:val="24"/>
        </w:rPr>
        <w:t>DEPUT</w:t>
      </w:r>
      <w:r w:rsidRPr="00D600E6">
        <w:rPr>
          <w:rFonts w:ascii="宋体" w:hAnsi="宋体" w:hint="eastAsia"/>
          <w:sz w:val="24"/>
        </w:rPr>
        <w:t>、</w:t>
      </w:r>
      <w:r w:rsidRPr="00D600E6">
        <w:rPr>
          <w:rFonts w:ascii="宋体" w:hAnsi="宋体"/>
          <w:sz w:val="24"/>
        </w:rPr>
        <w:t>liq</w:t>
      </w:r>
      <w:r w:rsidRPr="00D600E6">
        <w:rPr>
          <w:rFonts w:ascii="宋体" w:hAnsi="宋体" w:hint="eastAsia"/>
          <w:sz w:val="24"/>
        </w:rPr>
        <w:t>、</w:t>
      </w:r>
      <w:r w:rsidRPr="00D600E6">
        <w:rPr>
          <w:rFonts w:ascii="宋体" w:hAnsi="宋体"/>
          <w:sz w:val="24"/>
        </w:rPr>
        <w:t>ret</w:t>
      </w:r>
      <w:r w:rsidRPr="00D600E6">
        <w:rPr>
          <w:rFonts w:ascii="宋体" w:hAnsi="宋体" w:hint="eastAsia"/>
          <w:sz w:val="24"/>
        </w:rPr>
        <w:t>和</w:t>
      </w:r>
      <w:r w:rsidRPr="00D600E6">
        <w:rPr>
          <w:rFonts w:ascii="宋体" w:hAnsi="宋体"/>
          <w:sz w:val="24"/>
        </w:rPr>
        <w:t>vol</w:t>
      </w:r>
      <w:r w:rsidRPr="00D600E6">
        <w:rPr>
          <w:rFonts w:ascii="宋体" w:hAnsi="宋体" w:hint="eastAsia"/>
          <w:sz w:val="24"/>
        </w:rPr>
        <w:t>这八个时间序列是否存在协整关系。该方法基于极大似然估计，用于检验多变量之间的协整关系。根据表中的结果，在显著性水平为</w:t>
      </w:r>
      <w:r w:rsidRPr="00D600E6">
        <w:rPr>
          <w:rFonts w:ascii="宋体" w:hAnsi="宋体"/>
          <w:sz w:val="24"/>
        </w:rPr>
        <w:t>5%</w:t>
      </w:r>
      <w:r w:rsidRPr="00D600E6">
        <w:rPr>
          <w:rFonts w:ascii="宋体" w:hAnsi="宋体" w:hint="eastAsia"/>
          <w:sz w:val="24"/>
        </w:rPr>
        <w:t>的情况下，我们选择的这八个指标之间不存在伪回归现象，并且存在两个长期稳定的关系。</w:t>
      </w:r>
    </w:p>
    <w:p w14:paraId="13895A7A" w14:textId="0F90DD61" w:rsidR="00F94436" w:rsidRPr="00F94436" w:rsidRDefault="00F94436" w:rsidP="005403BD">
      <w:pPr>
        <w:pStyle w:val="Caption"/>
        <w:keepNext/>
        <w:spacing w:after="0"/>
        <w:jc w:val="center"/>
        <w:rPr>
          <w:color w:val="auto"/>
        </w:rPr>
      </w:pPr>
      <w:r w:rsidRPr="00A47D52">
        <w:rPr>
          <w:color w:val="auto"/>
        </w:rPr>
        <w:t xml:space="preserve">Table </w:t>
      </w:r>
      <w:r w:rsidRPr="00A47D52">
        <w:rPr>
          <w:color w:val="auto"/>
        </w:rPr>
        <w:fldChar w:fldCharType="begin"/>
      </w:r>
      <w:r w:rsidRPr="00A47D52">
        <w:rPr>
          <w:color w:val="auto"/>
        </w:rPr>
        <w:instrText xml:space="preserve"> SEQ Table \* ARABIC </w:instrText>
      </w:r>
      <w:r w:rsidRPr="00A47D52">
        <w:rPr>
          <w:color w:val="auto"/>
        </w:rPr>
        <w:fldChar w:fldCharType="separate"/>
      </w:r>
      <w:r w:rsidR="007C5AAC">
        <w:rPr>
          <w:noProof/>
          <w:color w:val="auto"/>
        </w:rPr>
        <w:t>4</w:t>
      </w:r>
      <w:r w:rsidRPr="00A47D52">
        <w:rPr>
          <w:color w:val="auto"/>
        </w:rPr>
        <w:fldChar w:fldCharType="end"/>
      </w:r>
      <w:r w:rsidRPr="00A47D52">
        <w:rPr>
          <w:color w:val="auto"/>
        </w:rPr>
        <w:t xml:space="preserve"> </w:t>
      </w:r>
      <w:r w:rsidRPr="00A47D52">
        <w:rPr>
          <w:rFonts w:hint="eastAsia"/>
          <w:color w:val="auto"/>
        </w:rPr>
        <w:t>协整检验</w:t>
      </w:r>
    </w:p>
    <w:p w14:paraId="22E7E53B" w14:textId="3898F554" w:rsidR="002B4057" w:rsidRDefault="00B456C5" w:rsidP="00EE3D7A">
      <w:pPr>
        <w:spacing w:line="360" w:lineRule="auto"/>
        <w:rPr>
          <w:rFonts w:ascii="宋体" w:hAnsi="宋体"/>
          <w:sz w:val="24"/>
        </w:rPr>
      </w:pPr>
      <w:r>
        <w:rPr>
          <w:noProof/>
          <w14:ligatures w14:val="standardContextual"/>
        </w:rPr>
        <w:drawing>
          <wp:inline distT="0" distB="0" distL="0" distR="0" wp14:anchorId="5F0874E0" wp14:editId="50D65164">
            <wp:extent cx="5274310" cy="2269490"/>
            <wp:effectExtent l="0" t="0" r="2540" b="0"/>
            <wp:docPr id="63243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33238" name=""/>
                    <pic:cNvPicPr/>
                  </pic:nvPicPr>
                  <pic:blipFill>
                    <a:blip r:embed="rId17"/>
                    <a:stretch>
                      <a:fillRect/>
                    </a:stretch>
                  </pic:blipFill>
                  <pic:spPr>
                    <a:xfrm>
                      <a:off x="0" y="0"/>
                      <a:ext cx="5274310" cy="2269490"/>
                    </a:xfrm>
                    <a:prstGeom prst="rect">
                      <a:avLst/>
                    </a:prstGeom>
                  </pic:spPr>
                </pic:pic>
              </a:graphicData>
            </a:graphic>
          </wp:inline>
        </w:drawing>
      </w:r>
    </w:p>
    <w:p w14:paraId="3AF8A5F2" w14:textId="01F20668" w:rsidR="005113B8" w:rsidRPr="000C1D40" w:rsidRDefault="00EE3D7A" w:rsidP="008624E8">
      <w:pPr>
        <w:spacing w:after="120" w:line="360" w:lineRule="auto"/>
        <w:rPr>
          <w:rFonts w:ascii="宋体" w:hAnsi="宋体"/>
          <w:b/>
          <w:bCs/>
          <w:sz w:val="24"/>
        </w:rPr>
      </w:pPr>
      <w:r w:rsidRPr="00EE3D7A">
        <w:rPr>
          <w:rFonts w:ascii="宋体" w:hAnsi="宋体"/>
          <w:b/>
          <w:bCs/>
          <w:noProof/>
          <w:sz w:val="24"/>
        </w:rPr>
        <w:drawing>
          <wp:inline distT="0" distB="0" distL="0" distR="0" wp14:anchorId="6CDC1467" wp14:editId="6E9C6C42">
            <wp:extent cx="3295650" cy="279400"/>
            <wp:effectExtent l="0" t="0" r="0" b="6350"/>
            <wp:docPr id="6011345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279400"/>
                    </a:xfrm>
                    <a:prstGeom prst="rect">
                      <a:avLst/>
                    </a:prstGeom>
                    <a:noFill/>
                    <a:ln>
                      <a:noFill/>
                    </a:ln>
                  </pic:spPr>
                </pic:pic>
              </a:graphicData>
            </a:graphic>
          </wp:inline>
        </w:drawing>
      </w:r>
    </w:p>
    <w:p w14:paraId="7ED1B29E" w14:textId="1C4A28A4" w:rsidR="00BC7333" w:rsidRDefault="00BC7333">
      <w:pPr>
        <w:widowControl/>
        <w:spacing w:after="160" w:line="259" w:lineRule="auto"/>
        <w:jc w:val="left"/>
        <w:rPr>
          <w:rFonts w:eastAsia="黑体"/>
          <w:b/>
          <w:bCs/>
          <w:kern w:val="44"/>
          <w:sz w:val="32"/>
          <w:szCs w:val="28"/>
        </w:rPr>
      </w:pPr>
      <w:r>
        <w:br w:type="page"/>
      </w:r>
    </w:p>
    <w:p w14:paraId="3FCD0C61" w14:textId="4FA4C2CB" w:rsidR="00CD3BFA" w:rsidRDefault="00CD3BFA" w:rsidP="00CD3BFA">
      <w:pPr>
        <w:pStyle w:val="Heading1"/>
        <w:spacing w:before="624" w:after="468"/>
      </w:pPr>
      <w:bookmarkStart w:id="24" w:name="_Toc135748082"/>
      <w:r>
        <w:rPr>
          <w:rFonts w:hint="eastAsia"/>
        </w:rPr>
        <w:lastRenderedPageBreak/>
        <w:t>第</w:t>
      </w:r>
      <w:r w:rsidR="00243765">
        <w:rPr>
          <w:rFonts w:hint="eastAsia"/>
        </w:rPr>
        <w:t>四</w:t>
      </w:r>
      <w:r>
        <w:rPr>
          <w:rFonts w:hint="eastAsia"/>
        </w:rPr>
        <w:t>章</w:t>
      </w:r>
      <w:r>
        <w:rPr>
          <w:rFonts w:hint="eastAsia"/>
        </w:rPr>
        <w:t xml:space="preserve"> </w:t>
      </w:r>
      <w:r w:rsidRPr="00CD3BFA">
        <w:rPr>
          <w:rFonts w:hint="eastAsia"/>
        </w:rPr>
        <w:t>实证检验与结果分析</w:t>
      </w:r>
      <w:bookmarkEnd w:id="24"/>
    </w:p>
    <w:p w14:paraId="70FD2DE4" w14:textId="13644A3A" w:rsidR="003B1AFE" w:rsidRPr="005D4EEA" w:rsidRDefault="00243765" w:rsidP="005D4EEA">
      <w:pPr>
        <w:pStyle w:val="2"/>
        <w:spacing w:before="156" w:after="156"/>
        <w:ind w:firstLine="600"/>
      </w:pPr>
      <w:bookmarkStart w:id="25" w:name="_Toc135748083"/>
      <w:r>
        <w:t>4</w:t>
      </w:r>
      <w:r w:rsidR="004E5EAF" w:rsidRPr="005D4EEA">
        <w:t>.</w:t>
      </w:r>
      <w:r w:rsidR="00B8316D">
        <w:t>1</w:t>
      </w:r>
      <w:r w:rsidR="00CD3BFA" w:rsidRPr="005D4EEA">
        <w:t xml:space="preserve"> </w:t>
      </w:r>
      <w:r w:rsidR="00CD3BFA" w:rsidRPr="004E5EAF">
        <w:rPr>
          <w:rFonts w:hint="eastAsia"/>
          <w:sz w:val="28"/>
          <w:szCs w:val="28"/>
        </w:rPr>
        <w:t>模型选择</w:t>
      </w:r>
      <w:bookmarkEnd w:id="25"/>
    </w:p>
    <w:p w14:paraId="7BF99705" w14:textId="2FB152B9" w:rsidR="005113B8" w:rsidRDefault="00576E8A" w:rsidP="008624E8">
      <w:pPr>
        <w:spacing w:after="120" w:line="360" w:lineRule="auto"/>
        <w:ind w:firstLine="480"/>
        <w:rPr>
          <w:rFonts w:ascii="宋体" w:hAnsi="宋体"/>
          <w:sz w:val="24"/>
        </w:rPr>
      </w:pPr>
      <w:r>
        <w:rPr>
          <w:rFonts w:ascii="宋体" w:hAnsi="宋体" w:hint="eastAsia"/>
          <w:sz w:val="24"/>
        </w:rPr>
        <w:t>首先</w:t>
      </w:r>
      <w:r w:rsidRPr="00576E8A">
        <w:rPr>
          <w:rFonts w:ascii="宋体" w:hAnsi="宋体" w:hint="eastAsia"/>
          <w:sz w:val="24"/>
        </w:rPr>
        <w:t>根据VAR模型中的AIC准则确定最优滞后期，并依据信息准则最小值原则，确定模型中各变量最优滞后期数为</w:t>
      </w:r>
      <w:r w:rsidR="008A3287">
        <w:rPr>
          <w:rFonts w:ascii="宋体" w:hAnsi="宋体"/>
          <w:sz w:val="24"/>
        </w:rPr>
        <w:t>3</w:t>
      </w:r>
      <w:r w:rsidR="005113B8">
        <w:rPr>
          <w:rFonts w:ascii="宋体" w:hAnsi="宋体" w:hint="eastAsia"/>
          <w:sz w:val="24"/>
        </w:rPr>
        <w:t>。</w:t>
      </w:r>
    </w:p>
    <w:p w14:paraId="7C697DE2" w14:textId="6BE2881E" w:rsidR="00504628" w:rsidRPr="00504628" w:rsidRDefault="00504628" w:rsidP="00504628">
      <w:pPr>
        <w:pStyle w:val="Caption"/>
        <w:keepNext/>
        <w:jc w:val="center"/>
        <w:rPr>
          <w:color w:val="auto"/>
        </w:rPr>
      </w:pPr>
      <w:r w:rsidRPr="00504628">
        <w:rPr>
          <w:color w:val="auto"/>
        </w:rPr>
        <w:t xml:space="preserve">Table </w:t>
      </w:r>
      <w:r w:rsidRPr="00504628">
        <w:rPr>
          <w:color w:val="auto"/>
        </w:rPr>
        <w:fldChar w:fldCharType="begin"/>
      </w:r>
      <w:r w:rsidRPr="00504628">
        <w:rPr>
          <w:color w:val="auto"/>
        </w:rPr>
        <w:instrText xml:space="preserve"> SEQ Table \* ARABIC </w:instrText>
      </w:r>
      <w:r w:rsidRPr="00504628">
        <w:rPr>
          <w:color w:val="auto"/>
        </w:rPr>
        <w:fldChar w:fldCharType="separate"/>
      </w:r>
      <w:r w:rsidR="007C5AAC">
        <w:rPr>
          <w:noProof/>
          <w:color w:val="auto"/>
        </w:rPr>
        <w:t>5</w:t>
      </w:r>
      <w:r w:rsidRPr="00504628">
        <w:rPr>
          <w:color w:val="auto"/>
        </w:rPr>
        <w:fldChar w:fldCharType="end"/>
      </w:r>
      <w:r w:rsidRPr="00504628">
        <w:rPr>
          <w:color w:val="auto"/>
        </w:rPr>
        <w:t xml:space="preserve"> </w:t>
      </w:r>
      <w:r w:rsidRPr="00504628">
        <w:rPr>
          <w:rFonts w:hint="eastAsia"/>
          <w:color w:val="auto"/>
        </w:rPr>
        <w:t>滞后期数诊断表</w:t>
      </w:r>
    </w:p>
    <w:tbl>
      <w:tblPr>
        <w:tblW w:w="8217" w:type="dxa"/>
        <w:tblLayout w:type="fixed"/>
        <w:tblLook w:val="04A0" w:firstRow="1" w:lastRow="0" w:firstColumn="1" w:lastColumn="0" w:noHBand="0" w:noVBand="1"/>
      </w:tblPr>
      <w:tblGrid>
        <w:gridCol w:w="584"/>
        <w:gridCol w:w="1254"/>
        <w:gridCol w:w="1276"/>
        <w:gridCol w:w="1276"/>
        <w:gridCol w:w="1275"/>
        <w:gridCol w:w="1276"/>
        <w:gridCol w:w="1276"/>
      </w:tblGrid>
      <w:tr w:rsidR="002A3B7C" w:rsidRPr="00572CAA" w14:paraId="5A32C0E8" w14:textId="77777777" w:rsidTr="008A3287">
        <w:trPr>
          <w:trHeight w:val="290"/>
        </w:trPr>
        <w:tc>
          <w:tcPr>
            <w:tcW w:w="584" w:type="dxa"/>
            <w:tcBorders>
              <w:top w:val="single" w:sz="4" w:space="0" w:color="000000"/>
              <w:bottom w:val="single" w:sz="4" w:space="0" w:color="000000"/>
            </w:tcBorders>
            <w:shd w:val="clear" w:color="auto" w:fill="auto"/>
            <w:vAlign w:val="center"/>
            <w:hideMark/>
          </w:tcPr>
          <w:p w14:paraId="73040F56" w14:textId="77777777" w:rsidR="002A3B7C" w:rsidRPr="002A3B7C" w:rsidRDefault="002A3B7C" w:rsidP="008624E8">
            <w:pPr>
              <w:widowControl/>
              <w:spacing w:line="360" w:lineRule="auto"/>
              <w:jc w:val="center"/>
              <w:rPr>
                <w:rFonts w:ascii="Arial" w:eastAsia="Times New Roman" w:hAnsi="Arial" w:cs="Arial"/>
                <w:color w:val="000000"/>
                <w:kern w:val="0"/>
                <w:sz w:val="20"/>
                <w:szCs w:val="20"/>
              </w:rPr>
            </w:pPr>
            <w:r w:rsidRPr="002A3B7C">
              <w:rPr>
                <w:rFonts w:ascii="Arial" w:eastAsia="Times New Roman" w:hAnsi="Arial" w:cs="Arial"/>
                <w:color w:val="000000"/>
                <w:kern w:val="0"/>
                <w:sz w:val="20"/>
                <w:szCs w:val="20"/>
              </w:rPr>
              <w:t>Lag</w:t>
            </w:r>
          </w:p>
        </w:tc>
        <w:tc>
          <w:tcPr>
            <w:tcW w:w="1254" w:type="dxa"/>
            <w:tcBorders>
              <w:top w:val="single" w:sz="4" w:space="0" w:color="000000"/>
              <w:bottom w:val="single" w:sz="4" w:space="0" w:color="000000"/>
            </w:tcBorders>
            <w:shd w:val="clear" w:color="auto" w:fill="auto"/>
            <w:vAlign w:val="center"/>
            <w:hideMark/>
          </w:tcPr>
          <w:p w14:paraId="7DCD5B76" w14:textId="77777777" w:rsidR="002A3B7C" w:rsidRPr="002A3B7C" w:rsidRDefault="002A3B7C" w:rsidP="008624E8">
            <w:pPr>
              <w:widowControl/>
              <w:spacing w:line="360" w:lineRule="auto"/>
              <w:jc w:val="center"/>
              <w:rPr>
                <w:rFonts w:ascii="Arial" w:eastAsia="Times New Roman" w:hAnsi="Arial" w:cs="Arial"/>
                <w:color w:val="000000"/>
                <w:kern w:val="0"/>
                <w:sz w:val="20"/>
                <w:szCs w:val="20"/>
              </w:rPr>
            </w:pPr>
            <w:r w:rsidRPr="002A3B7C">
              <w:rPr>
                <w:rFonts w:ascii="Arial" w:eastAsia="Times New Roman" w:hAnsi="Arial" w:cs="Arial"/>
                <w:color w:val="000000"/>
                <w:kern w:val="0"/>
                <w:sz w:val="20"/>
                <w:szCs w:val="20"/>
              </w:rPr>
              <w:t>LogL</w:t>
            </w:r>
          </w:p>
        </w:tc>
        <w:tc>
          <w:tcPr>
            <w:tcW w:w="1276" w:type="dxa"/>
            <w:tcBorders>
              <w:top w:val="single" w:sz="4" w:space="0" w:color="000000"/>
              <w:bottom w:val="single" w:sz="4" w:space="0" w:color="000000"/>
            </w:tcBorders>
            <w:shd w:val="clear" w:color="auto" w:fill="auto"/>
            <w:vAlign w:val="center"/>
            <w:hideMark/>
          </w:tcPr>
          <w:p w14:paraId="4A3ABC92" w14:textId="77777777" w:rsidR="002A3B7C" w:rsidRPr="002A3B7C" w:rsidRDefault="002A3B7C" w:rsidP="008624E8">
            <w:pPr>
              <w:widowControl/>
              <w:spacing w:line="360" w:lineRule="auto"/>
              <w:jc w:val="center"/>
              <w:rPr>
                <w:rFonts w:ascii="Arial" w:eastAsia="Times New Roman" w:hAnsi="Arial" w:cs="Arial"/>
                <w:color w:val="000000"/>
                <w:kern w:val="0"/>
                <w:sz w:val="20"/>
                <w:szCs w:val="20"/>
              </w:rPr>
            </w:pPr>
            <w:r w:rsidRPr="002A3B7C">
              <w:rPr>
                <w:rFonts w:ascii="Arial" w:eastAsia="Times New Roman" w:hAnsi="Arial" w:cs="Arial"/>
                <w:color w:val="000000"/>
                <w:kern w:val="0"/>
                <w:sz w:val="20"/>
                <w:szCs w:val="20"/>
              </w:rPr>
              <w:t>LR</w:t>
            </w:r>
          </w:p>
        </w:tc>
        <w:tc>
          <w:tcPr>
            <w:tcW w:w="1276" w:type="dxa"/>
            <w:tcBorders>
              <w:top w:val="single" w:sz="4" w:space="0" w:color="000000"/>
              <w:bottom w:val="single" w:sz="4" w:space="0" w:color="000000"/>
            </w:tcBorders>
            <w:shd w:val="clear" w:color="auto" w:fill="auto"/>
            <w:vAlign w:val="center"/>
            <w:hideMark/>
          </w:tcPr>
          <w:p w14:paraId="4A610CDF" w14:textId="77777777" w:rsidR="002A3B7C" w:rsidRPr="002A3B7C" w:rsidRDefault="002A3B7C" w:rsidP="008624E8">
            <w:pPr>
              <w:widowControl/>
              <w:spacing w:line="360" w:lineRule="auto"/>
              <w:jc w:val="center"/>
              <w:rPr>
                <w:rFonts w:ascii="Arial" w:eastAsia="Times New Roman" w:hAnsi="Arial" w:cs="Arial"/>
                <w:color w:val="000000"/>
                <w:kern w:val="0"/>
                <w:sz w:val="20"/>
                <w:szCs w:val="20"/>
              </w:rPr>
            </w:pPr>
            <w:r w:rsidRPr="002A3B7C">
              <w:rPr>
                <w:rFonts w:ascii="Arial" w:eastAsia="Times New Roman" w:hAnsi="Arial" w:cs="Arial"/>
                <w:color w:val="000000"/>
                <w:kern w:val="0"/>
                <w:sz w:val="20"/>
                <w:szCs w:val="20"/>
              </w:rPr>
              <w:t>FPE</w:t>
            </w:r>
          </w:p>
        </w:tc>
        <w:tc>
          <w:tcPr>
            <w:tcW w:w="1275" w:type="dxa"/>
            <w:tcBorders>
              <w:top w:val="single" w:sz="4" w:space="0" w:color="000000"/>
              <w:bottom w:val="single" w:sz="4" w:space="0" w:color="000000"/>
            </w:tcBorders>
            <w:shd w:val="clear" w:color="auto" w:fill="auto"/>
            <w:vAlign w:val="center"/>
            <w:hideMark/>
          </w:tcPr>
          <w:p w14:paraId="0837AD11" w14:textId="77777777" w:rsidR="002A3B7C" w:rsidRPr="002A3B7C" w:rsidRDefault="002A3B7C" w:rsidP="008624E8">
            <w:pPr>
              <w:widowControl/>
              <w:spacing w:line="360" w:lineRule="auto"/>
              <w:jc w:val="center"/>
              <w:rPr>
                <w:rFonts w:ascii="Arial" w:eastAsia="Times New Roman" w:hAnsi="Arial" w:cs="Arial"/>
                <w:color w:val="000000"/>
                <w:kern w:val="0"/>
                <w:sz w:val="20"/>
                <w:szCs w:val="20"/>
              </w:rPr>
            </w:pPr>
            <w:r w:rsidRPr="002A3B7C">
              <w:rPr>
                <w:rFonts w:ascii="Arial" w:eastAsia="Times New Roman" w:hAnsi="Arial" w:cs="Arial"/>
                <w:color w:val="000000"/>
                <w:kern w:val="0"/>
                <w:sz w:val="20"/>
                <w:szCs w:val="20"/>
              </w:rPr>
              <w:t>AlC</w:t>
            </w:r>
          </w:p>
        </w:tc>
        <w:tc>
          <w:tcPr>
            <w:tcW w:w="1276" w:type="dxa"/>
            <w:tcBorders>
              <w:top w:val="single" w:sz="4" w:space="0" w:color="000000"/>
              <w:bottom w:val="single" w:sz="4" w:space="0" w:color="000000"/>
            </w:tcBorders>
            <w:shd w:val="clear" w:color="auto" w:fill="auto"/>
            <w:vAlign w:val="center"/>
            <w:hideMark/>
          </w:tcPr>
          <w:p w14:paraId="5AF727C9" w14:textId="77777777" w:rsidR="002A3B7C" w:rsidRPr="002A3B7C" w:rsidRDefault="002A3B7C" w:rsidP="008624E8">
            <w:pPr>
              <w:widowControl/>
              <w:spacing w:line="360" w:lineRule="auto"/>
              <w:jc w:val="center"/>
              <w:rPr>
                <w:rFonts w:ascii="Arial" w:eastAsia="Times New Roman" w:hAnsi="Arial" w:cs="Arial"/>
                <w:color w:val="000000"/>
                <w:kern w:val="0"/>
                <w:sz w:val="20"/>
                <w:szCs w:val="20"/>
              </w:rPr>
            </w:pPr>
            <w:r w:rsidRPr="002A3B7C">
              <w:rPr>
                <w:rFonts w:ascii="Arial" w:eastAsia="Times New Roman" w:hAnsi="Arial" w:cs="Arial"/>
                <w:color w:val="000000"/>
                <w:kern w:val="0"/>
                <w:sz w:val="20"/>
                <w:szCs w:val="20"/>
              </w:rPr>
              <w:t>SC</w:t>
            </w:r>
          </w:p>
        </w:tc>
        <w:tc>
          <w:tcPr>
            <w:tcW w:w="1276" w:type="dxa"/>
            <w:tcBorders>
              <w:top w:val="single" w:sz="4" w:space="0" w:color="000000"/>
              <w:bottom w:val="single" w:sz="4" w:space="0" w:color="000000"/>
            </w:tcBorders>
            <w:shd w:val="clear" w:color="auto" w:fill="auto"/>
            <w:vAlign w:val="center"/>
            <w:hideMark/>
          </w:tcPr>
          <w:p w14:paraId="56BE3637" w14:textId="77777777" w:rsidR="002A3B7C" w:rsidRPr="002A3B7C" w:rsidRDefault="002A3B7C" w:rsidP="008624E8">
            <w:pPr>
              <w:widowControl/>
              <w:spacing w:line="360" w:lineRule="auto"/>
              <w:jc w:val="center"/>
              <w:rPr>
                <w:rFonts w:ascii="Arial" w:eastAsia="Times New Roman" w:hAnsi="Arial" w:cs="Arial"/>
                <w:color w:val="000000"/>
                <w:kern w:val="0"/>
                <w:sz w:val="20"/>
                <w:szCs w:val="20"/>
              </w:rPr>
            </w:pPr>
            <w:r w:rsidRPr="002A3B7C">
              <w:rPr>
                <w:rFonts w:ascii="Arial" w:eastAsia="Times New Roman" w:hAnsi="Arial" w:cs="Arial"/>
                <w:color w:val="000000"/>
                <w:kern w:val="0"/>
                <w:sz w:val="20"/>
                <w:szCs w:val="20"/>
              </w:rPr>
              <w:t>HQ</w:t>
            </w:r>
          </w:p>
        </w:tc>
      </w:tr>
      <w:tr w:rsidR="002A3B7C" w:rsidRPr="00572CAA" w14:paraId="2B0F2793" w14:textId="77777777" w:rsidTr="008A3287">
        <w:trPr>
          <w:trHeight w:val="300"/>
        </w:trPr>
        <w:tc>
          <w:tcPr>
            <w:tcW w:w="584" w:type="dxa"/>
            <w:tcBorders>
              <w:top w:val="single" w:sz="4" w:space="0" w:color="000000"/>
            </w:tcBorders>
            <w:shd w:val="clear" w:color="auto" w:fill="auto"/>
            <w:vAlign w:val="center"/>
            <w:hideMark/>
          </w:tcPr>
          <w:p w14:paraId="681F77D2" w14:textId="77777777" w:rsidR="002A3B7C" w:rsidRPr="002A3B7C" w:rsidRDefault="002A3B7C" w:rsidP="008624E8">
            <w:pPr>
              <w:widowControl/>
              <w:spacing w:line="360" w:lineRule="auto"/>
              <w:jc w:val="center"/>
              <w:rPr>
                <w:rFonts w:ascii="Arial" w:eastAsia="Times New Roman" w:hAnsi="Arial" w:cs="Arial"/>
                <w:color w:val="000000"/>
                <w:kern w:val="0"/>
                <w:sz w:val="20"/>
                <w:szCs w:val="20"/>
              </w:rPr>
            </w:pPr>
            <w:r w:rsidRPr="002A3B7C">
              <w:rPr>
                <w:rFonts w:ascii="Arial" w:eastAsia="Times New Roman" w:hAnsi="Arial" w:cs="Arial"/>
                <w:color w:val="000000"/>
                <w:kern w:val="0"/>
                <w:sz w:val="20"/>
                <w:szCs w:val="20"/>
              </w:rPr>
              <w:t>0</w:t>
            </w:r>
          </w:p>
        </w:tc>
        <w:tc>
          <w:tcPr>
            <w:tcW w:w="1254" w:type="dxa"/>
            <w:tcBorders>
              <w:top w:val="single" w:sz="4" w:space="0" w:color="000000"/>
            </w:tcBorders>
            <w:shd w:val="clear" w:color="auto" w:fill="auto"/>
            <w:vAlign w:val="center"/>
            <w:hideMark/>
          </w:tcPr>
          <w:p w14:paraId="1A449094" w14:textId="77777777" w:rsidR="002A3B7C" w:rsidRPr="002A3B7C" w:rsidRDefault="002A3B7C" w:rsidP="008624E8">
            <w:pPr>
              <w:widowControl/>
              <w:spacing w:line="360" w:lineRule="auto"/>
              <w:jc w:val="center"/>
              <w:rPr>
                <w:rFonts w:ascii="宋体" w:hAnsi="宋体" w:cs="Calibri"/>
                <w:color w:val="000000"/>
                <w:kern w:val="0"/>
                <w:sz w:val="20"/>
                <w:szCs w:val="20"/>
              </w:rPr>
            </w:pPr>
            <w:r w:rsidRPr="002A3B7C">
              <w:rPr>
                <w:rFonts w:ascii="宋体" w:hAnsi="宋体" w:cs="Calibri" w:hint="eastAsia"/>
                <w:color w:val="000000"/>
                <w:kern w:val="0"/>
                <w:sz w:val="20"/>
                <w:szCs w:val="20"/>
              </w:rPr>
              <w:t>-579.369</w:t>
            </w:r>
          </w:p>
        </w:tc>
        <w:tc>
          <w:tcPr>
            <w:tcW w:w="1276" w:type="dxa"/>
            <w:tcBorders>
              <w:top w:val="single" w:sz="4" w:space="0" w:color="000000"/>
            </w:tcBorders>
            <w:shd w:val="clear" w:color="auto" w:fill="auto"/>
            <w:vAlign w:val="center"/>
            <w:hideMark/>
          </w:tcPr>
          <w:p w14:paraId="536B36B6"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NA</w:t>
            </w:r>
          </w:p>
        </w:tc>
        <w:tc>
          <w:tcPr>
            <w:tcW w:w="1276" w:type="dxa"/>
            <w:tcBorders>
              <w:top w:val="single" w:sz="4" w:space="0" w:color="000000"/>
            </w:tcBorders>
            <w:shd w:val="clear" w:color="auto" w:fill="auto"/>
            <w:vAlign w:val="center"/>
            <w:hideMark/>
          </w:tcPr>
          <w:p w14:paraId="531EBFC1"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0.002149</w:t>
            </w:r>
          </w:p>
        </w:tc>
        <w:tc>
          <w:tcPr>
            <w:tcW w:w="1275" w:type="dxa"/>
            <w:tcBorders>
              <w:top w:val="single" w:sz="4" w:space="0" w:color="000000"/>
            </w:tcBorders>
            <w:shd w:val="clear" w:color="auto" w:fill="auto"/>
            <w:vAlign w:val="center"/>
            <w:hideMark/>
          </w:tcPr>
          <w:p w14:paraId="5DAF2E92"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5.208648</w:t>
            </w:r>
          </w:p>
        </w:tc>
        <w:tc>
          <w:tcPr>
            <w:tcW w:w="1276" w:type="dxa"/>
            <w:tcBorders>
              <w:top w:val="single" w:sz="4" w:space="0" w:color="000000"/>
            </w:tcBorders>
            <w:shd w:val="clear" w:color="auto" w:fill="auto"/>
            <w:vAlign w:val="center"/>
            <w:hideMark/>
          </w:tcPr>
          <w:p w14:paraId="249A809D"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5.269571</w:t>
            </w:r>
          </w:p>
        </w:tc>
        <w:tc>
          <w:tcPr>
            <w:tcW w:w="1276" w:type="dxa"/>
            <w:tcBorders>
              <w:top w:val="single" w:sz="4" w:space="0" w:color="000000"/>
            </w:tcBorders>
            <w:shd w:val="clear" w:color="auto" w:fill="auto"/>
            <w:vAlign w:val="center"/>
            <w:hideMark/>
          </w:tcPr>
          <w:p w14:paraId="5644DE40"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5.23324</w:t>
            </w:r>
          </w:p>
        </w:tc>
      </w:tr>
      <w:tr w:rsidR="002A3B7C" w:rsidRPr="00572CAA" w14:paraId="4644300F" w14:textId="77777777" w:rsidTr="008A3287">
        <w:trPr>
          <w:trHeight w:val="300"/>
        </w:trPr>
        <w:tc>
          <w:tcPr>
            <w:tcW w:w="584" w:type="dxa"/>
            <w:tcBorders>
              <w:top w:val="nil"/>
            </w:tcBorders>
            <w:shd w:val="clear" w:color="auto" w:fill="auto"/>
            <w:vAlign w:val="center"/>
            <w:hideMark/>
          </w:tcPr>
          <w:p w14:paraId="7F6E0292" w14:textId="77777777" w:rsidR="002A3B7C" w:rsidRPr="002A3B7C" w:rsidRDefault="002A3B7C" w:rsidP="008624E8">
            <w:pPr>
              <w:widowControl/>
              <w:spacing w:line="360" w:lineRule="auto"/>
              <w:jc w:val="center"/>
              <w:rPr>
                <w:rFonts w:ascii="Arial" w:eastAsia="Times New Roman" w:hAnsi="Arial" w:cs="Arial"/>
                <w:color w:val="000000"/>
                <w:kern w:val="0"/>
                <w:sz w:val="20"/>
                <w:szCs w:val="20"/>
              </w:rPr>
            </w:pPr>
            <w:r w:rsidRPr="002A3B7C">
              <w:rPr>
                <w:rFonts w:ascii="Arial" w:eastAsia="Times New Roman" w:hAnsi="Arial" w:cs="Arial"/>
                <w:color w:val="000000"/>
                <w:kern w:val="0"/>
                <w:sz w:val="20"/>
                <w:szCs w:val="20"/>
              </w:rPr>
              <w:t>1</w:t>
            </w:r>
          </w:p>
        </w:tc>
        <w:tc>
          <w:tcPr>
            <w:tcW w:w="1254" w:type="dxa"/>
            <w:tcBorders>
              <w:top w:val="nil"/>
            </w:tcBorders>
            <w:shd w:val="clear" w:color="auto" w:fill="auto"/>
            <w:vAlign w:val="center"/>
            <w:hideMark/>
          </w:tcPr>
          <w:p w14:paraId="3A65A8E1" w14:textId="77777777" w:rsidR="002A3B7C" w:rsidRPr="002A3B7C" w:rsidRDefault="002A3B7C" w:rsidP="008624E8">
            <w:pPr>
              <w:widowControl/>
              <w:spacing w:line="360" w:lineRule="auto"/>
              <w:jc w:val="center"/>
              <w:rPr>
                <w:rFonts w:ascii="宋体" w:hAnsi="宋体" w:cs="Calibri"/>
                <w:color w:val="000000"/>
                <w:kern w:val="0"/>
                <w:sz w:val="20"/>
                <w:szCs w:val="20"/>
              </w:rPr>
            </w:pPr>
            <w:r w:rsidRPr="002A3B7C">
              <w:rPr>
                <w:rFonts w:ascii="宋体" w:hAnsi="宋体" w:cs="Calibri" w:hint="eastAsia"/>
                <w:color w:val="000000"/>
                <w:kern w:val="0"/>
                <w:sz w:val="20"/>
                <w:szCs w:val="20"/>
              </w:rPr>
              <w:t>-380.829</w:t>
            </w:r>
          </w:p>
        </w:tc>
        <w:tc>
          <w:tcPr>
            <w:tcW w:w="1276" w:type="dxa"/>
            <w:tcBorders>
              <w:top w:val="nil"/>
            </w:tcBorders>
            <w:shd w:val="clear" w:color="auto" w:fill="auto"/>
            <w:vAlign w:val="center"/>
            <w:hideMark/>
          </w:tcPr>
          <w:p w14:paraId="690C93BB"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388.2167</w:t>
            </w:r>
          </w:p>
        </w:tc>
        <w:tc>
          <w:tcPr>
            <w:tcW w:w="1276" w:type="dxa"/>
            <w:tcBorders>
              <w:top w:val="nil"/>
            </w:tcBorders>
            <w:shd w:val="clear" w:color="auto" w:fill="auto"/>
            <w:vAlign w:val="center"/>
            <w:hideMark/>
          </w:tcPr>
          <w:p w14:paraId="228C5E87"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0.000421</w:t>
            </w:r>
          </w:p>
        </w:tc>
        <w:tc>
          <w:tcPr>
            <w:tcW w:w="1275" w:type="dxa"/>
            <w:tcBorders>
              <w:top w:val="nil"/>
            </w:tcBorders>
            <w:shd w:val="clear" w:color="auto" w:fill="auto"/>
            <w:vAlign w:val="center"/>
            <w:hideMark/>
          </w:tcPr>
          <w:p w14:paraId="7E13229A"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3.578826</w:t>
            </w:r>
          </w:p>
        </w:tc>
        <w:tc>
          <w:tcPr>
            <w:tcW w:w="1276" w:type="dxa"/>
            <w:tcBorders>
              <w:top w:val="nil"/>
            </w:tcBorders>
            <w:shd w:val="clear" w:color="auto" w:fill="auto"/>
            <w:vAlign w:val="center"/>
            <w:hideMark/>
          </w:tcPr>
          <w:p w14:paraId="3F236BAD"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3.883438*</w:t>
            </w:r>
          </w:p>
        </w:tc>
        <w:tc>
          <w:tcPr>
            <w:tcW w:w="1276" w:type="dxa"/>
            <w:tcBorders>
              <w:top w:val="nil"/>
            </w:tcBorders>
            <w:shd w:val="clear" w:color="auto" w:fill="auto"/>
            <w:vAlign w:val="center"/>
            <w:hideMark/>
          </w:tcPr>
          <w:p w14:paraId="4CE69DE5"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3.701782</w:t>
            </w:r>
          </w:p>
        </w:tc>
      </w:tr>
      <w:tr w:rsidR="002A3B7C" w:rsidRPr="00572CAA" w14:paraId="1FC7F63E" w14:textId="77777777" w:rsidTr="008A3287">
        <w:trPr>
          <w:trHeight w:val="300"/>
        </w:trPr>
        <w:tc>
          <w:tcPr>
            <w:tcW w:w="584" w:type="dxa"/>
            <w:tcBorders>
              <w:top w:val="nil"/>
            </w:tcBorders>
            <w:shd w:val="clear" w:color="auto" w:fill="auto"/>
            <w:vAlign w:val="center"/>
            <w:hideMark/>
          </w:tcPr>
          <w:p w14:paraId="40F48F6F" w14:textId="77777777" w:rsidR="002A3B7C" w:rsidRPr="002A3B7C" w:rsidRDefault="002A3B7C" w:rsidP="008624E8">
            <w:pPr>
              <w:widowControl/>
              <w:spacing w:line="360" w:lineRule="auto"/>
              <w:jc w:val="center"/>
              <w:rPr>
                <w:rFonts w:ascii="Arial" w:eastAsia="Times New Roman" w:hAnsi="Arial" w:cs="Arial"/>
                <w:color w:val="000000"/>
                <w:kern w:val="0"/>
                <w:sz w:val="20"/>
                <w:szCs w:val="20"/>
              </w:rPr>
            </w:pPr>
            <w:r w:rsidRPr="002A3B7C">
              <w:rPr>
                <w:rFonts w:ascii="Arial" w:eastAsia="Times New Roman" w:hAnsi="Arial" w:cs="Arial"/>
                <w:color w:val="000000"/>
                <w:kern w:val="0"/>
                <w:sz w:val="20"/>
                <w:szCs w:val="20"/>
              </w:rPr>
              <w:t>2</w:t>
            </w:r>
          </w:p>
        </w:tc>
        <w:tc>
          <w:tcPr>
            <w:tcW w:w="1254" w:type="dxa"/>
            <w:tcBorders>
              <w:top w:val="nil"/>
            </w:tcBorders>
            <w:shd w:val="clear" w:color="auto" w:fill="auto"/>
            <w:vAlign w:val="center"/>
            <w:hideMark/>
          </w:tcPr>
          <w:p w14:paraId="012F62F4" w14:textId="77777777" w:rsidR="002A3B7C" w:rsidRPr="002A3B7C" w:rsidRDefault="002A3B7C" w:rsidP="008624E8">
            <w:pPr>
              <w:widowControl/>
              <w:spacing w:line="360" w:lineRule="auto"/>
              <w:jc w:val="center"/>
              <w:rPr>
                <w:rFonts w:ascii="宋体" w:hAnsi="宋体" w:cs="Calibri"/>
                <w:color w:val="000000"/>
                <w:kern w:val="0"/>
                <w:sz w:val="20"/>
                <w:szCs w:val="20"/>
              </w:rPr>
            </w:pPr>
            <w:r w:rsidRPr="002A3B7C">
              <w:rPr>
                <w:rFonts w:ascii="宋体" w:hAnsi="宋体" w:cs="Calibri" w:hint="eastAsia"/>
                <w:color w:val="000000"/>
                <w:kern w:val="0"/>
                <w:sz w:val="20"/>
                <w:szCs w:val="20"/>
              </w:rPr>
              <w:t>-345.203</w:t>
            </w:r>
          </w:p>
        </w:tc>
        <w:tc>
          <w:tcPr>
            <w:tcW w:w="1276" w:type="dxa"/>
            <w:tcBorders>
              <w:top w:val="nil"/>
            </w:tcBorders>
            <w:shd w:val="clear" w:color="auto" w:fill="auto"/>
            <w:vAlign w:val="center"/>
            <w:hideMark/>
          </w:tcPr>
          <w:p w14:paraId="11F3E503"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68.38873</w:t>
            </w:r>
          </w:p>
        </w:tc>
        <w:tc>
          <w:tcPr>
            <w:tcW w:w="1276" w:type="dxa"/>
            <w:tcBorders>
              <w:top w:val="nil"/>
            </w:tcBorders>
            <w:shd w:val="clear" w:color="auto" w:fill="auto"/>
            <w:vAlign w:val="center"/>
            <w:hideMark/>
          </w:tcPr>
          <w:p w14:paraId="54A56AAC"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0.000353</w:t>
            </w:r>
          </w:p>
        </w:tc>
        <w:tc>
          <w:tcPr>
            <w:tcW w:w="1275" w:type="dxa"/>
            <w:tcBorders>
              <w:top w:val="nil"/>
            </w:tcBorders>
            <w:shd w:val="clear" w:color="auto" w:fill="auto"/>
            <w:vAlign w:val="center"/>
            <w:hideMark/>
          </w:tcPr>
          <w:p w14:paraId="68FA31DE"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3.403596</w:t>
            </w:r>
          </w:p>
        </w:tc>
        <w:tc>
          <w:tcPr>
            <w:tcW w:w="1276" w:type="dxa"/>
            <w:tcBorders>
              <w:top w:val="nil"/>
            </w:tcBorders>
            <w:shd w:val="clear" w:color="auto" w:fill="auto"/>
            <w:vAlign w:val="center"/>
            <w:hideMark/>
          </w:tcPr>
          <w:p w14:paraId="61581106"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3.951897</w:t>
            </w:r>
          </w:p>
        </w:tc>
        <w:tc>
          <w:tcPr>
            <w:tcW w:w="1276" w:type="dxa"/>
            <w:tcBorders>
              <w:top w:val="nil"/>
            </w:tcBorders>
            <w:shd w:val="clear" w:color="auto" w:fill="auto"/>
            <w:vAlign w:val="center"/>
            <w:hideMark/>
          </w:tcPr>
          <w:p w14:paraId="0A920B4B"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3.624917*</w:t>
            </w:r>
          </w:p>
        </w:tc>
      </w:tr>
      <w:tr w:rsidR="002A3B7C" w:rsidRPr="00572CAA" w14:paraId="11362214" w14:textId="77777777" w:rsidTr="008A3287">
        <w:trPr>
          <w:trHeight w:val="300"/>
        </w:trPr>
        <w:tc>
          <w:tcPr>
            <w:tcW w:w="584" w:type="dxa"/>
            <w:tcBorders>
              <w:top w:val="nil"/>
            </w:tcBorders>
            <w:shd w:val="clear" w:color="auto" w:fill="auto"/>
            <w:vAlign w:val="center"/>
            <w:hideMark/>
          </w:tcPr>
          <w:p w14:paraId="553E72A0" w14:textId="77777777" w:rsidR="002A3B7C" w:rsidRPr="002A3B7C" w:rsidRDefault="002A3B7C" w:rsidP="008624E8">
            <w:pPr>
              <w:widowControl/>
              <w:spacing w:line="360" w:lineRule="auto"/>
              <w:jc w:val="center"/>
              <w:rPr>
                <w:rFonts w:ascii="Arial" w:eastAsia="Times New Roman" w:hAnsi="Arial" w:cs="Arial"/>
                <w:color w:val="000000"/>
                <w:kern w:val="0"/>
                <w:sz w:val="20"/>
                <w:szCs w:val="20"/>
              </w:rPr>
            </w:pPr>
            <w:r w:rsidRPr="002A3B7C">
              <w:rPr>
                <w:rFonts w:ascii="Arial" w:eastAsia="Times New Roman" w:hAnsi="Arial" w:cs="Arial"/>
                <w:color w:val="000000"/>
                <w:kern w:val="0"/>
                <w:sz w:val="20"/>
                <w:szCs w:val="20"/>
              </w:rPr>
              <w:t>3</w:t>
            </w:r>
          </w:p>
        </w:tc>
        <w:tc>
          <w:tcPr>
            <w:tcW w:w="1254" w:type="dxa"/>
            <w:tcBorders>
              <w:top w:val="nil"/>
            </w:tcBorders>
            <w:shd w:val="clear" w:color="auto" w:fill="auto"/>
            <w:vAlign w:val="center"/>
            <w:hideMark/>
          </w:tcPr>
          <w:p w14:paraId="57C0569D" w14:textId="77777777" w:rsidR="002A3B7C" w:rsidRPr="002A3B7C" w:rsidRDefault="002A3B7C" w:rsidP="008624E8">
            <w:pPr>
              <w:widowControl/>
              <w:spacing w:line="360" w:lineRule="auto"/>
              <w:jc w:val="center"/>
              <w:rPr>
                <w:rFonts w:ascii="宋体" w:hAnsi="宋体" w:cs="Calibri"/>
                <w:color w:val="000000"/>
                <w:kern w:val="0"/>
                <w:sz w:val="20"/>
                <w:szCs w:val="20"/>
              </w:rPr>
            </w:pPr>
            <w:r w:rsidRPr="002A3B7C">
              <w:rPr>
                <w:rFonts w:ascii="宋体" w:hAnsi="宋体" w:cs="Calibri" w:hint="eastAsia"/>
                <w:color w:val="000000"/>
                <w:kern w:val="0"/>
                <w:sz w:val="20"/>
                <w:szCs w:val="20"/>
              </w:rPr>
              <w:t>-328.642</w:t>
            </w:r>
          </w:p>
        </w:tc>
        <w:tc>
          <w:tcPr>
            <w:tcW w:w="1276" w:type="dxa"/>
            <w:tcBorders>
              <w:top w:val="nil"/>
            </w:tcBorders>
            <w:shd w:val="clear" w:color="auto" w:fill="auto"/>
            <w:vAlign w:val="center"/>
            <w:hideMark/>
          </w:tcPr>
          <w:p w14:paraId="08C7B3DC"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31.19938*</w:t>
            </w:r>
          </w:p>
        </w:tc>
        <w:tc>
          <w:tcPr>
            <w:tcW w:w="1276" w:type="dxa"/>
            <w:tcBorders>
              <w:top w:val="nil"/>
            </w:tcBorders>
            <w:shd w:val="clear" w:color="auto" w:fill="auto"/>
            <w:vAlign w:val="center"/>
            <w:hideMark/>
          </w:tcPr>
          <w:p w14:paraId="704BA4D5"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0.000352*</w:t>
            </w:r>
          </w:p>
        </w:tc>
        <w:tc>
          <w:tcPr>
            <w:tcW w:w="1275" w:type="dxa"/>
            <w:tcBorders>
              <w:top w:val="nil"/>
            </w:tcBorders>
            <w:shd w:val="clear" w:color="auto" w:fill="auto"/>
            <w:vAlign w:val="center"/>
            <w:hideMark/>
          </w:tcPr>
          <w:p w14:paraId="20FF7C23"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3.398589*</w:t>
            </w:r>
          </w:p>
        </w:tc>
        <w:tc>
          <w:tcPr>
            <w:tcW w:w="1276" w:type="dxa"/>
            <w:tcBorders>
              <w:top w:val="nil"/>
            </w:tcBorders>
            <w:shd w:val="clear" w:color="auto" w:fill="auto"/>
            <w:vAlign w:val="center"/>
            <w:hideMark/>
          </w:tcPr>
          <w:p w14:paraId="044A0ED4"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4.190578</w:t>
            </w:r>
          </w:p>
        </w:tc>
        <w:tc>
          <w:tcPr>
            <w:tcW w:w="1276" w:type="dxa"/>
            <w:tcBorders>
              <w:top w:val="nil"/>
            </w:tcBorders>
            <w:shd w:val="clear" w:color="auto" w:fill="auto"/>
            <w:vAlign w:val="center"/>
            <w:hideMark/>
          </w:tcPr>
          <w:p w14:paraId="282792C4"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3.718275</w:t>
            </w:r>
          </w:p>
        </w:tc>
      </w:tr>
      <w:tr w:rsidR="002A3B7C" w:rsidRPr="00572CAA" w14:paraId="4DE43F4C" w14:textId="77777777" w:rsidTr="008A3287">
        <w:trPr>
          <w:trHeight w:val="300"/>
        </w:trPr>
        <w:tc>
          <w:tcPr>
            <w:tcW w:w="584" w:type="dxa"/>
            <w:tcBorders>
              <w:top w:val="nil"/>
            </w:tcBorders>
            <w:shd w:val="clear" w:color="auto" w:fill="auto"/>
            <w:vAlign w:val="center"/>
            <w:hideMark/>
          </w:tcPr>
          <w:p w14:paraId="64C60792" w14:textId="77777777" w:rsidR="002A3B7C" w:rsidRPr="002A3B7C" w:rsidRDefault="002A3B7C" w:rsidP="008624E8">
            <w:pPr>
              <w:widowControl/>
              <w:spacing w:line="360" w:lineRule="auto"/>
              <w:jc w:val="center"/>
              <w:rPr>
                <w:rFonts w:ascii="Arial" w:eastAsia="Times New Roman" w:hAnsi="Arial" w:cs="Arial"/>
                <w:color w:val="000000"/>
                <w:kern w:val="0"/>
                <w:sz w:val="20"/>
                <w:szCs w:val="20"/>
              </w:rPr>
            </w:pPr>
            <w:r w:rsidRPr="002A3B7C">
              <w:rPr>
                <w:rFonts w:ascii="Arial" w:eastAsia="Times New Roman" w:hAnsi="Arial" w:cs="Arial"/>
                <w:color w:val="000000"/>
                <w:kern w:val="0"/>
                <w:sz w:val="20"/>
                <w:szCs w:val="20"/>
              </w:rPr>
              <w:t>4</w:t>
            </w:r>
          </w:p>
        </w:tc>
        <w:tc>
          <w:tcPr>
            <w:tcW w:w="1254" w:type="dxa"/>
            <w:tcBorders>
              <w:top w:val="nil"/>
            </w:tcBorders>
            <w:shd w:val="clear" w:color="auto" w:fill="auto"/>
            <w:vAlign w:val="center"/>
            <w:hideMark/>
          </w:tcPr>
          <w:p w14:paraId="1C1D4F9F" w14:textId="77777777" w:rsidR="002A3B7C" w:rsidRPr="002A3B7C" w:rsidRDefault="002A3B7C" w:rsidP="008624E8">
            <w:pPr>
              <w:widowControl/>
              <w:spacing w:line="360" w:lineRule="auto"/>
              <w:jc w:val="center"/>
              <w:rPr>
                <w:rFonts w:ascii="宋体" w:hAnsi="宋体" w:cs="Calibri"/>
                <w:color w:val="000000"/>
                <w:kern w:val="0"/>
                <w:sz w:val="20"/>
                <w:szCs w:val="20"/>
              </w:rPr>
            </w:pPr>
            <w:r w:rsidRPr="002A3B7C">
              <w:rPr>
                <w:rFonts w:ascii="宋体" w:hAnsi="宋体" w:cs="Calibri" w:hint="eastAsia"/>
                <w:color w:val="000000"/>
                <w:kern w:val="0"/>
                <w:sz w:val="20"/>
                <w:szCs w:val="20"/>
              </w:rPr>
              <w:t>-314.777</w:t>
            </w:r>
          </w:p>
        </w:tc>
        <w:tc>
          <w:tcPr>
            <w:tcW w:w="1276" w:type="dxa"/>
            <w:tcBorders>
              <w:top w:val="nil"/>
            </w:tcBorders>
            <w:shd w:val="clear" w:color="auto" w:fill="auto"/>
            <w:vAlign w:val="center"/>
            <w:hideMark/>
          </w:tcPr>
          <w:p w14:paraId="2B844999"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25.62528</w:t>
            </w:r>
          </w:p>
        </w:tc>
        <w:tc>
          <w:tcPr>
            <w:tcW w:w="1276" w:type="dxa"/>
            <w:tcBorders>
              <w:top w:val="nil"/>
            </w:tcBorders>
            <w:shd w:val="clear" w:color="auto" w:fill="auto"/>
            <w:vAlign w:val="center"/>
            <w:hideMark/>
          </w:tcPr>
          <w:p w14:paraId="0D084D53"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0.000359</w:t>
            </w:r>
          </w:p>
        </w:tc>
        <w:tc>
          <w:tcPr>
            <w:tcW w:w="1275" w:type="dxa"/>
            <w:tcBorders>
              <w:top w:val="nil"/>
            </w:tcBorders>
            <w:shd w:val="clear" w:color="auto" w:fill="auto"/>
            <w:vAlign w:val="center"/>
            <w:hideMark/>
          </w:tcPr>
          <w:p w14:paraId="128B1B5B"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3.417653</w:t>
            </w:r>
          </w:p>
        </w:tc>
        <w:tc>
          <w:tcPr>
            <w:tcW w:w="1276" w:type="dxa"/>
            <w:tcBorders>
              <w:top w:val="nil"/>
            </w:tcBorders>
            <w:shd w:val="clear" w:color="auto" w:fill="auto"/>
            <w:vAlign w:val="center"/>
            <w:hideMark/>
          </w:tcPr>
          <w:p w14:paraId="7DA5405B"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4.453331</w:t>
            </w:r>
          </w:p>
        </w:tc>
        <w:tc>
          <w:tcPr>
            <w:tcW w:w="1276" w:type="dxa"/>
            <w:tcBorders>
              <w:top w:val="nil"/>
            </w:tcBorders>
            <w:shd w:val="clear" w:color="auto" w:fill="auto"/>
            <w:vAlign w:val="center"/>
            <w:hideMark/>
          </w:tcPr>
          <w:p w14:paraId="47A2DC24"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3.835703</w:t>
            </w:r>
          </w:p>
        </w:tc>
      </w:tr>
      <w:tr w:rsidR="002A3B7C" w:rsidRPr="00572CAA" w14:paraId="70982FA9" w14:textId="77777777" w:rsidTr="008A3287">
        <w:trPr>
          <w:trHeight w:val="300"/>
        </w:trPr>
        <w:tc>
          <w:tcPr>
            <w:tcW w:w="584" w:type="dxa"/>
            <w:tcBorders>
              <w:top w:val="nil"/>
            </w:tcBorders>
            <w:shd w:val="clear" w:color="auto" w:fill="auto"/>
            <w:vAlign w:val="center"/>
            <w:hideMark/>
          </w:tcPr>
          <w:p w14:paraId="485D27DE" w14:textId="77777777" w:rsidR="002A3B7C" w:rsidRPr="002A3B7C" w:rsidRDefault="002A3B7C" w:rsidP="008624E8">
            <w:pPr>
              <w:widowControl/>
              <w:spacing w:line="360" w:lineRule="auto"/>
              <w:jc w:val="center"/>
              <w:rPr>
                <w:rFonts w:ascii="Arial" w:eastAsia="Times New Roman" w:hAnsi="Arial" w:cs="Arial"/>
                <w:color w:val="000000"/>
                <w:kern w:val="0"/>
                <w:sz w:val="20"/>
                <w:szCs w:val="20"/>
              </w:rPr>
            </w:pPr>
            <w:r w:rsidRPr="002A3B7C">
              <w:rPr>
                <w:rFonts w:ascii="Arial" w:eastAsia="Times New Roman" w:hAnsi="Arial" w:cs="Arial"/>
                <w:color w:val="000000"/>
                <w:kern w:val="0"/>
                <w:sz w:val="20"/>
                <w:szCs w:val="20"/>
              </w:rPr>
              <w:t>5</w:t>
            </w:r>
          </w:p>
        </w:tc>
        <w:tc>
          <w:tcPr>
            <w:tcW w:w="1254" w:type="dxa"/>
            <w:tcBorders>
              <w:top w:val="nil"/>
            </w:tcBorders>
            <w:shd w:val="clear" w:color="auto" w:fill="auto"/>
            <w:vAlign w:val="center"/>
            <w:hideMark/>
          </w:tcPr>
          <w:p w14:paraId="38CF40A6" w14:textId="77777777" w:rsidR="002A3B7C" w:rsidRPr="002A3B7C" w:rsidRDefault="002A3B7C" w:rsidP="008624E8">
            <w:pPr>
              <w:widowControl/>
              <w:spacing w:line="360" w:lineRule="auto"/>
              <w:jc w:val="center"/>
              <w:rPr>
                <w:rFonts w:ascii="宋体" w:hAnsi="宋体" w:cs="Calibri"/>
                <w:color w:val="000000"/>
                <w:kern w:val="0"/>
                <w:sz w:val="20"/>
                <w:szCs w:val="20"/>
              </w:rPr>
            </w:pPr>
            <w:r w:rsidRPr="002A3B7C">
              <w:rPr>
                <w:rFonts w:ascii="宋体" w:hAnsi="宋体" w:cs="Calibri" w:hint="eastAsia"/>
                <w:color w:val="000000"/>
                <w:kern w:val="0"/>
                <w:sz w:val="20"/>
                <w:szCs w:val="20"/>
              </w:rPr>
              <w:t>-302.292</w:t>
            </w:r>
          </w:p>
        </w:tc>
        <w:tc>
          <w:tcPr>
            <w:tcW w:w="1276" w:type="dxa"/>
            <w:tcBorders>
              <w:top w:val="nil"/>
            </w:tcBorders>
            <w:shd w:val="clear" w:color="auto" w:fill="auto"/>
            <w:vAlign w:val="center"/>
            <w:hideMark/>
          </w:tcPr>
          <w:p w14:paraId="01EFE159"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22.62899</w:t>
            </w:r>
          </w:p>
        </w:tc>
        <w:tc>
          <w:tcPr>
            <w:tcW w:w="1276" w:type="dxa"/>
            <w:tcBorders>
              <w:top w:val="nil"/>
            </w:tcBorders>
            <w:shd w:val="clear" w:color="auto" w:fill="auto"/>
            <w:vAlign w:val="center"/>
            <w:hideMark/>
          </w:tcPr>
          <w:p w14:paraId="6AA4B9EB"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0.000371</w:t>
            </w:r>
          </w:p>
        </w:tc>
        <w:tc>
          <w:tcPr>
            <w:tcW w:w="1275" w:type="dxa"/>
            <w:tcBorders>
              <w:top w:val="nil"/>
            </w:tcBorders>
            <w:shd w:val="clear" w:color="auto" w:fill="auto"/>
            <w:vAlign w:val="center"/>
            <w:hideMark/>
          </w:tcPr>
          <w:p w14:paraId="4C7D5B1E"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3.449037</w:t>
            </w:r>
          </w:p>
        </w:tc>
        <w:tc>
          <w:tcPr>
            <w:tcW w:w="1276" w:type="dxa"/>
            <w:tcBorders>
              <w:top w:val="nil"/>
            </w:tcBorders>
            <w:shd w:val="clear" w:color="auto" w:fill="auto"/>
            <w:vAlign w:val="center"/>
            <w:hideMark/>
          </w:tcPr>
          <w:p w14:paraId="001D6A37"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4.728404</w:t>
            </w:r>
          </w:p>
        </w:tc>
        <w:tc>
          <w:tcPr>
            <w:tcW w:w="1276" w:type="dxa"/>
            <w:tcBorders>
              <w:top w:val="nil"/>
            </w:tcBorders>
            <w:shd w:val="clear" w:color="auto" w:fill="auto"/>
            <w:vAlign w:val="center"/>
            <w:hideMark/>
          </w:tcPr>
          <w:p w14:paraId="03806B11"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3.965452</w:t>
            </w:r>
          </w:p>
        </w:tc>
      </w:tr>
      <w:tr w:rsidR="002A3B7C" w:rsidRPr="00572CAA" w14:paraId="4BCB46A4" w14:textId="77777777" w:rsidTr="008A3287">
        <w:trPr>
          <w:trHeight w:val="300"/>
        </w:trPr>
        <w:tc>
          <w:tcPr>
            <w:tcW w:w="584" w:type="dxa"/>
            <w:tcBorders>
              <w:top w:val="nil"/>
            </w:tcBorders>
            <w:shd w:val="clear" w:color="auto" w:fill="auto"/>
            <w:vAlign w:val="center"/>
            <w:hideMark/>
          </w:tcPr>
          <w:p w14:paraId="19694F5C" w14:textId="77777777" w:rsidR="002A3B7C" w:rsidRPr="002A3B7C" w:rsidRDefault="002A3B7C" w:rsidP="008624E8">
            <w:pPr>
              <w:widowControl/>
              <w:spacing w:line="360" w:lineRule="auto"/>
              <w:jc w:val="center"/>
              <w:rPr>
                <w:rFonts w:ascii="Arial" w:eastAsia="Times New Roman" w:hAnsi="Arial" w:cs="Arial"/>
                <w:color w:val="000000"/>
                <w:kern w:val="0"/>
                <w:sz w:val="20"/>
                <w:szCs w:val="20"/>
              </w:rPr>
            </w:pPr>
            <w:r w:rsidRPr="002A3B7C">
              <w:rPr>
                <w:rFonts w:ascii="Arial" w:eastAsia="Times New Roman" w:hAnsi="Arial" w:cs="Arial"/>
                <w:color w:val="000000"/>
                <w:kern w:val="0"/>
                <w:sz w:val="20"/>
                <w:szCs w:val="20"/>
              </w:rPr>
              <w:t>6</w:t>
            </w:r>
          </w:p>
        </w:tc>
        <w:tc>
          <w:tcPr>
            <w:tcW w:w="1254" w:type="dxa"/>
            <w:tcBorders>
              <w:top w:val="nil"/>
            </w:tcBorders>
            <w:shd w:val="clear" w:color="auto" w:fill="auto"/>
            <w:vAlign w:val="center"/>
            <w:hideMark/>
          </w:tcPr>
          <w:p w14:paraId="78162B66" w14:textId="77777777" w:rsidR="002A3B7C" w:rsidRPr="002A3B7C" w:rsidRDefault="002A3B7C" w:rsidP="008624E8">
            <w:pPr>
              <w:widowControl/>
              <w:spacing w:line="360" w:lineRule="auto"/>
              <w:jc w:val="center"/>
              <w:rPr>
                <w:rFonts w:ascii="宋体" w:hAnsi="宋体" w:cs="Calibri"/>
                <w:color w:val="000000"/>
                <w:kern w:val="0"/>
                <w:sz w:val="20"/>
                <w:szCs w:val="20"/>
              </w:rPr>
            </w:pPr>
            <w:r w:rsidRPr="002A3B7C">
              <w:rPr>
                <w:rFonts w:ascii="宋体" w:hAnsi="宋体" w:cs="Calibri" w:hint="eastAsia"/>
                <w:color w:val="000000"/>
                <w:kern w:val="0"/>
                <w:sz w:val="20"/>
                <w:szCs w:val="20"/>
              </w:rPr>
              <w:t>-292.538</w:t>
            </w:r>
          </w:p>
        </w:tc>
        <w:tc>
          <w:tcPr>
            <w:tcW w:w="1276" w:type="dxa"/>
            <w:tcBorders>
              <w:top w:val="nil"/>
            </w:tcBorders>
            <w:shd w:val="clear" w:color="auto" w:fill="auto"/>
            <w:vAlign w:val="center"/>
            <w:hideMark/>
          </w:tcPr>
          <w:p w14:paraId="058BE3FD"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17.33035</w:t>
            </w:r>
          </w:p>
        </w:tc>
        <w:tc>
          <w:tcPr>
            <w:tcW w:w="1276" w:type="dxa"/>
            <w:tcBorders>
              <w:top w:val="nil"/>
            </w:tcBorders>
            <w:shd w:val="clear" w:color="auto" w:fill="auto"/>
            <w:vAlign w:val="center"/>
            <w:hideMark/>
          </w:tcPr>
          <w:p w14:paraId="62B6252B"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0.000393</w:t>
            </w:r>
          </w:p>
        </w:tc>
        <w:tc>
          <w:tcPr>
            <w:tcW w:w="1275" w:type="dxa"/>
            <w:tcBorders>
              <w:top w:val="nil"/>
            </w:tcBorders>
            <w:shd w:val="clear" w:color="auto" w:fill="auto"/>
            <w:vAlign w:val="center"/>
            <w:hideMark/>
          </w:tcPr>
          <w:p w14:paraId="00BCCEAC"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3.504807</w:t>
            </w:r>
          </w:p>
        </w:tc>
        <w:tc>
          <w:tcPr>
            <w:tcW w:w="1276" w:type="dxa"/>
            <w:tcBorders>
              <w:top w:val="nil"/>
            </w:tcBorders>
            <w:shd w:val="clear" w:color="auto" w:fill="auto"/>
            <w:vAlign w:val="center"/>
            <w:hideMark/>
          </w:tcPr>
          <w:p w14:paraId="66514D1C"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5.027863</w:t>
            </w:r>
          </w:p>
        </w:tc>
        <w:tc>
          <w:tcPr>
            <w:tcW w:w="1276" w:type="dxa"/>
            <w:tcBorders>
              <w:top w:val="nil"/>
            </w:tcBorders>
            <w:shd w:val="clear" w:color="auto" w:fill="auto"/>
            <w:vAlign w:val="center"/>
            <w:hideMark/>
          </w:tcPr>
          <w:p w14:paraId="580826F4"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4.119587</w:t>
            </w:r>
          </w:p>
        </w:tc>
      </w:tr>
      <w:tr w:rsidR="002A3B7C" w:rsidRPr="00572CAA" w14:paraId="0320239D" w14:textId="77777777" w:rsidTr="008A3287">
        <w:trPr>
          <w:trHeight w:val="300"/>
        </w:trPr>
        <w:tc>
          <w:tcPr>
            <w:tcW w:w="584" w:type="dxa"/>
            <w:tcBorders>
              <w:top w:val="nil"/>
            </w:tcBorders>
            <w:shd w:val="clear" w:color="auto" w:fill="auto"/>
            <w:vAlign w:val="center"/>
            <w:hideMark/>
          </w:tcPr>
          <w:p w14:paraId="5061DFEA" w14:textId="77777777" w:rsidR="002A3B7C" w:rsidRPr="002A3B7C" w:rsidRDefault="002A3B7C" w:rsidP="008624E8">
            <w:pPr>
              <w:widowControl/>
              <w:spacing w:line="360" w:lineRule="auto"/>
              <w:jc w:val="center"/>
              <w:rPr>
                <w:rFonts w:ascii="Arial" w:eastAsia="Times New Roman" w:hAnsi="Arial" w:cs="Arial"/>
                <w:color w:val="000000"/>
                <w:kern w:val="0"/>
                <w:sz w:val="20"/>
                <w:szCs w:val="20"/>
              </w:rPr>
            </w:pPr>
            <w:r w:rsidRPr="002A3B7C">
              <w:rPr>
                <w:rFonts w:ascii="Arial" w:eastAsia="Times New Roman" w:hAnsi="Arial" w:cs="Arial"/>
                <w:color w:val="000000"/>
                <w:kern w:val="0"/>
                <w:sz w:val="20"/>
                <w:szCs w:val="20"/>
              </w:rPr>
              <w:t>7</w:t>
            </w:r>
          </w:p>
        </w:tc>
        <w:tc>
          <w:tcPr>
            <w:tcW w:w="1254" w:type="dxa"/>
            <w:tcBorders>
              <w:top w:val="nil"/>
            </w:tcBorders>
            <w:shd w:val="clear" w:color="auto" w:fill="auto"/>
            <w:vAlign w:val="center"/>
            <w:hideMark/>
          </w:tcPr>
          <w:p w14:paraId="55D7E1C8" w14:textId="77777777" w:rsidR="002A3B7C" w:rsidRPr="002A3B7C" w:rsidRDefault="002A3B7C" w:rsidP="008624E8">
            <w:pPr>
              <w:widowControl/>
              <w:spacing w:line="360" w:lineRule="auto"/>
              <w:jc w:val="center"/>
              <w:rPr>
                <w:rFonts w:ascii="宋体" w:hAnsi="宋体" w:cs="Calibri"/>
                <w:color w:val="000000"/>
                <w:kern w:val="0"/>
                <w:sz w:val="20"/>
                <w:szCs w:val="20"/>
              </w:rPr>
            </w:pPr>
            <w:r w:rsidRPr="002A3B7C">
              <w:rPr>
                <w:rFonts w:ascii="宋体" w:hAnsi="宋体" w:cs="Calibri" w:hint="eastAsia"/>
                <w:color w:val="000000"/>
                <w:kern w:val="0"/>
                <w:sz w:val="20"/>
                <w:szCs w:val="20"/>
              </w:rPr>
              <w:t>-278.715</w:t>
            </w:r>
          </w:p>
        </w:tc>
        <w:tc>
          <w:tcPr>
            <w:tcW w:w="1276" w:type="dxa"/>
            <w:tcBorders>
              <w:top w:val="nil"/>
            </w:tcBorders>
            <w:shd w:val="clear" w:color="auto" w:fill="auto"/>
            <w:vAlign w:val="center"/>
            <w:hideMark/>
          </w:tcPr>
          <w:p w14:paraId="55FDA453"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24.06798</w:t>
            </w:r>
          </w:p>
        </w:tc>
        <w:tc>
          <w:tcPr>
            <w:tcW w:w="1276" w:type="dxa"/>
            <w:tcBorders>
              <w:top w:val="nil"/>
            </w:tcBorders>
            <w:shd w:val="clear" w:color="auto" w:fill="auto"/>
            <w:vAlign w:val="center"/>
            <w:hideMark/>
          </w:tcPr>
          <w:p w14:paraId="7E95E8DA"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0.000401</w:t>
            </w:r>
          </w:p>
        </w:tc>
        <w:tc>
          <w:tcPr>
            <w:tcW w:w="1275" w:type="dxa"/>
            <w:tcBorders>
              <w:top w:val="nil"/>
            </w:tcBorders>
            <w:shd w:val="clear" w:color="auto" w:fill="auto"/>
            <w:vAlign w:val="center"/>
            <w:hideMark/>
          </w:tcPr>
          <w:p w14:paraId="5812F831"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3.524239</w:t>
            </w:r>
          </w:p>
        </w:tc>
        <w:tc>
          <w:tcPr>
            <w:tcW w:w="1276" w:type="dxa"/>
            <w:tcBorders>
              <w:top w:val="nil"/>
            </w:tcBorders>
            <w:shd w:val="clear" w:color="auto" w:fill="auto"/>
            <w:vAlign w:val="center"/>
            <w:hideMark/>
          </w:tcPr>
          <w:p w14:paraId="6AC85986"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5.290984</w:t>
            </w:r>
          </w:p>
        </w:tc>
        <w:tc>
          <w:tcPr>
            <w:tcW w:w="1276" w:type="dxa"/>
            <w:tcBorders>
              <w:top w:val="nil"/>
            </w:tcBorders>
            <w:shd w:val="clear" w:color="auto" w:fill="auto"/>
            <w:vAlign w:val="center"/>
            <w:hideMark/>
          </w:tcPr>
          <w:p w14:paraId="231F4ED6"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4.237383</w:t>
            </w:r>
          </w:p>
        </w:tc>
      </w:tr>
      <w:tr w:rsidR="002A3B7C" w:rsidRPr="00572CAA" w14:paraId="50331B74" w14:textId="77777777" w:rsidTr="008A3287">
        <w:trPr>
          <w:trHeight w:val="290"/>
        </w:trPr>
        <w:tc>
          <w:tcPr>
            <w:tcW w:w="584" w:type="dxa"/>
            <w:tcBorders>
              <w:top w:val="nil"/>
              <w:bottom w:val="single" w:sz="4" w:space="0" w:color="000000"/>
            </w:tcBorders>
            <w:shd w:val="clear" w:color="auto" w:fill="auto"/>
            <w:vAlign w:val="center"/>
            <w:hideMark/>
          </w:tcPr>
          <w:p w14:paraId="0302F689" w14:textId="77777777" w:rsidR="002A3B7C" w:rsidRPr="002A3B7C" w:rsidRDefault="002A3B7C" w:rsidP="008624E8">
            <w:pPr>
              <w:widowControl/>
              <w:spacing w:line="360" w:lineRule="auto"/>
              <w:jc w:val="center"/>
              <w:rPr>
                <w:rFonts w:ascii="Arial" w:eastAsia="Times New Roman" w:hAnsi="Arial" w:cs="Arial"/>
                <w:color w:val="000000"/>
                <w:kern w:val="0"/>
                <w:sz w:val="20"/>
                <w:szCs w:val="20"/>
              </w:rPr>
            </w:pPr>
            <w:r w:rsidRPr="002A3B7C">
              <w:rPr>
                <w:rFonts w:ascii="Arial" w:eastAsia="Times New Roman" w:hAnsi="Arial" w:cs="Arial"/>
                <w:color w:val="000000"/>
                <w:kern w:val="0"/>
                <w:sz w:val="20"/>
                <w:szCs w:val="20"/>
              </w:rPr>
              <w:t>8</w:t>
            </w:r>
          </w:p>
        </w:tc>
        <w:tc>
          <w:tcPr>
            <w:tcW w:w="1254" w:type="dxa"/>
            <w:tcBorders>
              <w:top w:val="nil"/>
              <w:bottom w:val="single" w:sz="4" w:space="0" w:color="000000"/>
            </w:tcBorders>
            <w:shd w:val="clear" w:color="auto" w:fill="auto"/>
            <w:vAlign w:val="center"/>
            <w:hideMark/>
          </w:tcPr>
          <w:p w14:paraId="23B8979A" w14:textId="77777777" w:rsidR="002A3B7C" w:rsidRPr="002A3B7C" w:rsidRDefault="002A3B7C" w:rsidP="008624E8">
            <w:pPr>
              <w:widowControl/>
              <w:spacing w:line="360" w:lineRule="auto"/>
              <w:jc w:val="center"/>
              <w:rPr>
                <w:rFonts w:ascii="宋体" w:hAnsi="宋体" w:cs="Calibri"/>
                <w:color w:val="000000"/>
                <w:kern w:val="0"/>
                <w:sz w:val="20"/>
                <w:szCs w:val="20"/>
              </w:rPr>
            </w:pPr>
            <w:r w:rsidRPr="002A3B7C">
              <w:rPr>
                <w:rFonts w:ascii="宋体" w:hAnsi="宋体" w:cs="Calibri" w:hint="eastAsia"/>
                <w:color w:val="000000"/>
                <w:kern w:val="0"/>
                <w:sz w:val="20"/>
                <w:szCs w:val="20"/>
              </w:rPr>
              <w:t>-271.851</w:t>
            </w:r>
          </w:p>
        </w:tc>
        <w:tc>
          <w:tcPr>
            <w:tcW w:w="1276" w:type="dxa"/>
            <w:tcBorders>
              <w:top w:val="nil"/>
              <w:bottom w:val="single" w:sz="4" w:space="0" w:color="000000"/>
            </w:tcBorders>
            <w:shd w:val="clear" w:color="auto" w:fill="auto"/>
            <w:vAlign w:val="center"/>
            <w:hideMark/>
          </w:tcPr>
          <w:p w14:paraId="7B9CB166"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11.70435</w:t>
            </w:r>
          </w:p>
        </w:tc>
        <w:tc>
          <w:tcPr>
            <w:tcW w:w="1276" w:type="dxa"/>
            <w:tcBorders>
              <w:top w:val="nil"/>
              <w:bottom w:val="single" w:sz="4" w:space="0" w:color="000000"/>
            </w:tcBorders>
            <w:shd w:val="clear" w:color="auto" w:fill="auto"/>
            <w:vAlign w:val="center"/>
            <w:hideMark/>
          </w:tcPr>
          <w:p w14:paraId="454E9309"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0.000436</w:t>
            </w:r>
          </w:p>
        </w:tc>
        <w:tc>
          <w:tcPr>
            <w:tcW w:w="1275" w:type="dxa"/>
            <w:tcBorders>
              <w:top w:val="nil"/>
              <w:bottom w:val="single" w:sz="4" w:space="0" w:color="000000"/>
            </w:tcBorders>
            <w:shd w:val="clear" w:color="auto" w:fill="auto"/>
            <w:vAlign w:val="center"/>
            <w:hideMark/>
          </w:tcPr>
          <w:p w14:paraId="726B9935" w14:textId="77777777" w:rsidR="002A3B7C" w:rsidRPr="002A3B7C" w:rsidRDefault="002A3B7C" w:rsidP="008624E8">
            <w:pPr>
              <w:widowControl/>
              <w:spacing w:line="360" w:lineRule="auto"/>
              <w:jc w:val="left"/>
              <w:rPr>
                <w:rFonts w:ascii="宋体" w:hAnsi="宋体" w:cs="Calibri"/>
                <w:color w:val="000000"/>
                <w:kern w:val="0"/>
                <w:sz w:val="20"/>
                <w:szCs w:val="20"/>
              </w:rPr>
            </w:pPr>
            <w:r w:rsidRPr="002A3B7C">
              <w:rPr>
                <w:rFonts w:ascii="宋体" w:hAnsi="宋体" w:cs="Calibri" w:hint="eastAsia"/>
                <w:color w:val="000000"/>
                <w:kern w:val="0"/>
                <w:sz w:val="20"/>
                <w:szCs w:val="20"/>
              </w:rPr>
              <w:t>3.605816</w:t>
            </w:r>
          </w:p>
        </w:tc>
        <w:tc>
          <w:tcPr>
            <w:tcW w:w="1276" w:type="dxa"/>
            <w:tcBorders>
              <w:top w:val="nil"/>
              <w:bottom w:val="single" w:sz="4" w:space="0" w:color="000000"/>
            </w:tcBorders>
            <w:shd w:val="clear" w:color="auto" w:fill="auto"/>
            <w:vAlign w:val="center"/>
            <w:hideMark/>
          </w:tcPr>
          <w:p w14:paraId="24E17766" w14:textId="77777777" w:rsidR="002A3B7C" w:rsidRPr="002A3B7C" w:rsidRDefault="002A3B7C" w:rsidP="008624E8">
            <w:pPr>
              <w:widowControl/>
              <w:spacing w:line="360" w:lineRule="auto"/>
              <w:jc w:val="left"/>
              <w:rPr>
                <w:rFonts w:ascii="SimSun-ExtB" w:eastAsia="SimSun-ExtB" w:hAnsi="SimSun-ExtB" w:cs="Calibri"/>
                <w:color w:val="000000"/>
                <w:kern w:val="0"/>
                <w:sz w:val="20"/>
                <w:szCs w:val="20"/>
              </w:rPr>
            </w:pPr>
            <w:r w:rsidRPr="002A3B7C">
              <w:rPr>
                <w:rFonts w:ascii="SimSun-ExtB" w:eastAsia="SimSun-ExtB" w:hAnsi="SimSun-ExtB" w:cs="Calibri" w:hint="eastAsia"/>
                <w:color w:val="000000"/>
                <w:kern w:val="0"/>
                <w:sz w:val="20"/>
                <w:szCs w:val="20"/>
              </w:rPr>
              <w:t>5.616251</w:t>
            </w:r>
          </w:p>
        </w:tc>
        <w:tc>
          <w:tcPr>
            <w:tcW w:w="1276" w:type="dxa"/>
            <w:tcBorders>
              <w:top w:val="nil"/>
              <w:bottom w:val="single" w:sz="4" w:space="0" w:color="000000"/>
            </w:tcBorders>
            <w:shd w:val="clear" w:color="auto" w:fill="auto"/>
            <w:vAlign w:val="center"/>
            <w:hideMark/>
          </w:tcPr>
          <w:p w14:paraId="78AE4251" w14:textId="77777777" w:rsidR="002A3B7C" w:rsidRPr="002A3B7C" w:rsidRDefault="002A3B7C" w:rsidP="008624E8">
            <w:pPr>
              <w:widowControl/>
              <w:spacing w:line="360" w:lineRule="auto"/>
              <w:jc w:val="left"/>
              <w:rPr>
                <w:rFonts w:ascii="SimSun-ExtB" w:eastAsia="SimSun-ExtB" w:hAnsi="SimSun-ExtB" w:cs="Calibri"/>
                <w:color w:val="000000"/>
                <w:kern w:val="0"/>
                <w:sz w:val="20"/>
                <w:szCs w:val="20"/>
              </w:rPr>
            </w:pPr>
            <w:r w:rsidRPr="002A3B7C">
              <w:rPr>
                <w:rFonts w:ascii="SimSun-ExtB" w:eastAsia="SimSun-ExtB" w:hAnsi="SimSun-ExtB" w:cs="Calibri" w:hint="eastAsia"/>
                <w:color w:val="000000"/>
                <w:kern w:val="0"/>
                <w:sz w:val="20"/>
                <w:szCs w:val="20"/>
              </w:rPr>
              <w:t>4.417326</w:t>
            </w:r>
          </w:p>
        </w:tc>
      </w:tr>
    </w:tbl>
    <w:p w14:paraId="29D74B65" w14:textId="219D7484" w:rsidR="005113B8" w:rsidRDefault="00C745EA" w:rsidP="00C745EA">
      <w:pPr>
        <w:spacing w:before="240" w:after="120" w:line="360" w:lineRule="auto"/>
        <w:rPr>
          <w:rFonts w:ascii="宋体" w:hAnsi="宋体"/>
          <w:sz w:val="24"/>
        </w:rPr>
      </w:pPr>
      <w:r>
        <w:rPr>
          <w:rFonts w:ascii="宋体" w:hAnsi="宋体"/>
          <w:sz w:val="24"/>
        </w:rPr>
        <w:t xml:space="preserve">    </w:t>
      </w:r>
      <w:r w:rsidR="00EB6156" w:rsidRPr="00EB6156">
        <w:rPr>
          <w:rFonts w:ascii="宋体" w:hAnsi="宋体"/>
          <w:sz w:val="24"/>
        </w:rPr>
        <w:t>传统的VAR模型假设参数是恒定的，未考虑金融冲击、政策性干预等突发因素对市场的影响，因此其模型结果可能不稳定。</w:t>
      </w:r>
      <w:r w:rsidR="00EB6156">
        <w:rPr>
          <w:rFonts w:ascii="宋体" w:hAnsi="宋体" w:hint="eastAsia"/>
          <w:sz w:val="24"/>
        </w:rPr>
        <w:t>而</w:t>
      </w:r>
      <w:r w:rsidR="00EB6156" w:rsidRPr="00EB6156">
        <w:rPr>
          <w:rFonts w:ascii="宋体" w:hAnsi="宋体"/>
          <w:sz w:val="24"/>
        </w:rPr>
        <w:t>MSVAR模型的引入可以克服传统VAR模型的局限性，并更准确地描述实际情况。它能够捕捉到经济系统中存在的不同状态，并允许参数在不同状态下发生变化。这使得能够更全面地分析金融市场中的复杂性和非线性特征，从而更准确地预测和解释市场的动态变化</w:t>
      </w:r>
      <w:r w:rsidR="00EB6156" w:rsidRPr="00EB6156">
        <w:rPr>
          <w:rFonts w:ascii="宋体" w:hAnsi="宋体" w:hint="eastAsia"/>
          <w:sz w:val="24"/>
        </w:rPr>
        <w:t>。</w:t>
      </w:r>
      <w:r w:rsidR="00EB6156" w:rsidRPr="00EB6156">
        <w:rPr>
          <w:rFonts w:ascii="宋体" w:hAnsi="宋体"/>
          <w:sz w:val="24"/>
        </w:rPr>
        <w:t>为了更好地考虑变量之间可能存在的非线性关系，并处理不同状态下的不同截距、均值、滞后系数和方差，</w:t>
      </w:r>
      <w:r w:rsidR="00EB6156" w:rsidRPr="00EB6156">
        <w:rPr>
          <w:rFonts w:ascii="宋体" w:hAnsi="宋体" w:hint="eastAsia"/>
          <w:sz w:val="24"/>
        </w:rPr>
        <w:t>因此本文</w:t>
      </w:r>
      <w:r w:rsidR="00EB6156" w:rsidRPr="00EB6156">
        <w:rPr>
          <w:rFonts w:ascii="宋体" w:hAnsi="宋体"/>
          <w:sz w:val="24"/>
        </w:rPr>
        <w:t>采用了马尔科夫区制转换模型（MSVAR）进行实证研究</w:t>
      </w:r>
      <w:r w:rsidR="00EB6156" w:rsidRPr="00EB6156">
        <w:rPr>
          <w:rFonts w:ascii="宋体" w:hAnsi="宋体" w:hint="eastAsia"/>
          <w:sz w:val="24"/>
        </w:rPr>
        <w:t>。</w:t>
      </w:r>
      <w:r w:rsidR="005113B8">
        <w:rPr>
          <w:rFonts w:ascii="宋体" w:hAnsi="宋体" w:hint="eastAsia"/>
          <w:sz w:val="24"/>
        </w:rPr>
        <w:t>该模型</w:t>
      </w:r>
      <w:r w:rsidR="005113B8" w:rsidRPr="005113B8">
        <w:rPr>
          <w:rFonts w:ascii="宋体" w:hAnsi="宋体"/>
          <w:sz w:val="24"/>
        </w:rPr>
        <w:t>可以处理不同状态下的不同截距、均值、滞后系数和方差</w:t>
      </w:r>
      <w:r w:rsidR="005113B8">
        <w:rPr>
          <w:rFonts w:ascii="宋体" w:hAnsi="宋体" w:hint="eastAsia"/>
          <w:sz w:val="24"/>
        </w:rPr>
        <w:t>。</w:t>
      </w:r>
      <w:r w:rsidR="005113B8" w:rsidRPr="005113B8">
        <w:rPr>
          <w:rFonts w:ascii="宋体" w:hAnsi="宋体"/>
          <w:sz w:val="24"/>
        </w:rPr>
        <w:t>MSVAR模型根据这些参数是否随状态变化而分为几种类型：MSI-VAR（截距随状态变化）、MSM-VAR（均值随状态变化）、MSA-VAR（滞后系数随状态变化）和MSH-VAR（方差随状态变化）</w:t>
      </w:r>
      <w:r w:rsidR="005113B8" w:rsidRPr="005113B8">
        <w:rPr>
          <w:rFonts w:ascii="宋体" w:hAnsi="宋体" w:hint="eastAsia"/>
          <w:sz w:val="24"/>
        </w:rPr>
        <w:t>。</w:t>
      </w:r>
      <w:r w:rsidR="005113B8" w:rsidRPr="005113B8">
        <w:rPr>
          <w:rFonts w:ascii="宋体" w:hAnsi="宋体"/>
          <w:sz w:val="24"/>
        </w:rPr>
        <w:t>此外，</w:t>
      </w:r>
      <w:r w:rsidR="005113B8">
        <w:rPr>
          <w:rFonts w:ascii="宋体" w:hAnsi="宋体" w:hint="eastAsia"/>
          <w:sz w:val="24"/>
        </w:rPr>
        <w:t>也</w:t>
      </w:r>
      <w:r w:rsidR="005113B8" w:rsidRPr="005113B8">
        <w:rPr>
          <w:rFonts w:ascii="宋体" w:hAnsi="宋体"/>
          <w:sz w:val="24"/>
        </w:rPr>
        <w:t>有混合类型，如MSIH-VAR（截距和方差同时随状态变化）和MSIAH-VAR（所有参数均随状态变化）。</w:t>
      </w:r>
    </w:p>
    <w:p w14:paraId="11F5A273" w14:textId="751E843F" w:rsidR="00576E8A" w:rsidRPr="002527C5" w:rsidRDefault="00576E8A" w:rsidP="002527C5">
      <w:pPr>
        <w:spacing w:after="120" w:line="360" w:lineRule="auto"/>
        <w:ind w:firstLine="480"/>
        <w:rPr>
          <w:rFonts w:ascii="宋体" w:hAnsi="宋体"/>
          <w:sz w:val="24"/>
        </w:rPr>
      </w:pPr>
      <w:r w:rsidRPr="00576E8A">
        <w:rPr>
          <w:rFonts w:ascii="宋体" w:hAnsi="宋体" w:hint="eastAsia"/>
          <w:sz w:val="24"/>
        </w:rPr>
        <w:t>因此</w:t>
      </w:r>
      <w:r w:rsidR="005113B8">
        <w:rPr>
          <w:rFonts w:ascii="宋体" w:hAnsi="宋体" w:hint="eastAsia"/>
          <w:sz w:val="24"/>
        </w:rPr>
        <w:t>先</w:t>
      </w:r>
      <w:r w:rsidR="00C7772C">
        <w:rPr>
          <w:rFonts w:ascii="宋体" w:hAnsi="宋体" w:hint="eastAsia"/>
          <w:sz w:val="24"/>
        </w:rPr>
        <w:t>分别</w:t>
      </w:r>
      <w:r w:rsidRPr="00576E8A">
        <w:rPr>
          <w:rFonts w:ascii="宋体" w:hAnsi="宋体" w:hint="eastAsia"/>
          <w:sz w:val="24"/>
        </w:rPr>
        <w:t>建立</w:t>
      </w:r>
      <w:r w:rsidR="005113B8">
        <w:rPr>
          <w:rFonts w:ascii="宋体" w:hAnsi="宋体" w:hint="eastAsia"/>
          <w:sz w:val="24"/>
        </w:rPr>
        <w:t>各类模型，再根据准则来选择最优的模型。</w:t>
      </w:r>
      <w:r w:rsidR="006348C0">
        <w:rPr>
          <w:rFonts w:ascii="宋体" w:hAnsi="宋体" w:hint="eastAsia"/>
          <w:sz w:val="24"/>
        </w:rPr>
        <w:t>比较</w:t>
      </w:r>
      <w:r w:rsidR="00C7772C">
        <w:rPr>
          <w:rFonts w:ascii="宋体" w:hAnsi="宋体" w:hint="eastAsia"/>
          <w:sz w:val="24"/>
        </w:rPr>
        <w:t>下</w:t>
      </w:r>
      <w:r w:rsidR="005113B8">
        <w:rPr>
          <w:rFonts w:ascii="宋体" w:hAnsi="宋体" w:hint="eastAsia"/>
          <w:sz w:val="24"/>
        </w:rPr>
        <w:t>表的</w:t>
      </w:r>
      <w:r w:rsidR="006348C0">
        <w:rPr>
          <w:rFonts w:ascii="宋体" w:hAnsi="宋体" w:hint="eastAsia"/>
          <w:sz w:val="24"/>
        </w:rPr>
        <w:t>汇总</w:t>
      </w:r>
      <w:r w:rsidR="005113B8">
        <w:rPr>
          <w:rFonts w:ascii="宋体" w:hAnsi="宋体" w:hint="eastAsia"/>
          <w:sz w:val="24"/>
        </w:rPr>
        <w:t>结果，</w:t>
      </w:r>
      <w:r w:rsidR="00C7772C">
        <w:rPr>
          <w:rFonts w:ascii="宋体" w:hAnsi="宋体" w:hint="eastAsia"/>
          <w:sz w:val="24"/>
        </w:rPr>
        <w:t>应当</w:t>
      </w:r>
      <w:r w:rsidR="005113B8">
        <w:rPr>
          <w:rFonts w:ascii="宋体" w:hAnsi="宋体" w:hint="eastAsia"/>
          <w:sz w:val="24"/>
        </w:rPr>
        <w:t>使用</w:t>
      </w:r>
      <w:r w:rsidRPr="00576E8A">
        <w:rPr>
          <w:rFonts w:ascii="宋体" w:hAnsi="宋体" w:hint="eastAsia"/>
          <w:sz w:val="24"/>
        </w:rPr>
        <w:t>的</w:t>
      </w:r>
      <w:r w:rsidR="00F8354D" w:rsidRPr="00F8354D">
        <w:rPr>
          <w:rFonts w:ascii="宋体" w:hAnsi="宋体" w:hint="eastAsia"/>
          <w:sz w:val="24"/>
        </w:rPr>
        <w:t>MSI(</w:t>
      </w:r>
      <w:r w:rsidR="00F8354D" w:rsidRPr="00F8354D">
        <w:rPr>
          <w:rFonts w:ascii="宋体" w:hAnsi="宋体"/>
          <w:sz w:val="24"/>
        </w:rPr>
        <w:t>3)-VAR(3)</w:t>
      </w:r>
      <w:r w:rsidRPr="00576E8A">
        <w:rPr>
          <w:rFonts w:ascii="宋体" w:hAnsi="宋体" w:hint="eastAsia"/>
          <w:sz w:val="24"/>
        </w:rPr>
        <w:t>模型</w:t>
      </w:r>
      <w:r w:rsidR="00C7772C">
        <w:rPr>
          <w:rFonts w:ascii="宋体" w:hAnsi="宋体" w:hint="eastAsia"/>
          <w:sz w:val="24"/>
        </w:rPr>
        <w:t>，</w:t>
      </w:r>
      <w:r w:rsidR="00F8354D">
        <w:rPr>
          <w:rFonts w:ascii="宋体" w:hAnsi="宋体" w:hint="eastAsia"/>
          <w:sz w:val="24"/>
        </w:rPr>
        <w:t>设置区制为3，</w:t>
      </w:r>
      <w:r w:rsidR="003B2519">
        <w:rPr>
          <w:rFonts w:ascii="宋体" w:hAnsi="宋体" w:hint="eastAsia"/>
          <w:sz w:val="24"/>
        </w:rPr>
        <w:t>滞后期为</w:t>
      </w:r>
      <w:r w:rsidR="00F8354D">
        <w:rPr>
          <w:rFonts w:ascii="宋体" w:hAnsi="宋体"/>
          <w:sz w:val="24"/>
        </w:rPr>
        <w:t>3</w:t>
      </w:r>
      <w:r w:rsidR="00F8354D" w:rsidRPr="00576E8A">
        <w:rPr>
          <w:rFonts w:ascii="宋体" w:hAnsi="宋体" w:hint="eastAsia"/>
          <w:sz w:val="24"/>
        </w:rPr>
        <w:t>期</w:t>
      </w:r>
      <w:r w:rsidR="00F8354D">
        <w:rPr>
          <w:rFonts w:ascii="宋体" w:hAnsi="宋体" w:hint="eastAsia"/>
          <w:sz w:val="24"/>
        </w:rPr>
        <w:t>，</w:t>
      </w:r>
      <w:r w:rsidR="00C7772C">
        <w:rPr>
          <w:rFonts w:ascii="宋体" w:hAnsi="宋体" w:hint="eastAsia"/>
          <w:sz w:val="24"/>
        </w:rPr>
        <w:t>此时</w:t>
      </w:r>
      <w:r w:rsidR="00C7772C">
        <w:rPr>
          <w:rFonts w:ascii="宋体" w:hAnsi="宋体" w:hint="eastAsia"/>
          <w:sz w:val="24"/>
        </w:rPr>
        <w:lastRenderedPageBreak/>
        <w:t>模型为最优</w:t>
      </w:r>
      <w:r w:rsidRPr="00576E8A">
        <w:rPr>
          <w:rFonts w:ascii="宋体" w:hAnsi="宋体" w:hint="eastAsia"/>
          <w:sz w:val="24"/>
        </w:rPr>
        <w:t>。</w:t>
      </w:r>
    </w:p>
    <w:p w14:paraId="6F71D8D2" w14:textId="420E9037" w:rsidR="002527C5" w:rsidRPr="002527C5" w:rsidRDefault="002527C5" w:rsidP="002527C5">
      <w:pPr>
        <w:pStyle w:val="Caption"/>
        <w:keepNext/>
        <w:jc w:val="center"/>
        <w:rPr>
          <w:color w:val="auto"/>
        </w:rPr>
      </w:pPr>
      <w:r w:rsidRPr="002527C5">
        <w:rPr>
          <w:color w:val="auto"/>
        </w:rPr>
        <w:t xml:space="preserve">Table </w:t>
      </w:r>
      <w:r w:rsidRPr="002527C5">
        <w:rPr>
          <w:color w:val="auto"/>
        </w:rPr>
        <w:fldChar w:fldCharType="begin"/>
      </w:r>
      <w:r w:rsidRPr="002527C5">
        <w:rPr>
          <w:color w:val="auto"/>
        </w:rPr>
        <w:instrText xml:space="preserve"> SEQ Table \* ARABIC </w:instrText>
      </w:r>
      <w:r w:rsidRPr="002527C5">
        <w:rPr>
          <w:color w:val="auto"/>
        </w:rPr>
        <w:fldChar w:fldCharType="separate"/>
      </w:r>
      <w:r w:rsidR="007C5AAC">
        <w:rPr>
          <w:noProof/>
          <w:color w:val="auto"/>
        </w:rPr>
        <w:t>6</w:t>
      </w:r>
      <w:r w:rsidRPr="002527C5">
        <w:rPr>
          <w:color w:val="auto"/>
        </w:rPr>
        <w:fldChar w:fldCharType="end"/>
      </w:r>
      <w:r w:rsidRPr="002527C5">
        <w:rPr>
          <w:color w:val="auto"/>
        </w:rPr>
        <w:t xml:space="preserve"> </w:t>
      </w:r>
      <w:r w:rsidRPr="002527C5">
        <w:rPr>
          <w:rFonts w:hint="eastAsia"/>
          <w:color w:val="auto"/>
        </w:rPr>
        <w:t>模型选择依据</w:t>
      </w:r>
    </w:p>
    <w:tbl>
      <w:tblPr>
        <w:tblStyle w:val="PlainTable2"/>
        <w:tblW w:w="0" w:type="auto"/>
        <w:tblInd w:w="-142" w:type="dxa"/>
        <w:tblLook w:val="04A0" w:firstRow="1" w:lastRow="0" w:firstColumn="1" w:lastColumn="0" w:noHBand="0" w:noVBand="1"/>
      </w:tblPr>
      <w:tblGrid>
        <w:gridCol w:w="1843"/>
        <w:gridCol w:w="142"/>
        <w:gridCol w:w="1418"/>
        <w:gridCol w:w="1559"/>
        <w:gridCol w:w="142"/>
        <w:gridCol w:w="1701"/>
        <w:gridCol w:w="1643"/>
      </w:tblGrid>
      <w:tr w:rsidR="00FA1E24" w:rsidRPr="001D1CD1" w14:paraId="0ECA9903" w14:textId="77777777" w:rsidTr="0089529C">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auto"/>
            </w:tcBorders>
            <w:vAlign w:val="center"/>
          </w:tcPr>
          <w:p w14:paraId="1CDCF6C6" w14:textId="7887DA00" w:rsidR="00F8354D" w:rsidRPr="001D1CD1" w:rsidRDefault="00F8354D" w:rsidP="008624E8">
            <w:pPr>
              <w:spacing w:line="360" w:lineRule="auto"/>
              <w:jc w:val="center"/>
              <w:rPr>
                <w:rFonts w:ascii="宋体" w:hAnsi="宋体" w:cs="Calibri"/>
                <w:color w:val="000000"/>
                <w:sz w:val="20"/>
                <w:szCs w:val="20"/>
              </w:rPr>
            </w:pPr>
            <w:r w:rsidRPr="001D1CD1">
              <w:rPr>
                <w:rFonts w:ascii="宋体" w:hAnsi="宋体" w:cs="Calibri" w:hint="eastAsia"/>
                <w:color w:val="000000"/>
                <w:sz w:val="20"/>
                <w:szCs w:val="20"/>
              </w:rPr>
              <w:t>统计量</w:t>
            </w:r>
          </w:p>
        </w:tc>
        <w:tc>
          <w:tcPr>
            <w:tcW w:w="1560" w:type="dxa"/>
            <w:gridSpan w:val="2"/>
            <w:tcBorders>
              <w:top w:val="single" w:sz="4" w:space="0" w:color="7F7F7F" w:themeColor="text1" w:themeTint="80"/>
              <w:bottom w:val="single" w:sz="4" w:space="0" w:color="auto"/>
            </w:tcBorders>
            <w:vAlign w:val="center"/>
          </w:tcPr>
          <w:p w14:paraId="2A76F0B1" w14:textId="1F38C69C" w:rsidR="00F8354D" w:rsidRPr="001D1CD1" w:rsidRDefault="00F8354D" w:rsidP="008624E8">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1D1CD1">
              <w:rPr>
                <w:rFonts w:ascii="宋体" w:hAnsi="宋体" w:cs="Calibri" w:hint="eastAsia"/>
                <w:color w:val="000000"/>
                <w:sz w:val="20"/>
                <w:szCs w:val="20"/>
              </w:rPr>
              <w:t>MSI(</w:t>
            </w:r>
            <w:r w:rsidRPr="001D1CD1">
              <w:rPr>
                <w:rFonts w:ascii="宋体" w:hAnsi="宋体" w:cs="Calibri"/>
                <w:color w:val="000000"/>
                <w:sz w:val="20"/>
                <w:szCs w:val="20"/>
              </w:rPr>
              <w:t>2)-VAR(3)</w:t>
            </w:r>
          </w:p>
        </w:tc>
        <w:tc>
          <w:tcPr>
            <w:tcW w:w="1559" w:type="dxa"/>
            <w:tcBorders>
              <w:top w:val="single" w:sz="4" w:space="0" w:color="7F7F7F" w:themeColor="text1" w:themeTint="80"/>
              <w:bottom w:val="single" w:sz="4" w:space="0" w:color="auto"/>
            </w:tcBorders>
            <w:vAlign w:val="center"/>
          </w:tcPr>
          <w:p w14:paraId="63F3C5F2" w14:textId="4F5FD4E3" w:rsidR="00F8354D" w:rsidRPr="001D1CD1" w:rsidRDefault="00F8354D" w:rsidP="008624E8">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1D1CD1">
              <w:rPr>
                <w:rFonts w:ascii="宋体" w:hAnsi="宋体" w:cs="Calibri" w:hint="eastAsia"/>
                <w:color w:val="000000"/>
                <w:sz w:val="20"/>
                <w:szCs w:val="20"/>
              </w:rPr>
              <w:t>MSI(</w:t>
            </w:r>
            <w:r w:rsidRPr="001D1CD1">
              <w:rPr>
                <w:rFonts w:ascii="宋体" w:hAnsi="宋体" w:cs="Calibri"/>
                <w:color w:val="000000"/>
                <w:sz w:val="20"/>
                <w:szCs w:val="20"/>
              </w:rPr>
              <w:t>3)-VAR(3)</w:t>
            </w:r>
          </w:p>
        </w:tc>
        <w:tc>
          <w:tcPr>
            <w:tcW w:w="1843" w:type="dxa"/>
            <w:gridSpan w:val="2"/>
            <w:tcBorders>
              <w:top w:val="single" w:sz="4" w:space="0" w:color="7F7F7F" w:themeColor="text1" w:themeTint="80"/>
              <w:bottom w:val="single" w:sz="4" w:space="0" w:color="auto"/>
            </w:tcBorders>
            <w:vAlign w:val="center"/>
          </w:tcPr>
          <w:p w14:paraId="19FDC1B6" w14:textId="585D9F7F" w:rsidR="00F8354D" w:rsidRPr="001D1CD1" w:rsidRDefault="00F8354D" w:rsidP="008624E8">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1D1CD1">
              <w:rPr>
                <w:rFonts w:ascii="宋体" w:hAnsi="宋体" w:cs="Calibri" w:hint="eastAsia"/>
                <w:color w:val="000000"/>
                <w:sz w:val="20"/>
                <w:szCs w:val="20"/>
              </w:rPr>
              <w:t>MSI</w:t>
            </w:r>
            <w:r w:rsidR="006C5277" w:rsidRPr="001D1CD1">
              <w:rPr>
                <w:rFonts w:ascii="宋体" w:hAnsi="宋体" w:cs="Calibri"/>
                <w:color w:val="000000"/>
                <w:sz w:val="20"/>
                <w:szCs w:val="20"/>
              </w:rPr>
              <w:t>H</w:t>
            </w:r>
            <w:r w:rsidRPr="001D1CD1">
              <w:rPr>
                <w:rFonts w:ascii="宋体" w:hAnsi="宋体" w:cs="Calibri" w:hint="eastAsia"/>
                <w:color w:val="000000"/>
                <w:sz w:val="20"/>
                <w:szCs w:val="20"/>
              </w:rPr>
              <w:t>(</w:t>
            </w:r>
            <w:r w:rsidRPr="001D1CD1">
              <w:rPr>
                <w:rFonts w:ascii="宋体" w:hAnsi="宋体" w:cs="Calibri"/>
                <w:color w:val="000000"/>
                <w:sz w:val="20"/>
                <w:szCs w:val="20"/>
              </w:rPr>
              <w:t>3)-VAR(3)</w:t>
            </w:r>
            <w:r w:rsidR="0089529C" w:rsidRPr="001D1CD1">
              <w:rPr>
                <w:sz w:val="20"/>
                <w:szCs w:val="20"/>
              </w:rPr>
              <w:t xml:space="preserve"> *</w:t>
            </w:r>
          </w:p>
        </w:tc>
        <w:tc>
          <w:tcPr>
            <w:tcW w:w="1643" w:type="dxa"/>
            <w:tcBorders>
              <w:top w:val="single" w:sz="4" w:space="0" w:color="7F7F7F" w:themeColor="text1" w:themeTint="80"/>
              <w:bottom w:val="single" w:sz="4" w:space="0" w:color="auto"/>
            </w:tcBorders>
            <w:vAlign w:val="center"/>
          </w:tcPr>
          <w:p w14:paraId="36FD3311" w14:textId="08866F50" w:rsidR="00F8354D" w:rsidRPr="001D1CD1" w:rsidRDefault="00F8354D" w:rsidP="008624E8">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1D1CD1">
              <w:rPr>
                <w:rFonts w:ascii="宋体" w:hAnsi="宋体" w:cs="Calibri" w:hint="eastAsia"/>
                <w:color w:val="000000"/>
                <w:sz w:val="20"/>
                <w:szCs w:val="20"/>
              </w:rPr>
              <w:t>MS</w:t>
            </w:r>
            <w:r w:rsidR="006C5277" w:rsidRPr="001D1CD1">
              <w:rPr>
                <w:rFonts w:ascii="宋体" w:hAnsi="宋体" w:cs="Calibri"/>
                <w:color w:val="000000"/>
                <w:sz w:val="20"/>
                <w:szCs w:val="20"/>
              </w:rPr>
              <w:t>M</w:t>
            </w:r>
            <w:r w:rsidRPr="001D1CD1">
              <w:rPr>
                <w:rFonts w:ascii="宋体" w:hAnsi="宋体" w:cs="Calibri" w:hint="eastAsia"/>
                <w:color w:val="000000"/>
                <w:sz w:val="20"/>
                <w:szCs w:val="20"/>
              </w:rPr>
              <w:t>(</w:t>
            </w:r>
            <w:r w:rsidRPr="001D1CD1">
              <w:rPr>
                <w:rFonts w:ascii="宋体" w:hAnsi="宋体" w:cs="Calibri"/>
                <w:color w:val="000000"/>
                <w:sz w:val="20"/>
                <w:szCs w:val="20"/>
              </w:rPr>
              <w:t>3)-VAR(3)</w:t>
            </w:r>
          </w:p>
        </w:tc>
      </w:tr>
      <w:tr w:rsidR="00FA1E24" w:rsidRPr="001D1CD1" w14:paraId="0A19DDC3" w14:textId="77777777" w:rsidTr="0089529C">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985" w:type="dxa"/>
            <w:gridSpan w:val="2"/>
            <w:tcBorders>
              <w:top w:val="single" w:sz="4" w:space="0" w:color="auto"/>
              <w:bottom w:val="nil"/>
            </w:tcBorders>
            <w:vAlign w:val="center"/>
          </w:tcPr>
          <w:p w14:paraId="2ED6533F" w14:textId="0A3E335B" w:rsidR="00F8354D" w:rsidRPr="001D1CD1" w:rsidRDefault="00F8354D" w:rsidP="008624E8">
            <w:pPr>
              <w:spacing w:line="360" w:lineRule="auto"/>
              <w:jc w:val="center"/>
              <w:rPr>
                <w:rFonts w:ascii="宋体" w:hAnsi="宋体" w:cs="Calibri"/>
                <w:color w:val="000000"/>
                <w:sz w:val="20"/>
                <w:szCs w:val="20"/>
              </w:rPr>
            </w:pPr>
            <w:r w:rsidRPr="001D1CD1">
              <w:rPr>
                <w:rFonts w:ascii="宋体" w:hAnsi="宋体" w:cs="Calibri" w:hint="eastAsia"/>
                <w:color w:val="000000"/>
                <w:sz w:val="20"/>
                <w:szCs w:val="20"/>
              </w:rPr>
              <w:t>Log</w:t>
            </w:r>
            <w:r w:rsidR="000C7910">
              <w:rPr>
                <w:rFonts w:ascii="宋体" w:hAnsi="宋体" w:cs="Calibri" w:hint="eastAsia"/>
                <w:color w:val="000000"/>
                <w:sz w:val="20"/>
                <w:szCs w:val="20"/>
              </w:rPr>
              <w:t>_</w:t>
            </w:r>
            <w:r w:rsidRPr="001D1CD1">
              <w:rPr>
                <w:rFonts w:ascii="宋体" w:hAnsi="宋体" w:cs="Calibri"/>
                <w:color w:val="000000"/>
                <w:sz w:val="20"/>
                <w:szCs w:val="20"/>
              </w:rPr>
              <w:t>likelihood</w:t>
            </w:r>
          </w:p>
        </w:tc>
        <w:tc>
          <w:tcPr>
            <w:tcW w:w="1418" w:type="dxa"/>
            <w:tcBorders>
              <w:top w:val="single" w:sz="4" w:space="0" w:color="auto"/>
              <w:bottom w:val="nil"/>
            </w:tcBorders>
            <w:vAlign w:val="center"/>
          </w:tcPr>
          <w:p w14:paraId="05413D21" w14:textId="07B63494" w:rsidR="00F8354D" w:rsidRPr="001D1CD1" w:rsidRDefault="00F8354D"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1D1CD1">
              <w:rPr>
                <w:rFonts w:ascii="宋体" w:hAnsi="宋体" w:cs="Calibri"/>
                <w:color w:val="000000"/>
                <w:sz w:val="20"/>
                <w:szCs w:val="20"/>
              </w:rPr>
              <w:t>1039.1623</w:t>
            </w:r>
          </w:p>
        </w:tc>
        <w:tc>
          <w:tcPr>
            <w:tcW w:w="1701" w:type="dxa"/>
            <w:gridSpan w:val="2"/>
            <w:tcBorders>
              <w:top w:val="single" w:sz="4" w:space="0" w:color="auto"/>
              <w:bottom w:val="nil"/>
            </w:tcBorders>
            <w:vAlign w:val="center"/>
          </w:tcPr>
          <w:p w14:paraId="6F4467D5" w14:textId="2FFC832E" w:rsidR="00F8354D" w:rsidRPr="001D1CD1" w:rsidRDefault="00F8354D"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1D1CD1">
              <w:rPr>
                <w:rFonts w:ascii="宋体" w:hAnsi="宋体" w:cs="Calibri"/>
                <w:color w:val="000000"/>
                <w:sz w:val="20"/>
                <w:szCs w:val="20"/>
              </w:rPr>
              <w:t>1075.2868</w:t>
            </w:r>
          </w:p>
        </w:tc>
        <w:tc>
          <w:tcPr>
            <w:tcW w:w="1701" w:type="dxa"/>
            <w:tcBorders>
              <w:top w:val="single" w:sz="4" w:space="0" w:color="auto"/>
              <w:bottom w:val="nil"/>
            </w:tcBorders>
            <w:vAlign w:val="center"/>
          </w:tcPr>
          <w:p w14:paraId="2E504F51" w14:textId="4E816AA6" w:rsidR="00F8354D" w:rsidRPr="001D1CD1" w:rsidRDefault="007034EC"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7034EC">
              <w:rPr>
                <w:rFonts w:ascii="宋体" w:hAnsi="宋体" w:cs="Calibri"/>
                <w:color w:val="000000"/>
                <w:sz w:val="20"/>
                <w:szCs w:val="20"/>
              </w:rPr>
              <w:t>1095.4068</w:t>
            </w:r>
            <w:r w:rsidR="000C5561" w:rsidRPr="001D1CD1">
              <w:rPr>
                <w:sz w:val="20"/>
                <w:szCs w:val="20"/>
              </w:rPr>
              <w:t>*</w:t>
            </w:r>
          </w:p>
        </w:tc>
        <w:tc>
          <w:tcPr>
            <w:tcW w:w="1643" w:type="dxa"/>
            <w:tcBorders>
              <w:top w:val="single" w:sz="4" w:space="0" w:color="auto"/>
              <w:bottom w:val="nil"/>
            </w:tcBorders>
            <w:vAlign w:val="center"/>
          </w:tcPr>
          <w:p w14:paraId="59FF907E" w14:textId="42712AB9" w:rsidR="00F8354D" w:rsidRPr="001D1CD1" w:rsidRDefault="000C5561"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1D1CD1">
              <w:rPr>
                <w:rFonts w:ascii="宋体" w:hAnsi="宋体" w:cs="Calibri"/>
                <w:color w:val="000000"/>
                <w:sz w:val="20"/>
                <w:szCs w:val="20"/>
              </w:rPr>
              <w:t>1048.9991</w:t>
            </w:r>
          </w:p>
        </w:tc>
      </w:tr>
      <w:tr w:rsidR="00FA1E24" w:rsidRPr="001D1CD1" w14:paraId="04CB4405" w14:textId="77777777" w:rsidTr="0089529C">
        <w:trPr>
          <w:trHeight w:val="217"/>
        </w:trPr>
        <w:tc>
          <w:tcPr>
            <w:cnfStyle w:val="001000000000" w:firstRow="0" w:lastRow="0" w:firstColumn="1" w:lastColumn="0" w:oddVBand="0" w:evenVBand="0" w:oddHBand="0" w:evenHBand="0" w:firstRowFirstColumn="0" w:firstRowLastColumn="0" w:lastRowFirstColumn="0" w:lastRowLastColumn="0"/>
            <w:tcW w:w="1985" w:type="dxa"/>
            <w:gridSpan w:val="2"/>
            <w:tcBorders>
              <w:top w:val="nil"/>
              <w:bottom w:val="nil"/>
            </w:tcBorders>
            <w:vAlign w:val="center"/>
          </w:tcPr>
          <w:p w14:paraId="1D5D43A1" w14:textId="59B463CF" w:rsidR="00F8354D" w:rsidRPr="001D1CD1" w:rsidRDefault="00F8354D" w:rsidP="008624E8">
            <w:pPr>
              <w:spacing w:line="360" w:lineRule="auto"/>
              <w:jc w:val="center"/>
              <w:rPr>
                <w:rFonts w:ascii="宋体" w:hAnsi="宋体" w:cs="Calibri"/>
                <w:color w:val="000000"/>
                <w:sz w:val="20"/>
                <w:szCs w:val="20"/>
              </w:rPr>
            </w:pPr>
            <w:r w:rsidRPr="001D1CD1">
              <w:rPr>
                <w:rFonts w:ascii="宋体" w:hAnsi="宋体" w:cs="Calibri"/>
                <w:color w:val="000000"/>
                <w:sz w:val="20"/>
                <w:szCs w:val="20"/>
              </w:rPr>
              <w:t>AIC</w:t>
            </w:r>
          </w:p>
        </w:tc>
        <w:tc>
          <w:tcPr>
            <w:tcW w:w="1418" w:type="dxa"/>
            <w:tcBorders>
              <w:top w:val="nil"/>
              <w:bottom w:val="nil"/>
            </w:tcBorders>
            <w:vAlign w:val="center"/>
          </w:tcPr>
          <w:p w14:paraId="59D1F939" w14:textId="4424DCF3" w:rsidR="00F8354D" w:rsidRPr="001D1CD1" w:rsidRDefault="00F8354D"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1D1CD1">
              <w:rPr>
                <w:rFonts w:ascii="宋体" w:hAnsi="宋体" w:cs="Calibri"/>
                <w:color w:val="000000"/>
                <w:sz w:val="20"/>
                <w:szCs w:val="20"/>
              </w:rPr>
              <w:t>-8.5753</w:t>
            </w:r>
          </w:p>
        </w:tc>
        <w:tc>
          <w:tcPr>
            <w:tcW w:w="1701" w:type="dxa"/>
            <w:gridSpan w:val="2"/>
            <w:tcBorders>
              <w:top w:val="nil"/>
              <w:bottom w:val="nil"/>
            </w:tcBorders>
            <w:vAlign w:val="center"/>
          </w:tcPr>
          <w:p w14:paraId="1DF83D66" w14:textId="799676BD" w:rsidR="00F8354D" w:rsidRPr="001D1CD1" w:rsidRDefault="00F8354D"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1D1CD1">
              <w:rPr>
                <w:rFonts w:ascii="宋体" w:hAnsi="宋体" w:cs="Calibri"/>
                <w:color w:val="000000"/>
                <w:sz w:val="20"/>
                <w:szCs w:val="20"/>
              </w:rPr>
              <w:t>-8.8286</w:t>
            </w:r>
          </w:p>
        </w:tc>
        <w:tc>
          <w:tcPr>
            <w:tcW w:w="1701" w:type="dxa"/>
            <w:tcBorders>
              <w:top w:val="nil"/>
              <w:bottom w:val="nil"/>
            </w:tcBorders>
            <w:vAlign w:val="center"/>
          </w:tcPr>
          <w:p w14:paraId="57583796" w14:textId="6D0687A5" w:rsidR="00F8354D" w:rsidRPr="001D1CD1" w:rsidRDefault="007034EC"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7034EC">
              <w:rPr>
                <w:rFonts w:ascii="宋体" w:hAnsi="宋体" w:cs="Calibri"/>
                <w:color w:val="000000"/>
                <w:sz w:val="20"/>
                <w:szCs w:val="20"/>
              </w:rPr>
              <w:t>-9.3462</w:t>
            </w:r>
            <w:r w:rsidR="000C5561" w:rsidRPr="001D1CD1">
              <w:rPr>
                <w:sz w:val="20"/>
                <w:szCs w:val="20"/>
              </w:rPr>
              <w:t>*</w:t>
            </w:r>
          </w:p>
        </w:tc>
        <w:tc>
          <w:tcPr>
            <w:tcW w:w="1643" w:type="dxa"/>
            <w:tcBorders>
              <w:top w:val="nil"/>
              <w:bottom w:val="nil"/>
            </w:tcBorders>
            <w:vAlign w:val="center"/>
          </w:tcPr>
          <w:p w14:paraId="6E5964E8" w14:textId="071DF086" w:rsidR="00F8354D" w:rsidRPr="001D1CD1" w:rsidRDefault="000C5561"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1D1CD1">
              <w:rPr>
                <w:rFonts w:ascii="宋体" w:hAnsi="宋体" w:cs="Calibri"/>
                <w:color w:val="000000"/>
                <w:sz w:val="20"/>
                <w:szCs w:val="20"/>
              </w:rPr>
              <w:t>-8.6000</w:t>
            </w:r>
          </w:p>
        </w:tc>
      </w:tr>
      <w:tr w:rsidR="00FA1E24" w:rsidRPr="001D1CD1" w14:paraId="0AAC1A50" w14:textId="77777777" w:rsidTr="0089529C">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985" w:type="dxa"/>
            <w:gridSpan w:val="2"/>
            <w:tcBorders>
              <w:top w:val="nil"/>
              <w:bottom w:val="nil"/>
            </w:tcBorders>
            <w:vAlign w:val="center"/>
          </w:tcPr>
          <w:p w14:paraId="04FD220D" w14:textId="618D7D68" w:rsidR="00F8354D" w:rsidRPr="001D1CD1" w:rsidRDefault="00F8354D" w:rsidP="008624E8">
            <w:pPr>
              <w:spacing w:line="360" w:lineRule="auto"/>
              <w:jc w:val="center"/>
              <w:rPr>
                <w:rFonts w:ascii="宋体" w:hAnsi="宋体" w:cs="Calibri"/>
                <w:color w:val="000000"/>
                <w:sz w:val="20"/>
                <w:szCs w:val="20"/>
              </w:rPr>
            </w:pPr>
            <w:r w:rsidRPr="001D1CD1">
              <w:rPr>
                <w:rFonts w:ascii="宋体" w:hAnsi="宋体" w:cs="Calibri"/>
                <w:color w:val="000000"/>
                <w:sz w:val="20"/>
                <w:szCs w:val="20"/>
              </w:rPr>
              <w:t>HQ</w:t>
            </w:r>
          </w:p>
        </w:tc>
        <w:tc>
          <w:tcPr>
            <w:tcW w:w="1418" w:type="dxa"/>
            <w:tcBorders>
              <w:top w:val="nil"/>
              <w:bottom w:val="nil"/>
            </w:tcBorders>
            <w:vAlign w:val="center"/>
          </w:tcPr>
          <w:p w14:paraId="73649F84" w14:textId="1AD23E81" w:rsidR="00F8354D" w:rsidRPr="001D1CD1" w:rsidRDefault="00F8354D"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1D1CD1">
              <w:rPr>
                <w:rFonts w:ascii="宋体" w:hAnsi="宋体" w:cs="Calibri"/>
                <w:color w:val="000000"/>
                <w:sz w:val="20"/>
                <w:szCs w:val="20"/>
              </w:rPr>
              <w:t>-8.2557</w:t>
            </w:r>
          </w:p>
        </w:tc>
        <w:tc>
          <w:tcPr>
            <w:tcW w:w="1701" w:type="dxa"/>
            <w:gridSpan w:val="2"/>
            <w:tcBorders>
              <w:top w:val="nil"/>
              <w:bottom w:val="nil"/>
            </w:tcBorders>
            <w:vAlign w:val="center"/>
          </w:tcPr>
          <w:p w14:paraId="7E1002F8" w14:textId="1C561FDB" w:rsidR="00F8354D" w:rsidRPr="001D1CD1" w:rsidRDefault="00F8354D"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1D1CD1">
              <w:rPr>
                <w:rFonts w:ascii="宋体" w:hAnsi="宋体" w:cs="Calibri"/>
                <w:color w:val="000000"/>
                <w:sz w:val="20"/>
                <w:szCs w:val="20"/>
              </w:rPr>
              <w:t>-8.4668</w:t>
            </w:r>
          </w:p>
        </w:tc>
        <w:tc>
          <w:tcPr>
            <w:tcW w:w="1701" w:type="dxa"/>
            <w:tcBorders>
              <w:top w:val="nil"/>
              <w:bottom w:val="nil"/>
            </w:tcBorders>
            <w:vAlign w:val="center"/>
          </w:tcPr>
          <w:p w14:paraId="474ED16A" w14:textId="19D092CC" w:rsidR="00F8354D" w:rsidRPr="001D1CD1" w:rsidRDefault="007034EC"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7034EC">
              <w:rPr>
                <w:rFonts w:ascii="宋体" w:hAnsi="宋体" w:cs="Calibri"/>
                <w:color w:val="000000"/>
                <w:sz w:val="20"/>
                <w:szCs w:val="20"/>
              </w:rPr>
              <w:t>-8.8962</w:t>
            </w:r>
            <w:r w:rsidR="000C5561" w:rsidRPr="001D1CD1">
              <w:rPr>
                <w:sz w:val="20"/>
                <w:szCs w:val="20"/>
              </w:rPr>
              <w:t>*</w:t>
            </w:r>
          </w:p>
        </w:tc>
        <w:tc>
          <w:tcPr>
            <w:tcW w:w="1643" w:type="dxa"/>
            <w:tcBorders>
              <w:top w:val="nil"/>
              <w:bottom w:val="nil"/>
            </w:tcBorders>
            <w:vAlign w:val="center"/>
          </w:tcPr>
          <w:p w14:paraId="35C4A9F2" w14:textId="0ADEA53A" w:rsidR="00F8354D" w:rsidRPr="001D1CD1" w:rsidRDefault="000C5561"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1D1CD1">
              <w:rPr>
                <w:rFonts w:ascii="宋体" w:hAnsi="宋体" w:cs="Calibri"/>
                <w:color w:val="000000"/>
                <w:sz w:val="20"/>
                <w:szCs w:val="20"/>
              </w:rPr>
              <w:t>-8.2382</w:t>
            </w:r>
          </w:p>
        </w:tc>
      </w:tr>
      <w:tr w:rsidR="00FA1E24" w:rsidRPr="001D1CD1" w14:paraId="5657AE37" w14:textId="77777777" w:rsidTr="0089529C">
        <w:trPr>
          <w:trHeight w:val="217"/>
        </w:trPr>
        <w:tc>
          <w:tcPr>
            <w:cnfStyle w:val="001000000000" w:firstRow="0" w:lastRow="0" w:firstColumn="1" w:lastColumn="0" w:oddVBand="0" w:evenVBand="0" w:oddHBand="0" w:evenHBand="0" w:firstRowFirstColumn="0" w:firstRowLastColumn="0" w:lastRowFirstColumn="0" w:lastRowLastColumn="0"/>
            <w:tcW w:w="1985" w:type="dxa"/>
            <w:gridSpan w:val="2"/>
            <w:tcBorders>
              <w:top w:val="nil"/>
              <w:bottom w:val="nil"/>
            </w:tcBorders>
            <w:vAlign w:val="center"/>
          </w:tcPr>
          <w:p w14:paraId="077A2FA8" w14:textId="01F08849" w:rsidR="00F8354D" w:rsidRPr="001D1CD1" w:rsidRDefault="00F8354D" w:rsidP="008624E8">
            <w:pPr>
              <w:spacing w:line="360" w:lineRule="auto"/>
              <w:jc w:val="center"/>
              <w:rPr>
                <w:rFonts w:ascii="宋体" w:hAnsi="宋体" w:cs="Calibri"/>
                <w:color w:val="000000"/>
                <w:sz w:val="20"/>
                <w:szCs w:val="20"/>
              </w:rPr>
            </w:pPr>
            <w:r w:rsidRPr="001D1CD1">
              <w:rPr>
                <w:rFonts w:ascii="宋体" w:hAnsi="宋体" w:cs="Calibri"/>
                <w:color w:val="000000"/>
                <w:sz w:val="20"/>
                <w:szCs w:val="20"/>
              </w:rPr>
              <w:t>SC</w:t>
            </w:r>
          </w:p>
        </w:tc>
        <w:tc>
          <w:tcPr>
            <w:tcW w:w="1418" w:type="dxa"/>
            <w:tcBorders>
              <w:top w:val="nil"/>
              <w:bottom w:val="nil"/>
            </w:tcBorders>
            <w:vAlign w:val="center"/>
          </w:tcPr>
          <w:p w14:paraId="568B40A9" w14:textId="3011CED4" w:rsidR="00F8354D" w:rsidRPr="001D1CD1" w:rsidRDefault="00F8354D"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1D1CD1">
              <w:rPr>
                <w:rFonts w:ascii="宋体" w:hAnsi="宋体" w:cs="Calibri"/>
                <w:color w:val="000000"/>
                <w:sz w:val="20"/>
                <w:szCs w:val="20"/>
              </w:rPr>
              <w:t>-7.7831</w:t>
            </w:r>
          </w:p>
        </w:tc>
        <w:tc>
          <w:tcPr>
            <w:tcW w:w="1701" w:type="dxa"/>
            <w:gridSpan w:val="2"/>
            <w:tcBorders>
              <w:top w:val="nil"/>
              <w:bottom w:val="nil"/>
            </w:tcBorders>
            <w:vAlign w:val="center"/>
          </w:tcPr>
          <w:p w14:paraId="7582E32B" w14:textId="2F10DD51" w:rsidR="00F8354D" w:rsidRPr="001D1CD1" w:rsidRDefault="00F8354D"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1D1CD1">
              <w:rPr>
                <w:rFonts w:ascii="宋体" w:hAnsi="宋体" w:cs="Calibri"/>
                <w:color w:val="000000"/>
                <w:sz w:val="20"/>
                <w:szCs w:val="20"/>
              </w:rPr>
              <w:t>-7.9317</w:t>
            </w:r>
          </w:p>
        </w:tc>
        <w:tc>
          <w:tcPr>
            <w:tcW w:w="1701" w:type="dxa"/>
            <w:tcBorders>
              <w:top w:val="nil"/>
              <w:bottom w:val="nil"/>
            </w:tcBorders>
            <w:vAlign w:val="center"/>
          </w:tcPr>
          <w:p w14:paraId="3951F018" w14:textId="7B365C5E" w:rsidR="00F8354D" w:rsidRPr="001D1CD1" w:rsidRDefault="007034EC"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7034EC">
              <w:rPr>
                <w:rFonts w:ascii="宋体" w:hAnsi="宋体" w:cs="Calibri"/>
                <w:color w:val="000000"/>
                <w:sz w:val="20"/>
                <w:szCs w:val="20"/>
              </w:rPr>
              <w:t>-8.2320</w:t>
            </w:r>
            <w:r w:rsidR="000C5561" w:rsidRPr="001D1CD1">
              <w:rPr>
                <w:sz w:val="20"/>
                <w:szCs w:val="20"/>
              </w:rPr>
              <w:t>*</w:t>
            </w:r>
          </w:p>
        </w:tc>
        <w:tc>
          <w:tcPr>
            <w:tcW w:w="1643" w:type="dxa"/>
            <w:tcBorders>
              <w:top w:val="nil"/>
              <w:bottom w:val="nil"/>
            </w:tcBorders>
            <w:vAlign w:val="center"/>
          </w:tcPr>
          <w:p w14:paraId="17748BC8" w14:textId="16459EDC" w:rsidR="00F8354D" w:rsidRPr="001D1CD1" w:rsidRDefault="000C5561" w:rsidP="008624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Calibri"/>
                <w:color w:val="000000"/>
                <w:sz w:val="20"/>
                <w:szCs w:val="20"/>
              </w:rPr>
            </w:pPr>
            <w:r w:rsidRPr="001D1CD1">
              <w:rPr>
                <w:rFonts w:ascii="宋体" w:hAnsi="宋体" w:cs="Calibri"/>
                <w:color w:val="000000"/>
                <w:sz w:val="20"/>
                <w:szCs w:val="20"/>
              </w:rPr>
              <w:t>-7.7031</w:t>
            </w:r>
          </w:p>
        </w:tc>
      </w:tr>
      <w:tr w:rsidR="00FA1E24" w:rsidRPr="001D1CD1" w14:paraId="53D17123" w14:textId="77777777" w:rsidTr="00895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tcBorders>
              <w:top w:val="nil"/>
              <w:bottom w:val="single" w:sz="4" w:space="0" w:color="auto"/>
            </w:tcBorders>
            <w:vAlign w:val="center"/>
          </w:tcPr>
          <w:p w14:paraId="7CC34D97" w14:textId="1AF492DD" w:rsidR="00F8354D" w:rsidRPr="001D1CD1" w:rsidRDefault="00F8354D" w:rsidP="008624E8">
            <w:pPr>
              <w:spacing w:line="360" w:lineRule="auto"/>
              <w:jc w:val="center"/>
              <w:rPr>
                <w:rFonts w:ascii="宋体" w:hAnsi="宋体" w:cs="Calibri"/>
                <w:color w:val="000000"/>
                <w:sz w:val="20"/>
                <w:szCs w:val="20"/>
              </w:rPr>
            </w:pPr>
            <w:r w:rsidRPr="001D1CD1">
              <w:rPr>
                <w:rFonts w:ascii="宋体" w:hAnsi="宋体" w:cs="Calibri"/>
                <w:color w:val="000000"/>
                <w:sz w:val="20"/>
                <w:szCs w:val="20"/>
              </w:rPr>
              <w:t>LR</w:t>
            </w:r>
            <w:r w:rsidR="00CE5DF6">
              <w:rPr>
                <w:rFonts w:ascii="宋体" w:hAnsi="宋体" w:cs="Calibri"/>
                <w:color w:val="000000"/>
                <w:sz w:val="20"/>
                <w:szCs w:val="20"/>
              </w:rPr>
              <w:t xml:space="preserve"> </w:t>
            </w:r>
            <w:r w:rsidRPr="001D1CD1">
              <w:rPr>
                <w:rFonts w:ascii="宋体" w:hAnsi="宋体" w:cs="Calibri"/>
                <w:color w:val="000000"/>
                <w:sz w:val="20"/>
                <w:szCs w:val="20"/>
              </w:rPr>
              <w:t>linearity</w:t>
            </w:r>
            <w:r w:rsidR="00CE5DF6">
              <w:rPr>
                <w:rFonts w:ascii="宋体" w:hAnsi="宋体" w:cs="Calibri"/>
                <w:color w:val="000000"/>
                <w:sz w:val="20"/>
                <w:szCs w:val="20"/>
              </w:rPr>
              <w:t xml:space="preserve"> </w:t>
            </w:r>
            <w:r w:rsidR="00D113DD" w:rsidRPr="001D1CD1">
              <w:rPr>
                <w:rFonts w:ascii="宋体" w:hAnsi="宋体" w:cs="Calibri" w:hint="eastAsia"/>
                <w:color w:val="000000"/>
                <w:sz w:val="20"/>
                <w:szCs w:val="20"/>
              </w:rPr>
              <w:t>test</w:t>
            </w:r>
          </w:p>
        </w:tc>
        <w:tc>
          <w:tcPr>
            <w:tcW w:w="1418" w:type="dxa"/>
            <w:tcBorders>
              <w:top w:val="nil"/>
              <w:bottom w:val="single" w:sz="4" w:space="0" w:color="auto"/>
            </w:tcBorders>
            <w:vAlign w:val="center"/>
          </w:tcPr>
          <w:p w14:paraId="270BC7E1" w14:textId="44C06DF7" w:rsidR="00F8354D" w:rsidRPr="001D1CD1" w:rsidRDefault="00F8354D"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1D1CD1">
              <w:rPr>
                <w:rFonts w:ascii="宋体" w:hAnsi="宋体" w:cs="Calibri"/>
                <w:color w:val="000000"/>
                <w:sz w:val="20"/>
                <w:szCs w:val="20"/>
              </w:rPr>
              <w:t>45.9333</w:t>
            </w:r>
          </w:p>
        </w:tc>
        <w:tc>
          <w:tcPr>
            <w:tcW w:w="1701" w:type="dxa"/>
            <w:gridSpan w:val="2"/>
            <w:tcBorders>
              <w:top w:val="nil"/>
              <w:bottom w:val="single" w:sz="4" w:space="0" w:color="auto"/>
            </w:tcBorders>
            <w:vAlign w:val="center"/>
          </w:tcPr>
          <w:p w14:paraId="6B84A359" w14:textId="373C801E" w:rsidR="00F8354D" w:rsidRPr="001D1CD1" w:rsidRDefault="00F8354D"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1D1CD1">
              <w:rPr>
                <w:rFonts w:ascii="宋体" w:hAnsi="宋体" w:cs="Calibri"/>
                <w:color w:val="000000"/>
                <w:sz w:val="20"/>
                <w:szCs w:val="20"/>
              </w:rPr>
              <w:t>118.1822</w:t>
            </w:r>
          </w:p>
        </w:tc>
        <w:tc>
          <w:tcPr>
            <w:tcW w:w="1701" w:type="dxa"/>
            <w:tcBorders>
              <w:top w:val="nil"/>
              <w:bottom w:val="single" w:sz="4" w:space="0" w:color="auto"/>
            </w:tcBorders>
            <w:vAlign w:val="center"/>
          </w:tcPr>
          <w:p w14:paraId="5A7B7329" w14:textId="4276BD78" w:rsidR="00F8354D" w:rsidRPr="001D1CD1" w:rsidRDefault="007034EC"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7034EC">
              <w:rPr>
                <w:rFonts w:ascii="宋体" w:hAnsi="宋体" w:cs="Calibri"/>
                <w:color w:val="000000"/>
                <w:sz w:val="20"/>
                <w:szCs w:val="20"/>
              </w:rPr>
              <w:t>270.6509</w:t>
            </w:r>
            <w:r w:rsidR="000C5561" w:rsidRPr="001D1CD1">
              <w:rPr>
                <w:sz w:val="20"/>
                <w:szCs w:val="20"/>
              </w:rPr>
              <w:t>*</w:t>
            </w:r>
          </w:p>
        </w:tc>
        <w:tc>
          <w:tcPr>
            <w:tcW w:w="1643" w:type="dxa"/>
            <w:tcBorders>
              <w:top w:val="nil"/>
              <w:bottom w:val="single" w:sz="4" w:space="0" w:color="auto"/>
            </w:tcBorders>
            <w:vAlign w:val="center"/>
          </w:tcPr>
          <w:p w14:paraId="4CFDC00A" w14:textId="7010C0F8" w:rsidR="00F8354D" w:rsidRPr="001D1CD1" w:rsidRDefault="000C5561" w:rsidP="008624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Calibri"/>
                <w:color w:val="000000"/>
                <w:sz w:val="20"/>
                <w:szCs w:val="20"/>
              </w:rPr>
            </w:pPr>
            <w:r w:rsidRPr="001D1CD1">
              <w:rPr>
                <w:rFonts w:ascii="宋体" w:hAnsi="宋体" w:cs="Calibri"/>
                <w:color w:val="000000"/>
                <w:sz w:val="20"/>
                <w:szCs w:val="20"/>
              </w:rPr>
              <w:t>65.6069</w:t>
            </w:r>
          </w:p>
        </w:tc>
      </w:tr>
    </w:tbl>
    <w:p w14:paraId="5039ACAE" w14:textId="1DED2413" w:rsidR="008A3287" w:rsidRPr="00F8354D" w:rsidRDefault="00F8354D" w:rsidP="008624E8">
      <w:pPr>
        <w:spacing w:after="120" w:line="360" w:lineRule="auto"/>
        <w:rPr>
          <w:rFonts w:ascii="宋体" w:hAnsi="宋体"/>
          <w:sz w:val="20"/>
          <w:szCs w:val="20"/>
        </w:rPr>
      </w:pPr>
      <w:r w:rsidRPr="00F8354D">
        <w:rPr>
          <w:sz w:val="18"/>
          <w:szCs w:val="20"/>
        </w:rPr>
        <w:t>注</w:t>
      </w:r>
      <w:r w:rsidRPr="00F8354D">
        <w:rPr>
          <w:sz w:val="18"/>
          <w:szCs w:val="20"/>
        </w:rPr>
        <w:t>:*</w:t>
      </w:r>
      <w:r w:rsidRPr="00F8354D">
        <w:rPr>
          <w:sz w:val="18"/>
          <w:szCs w:val="20"/>
        </w:rPr>
        <w:t>号表示</w:t>
      </w:r>
      <w:r w:rsidRPr="00F8354D">
        <w:rPr>
          <w:sz w:val="18"/>
          <w:szCs w:val="20"/>
        </w:rPr>
        <w:t>AIC</w:t>
      </w:r>
      <w:r w:rsidRPr="00F8354D">
        <w:rPr>
          <w:sz w:val="18"/>
          <w:szCs w:val="20"/>
        </w:rPr>
        <w:t>、</w:t>
      </w:r>
      <w:r w:rsidRPr="00F8354D">
        <w:rPr>
          <w:sz w:val="18"/>
          <w:szCs w:val="20"/>
        </w:rPr>
        <w:t>HQ</w:t>
      </w:r>
      <w:r w:rsidRPr="00F8354D">
        <w:rPr>
          <w:sz w:val="18"/>
          <w:szCs w:val="20"/>
        </w:rPr>
        <w:t>和</w:t>
      </w:r>
      <w:r w:rsidRPr="00F8354D">
        <w:rPr>
          <w:sz w:val="18"/>
          <w:szCs w:val="20"/>
        </w:rPr>
        <w:t>SC</w:t>
      </w:r>
      <w:r w:rsidRPr="00F8354D">
        <w:rPr>
          <w:sz w:val="18"/>
          <w:szCs w:val="20"/>
        </w:rPr>
        <w:t>最小值，极大似然估计</w:t>
      </w:r>
      <w:r w:rsidRPr="00F8354D">
        <w:rPr>
          <w:sz w:val="18"/>
          <w:szCs w:val="20"/>
        </w:rPr>
        <w:t>(Loglikelihood)</w:t>
      </w:r>
      <w:r w:rsidRPr="00F8354D">
        <w:rPr>
          <w:sz w:val="18"/>
          <w:szCs w:val="20"/>
        </w:rPr>
        <w:t>最大值所在模</w:t>
      </w:r>
      <w:r w:rsidRPr="00F8354D">
        <w:rPr>
          <w:rFonts w:ascii="宋体" w:hAnsi="宋体" w:cs="宋体" w:hint="eastAsia"/>
          <w:sz w:val="18"/>
          <w:szCs w:val="20"/>
        </w:rPr>
        <w:t>型</w:t>
      </w:r>
    </w:p>
    <w:p w14:paraId="01A52BC9" w14:textId="4A72BCA0" w:rsidR="00C35A73" w:rsidRDefault="0080045A" w:rsidP="00372BE4">
      <w:pPr>
        <w:spacing w:after="120" w:line="360" w:lineRule="auto"/>
        <w:ind w:firstLine="480"/>
        <w:rPr>
          <w:rFonts w:ascii="宋体" w:hAnsi="宋体"/>
          <w:sz w:val="24"/>
        </w:rPr>
      </w:pPr>
      <w:r w:rsidRPr="00EB6156">
        <w:rPr>
          <w:rFonts w:ascii="宋体" w:hAnsi="宋体"/>
          <w:sz w:val="24"/>
        </w:rPr>
        <w:t>根据表中的模型选择结</w:t>
      </w:r>
      <w:r w:rsidRPr="00EB6156">
        <w:rPr>
          <w:rFonts w:ascii="宋体" w:hAnsi="宋体" w:hint="eastAsia"/>
          <w:sz w:val="24"/>
        </w:rPr>
        <w:t>果</w:t>
      </w:r>
      <w:r w:rsidR="00D273C9">
        <w:rPr>
          <w:rFonts w:ascii="宋体" w:hAnsi="宋体" w:hint="eastAsia"/>
          <w:sz w:val="24"/>
        </w:rPr>
        <w:t>,</w:t>
      </w:r>
      <w:r w:rsidRPr="0080045A">
        <w:rPr>
          <w:rFonts w:ascii="宋体" w:hAnsi="宋体"/>
          <w:sz w:val="24"/>
        </w:rPr>
        <w:t xml:space="preserve"> 通过比较不同模型的极大似然值以及AIC、SC信息准则，来评估模型的拟合程度和预测性能。在这个过程中，MSIH（3）-VAR(3)模型显示出较高的准确性和可靠</w:t>
      </w:r>
      <w:r w:rsidRPr="0080045A">
        <w:rPr>
          <w:rFonts w:ascii="宋体" w:hAnsi="宋体" w:hint="eastAsia"/>
          <w:sz w:val="24"/>
        </w:rPr>
        <w:t>性</w:t>
      </w:r>
      <w:r w:rsidR="00D273C9" w:rsidRPr="00D273C9">
        <w:rPr>
          <w:rFonts w:ascii="宋体" w:hAnsi="宋体"/>
          <w:sz w:val="24"/>
        </w:rPr>
        <w:t>，</w:t>
      </w:r>
      <w:r>
        <w:rPr>
          <w:rFonts w:ascii="宋体" w:hAnsi="宋体" w:hint="eastAsia"/>
          <w:sz w:val="24"/>
        </w:rPr>
        <w:t>因此，</w:t>
      </w:r>
      <w:r w:rsidR="00D273C9" w:rsidRPr="00D273C9">
        <w:rPr>
          <w:rFonts w:ascii="宋体" w:hAnsi="宋体"/>
          <w:sz w:val="24"/>
        </w:rPr>
        <w:t>构建</w:t>
      </w:r>
      <w:r w:rsidR="00E442C6" w:rsidRPr="00D273C9">
        <w:rPr>
          <w:rFonts w:ascii="宋体" w:hAnsi="宋体"/>
          <w:sz w:val="24"/>
        </w:rPr>
        <w:t>MSI</w:t>
      </w:r>
      <w:r w:rsidR="00CE4F59">
        <w:rPr>
          <w:rFonts w:ascii="宋体" w:hAnsi="宋体"/>
          <w:sz w:val="24"/>
        </w:rPr>
        <w:t>H</w:t>
      </w:r>
      <w:r w:rsidR="00E442C6" w:rsidRPr="00D273C9">
        <w:rPr>
          <w:rFonts w:ascii="宋体" w:hAnsi="宋体"/>
          <w:sz w:val="24"/>
        </w:rPr>
        <w:t>（3）-VAR(</w:t>
      </w:r>
      <w:r w:rsidR="00E442C6">
        <w:rPr>
          <w:rFonts w:ascii="宋体" w:hAnsi="宋体"/>
          <w:sz w:val="24"/>
        </w:rPr>
        <w:t>3</w:t>
      </w:r>
      <w:r w:rsidR="00E442C6" w:rsidRPr="00D273C9">
        <w:rPr>
          <w:rFonts w:ascii="宋体" w:hAnsi="宋体"/>
          <w:sz w:val="24"/>
        </w:rPr>
        <w:t>)</w:t>
      </w:r>
      <w:r w:rsidR="00D273C9" w:rsidRPr="00D273C9">
        <w:rPr>
          <w:rFonts w:ascii="宋体" w:hAnsi="宋体"/>
          <w:sz w:val="24"/>
        </w:rPr>
        <w:t>模型进行分析。</w:t>
      </w:r>
    </w:p>
    <w:p w14:paraId="5A2D3964" w14:textId="1A194F48" w:rsidR="002F64A4" w:rsidRPr="004E5EAF" w:rsidRDefault="00243765" w:rsidP="00B8316D">
      <w:pPr>
        <w:pStyle w:val="2"/>
        <w:spacing w:before="156" w:after="156"/>
        <w:ind w:firstLine="600"/>
        <w:rPr>
          <w:sz w:val="28"/>
          <w:szCs w:val="28"/>
        </w:rPr>
      </w:pPr>
      <w:bookmarkStart w:id="26" w:name="_Toc135748084"/>
      <w:r>
        <w:rPr>
          <w:sz w:val="28"/>
          <w:szCs w:val="28"/>
        </w:rPr>
        <w:t>4</w:t>
      </w:r>
      <w:r w:rsidR="004E5EAF" w:rsidRPr="00B8316D">
        <w:rPr>
          <w:sz w:val="28"/>
          <w:szCs w:val="28"/>
        </w:rPr>
        <w:t>.2</w:t>
      </w:r>
      <w:r w:rsidR="00D254E6" w:rsidRPr="004E5EAF">
        <w:rPr>
          <w:rFonts w:hint="eastAsia"/>
          <w:sz w:val="28"/>
          <w:szCs w:val="28"/>
        </w:rPr>
        <w:t xml:space="preserve"> </w:t>
      </w:r>
      <w:r w:rsidR="00804577" w:rsidRPr="004E5EAF">
        <w:rPr>
          <w:rFonts w:hint="eastAsia"/>
          <w:sz w:val="28"/>
          <w:szCs w:val="28"/>
        </w:rPr>
        <w:t>模型区制</w:t>
      </w:r>
      <w:r w:rsidR="002F64A4" w:rsidRPr="004E5EAF">
        <w:rPr>
          <w:rFonts w:hint="eastAsia"/>
          <w:sz w:val="28"/>
          <w:szCs w:val="28"/>
        </w:rPr>
        <w:t>状态转化</w:t>
      </w:r>
      <w:r w:rsidR="00804577" w:rsidRPr="004E5EAF">
        <w:rPr>
          <w:rFonts w:hint="eastAsia"/>
          <w:sz w:val="28"/>
          <w:szCs w:val="28"/>
        </w:rPr>
        <w:t>分析</w:t>
      </w:r>
      <w:bookmarkEnd w:id="26"/>
    </w:p>
    <w:p w14:paraId="79BBA8DB" w14:textId="6921D361" w:rsidR="00902514" w:rsidRDefault="00F92AA6" w:rsidP="00902514">
      <w:pPr>
        <w:keepNext/>
        <w:spacing w:after="120" w:line="360" w:lineRule="auto"/>
      </w:pPr>
      <w:r>
        <w:rPr>
          <w:noProof/>
          <w14:ligatures w14:val="standardContextual"/>
        </w:rPr>
        <w:drawing>
          <wp:inline distT="0" distB="0" distL="0" distR="0" wp14:anchorId="51B71457" wp14:editId="70007981">
            <wp:extent cx="5274310" cy="3552825"/>
            <wp:effectExtent l="0" t="0" r="2540" b="9525"/>
            <wp:docPr id="191977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73699" name=""/>
                    <pic:cNvPicPr/>
                  </pic:nvPicPr>
                  <pic:blipFill>
                    <a:blip r:embed="rId19"/>
                    <a:stretch>
                      <a:fillRect/>
                    </a:stretch>
                  </pic:blipFill>
                  <pic:spPr>
                    <a:xfrm>
                      <a:off x="0" y="0"/>
                      <a:ext cx="5274310" cy="3552825"/>
                    </a:xfrm>
                    <a:prstGeom prst="rect">
                      <a:avLst/>
                    </a:prstGeom>
                  </pic:spPr>
                </pic:pic>
              </a:graphicData>
            </a:graphic>
          </wp:inline>
        </w:drawing>
      </w:r>
    </w:p>
    <w:p w14:paraId="615FEFD3" w14:textId="2E174782" w:rsidR="00854BC3" w:rsidRPr="00902514" w:rsidRDefault="00902514" w:rsidP="00902514">
      <w:pPr>
        <w:pStyle w:val="Caption"/>
        <w:jc w:val="center"/>
        <w:rPr>
          <w:color w:val="auto"/>
        </w:rPr>
      </w:pPr>
      <w:r w:rsidRPr="00902514">
        <w:rPr>
          <w:color w:val="auto"/>
        </w:rPr>
        <w:t xml:space="preserve">Figure </w:t>
      </w:r>
      <w:r w:rsidRPr="00902514">
        <w:rPr>
          <w:color w:val="auto"/>
        </w:rPr>
        <w:fldChar w:fldCharType="begin"/>
      </w:r>
      <w:r w:rsidRPr="00902514">
        <w:rPr>
          <w:color w:val="auto"/>
        </w:rPr>
        <w:instrText xml:space="preserve"> SEQ Figure \* ARABIC </w:instrText>
      </w:r>
      <w:r w:rsidRPr="00902514">
        <w:rPr>
          <w:color w:val="auto"/>
        </w:rPr>
        <w:fldChar w:fldCharType="separate"/>
      </w:r>
      <w:r w:rsidR="00812280">
        <w:rPr>
          <w:noProof/>
          <w:color w:val="auto"/>
        </w:rPr>
        <w:t>3</w:t>
      </w:r>
      <w:r w:rsidRPr="00902514">
        <w:rPr>
          <w:color w:val="auto"/>
        </w:rPr>
        <w:fldChar w:fldCharType="end"/>
      </w:r>
      <w:r w:rsidRPr="00902514">
        <w:rPr>
          <w:rFonts w:hint="eastAsia"/>
          <w:color w:val="auto"/>
        </w:rPr>
        <w:t>区制概率</w:t>
      </w:r>
    </w:p>
    <w:p w14:paraId="4668AB6F" w14:textId="77777777" w:rsidR="00087E14" w:rsidRPr="00087E14" w:rsidRDefault="00087E14" w:rsidP="00087E14">
      <w:pPr>
        <w:spacing w:after="120" w:line="360" w:lineRule="auto"/>
        <w:ind w:firstLine="480"/>
        <w:rPr>
          <w:rFonts w:ascii="宋体" w:hAnsi="宋体"/>
          <w:sz w:val="24"/>
        </w:rPr>
      </w:pPr>
      <w:r w:rsidRPr="00087E14">
        <w:rPr>
          <w:rFonts w:ascii="宋体" w:hAnsi="宋体"/>
          <w:sz w:val="24"/>
        </w:rPr>
        <w:t>本文采用MSIH(3)－VAR(3)模型对中国经济政策不确定性对中国股市的影响进行估计，并得到了三个区制状态转换概率图，具体的估计结果可参见图3。</w:t>
      </w:r>
      <w:r w:rsidRPr="00087E14">
        <w:rPr>
          <w:rFonts w:ascii="宋体" w:hAnsi="宋体"/>
          <w:sz w:val="24"/>
        </w:rPr>
        <w:lastRenderedPageBreak/>
        <w:t>图3展示了在2003年1月至2022年5月期间，根据模型的三个区制划分所得到的滤波概率、平滑概率和预测概率。从估计结果中可以观察到，中国经济政策不确定性的波动程度呈现明显的区制转换效应。具体而言，区制1被定义为"平稳波动状态"，区制2被定义为"低波动状态"，而区制3则代表"高波动状态"。图表显示，区制2的低波动状态是一种"常态"，而平稳波动状态1和高波动状态3则表现出较短且不连续的持续时间。高波动状态3主要出现在2004年至2005年、2007年至2009年、2015至2016年以及2019年至2021年。回顾这些年份，我们不难发现，这些时期的不确定性剧烈波动往往受到外部事件冲击的影响，例如2008年的经济危机、2016年6月英国全民公投决定"脱欧"、2018年中美贸易摩擦以及2020年初全球新冠疫情爆发等。平稳波动状态则代表了经济正常运行期间，而低波动状态则伴随着国家政策的调控。以上三个区制的划分结果与中国经济波动的实际情况相符，因此能够很好地反映经济政策不确定性波动在不同区制下对股市状态的影响</w:t>
      </w:r>
      <w:r w:rsidRPr="00087E14">
        <w:rPr>
          <w:rFonts w:ascii="宋体" w:hAnsi="宋体" w:hint="eastAsia"/>
          <w:sz w:val="24"/>
        </w:rPr>
        <w:t>。</w:t>
      </w:r>
    </w:p>
    <w:p w14:paraId="7F030B62" w14:textId="19E6CD8F" w:rsidR="00C745EA" w:rsidRPr="00BD7856" w:rsidRDefault="007C5AAC" w:rsidP="00BD7856">
      <w:pPr>
        <w:pStyle w:val="Caption"/>
        <w:keepNext/>
        <w:jc w:val="center"/>
        <w:rPr>
          <w:color w:val="auto"/>
        </w:rPr>
      </w:pPr>
      <w:r w:rsidRPr="007C5AAC">
        <w:rPr>
          <w:color w:val="auto"/>
        </w:rPr>
        <w:lastRenderedPageBreak/>
        <w:t xml:space="preserve">Table </w:t>
      </w:r>
      <w:r w:rsidRPr="007C5AAC">
        <w:rPr>
          <w:color w:val="auto"/>
        </w:rPr>
        <w:fldChar w:fldCharType="begin"/>
      </w:r>
      <w:r w:rsidRPr="007C5AAC">
        <w:rPr>
          <w:color w:val="auto"/>
        </w:rPr>
        <w:instrText xml:space="preserve"> SEQ Table \* ARABIC </w:instrText>
      </w:r>
      <w:r w:rsidRPr="007C5AAC">
        <w:rPr>
          <w:color w:val="auto"/>
        </w:rPr>
        <w:fldChar w:fldCharType="separate"/>
      </w:r>
      <w:r>
        <w:rPr>
          <w:noProof/>
          <w:color w:val="auto"/>
        </w:rPr>
        <w:t>7</w:t>
      </w:r>
      <w:r w:rsidRPr="007C5AAC">
        <w:rPr>
          <w:color w:val="auto"/>
        </w:rPr>
        <w:fldChar w:fldCharType="end"/>
      </w:r>
      <w:r w:rsidRPr="007C5AAC">
        <w:rPr>
          <w:rFonts w:hint="eastAsia"/>
          <w:color w:val="auto"/>
        </w:rPr>
        <w:t>区制所含样本点</w:t>
      </w:r>
    </w:p>
    <w:tbl>
      <w:tblPr>
        <w:tblpPr w:leftFromText="180" w:rightFromText="180" w:vertAnchor="text" w:tblpY="-76"/>
        <w:tblW w:w="5000" w:type="pct"/>
        <w:tblLook w:val="04A0" w:firstRow="1" w:lastRow="0" w:firstColumn="1" w:lastColumn="0" w:noHBand="0" w:noVBand="1"/>
      </w:tblPr>
      <w:tblGrid>
        <w:gridCol w:w="714"/>
        <w:gridCol w:w="1839"/>
        <w:gridCol w:w="1839"/>
        <w:gridCol w:w="1846"/>
        <w:gridCol w:w="2068"/>
      </w:tblGrid>
      <w:tr w:rsidR="009B4932" w:rsidRPr="000A7F47" w14:paraId="7FD2E6C4" w14:textId="77777777" w:rsidTr="00BF7CBA">
        <w:trPr>
          <w:trHeight w:val="291"/>
        </w:trPr>
        <w:tc>
          <w:tcPr>
            <w:tcW w:w="429" w:type="pct"/>
            <w:tcBorders>
              <w:top w:val="single" w:sz="4" w:space="0" w:color="auto"/>
              <w:left w:val="nil"/>
              <w:bottom w:val="single" w:sz="4" w:space="0" w:color="auto"/>
              <w:right w:val="single" w:sz="4" w:space="0" w:color="auto"/>
            </w:tcBorders>
            <w:shd w:val="clear" w:color="auto" w:fill="auto"/>
            <w:vAlign w:val="center"/>
            <w:hideMark/>
          </w:tcPr>
          <w:p w14:paraId="01A6C75B" w14:textId="6EEAFC96" w:rsidR="009B4932" w:rsidRPr="000A7F47" w:rsidRDefault="009B4932" w:rsidP="00034E09">
            <w:pPr>
              <w:widowControl/>
              <w:rPr>
                <w:rFonts w:ascii="宋体" w:hAnsi="宋体" w:cs="Calibri"/>
                <w:b/>
                <w:bCs/>
                <w:color w:val="000000"/>
                <w:kern w:val="0"/>
                <w:sz w:val="22"/>
                <w:szCs w:val="22"/>
              </w:rPr>
            </w:pPr>
            <w:r w:rsidRPr="000A7F47">
              <w:rPr>
                <w:rFonts w:ascii="宋体" w:hAnsi="宋体" w:cs="Calibri" w:hint="eastAsia"/>
                <w:b/>
                <w:bCs/>
                <w:color w:val="000000"/>
                <w:kern w:val="0"/>
                <w:sz w:val="22"/>
                <w:szCs w:val="22"/>
              </w:rPr>
              <w:t>区制</w:t>
            </w:r>
          </w:p>
        </w:tc>
        <w:tc>
          <w:tcPr>
            <w:tcW w:w="1107" w:type="pct"/>
            <w:tcBorders>
              <w:top w:val="single" w:sz="4" w:space="0" w:color="auto"/>
              <w:left w:val="nil"/>
              <w:bottom w:val="single" w:sz="4" w:space="0" w:color="auto"/>
              <w:right w:val="nil"/>
            </w:tcBorders>
            <w:shd w:val="clear" w:color="auto" w:fill="auto"/>
            <w:noWrap/>
            <w:vAlign w:val="center"/>
            <w:hideMark/>
          </w:tcPr>
          <w:p w14:paraId="763AA73A" w14:textId="77777777" w:rsidR="009B4932" w:rsidRPr="000A7F47" w:rsidRDefault="009B4932" w:rsidP="00EA6975">
            <w:pPr>
              <w:widowControl/>
              <w:jc w:val="left"/>
              <w:rPr>
                <w:rFonts w:ascii="Calibri" w:eastAsia="Times New Roman" w:hAnsi="Calibri" w:cs="Calibri"/>
                <w:b/>
                <w:bCs/>
                <w:color w:val="000000"/>
                <w:kern w:val="0"/>
                <w:sz w:val="22"/>
                <w:szCs w:val="22"/>
              </w:rPr>
            </w:pPr>
            <w:r w:rsidRPr="000A7F47">
              <w:rPr>
                <w:rFonts w:ascii="Calibri" w:eastAsia="Times New Roman" w:hAnsi="Calibri" w:cs="Calibri"/>
                <w:b/>
                <w:bCs/>
                <w:color w:val="000000"/>
                <w:kern w:val="0"/>
                <w:sz w:val="22"/>
                <w:szCs w:val="22"/>
              </w:rPr>
              <w:t>Regime 1</w:t>
            </w:r>
          </w:p>
        </w:tc>
        <w:tc>
          <w:tcPr>
            <w:tcW w:w="2218" w:type="pct"/>
            <w:gridSpan w:val="2"/>
            <w:tcBorders>
              <w:top w:val="single" w:sz="4" w:space="0" w:color="auto"/>
              <w:left w:val="nil"/>
              <w:bottom w:val="single" w:sz="4" w:space="0" w:color="auto"/>
              <w:right w:val="nil"/>
            </w:tcBorders>
            <w:shd w:val="clear" w:color="auto" w:fill="auto"/>
            <w:noWrap/>
            <w:vAlign w:val="center"/>
            <w:hideMark/>
          </w:tcPr>
          <w:p w14:paraId="14A8C277" w14:textId="6AB61F0C" w:rsidR="009B4932" w:rsidRPr="000A7F47" w:rsidRDefault="009B4932" w:rsidP="009B4932">
            <w:pPr>
              <w:widowControl/>
              <w:jc w:val="center"/>
              <w:rPr>
                <w:rFonts w:ascii="Calibri" w:eastAsia="Times New Roman" w:hAnsi="Calibri" w:cs="Calibri"/>
                <w:b/>
                <w:bCs/>
                <w:color w:val="000000"/>
                <w:kern w:val="0"/>
                <w:sz w:val="22"/>
                <w:szCs w:val="22"/>
              </w:rPr>
            </w:pPr>
            <w:r w:rsidRPr="000A7F47">
              <w:rPr>
                <w:rFonts w:ascii="Calibri" w:eastAsia="Times New Roman" w:hAnsi="Calibri" w:cs="Calibri"/>
                <w:b/>
                <w:bCs/>
                <w:color w:val="000000"/>
                <w:kern w:val="0"/>
                <w:sz w:val="22"/>
                <w:szCs w:val="22"/>
              </w:rPr>
              <w:t>Regime2</w:t>
            </w:r>
          </w:p>
        </w:tc>
        <w:tc>
          <w:tcPr>
            <w:tcW w:w="1245" w:type="pct"/>
            <w:tcBorders>
              <w:top w:val="single" w:sz="4" w:space="0" w:color="auto"/>
              <w:left w:val="nil"/>
              <w:bottom w:val="single" w:sz="4" w:space="0" w:color="auto"/>
              <w:right w:val="nil"/>
            </w:tcBorders>
            <w:shd w:val="clear" w:color="auto" w:fill="auto"/>
            <w:noWrap/>
            <w:vAlign w:val="center"/>
            <w:hideMark/>
          </w:tcPr>
          <w:p w14:paraId="623E01AB" w14:textId="2AA19A4A" w:rsidR="009B4932" w:rsidRPr="000A7F47" w:rsidRDefault="009B4932" w:rsidP="00EA6975">
            <w:pPr>
              <w:widowControl/>
              <w:jc w:val="left"/>
              <w:rPr>
                <w:rFonts w:ascii="Calibri" w:eastAsia="Times New Roman" w:hAnsi="Calibri" w:cs="Calibri"/>
                <w:b/>
                <w:bCs/>
                <w:color w:val="000000"/>
                <w:kern w:val="0"/>
                <w:sz w:val="22"/>
                <w:szCs w:val="22"/>
              </w:rPr>
            </w:pPr>
            <w:r w:rsidRPr="000A7F47">
              <w:rPr>
                <w:rFonts w:ascii="Calibri" w:eastAsia="Times New Roman" w:hAnsi="Calibri" w:cs="Calibri"/>
                <w:b/>
                <w:bCs/>
                <w:color w:val="000000"/>
                <w:kern w:val="0"/>
                <w:sz w:val="22"/>
                <w:szCs w:val="22"/>
              </w:rPr>
              <w:t>Regime3</w:t>
            </w:r>
          </w:p>
        </w:tc>
      </w:tr>
      <w:tr w:rsidR="009B4932" w:rsidRPr="000A7F47" w14:paraId="4A331449" w14:textId="77777777" w:rsidTr="00BF7CBA">
        <w:trPr>
          <w:trHeight w:val="301"/>
        </w:trPr>
        <w:tc>
          <w:tcPr>
            <w:tcW w:w="429" w:type="pct"/>
            <w:vMerge w:val="restart"/>
            <w:tcBorders>
              <w:top w:val="nil"/>
              <w:left w:val="nil"/>
              <w:bottom w:val="single" w:sz="4" w:space="0" w:color="000000"/>
              <w:right w:val="single" w:sz="4" w:space="0" w:color="auto"/>
            </w:tcBorders>
            <w:shd w:val="clear" w:color="auto" w:fill="auto"/>
            <w:vAlign w:val="center"/>
            <w:hideMark/>
          </w:tcPr>
          <w:p w14:paraId="58EBF1C0" w14:textId="77777777" w:rsidR="009B4932" w:rsidRPr="000A7F47" w:rsidRDefault="009B4932" w:rsidP="009B4932">
            <w:pPr>
              <w:widowControl/>
              <w:jc w:val="center"/>
              <w:rPr>
                <w:rFonts w:ascii="Calibri" w:eastAsia="Times New Roman" w:hAnsi="Calibri" w:cs="Calibri"/>
                <w:color w:val="000000"/>
                <w:kern w:val="0"/>
                <w:sz w:val="22"/>
                <w:szCs w:val="22"/>
              </w:rPr>
            </w:pPr>
            <w:r w:rsidRPr="000A7F47">
              <w:rPr>
                <w:rFonts w:ascii="宋体" w:hAnsi="宋体" w:cs="宋体" w:hint="eastAsia"/>
                <w:color w:val="000000"/>
                <w:kern w:val="0"/>
                <w:sz w:val="22"/>
                <w:szCs w:val="22"/>
              </w:rPr>
              <w:t>所包含的样本区间</w:t>
            </w:r>
          </w:p>
        </w:tc>
        <w:tc>
          <w:tcPr>
            <w:tcW w:w="1107" w:type="pct"/>
            <w:tcBorders>
              <w:top w:val="nil"/>
              <w:left w:val="nil"/>
              <w:bottom w:val="nil"/>
              <w:right w:val="nil"/>
            </w:tcBorders>
            <w:shd w:val="clear" w:color="auto" w:fill="auto"/>
            <w:noWrap/>
            <w:vAlign w:val="bottom"/>
            <w:hideMark/>
          </w:tcPr>
          <w:p w14:paraId="6EA63906"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2005:9 - 2005:9 </w:t>
            </w:r>
          </w:p>
        </w:tc>
        <w:tc>
          <w:tcPr>
            <w:tcW w:w="1107" w:type="pct"/>
            <w:tcBorders>
              <w:top w:val="nil"/>
              <w:left w:val="nil"/>
              <w:bottom w:val="nil"/>
              <w:right w:val="nil"/>
            </w:tcBorders>
            <w:shd w:val="clear" w:color="auto" w:fill="auto"/>
            <w:noWrap/>
            <w:vAlign w:val="bottom"/>
            <w:hideMark/>
          </w:tcPr>
          <w:p w14:paraId="79E6990E"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2004:3 - 2004:8 </w:t>
            </w:r>
          </w:p>
        </w:tc>
        <w:tc>
          <w:tcPr>
            <w:tcW w:w="1111" w:type="pct"/>
            <w:tcBorders>
              <w:top w:val="nil"/>
              <w:left w:val="nil"/>
              <w:bottom w:val="nil"/>
              <w:right w:val="nil"/>
            </w:tcBorders>
            <w:vAlign w:val="bottom"/>
          </w:tcPr>
          <w:p w14:paraId="0DFC9AE7" w14:textId="02196879"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2017:6 - 2017:7 </w:t>
            </w:r>
          </w:p>
        </w:tc>
        <w:tc>
          <w:tcPr>
            <w:tcW w:w="1245" w:type="pct"/>
            <w:tcBorders>
              <w:top w:val="nil"/>
              <w:left w:val="nil"/>
              <w:bottom w:val="nil"/>
              <w:right w:val="nil"/>
            </w:tcBorders>
            <w:shd w:val="clear" w:color="auto" w:fill="auto"/>
            <w:noWrap/>
            <w:vAlign w:val="bottom"/>
            <w:hideMark/>
          </w:tcPr>
          <w:p w14:paraId="1E8AB449" w14:textId="2939158D"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2004:9 - 2004:9 </w:t>
            </w:r>
          </w:p>
        </w:tc>
      </w:tr>
      <w:tr w:rsidR="009B4932" w:rsidRPr="000A7F47" w14:paraId="184E7CBD" w14:textId="77777777" w:rsidTr="00BF7CBA">
        <w:trPr>
          <w:trHeight w:val="301"/>
        </w:trPr>
        <w:tc>
          <w:tcPr>
            <w:tcW w:w="429" w:type="pct"/>
            <w:vMerge/>
            <w:tcBorders>
              <w:top w:val="nil"/>
              <w:left w:val="nil"/>
              <w:bottom w:val="single" w:sz="4" w:space="0" w:color="000000"/>
              <w:right w:val="single" w:sz="4" w:space="0" w:color="auto"/>
            </w:tcBorders>
            <w:vAlign w:val="center"/>
            <w:hideMark/>
          </w:tcPr>
          <w:p w14:paraId="249DFE1A"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5C29ED28"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2005:11 - 2005:11 </w:t>
            </w:r>
          </w:p>
        </w:tc>
        <w:tc>
          <w:tcPr>
            <w:tcW w:w="1107" w:type="pct"/>
            <w:tcBorders>
              <w:top w:val="nil"/>
              <w:left w:val="nil"/>
              <w:bottom w:val="nil"/>
              <w:right w:val="nil"/>
            </w:tcBorders>
            <w:shd w:val="clear" w:color="auto" w:fill="auto"/>
            <w:noWrap/>
            <w:vAlign w:val="bottom"/>
            <w:hideMark/>
          </w:tcPr>
          <w:p w14:paraId="4F7BFCD5"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2004:10 - 2005:1 </w:t>
            </w:r>
          </w:p>
        </w:tc>
        <w:tc>
          <w:tcPr>
            <w:tcW w:w="1111" w:type="pct"/>
            <w:tcBorders>
              <w:top w:val="nil"/>
              <w:left w:val="nil"/>
              <w:bottom w:val="nil"/>
              <w:right w:val="nil"/>
            </w:tcBorders>
            <w:vAlign w:val="bottom"/>
          </w:tcPr>
          <w:p w14:paraId="630F7C21" w14:textId="23C9968B"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2017:9 - 2018:1 </w:t>
            </w:r>
          </w:p>
        </w:tc>
        <w:tc>
          <w:tcPr>
            <w:tcW w:w="1245" w:type="pct"/>
            <w:tcBorders>
              <w:top w:val="nil"/>
              <w:left w:val="nil"/>
              <w:bottom w:val="nil"/>
              <w:right w:val="nil"/>
            </w:tcBorders>
            <w:shd w:val="clear" w:color="auto" w:fill="auto"/>
            <w:noWrap/>
            <w:vAlign w:val="bottom"/>
            <w:hideMark/>
          </w:tcPr>
          <w:p w14:paraId="629F6765" w14:textId="2ECF557E"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2005:2 - 2005:2 </w:t>
            </w:r>
          </w:p>
        </w:tc>
      </w:tr>
      <w:tr w:rsidR="009B4932" w:rsidRPr="000A7F47" w14:paraId="6175A495"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1614197B"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1C224DB7"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2006:3 - 2006:3 </w:t>
            </w:r>
          </w:p>
        </w:tc>
        <w:tc>
          <w:tcPr>
            <w:tcW w:w="1107" w:type="pct"/>
            <w:tcBorders>
              <w:top w:val="nil"/>
              <w:left w:val="nil"/>
              <w:bottom w:val="nil"/>
              <w:right w:val="nil"/>
            </w:tcBorders>
            <w:shd w:val="clear" w:color="auto" w:fill="auto"/>
            <w:noWrap/>
            <w:vAlign w:val="bottom"/>
            <w:hideMark/>
          </w:tcPr>
          <w:p w14:paraId="6B0C2AA3"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2005:3 - 2005:5 </w:t>
            </w:r>
          </w:p>
        </w:tc>
        <w:tc>
          <w:tcPr>
            <w:tcW w:w="1111" w:type="pct"/>
            <w:tcBorders>
              <w:top w:val="nil"/>
              <w:left w:val="nil"/>
              <w:bottom w:val="nil"/>
              <w:right w:val="nil"/>
            </w:tcBorders>
            <w:vAlign w:val="bottom"/>
          </w:tcPr>
          <w:p w14:paraId="519D1D94" w14:textId="07A108E6"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2018:3 - 2018:3 </w:t>
            </w:r>
          </w:p>
        </w:tc>
        <w:tc>
          <w:tcPr>
            <w:tcW w:w="1245" w:type="pct"/>
            <w:tcBorders>
              <w:top w:val="nil"/>
              <w:left w:val="nil"/>
              <w:bottom w:val="nil"/>
              <w:right w:val="nil"/>
            </w:tcBorders>
            <w:shd w:val="clear" w:color="auto" w:fill="auto"/>
            <w:noWrap/>
            <w:vAlign w:val="bottom"/>
            <w:hideMark/>
          </w:tcPr>
          <w:p w14:paraId="4CCCA228" w14:textId="6419ECC5"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2005:6 - 2005:6 </w:t>
            </w:r>
          </w:p>
        </w:tc>
      </w:tr>
      <w:tr w:rsidR="009B4932" w:rsidRPr="000A7F47" w14:paraId="46AB0DEE"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7937CFFA"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6D32A094"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2006:6 - 2006:6 </w:t>
            </w:r>
          </w:p>
        </w:tc>
        <w:tc>
          <w:tcPr>
            <w:tcW w:w="1107" w:type="pct"/>
            <w:tcBorders>
              <w:top w:val="nil"/>
              <w:left w:val="nil"/>
              <w:bottom w:val="nil"/>
              <w:right w:val="nil"/>
            </w:tcBorders>
            <w:shd w:val="clear" w:color="auto" w:fill="auto"/>
            <w:noWrap/>
            <w:vAlign w:val="bottom"/>
            <w:hideMark/>
          </w:tcPr>
          <w:p w14:paraId="4A474A39"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2005:7 - 2005:8 </w:t>
            </w:r>
          </w:p>
        </w:tc>
        <w:tc>
          <w:tcPr>
            <w:tcW w:w="1111" w:type="pct"/>
            <w:tcBorders>
              <w:top w:val="nil"/>
              <w:left w:val="nil"/>
              <w:bottom w:val="nil"/>
              <w:right w:val="nil"/>
            </w:tcBorders>
            <w:vAlign w:val="bottom"/>
          </w:tcPr>
          <w:p w14:paraId="5FFCD85C" w14:textId="47DF251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2018:6 - 2018:9 </w:t>
            </w:r>
          </w:p>
        </w:tc>
        <w:tc>
          <w:tcPr>
            <w:tcW w:w="1245" w:type="pct"/>
            <w:tcBorders>
              <w:top w:val="nil"/>
              <w:left w:val="nil"/>
              <w:bottom w:val="nil"/>
              <w:right w:val="nil"/>
            </w:tcBorders>
            <w:shd w:val="clear" w:color="auto" w:fill="auto"/>
            <w:noWrap/>
            <w:vAlign w:val="bottom"/>
            <w:hideMark/>
          </w:tcPr>
          <w:p w14:paraId="2BF73B4F" w14:textId="138492B5"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2006:5 - 2006:5 </w:t>
            </w:r>
          </w:p>
        </w:tc>
      </w:tr>
      <w:tr w:rsidR="009B4932" w:rsidRPr="000A7F47" w14:paraId="78DE14BF"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2B424133"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27CBFDEC"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2006:8 - 2006:9 </w:t>
            </w:r>
          </w:p>
        </w:tc>
        <w:tc>
          <w:tcPr>
            <w:tcW w:w="1107" w:type="pct"/>
            <w:tcBorders>
              <w:top w:val="nil"/>
              <w:left w:val="nil"/>
              <w:bottom w:val="nil"/>
              <w:right w:val="nil"/>
            </w:tcBorders>
            <w:shd w:val="clear" w:color="auto" w:fill="auto"/>
            <w:noWrap/>
            <w:vAlign w:val="bottom"/>
            <w:hideMark/>
          </w:tcPr>
          <w:p w14:paraId="57D909A5"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2005:10 - 2005:10 </w:t>
            </w:r>
          </w:p>
        </w:tc>
        <w:tc>
          <w:tcPr>
            <w:tcW w:w="1111" w:type="pct"/>
            <w:tcBorders>
              <w:top w:val="nil"/>
              <w:left w:val="nil"/>
              <w:bottom w:val="nil"/>
              <w:right w:val="nil"/>
            </w:tcBorders>
            <w:vAlign w:val="bottom"/>
          </w:tcPr>
          <w:p w14:paraId="18D6EC4F" w14:textId="569EAC69"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2018:12 - 2019:1 </w:t>
            </w:r>
          </w:p>
        </w:tc>
        <w:tc>
          <w:tcPr>
            <w:tcW w:w="1245" w:type="pct"/>
            <w:tcBorders>
              <w:top w:val="nil"/>
              <w:left w:val="nil"/>
              <w:bottom w:val="nil"/>
              <w:right w:val="nil"/>
            </w:tcBorders>
            <w:shd w:val="clear" w:color="auto" w:fill="auto"/>
            <w:noWrap/>
            <w:vAlign w:val="bottom"/>
            <w:hideMark/>
          </w:tcPr>
          <w:p w14:paraId="3C53E0A6" w14:textId="02051A84"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2006:12 - 2007:3 </w:t>
            </w:r>
          </w:p>
        </w:tc>
      </w:tr>
      <w:tr w:rsidR="009B4932" w:rsidRPr="000A7F47" w14:paraId="20726E2A"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7ACED86C"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6C519CF2"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2007:9 - 2007:9 </w:t>
            </w:r>
          </w:p>
        </w:tc>
        <w:tc>
          <w:tcPr>
            <w:tcW w:w="1107" w:type="pct"/>
            <w:tcBorders>
              <w:top w:val="nil"/>
              <w:left w:val="nil"/>
              <w:bottom w:val="nil"/>
              <w:right w:val="nil"/>
            </w:tcBorders>
            <w:shd w:val="clear" w:color="auto" w:fill="auto"/>
            <w:noWrap/>
            <w:vAlign w:val="bottom"/>
            <w:hideMark/>
          </w:tcPr>
          <w:p w14:paraId="11FED78B"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2005:12 - 2006:2 </w:t>
            </w:r>
          </w:p>
        </w:tc>
        <w:tc>
          <w:tcPr>
            <w:tcW w:w="1111" w:type="pct"/>
            <w:tcBorders>
              <w:top w:val="nil"/>
              <w:left w:val="nil"/>
              <w:bottom w:val="nil"/>
              <w:right w:val="nil"/>
            </w:tcBorders>
            <w:vAlign w:val="bottom"/>
          </w:tcPr>
          <w:p w14:paraId="58D110E2" w14:textId="204915CF"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2019:4 - 2019:5 </w:t>
            </w:r>
          </w:p>
        </w:tc>
        <w:tc>
          <w:tcPr>
            <w:tcW w:w="1245" w:type="pct"/>
            <w:tcBorders>
              <w:top w:val="nil"/>
              <w:left w:val="nil"/>
              <w:bottom w:val="nil"/>
              <w:right w:val="nil"/>
            </w:tcBorders>
            <w:shd w:val="clear" w:color="auto" w:fill="auto"/>
            <w:noWrap/>
            <w:vAlign w:val="bottom"/>
            <w:hideMark/>
          </w:tcPr>
          <w:p w14:paraId="789FAB10" w14:textId="08344894"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2007:5 - 2007:7 </w:t>
            </w:r>
          </w:p>
        </w:tc>
      </w:tr>
      <w:tr w:rsidR="009B4932" w:rsidRPr="000A7F47" w14:paraId="393401FB"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60F903B8"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4C10881A"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2008:5 - 2008:5 </w:t>
            </w:r>
          </w:p>
        </w:tc>
        <w:tc>
          <w:tcPr>
            <w:tcW w:w="1107" w:type="pct"/>
            <w:tcBorders>
              <w:top w:val="nil"/>
              <w:left w:val="nil"/>
              <w:bottom w:val="nil"/>
              <w:right w:val="nil"/>
            </w:tcBorders>
            <w:shd w:val="clear" w:color="auto" w:fill="auto"/>
            <w:noWrap/>
            <w:vAlign w:val="bottom"/>
            <w:hideMark/>
          </w:tcPr>
          <w:p w14:paraId="31423A9E"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2006:4 - 2006:4 </w:t>
            </w:r>
          </w:p>
        </w:tc>
        <w:tc>
          <w:tcPr>
            <w:tcW w:w="1111" w:type="pct"/>
            <w:tcBorders>
              <w:top w:val="nil"/>
              <w:left w:val="nil"/>
              <w:bottom w:val="nil"/>
              <w:right w:val="nil"/>
            </w:tcBorders>
            <w:vAlign w:val="bottom"/>
          </w:tcPr>
          <w:p w14:paraId="7117C566" w14:textId="2ED65BA0"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2019:8 - 2019:8 </w:t>
            </w:r>
          </w:p>
        </w:tc>
        <w:tc>
          <w:tcPr>
            <w:tcW w:w="1245" w:type="pct"/>
            <w:tcBorders>
              <w:top w:val="nil"/>
              <w:left w:val="nil"/>
              <w:bottom w:val="nil"/>
              <w:right w:val="nil"/>
            </w:tcBorders>
            <w:shd w:val="clear" w:color="auto" w:fill="auto"/>
            <w:noWrap/>
            <w:vAlign w:val="bottom"/>
            <w:hideMark/>
          </w:tcPr>
          <w:p w14:paraId="54CF8BD3" w14:textId="67819400"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2007:11 - 2008:4 </w:t>
            </w:r>
          </w:p>
        </w:tc>
      </w:tr>
      <w:tr w:rsidR="009B4932" w:rsidRPr="000A7F47" w14:paraId="49C9338E"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1B3CDC58"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08DDCD80"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2010:4 - 2010:4 </w:t>
            </w:r>
          </w:p>
        </w:tc>
        <w:tc>
          <w:tcPr>
            <w:tcW w:w="1107" w:type="pct"/>
            <w:tcBorders>
              <w:top w:val="nil"/>
              <w:left w:val="nil"/>
              <w:bottom w:val="nil"/>
              <w:right w:val="nil"/>
            </w:tcBorders>
            <w:shd w:val="clear" w:color="auto" w:fill="auto"/>
            <w:noWrap/>
            <w:vAlign w:val="bottom"/>
            <w:hideMark/>
          </w:tcPr>
          <w:p w14:paraId="40215D73"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2006:7 - 2006:7 </w:t>
            </w:r>
          </w:p>
        </w:tc>
        <w:tc>
          <w:tcPr>
            <w:tcW w:w="1111" w:type="pct"/>
            <w:tcBorders>
              <w:top w:val="nil"/>
              <w:left w:val="nil"/>
              <w:bottom w:val="nil"/>
              <w:right w:val="nil"/>
            </w:tcBorders>
            <w:vAlign w:val="bottom"/>
          </w:tcPr>
          <w:p w14:paraId="788A9C19" w14:textId="7085D028"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2019:12 - 2020:1 </w:t>
            </w:r>
          </w:p>
        </w:tc>
        <w:tc>
          <w:tcPr>
            <w:tcW w:w="1245" w:type="pct"/>
            <w:tcBorders>
              <w:top w:val="nil"/>
              <w:left w:val="nil"/>
              <w:bottom w:val="nil"/>
              <w:right w:val="nil"/>
            </w:tcBorders>
            <w:shd w:val="clear" w:color="auto" w:fill="auto"/>
            <w:noWrap/>
            <w:vAlign w:val="bottom"/>
            <w:hideMark/>
          </w:tcPr>
          <w:p w14:paraId="5B0AD639" w14:textId="37FCCE7E"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2008:6 - 2008:11 </w:t>
            </w:r>
          </w:p>
        </w:tc>
      </w:tr>
      <w:tr w:rsidR="009B4932" w:rsidRPr="000A7F47" w14:paraId="1BC51461"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46CBA92D"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0E25EDFB"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2010:12 - 2010:12 </w:t>
            </w:r>
          </w:p>
        </w:tc>
        <w:tc>
          <w:tcPr>
            <w:tcW w:w="1107" w:type="pct"/>
            <w:tcBorders>
              <w:top w:val="nil"/>
              <w:left w:val="nil"/>
              <w:bottom w:val="nil"/>
              <w:right w:val="nil"/>
            </w:tcBorders>
            <w:shd w:val="clear" w:color="auto" w:fill="auto"/>
            <w:noWrap/>
            <w:vAlign w:val="bottom"/>
            <w:hideMark/>
          </w:tcPr>
          <w:p w14:paraId="6027665C"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2006:10 - 2006:11 </w:t>
            </w:r>
          </w:p>
        </w:tc>
        <w:tc>
          <w:tcPr>
            <w:tcW w:w="1111" w:type="pct"/>
            <w:tcBorders>
              <w:top w:val="nil"/>
              <w:left w:val="nil"/>
              <w:bottom w:val="nil"/>
              <w:right w:val="nil"/>
            </w:tcBorders>
            <w:vAlign w:val="bottom"/>
          </w:tcPr>
          <w:p w14:paraId="4BC6B2FC" w14:textId="588F6FDD"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2020:4 - 2020:5 </w:t>
            </w:r>
          </w:p>
        </w:tc>
        <w:tc>
          <w:tcPr>
            <w:tcW w:w="1245" w:type="pct"/>
            <w:tcBorders>
              <w:top w:val="nil"/>
              <w:left w:val="nil"/>
              <w:bottom w:val="nil"/>
              <w:right w:val="nil"/>
            </w:tcBorders>
            <w:shd w:val="clear" w:color="auto" w:fill="auto"/>
            <w:noWrap/>
            <w:vAlign w:val="bottom"/>
            <w:hideMark/>
          </w:tcPr>
          <w:p w14:paraId="628ECFC1" w14:textId="78937399"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2009:2 - 2009:2 </w:t>
            </w:r>
          </w:p>
        </w:tc>
      </w:tr>
      <w:tr w:rsidR="009B4932" w:rsidRPr="000A7F47" w14:paraId="53DBB08B"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72AB8AFA"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39FF8C6F"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2011:4 - 2011:4 </w:t>
            </w:r>
          </w:p>
        </w:tc>
        <w:tc>
          <w:tcPr>
            <w:tcW w:w="1107" w:type="pct"/>
            <w:tcBorders>
              <w:top w:val="nil"/>
              <w:left w:val="nil"/>
              <w:bottom w:val="nil"/>
              <w:right w:val="nil"/>
            </w:tcBorders>
            <w:shd w:val="clear" w:color="auto" w:fill="auto"/>
            <w:noWrap/>
            <w:vAlign w:val="bottom"/>
            <w:hideMark/>
          </w:tcPr>
          <w:p w14:paraId="1BBB62A8"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2007:4 - 2007:4 </w:t>
            </w:r>
          </w:p>
        </w:tc>
        <w:tc>
          <w:tcPr>
            <w:tcW w:w="1111" w:type="pct"/>
            <w:tcBorders>
              <w:top w:val="nil"/>
              <w:left w:val="nil"/>
              <w:bottom w:val="nil"/>
              <w:right w:val="nil"/>
            </w:tcBorders>
            <w:vAlign w:val="bottom"/>
          </w:tcPr>
          <w:p w14:paraId="00B0D630" w14:textId="11C34954"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2020:8 - 2020:8 </w:t>
            </w:r>
          </w:p>
        </w:tc>
        <w:tc>
          <w:tcPr>
            <w:tcW w:w="1245" w:type="pct"/>
            <w:tcBorders>
              <w:top w:val="nil"/>
              <w:left w:val="nil"/>
              <w:bottom w:val="nil"/>
              <w:right w:val="nil"/>
            </w:tcBorders>
            <w:shd w:val="clear" w:color="auto" w:fill="auto"/>
            <w:noWrap/>
            <w:vAlign w:val="bottom"/>
            <w:hideMark/>
          </w:tcPr>
          <w:p w14:paraId="7EC482D2" w14:textId="20CD57DF"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2009:7 - 2009:8 </w:t>
            </w:r>
          </w:p>
        </w:tc>
      </w:tr>
      <w:tr w:rsidR="009B4932" w:rsidRPr="000A7F47" w14:paraId="52B6C774"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2E10A0E2"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4EF8D684"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2011:9 - 2011:9 </w:t>
            </w:r>
          </w:p>
        </w:tc>
        <w:tc>
          <w:tcPr>
            <w:tcW w:w="1107" w:type="pct"/>
            <w:tcBorders>
              <w:top w:val="nil"/>
              <w:left w:val="nil"/>
              <w:bottom w:val="nil"/>
              <w:right w:val="nil"/>
            </w:tcBorders>
            <w:shd w:val="clear" w:color="auto" w:fill="auto"/>
            <w:noWrap/>
            <w:vAlign w:val="bottom"/>
            <w:hideMark/>
          </w:tcPr>
          <w:p w14:paraId="3B4A6CAE"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2007:8 - 2007:8 </w:t>
            </w:r>
          </w:p>
        </w:tc>
        <w:tc>
          <w:tcPr>
            <w:tcW w:w="1111" w:type="pct"/>
            <w:tcBorders>
              <w:top w:val="nil"/>
              <w:left w:val="nil"/>
              <w:bottom w:val="nil"/>
              <w:right w:val="nil"/>
            </w:tcBorders>
            <w:vAlign w:val="bottom"/>
          </w:tcPr>
          <w:p w14:paraId="2A22E525" w14:textId="0BE0DF6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2020:10 - 2020:10 </w:t>
            </w:r>
          </w:p>
        </w:tc>
        <w:tc>
          <w:tcPr>
            <w:tcW w:w="1245" w:type="pct"/>
            <w:tcBorders>
              <w:top w:val="nil"/>
              <w:left w:val="nil"/>
              <w:bottom w:val="nil"/>
              <w:right w:val="nil"/>
            </w:tcBorders>
            <w:shd w:val="clear" w:color="auto" w:fill="auto"/>
            <w:noWrap/>
            <w:vAlign w:val="bottom"/>
            <w:hideMark/>
          </w:tcPr>
          <w:p w14:paraId="31382A2D" w14:textId="1B15B08E"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2010:5 - 2010:5 </w:t>
            </w:r>
          </w:p>
        </w:tc>
      </w:tr>
      <w:tr w:rsidR="009B4932" w:rsidRPr="000A7F47" w14:paraId="01A1DCD6"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490E9571"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4F87E3E5"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2012:6 - 2012:7 </w:t>
            </w:r>
          </w:p>
        </w:tc>
        <w:tc>
          <w:tcPr>
            <w:tcW w:w="1107" w:type="pct"/>
            <w:tcBorders>
              <w:top w:val="nil"/>
              <w:left w:val="nil"/>
              <w:bottom w:val="nil"/>
              <w:right w:val="nil"/>
            </w:tcBorders>
            <w:shd w:val="clear" w:color="auto" w:fill="auto"/>
            <w:noWrap/>
            <w:vAlign w:val="bottom"/>
            <w:hideMark/>
          </w:tcPr>
          <w:p w14:paraId="2B3EABD9"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2007:10 - 2007:10 </w:t>
            </w:r>
          </w:p>
        </w:tc>
        <w:tc>
          <w:tcPr>
            <w:tcW w:w="1111" w:type="pct"/>
            <w:tcBorders>
              <w:top w:val="nil"/>
              <w:left w:val="nil"/>
              <w:bottom w:val="nil"/>
              <w:right w:val="nil"/>
            </w:tcBorders>
            <w:vAlign w:val="bottom"/>
          </w:tcPr>
          <w:p w14:paraId="5DB87B39" w14:textId="4CE73B9F"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2021:2 - 2021:4 </w:t>
            </w:r>
          </w:p>
        </w:tc>
        <w:tc>
          <w:tcPr>
            <w:tcW w:w="1245" w:type="pct"/>
            <w:tcBorders>
              <w:top w:val="nil"/>
              <w:left w:val="nil"/>
              <w:bottom w:val="nil"/>
              <w:right w:val="nil"/>
            </w:tcBorders>
            <w:shd w:val="clear" w:color="auto" w:fill="auto"/>
            <w:noWrap/>
            <w:vAlign w:val="bottom"/>
            <w:hideMark/>
          </w:tcPr>
          <w:p w14:paraId="1E536DA4" w14:textId="17BD8C35"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2010:10 - 2010:11 </w:t>
            </w:r>
          </w:p>
        </w:tc>
      </w:tr>
      <w:tr w:rsidR="009B4932" w:rsidRPr="000A7F47" w14:paraId="572EB642"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39A1B052"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0AF60492"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2012:10 - 2012:10 </w:t>
            </w:r>
          </w:p>
        </w:tc>
        <w:tc>
          <w:tcPr>
            <w:tcW w:w="1107" w:type="pct"/>
            <w:tcBorders>
              <w:top w:val="nil"/>
              <w:left w:val="nil"/>
              <w:bottom w:val="nil"/>
              <w:right w:val="nil"/>
            </w:tcBorders>
            <w:shd w:val="clear" w:color="auto" w:fill="auto"/>
            <w:noWrap/>
            <w:vAlign w:val="bottom"/>
            <w:hideMark/>
          </w:tcPr>
          <w:p w14:paraId="1B1A1E9F"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2008:12 - 2009:1 </w:t>
            </w:r>
          </w:p>
        </w:tc>
        <w:tc>
          <w:tcPr>
            <w:tcW w:w="1111" w:type="pct"/>
            <w:tcBorders>
              <w:top w:val="nil"/>
              <w:left w:val="nil"/>
              <w:bottom w:val="nil"/>
              <w:right w:val="nil"/>
            </w:tcBorders>
            <w:vAlign w:val="bottom"/>
          </w:tcPr>
          <w:p w14:paraId="2C0947C6" w14:textId="5DE72E5B"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2021:7 - 2021:10 </w:t>
            </w:r>
          </w:p>
        </w:tc>
        <w:tc>
          <w:tcPr>
            <w:tcW w:w="1245" w:type="pct"/>
            <w:tcBorders>
              <w:top w:val="nil"/>
              <w:left w:val="nil"/>
              <w:bottom w:val="nil"/>
              <w:right w:val="nil"/>
            </w:tcBorders>
            <w:shd w:val="clear" w:color="auto" w:fill="auto"/>
            <w:noWrap/>
            <w:vAlign w:val="bottom"/>
            <w:hideMark/>
          </w:tcPr>
          <w:p w14:paraId="54157B79" w14:textId="095C111D"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2012:1 - 2012:1 </w:t>
            </w:r>
          </w:p>
        </w:tc>
      </w:tr>
      <w:tr w:rsidR="009B4932" w:rsidRPr="000A7F47" w14:paraId="00C3E08E"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3612F1FF"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0FDA8C52"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2013:4 - 2013:4 </w:t>
            </w:r>
          </w:p>
        </w:tc>
        <w:tc>
          <w:tcPr>
            <w:tcW w:w="1107" w:type="pct"/>
            <w:tcBorders>
              <w:top w:val="nil"/>
              <w:left w:val="nil"/>
              <w:bottom w:val="nil"/>
              <w:right w:val="nil"/>
            </w:tcBorders>
            <w:shd w:val="clear" w:color="auto" w:fill="auto"/>
            <w:noWrap/>
            <w:vAlign w:val="bottom"/>
            <w:hideMark/>
          </w:tcPr>
          <w:p w14:paraId="4E45E09B"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2009:3 - 2009:6 </w:t>
            </w:r>
          </w:p>
        </w:tc>
        <w:tc>
          <w:tcPr>
            <w:tcW w:w="1111" w:type="pct"/>
            <w:tcBorders>
              <w:top w:val="nil"/>
              <w:left w:val="nil"/>
              <w:bottom w:val="nil"/>
              <w:right w:val="nil"/>
            </w:tcBorders>
            <w:vAlign w:val="bottom"/>
          </w:tcPr>
          <w:p w14:paraId="2C9603B1" w14:textId="08EA52F8"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2021:12 - 2021:12 </w:t>
            </w:r>
          </w:p>
        </w:tc>
        <w:tc>
          <w:tcPr>
            <w:tcW w:w="1245" w:type="pct"/>
            <w:tcBorders>
              <w:top w:val="nil"/>
              <w:left w:val="nil"/>
              <w:bottom w:val="nil"/>
              <w:right w:val="nil"/>
            </w:tcBorders>
            <w:shd w:val="clear" w:color="auto" w:fill="auto"/>
            <w:noWrap/>
            <w:vAlign w:val="bottom"/>
            <w:hideMark/>
          </w:tcPr>
          <w:p w14:paraId="69C68AB3" w14:textId="7B134048"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2012:12 - 2012:12 </w:t>
            </w:r>
          </w:p>
        </w:tc>
      </w:tr>
      <w:tr w:rsidR="009B4932" w:rsidRPr="000A7F47" w14:paraId="5A594B80"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758A4DCC"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55D77D60"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2013:8 - 2013:8 </w:t>
            </w:r>
          </w:p>
        </w:tc>
        <w:tc>
          <w:tcPr>
            <w:tcW w:w="1107" w:type="pct"/>
            <w:tcBorders>
              <w:top w:val="nil"/>
              <w:left w:val="nil"/>
              <w:bottom w:val="nil"/>
              <w:right w:val="nil"/>
            </w:tcBorders>
            <w:shd w:val="clear" w:color="auto" w:fill="auto"/>
            <w:noWrap/>
            <w:vAlign w:val="bottom"/>
            <w:hideMark/>
          </w:tcPr>
          <w:p w14:paraId="46F1B167"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2009:9 - 2010:3 </w:t>
            </w:r>
          </w:p>
        </w:tc>
        <w:tc>
          <w:tcPr>
            <w:tcW w:w="1111" w:type="pct"/>
            <w:tcBorders>
              <w:top w:val="nil"/>
              <w:left w:val="nil"/>
              <w:bottom w:val="nil"/>
              <w:right w:val="nil"/>
            </w:tcBorders>
            <w:vAlign w:val="bottom"/>
          </w:tcPr>
          <w:p w14:paraId="4D778A94" w14:textId="207DBBE1"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2022:2 - 2022:2 </w:t>
            </w:r>
          </w:p>
        </w:tc>
        <w:tc>
          <w:tcPr>
            <w:tcW w:w="1245" w:type="pct"/>
            <w:tcBorders>
              <w:top w:val="nil"/>
              <w:left w:val="nil"/>
              <w:bottom w:val="nil"/>
              <w:right w:val="nil"/>
            </w:tcBorders>
            <w:shd w:val="clear" w:color="auto" w:fill="auto"/>
            <w:noWrap/>
            <w:vAlign w:val="bottom"/>
            <w:hideMark/>
          </w:tcPr>
          <w:p w14:paraId="412F9AFA" w14:textId="121868C2"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2013:3 - 2013:3 </w:t>
            </w:r>
          </w:p>
        </w:tc>
      </w:tr>
      <w:tr w:rsidR="009B4932" w:rsidRPr="000A7F47" w14:paraId="25F39E6C"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2EB24FCF"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09AC77AB"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2014:1 - 2014:1 </w:t>
            </w:r>
          </w:p>
        </w:tc>
        <w:tc>
          <w:tcPr>
            <w:tcW w:w="1107" w:type="pct"/>
            <w:tcBorders>
              <w:top w:val="nil"/>
              <w:left w:val="nil"/>
              <w:bottom w:val="nil"/>
              <w:right w:val="nil"/>
            </w:tcBorders>
            <w:shd w:val="clear" w:color="auto" w:fill="auto"/>
            <w:noWrap/>
            <w:vAlign w:val="bottom"/>
            <w:hideMark/>
          </w:tcPr>
          <w:p w14:paraId="387788D4"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2010:6 - 2010:9 </w:t>
            </w:r>
          </w:p>
        </w:tc>
        <w:tc>
          <w:tcPr>
            <w:tcW w:w="1111" w:type="pct"/>
            <w:tcBorders>
              <w:top w:val="nil"/>
              <w:left w:val="nil"/>
              <w:bottom w:val="nil"/>
              <w:right w:val="nil"/>
            </w:tcBorders>
            <w:vAlign w:val="bottom"/>
          </w:tcPr>
          <w:p w14:paraId="372B885F" w14:textId="129D5AAB"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2022:4 - 2022:5 </w:t>
            </w:r>
          </w:p>
        </w:tc>
        <w:tc>
          <w:tcPr>
            <w:tcW w:w="1245" w:type="pct"/>
            <w:tcBorders>
              <w:top w:val="nil"/>
              <w:left w:val="nil"/>
              <w:bottom w:val="nil"/>
              <w:right w:val="nil"/>
            </w:tcBorders>
            <w:shd w:val="clear" w:color="auto" w:fill="auto"/>
            <w:noWrap/>
            <w:vAlign w:val="bottom"/>
            <w:hideMark/>
          </w:tcPr>
          <w:p w14:paraId="5CC8FF36" w14:textId="7E0C4121"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2014:12 - 2015:1 </w:t>
            </w:r>
          </w:p>
        </w:tc>
      </w:tr>
      <w:tr w:rsidR="009B4932" w:rsidRPr="000A7F47" w14:paraId="1A8913E1"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0E116CFB"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4D8E8132"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2014:4 - 2014:4 </w:t>
            </w:r>
          </w:p>
        </w:tc>
        <w:tc>
          <w:tcPr>
            <w:tcW w:w="1107" w:type="pct"/>
            <w:tcBorders>
              <w:top w:val="nil"/>
              <w:left w:val="nil"/>
              <w:bottom w:val="nil"/>
              <w:right w:val="nil"/>
            </w:tcBorders>
            <w:shd w:val="clear" w:color="auto" w:fill="auto"/>
            <w:noWrap/>
            <w:vAlign w:val="bottom"/>
            <w:hideMark/>
          </w:tcPr>
          <w:p w14:paraId="6EFF34DA"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2011:1 - 2011:3 </w:t>
            </w:r>
          </w:p>
        </w:tc>
        <w:tc>
          <w:tcPr>
            <w:tcW w:w="1111" w:type="pct"/>
            <w:tcBorders>
              <w:top w:val="nil"/>
              <w:left w:val="nil"/>
              <w:bottom w:val="nil"/>
              <w:right w:val="nil"/>
            </w:tcBorders>
          </w:tcPr>
          <w:p w14:paraId="6746834B"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4F9B794B" w14:textId="1C1B883E"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2015:3 - 2015:8 </w:t>
            </w:r>
          </w:p>
        </w:tc>
      </w:tr>
      <w:tr w:rsidR="009B4932" w:rsidRPr="000A7F47" w14:paraId="499B7BA4"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17CC6C38"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18604CC7"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2014:8 - 2014:8 </w:t>
            </w:r>
          </w:p>
        </w:tc>
        <w:tc>
          <w:tcPr>
            <w:tcW w:w="1107" w:type="pct"/>
            <w:tcBorders>
              <w:top w:val="nil"/>
              <w:left w:val="nil"/>
              <w:bottom w:val="nil"/>
              <w:right w:val="nil"/>
            </w:tcBorders>
            <w:shd w:val="clear" w:color="auto" w:fill="auto"/>
            <w:noWrap/>
            <w:vAlign w:val="bottom"/>
            <w:hideMark/>
          </w:tcPr>
          <w:p w14:paraId="416E3D1E"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2011:5 - 2011:8 </w:t>
            </w:r>
          </w:p>
        </w:tc>
        <w:tc>
          <w:tcPr>
            <w:tcW w:w="1111" w:type="pct"/>
            <w:tcBorders>
              <w:top w:val="nil"/>
              <w:left w:val="nil"/>
              <w:bottom w:val="nil"/>
              <w:right w:val="nil"/>
            </w:tcBorders>
          </w:tcPr>
          <w:p w14:paraId="6CF45E1F"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3D2B8509" w14:textId="1727CD1C"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2016:1 - 2016:2 </w:t>
            </w:r>
          </w:p>
        </w:tc>
      </w:tr>
      <w:tr w:rsidR="009B4932" w:rsidRPr="000A7F47" w14:paraId="293E4A80"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6CE32675"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61473536"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2015:10 - 2015:11 </w:t>
            </w:r>
          </w:p>
        </w:tc>
        <w:tc>
          <w:tcPr>
            <w:tcW w:w="1107" w:type="pct"/>
            <w:tcBorders>
              <w:top w:val="nil"/>
              <w:left w:val="nil"/>
              <w:bottom w:val="nil"/>
              <w:right w:val="nil"/>
            </w:tcBorders>
            <w:shd w:val="clear" w:color="auto" w:fill="auto"/>
            <w:noWrap/>
            <w:vAlign w:val="bottom"/>
            <w:hideMark/>
          </w:tcPr>
          <w:p w14:paraId="03D1493D"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2011:10 - 2011:12 </w:t>
            </w:r>
          </w:p>
        </w:tc>
        <w:tc>
          <w:tcPr>
            <w:tcW w:w="1111" w:type="pct"/>
            <w:tcBorders>
              <w:top w:val="nil"/>
              <w:left w:val="nil"/>
              <w:bottom w:val="nil"/>
              <w:right w:val="nil"/>
            </w:tcBorders>
          </w:tcPr>
          <w:p w14:paraId="2380860D"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0EF35CDD" w14:textId="75CBB8E1"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2018:2 - 2018:2 </w:t>
            </w:r>
          </w:p>
        </w:tc>
      </w:tr>
      <w:tr w:rsidR="009B4932" w:rsidRPr="000A7F47" w14:paraId="52C8C4A1"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55BCDD86"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498B5364"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2016:7 - 2016:7 </w:t>
            </w:r>
          </w:p>
        </w:tc>
        <w:tc>
          <w:tcPr>
            <w:tcW w:w="1107" w:type="pct"/>
            <w:tcBorders>
              <w:top w:val="nil"/>
              <w:left w:val="nil"/>
              <w:bottom w:val="nil"/>
              <w:right w:val="nil"/>
            </w:tcBorders>
            <w:shd w:val="clear" w:color="auto" w:fill="auto"/>
            <w:noWrap/>
            <w:vAlign w:val="bottom"/>
            <w:hideMark/>
          </w:tcPr>
          <w:p w14:paraId="010B0AE2"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2012:2 - 2012:5 </w:t>
            </w:r>
          </w:p>
        </w:tc>
        <w:tc>
          <w:tcPr>
            <w:tcW w:w="1111" w:type="pct"/>
            <w:tcBorders>
              <w:top w:val="nil"/>
              <w:left w:val="nil"/>
              <w:bottom w:val="nil"/>
              <w:right w:val="nil"/>
            </w:tcBorders>
          </w:tcPr>
          <w:p w14:paraId="5D8DC466"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1FAD34A1" w14:textId="14A3735F"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2018:10 - 2018:10 </w:t>
            </w:r>
          </w:p>
        </w:tc>
      </w:tr>
      <w:tr w:rsidR="009B4932" w:rsidRPr="000A7F47" w14:paraId="0C4FF2E3"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7B2C260B"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67BC7C83"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2016:9 - 2016:9 </w:t>
            </w:r>
          </w:p>
        </w:tc>
        <w:tc>
          <w:tcPr>
            <w:tcW w:w="1107" w:type="pct"/>
            <w:tcBorders>
              <w:top w:val="nil"/>
              <w:left w:val="nil"/>
              <w:bottom w:val="nil"/>
              <w:right w:val="nil"/>
            </w:tcBorders>
            <w:shd w:val="clear" w:color="auto" w:fill="auto"/>
            <w:noWrap/>
            <w:vAlign w:val="bottom"/>
            <w:hideMark/>
          </w:tcPr>
          <w:p w14:paraId="4501ABFE"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2012:8 - 2012:9 </w:t>
            </w:r>
          </w:p>
        </w:tc>
        <w:tc>
          <w:tcPr>
            <w:tcW w:w="1111" w:type="pct"/>
            <w:tcBorders>
              <w:top w:val="nil"/>
              <w:left w:val="nil"/>
              <w:bottom w:val="nil"/>
              <w:right w:val="nil"/>
            </w:tcBorders>
          </w:tcPr>
          <w:p w14:paraId="7D310CF2"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6C301985" w14:textId="22B4626F"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2019:2 - 2019:3 </w:t>
            </w:r>
          </w:p>
        </w:tc>
      </w:tr>
      <w:tr w:rsidR="009B4932" w:rsidRPr="000A7F47" w14:paraId="6D5DB545"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7225B3C5"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2B6E8D72"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2017:3 - 2017:5 </w:t>
            </w:r>
          </w:p>
        </w:tc>
        <w:tc>
          <w:tcPr>
            <w:tcW w:w="1107" w:type="pct"/>
            <w:tcBorders>
              <w:top w:val="nil"/>
              <w:left w:val="nil"/>
              <w:bottom w:val="nil"/>
              <w:right w:val="nil"/>
            </w:tcBorders>
            <w:shd w:val="clear" w:color="auto" w:fill="auto"/>
            <w:noWrap/>
            <w:vAlign w:val="bottom"/>
            <w:hideMark/>
          </w:tcPr>
          <w:p w14:paraId="4B351213"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2012:11 - 2012:11 </w:t>
            </w:r>
          </w:p>
        </w:tc>
        <w:tc>
          <w:tcPr>
            <w:tcW w:w="1111" w:type="pct"/>
            <w:tcBorders>
              <w:top w:val="nil"/>
              <w:left w:val="nil"/>
              <w:bottom w:val="nil"/>
              <w:right w:val="nil"/>
            </w:tcBorders>
          </w:tcPr>
          <w:p w14:paraId="3E3D1560"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4E033D91" w14:textId="5DCA8AD6"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2020:2 - 2020:3 </w:t>
            </w:r>
          </w:p>
        </w:tc>
      </w:tr>
      <w:tr w:rsidR="009B4932" w:rsidRPr="000A7F47" w14:paraId="2C18A401"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3F0010DA"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00934D8C"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2017:8 - 2017:8 </w:t>
            </w:r>
          </w:p>
        </w:tc>
        <w:tc>
          <w:tcPr>
            <w:tcW w:w="1107" w:type="pct"/>
            <w:tcBorders>
              <w:top w:val="nil"/>
              <w:left w:val="nil"/>
              <w:bottom w:val="nil"/>
              <w:right w:val="nil"/>
            </w:tcBorders>
            <w:shd w:val="clear" w:color="auto" w:fill="auto"/>
            <w:noWrap/>
            <w:vAlign w:val="bottom"/>
            <w:hideMark/>
          </w:tcPr>
          <w:p w14:paraId="2E1298E0"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2013:1 - 2013:2 </w:t>
            </w:r>
          </w:p>
        </w:tc>
        <w:tc>
          <w:tcPr>
            <w:tcW w:w="1111" w:type="pct"/>
            <w:tcBorders>
              <w:top w:val="nil"/>
              <w:left w:val="nil"/>
              <w:bottom w:val="nil"/>
              <w:right w:val="nil"/>
            </w:tcBorders>
          </w:tcPr>
          <w:p w14:paraId="1E913C7E"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1A7F98E1" w14:textId="4869D15A"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2020:7 - 2020:7 </w:t>
            </w:r>
          </w:p>
        </w:tc>
      </w:tr>
      <w:tr w:rsidR="009B4932" w:rsidRPr="000A7F47" w14:paraId="6F77FC91"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4858754B"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0498A5EA"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2018:4 - 2018:5 </w:t>
            </w:r>
          </w:p>
        </w:tc>
        <w:tc>
          <w:tcPr>
            <w:tcW w:w="1107" w:type="pct"/>
            <w:tcBorders>
              <w:top w:val="nil"/>
              <w:left w:val="nil"/>
              <w:bottom w:val="nil"/>
              <w:right w:val="nil"/>
            </w:tcBorders>
            <w:shd w:val="clear" w:color="auto" w:fill="auto"/>
            <w:noWrap/>
            <w:vAlign w:val="bottom"/>
            <w:hideMark/>
          </w:tcPr>
          <w:p w14:paraId="6F21ADC3"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2013:5 - 2013:7 </w:t>
            </w:r>
          </w:p>
        </w:tc>
        <w:tc>
          <w:tcPr>
            <w:tcW w:w="1111" w:type="pct"/>
            <w:tcBorders>
              <w:top w:val="nil"/>
              <w:left w:val="nil"/>
              <w:bottom w:val="nil"/>
              <w:right w:val="nil"/>
            </w:tcBorders>
          </w:tcPr>
          <w:p w14:paraId="271AD6B8"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7A141509" w14:textId="44CA7C99"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2020:12 - 2020:12 </w:t>
            </w:r>
          </w:p>
        </w:tc>
      </w:tr>
      <w:tr w:rsidR="009B4932" w:rsidRPr="000A7F47" w14:paraId="17BA2BFB"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69214215"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3BF0FFC3"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2018:11 - 2018:11 </w:t>
            </w:r>
          </w:p>
        </w:tc>
        <w:tc>
          <w:tcPr>
            <w:tcW w:w="1107" w:type="pct"/>
            <w:tcBorders>
              <w:top w:val="nil"/>
              <w:left w:val="nil"/>
              <w:bottom w:val="nil"/>
              <w:right w:val="nil"/>
            </w:tcBorders>
            <w:shd w:val="clear" w:color="auto" w:fill="auto"/>
            <w:noWrap/>
            <w:vAlign w:val="bottom"/>
            <w:hideMark/>
          </w:tcPr>
          <w:p w14:paraId="2790B767"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2013:9 - 2013:12 </w:t>
            </w:r>
          </w:p>
        </w:tc>
        <w:tc>
          <w:tcPr>
            <w:tcW w:w="1111" w:type="pct"/>
            <w:tcBorders>
              <w:top w:val="nil"/>
              <w:left w:val="nil"/>
              <w:bottom w:val="nil"/>
              <w:right w:val="nil"/>
            </w:tcBorders>
          </w:tcPr>
          <w:p w14:paraId="25A97BDD"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75D8C2E8" w14:textId="4BAC223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2022:3 - 2022:3 </w:t>
            </w:r>
          </w:p>
        </w:tc>
      </w:tr>
      <w:tr w:rsidR="009B4932" w:rsidRPr="000A7F47" w14:paraId="34484FE9"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5C35ECA9"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1BC4FD3E"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2019:6 - 2019:7 </w:t>
            </w:r>
          </w:p>
        </w:tc>
        <w:tc>
          <w:tcPr>
            <w:tcW w:w="1107" w:type="pct"/>
            <w:tcBorders>
              <w:top w:val="nil"/>
              <w:left w:val="nil"/>
              <w:bottom w:val="nil"/>
              <w:right w:val="nil"/>
            </w:tcBorders>
            <w:shd w:val="clear" w:color="auto" w:fill="auto"/>
            <w:noWrap/>
            <w:vAlign w:val="bottom"/>
            <w:hideMark/>
          </w:tcPr>
          <w:p w14:paraId="6F33F1F0"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2014:2 - 2014:3 </w:t>
            </w:r>
          </w:p>
        </w:tc>
        <w:tc>
          <w:tcPr>
            <w:tcW w:w="1111" w:type="pct"/>
            <w:tcBorders>
              <w:top w:val="nil"/>
              <w:left w:val="nil"/>
              <w:bottom w:val="nil"/>
              <w:right w:val="nil"/>
            </w:tcBorders>
          </w:tcPr>
          <w:p w14:paraId="3F70621B"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36D569CB" w14:textId="720185A1" w:rsidR="009B4932" w:rsidRPr="000A7F47" w:rsidRDefault="009B4932" w:rsidP="009B4932">
            <w:pPr>
              <w:widowControl/>
              <w:jc w:val="left"/>
              <w:rPr>
                <w:rFonts w:ascii="Calibri" w:eastAsia="Times New Roman" w:hAnsi="Calibri" w:cs="Calibri"/>
                <w:color w:val="000000"/>
                <w:kern w:val="0"/>
                <w:sz w:val="22"/>
                <w:szCs w:val="22"/>
              </w:rPr>
            </w:pPr>
          </w:p>
        </w:tc>
      </w:tr>
      <w:tr w:rsidR="009B4932" w:rsidRPr="000A7F47" w14:paraId="4C6BBF2E"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552E7C34"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735FB992"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2019:9 - 2019:11 </w:t>
            </w:r>
          </w:p>
        </w:tc>
        <w:tc>
          <w:tcPr>
            <w:tcW w:w="1107" w:type="pct"/>
            <w:tcBorders>
              <w:top w:val="nil"/>
              <w:left w:val="nil"/>
              <w:bottom w:val="nil"/>
              <w:right w:val="nil"/>
            </w:tcBorders>
            <w:shd w:val="clear" w:color="auto" w:fill="auto"/>
            <w:noWrap/>
            <w:vAlign w:val="bottom"/>
            <w:hideMark/>
          </w:tcPr>
          <w:p w14:paraId="3A5EF858"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2014:5 - 2014:7 </w:t>
            </w:r>
          </w:p>
        </w:tc>
        <w:tc>
          <w:tcPr>
            <w:tcW w:w="1111" w:type="pct"/>
            <w:tcBorders>
              <w:top w:val="nil"/>
              <w:left w:val="nil"/>
              <w:bottom w:val="nil"/>
              <w:right w:val="nil"/>
            </w:tcBorders>
          </w:tcPr>
          <w:p w14:paraId="57E95475"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686A2DCB" w14:textId="55707FF2" w:rsidR="009B4932" w:rsidRPr="000A7F47" w:rsidRDefault="009B4932" w:rsidP="009B4932">
            <w:pPr>
              <w:widowControl/>
              <w:jc w:val="left"/>
              <w:rPr>
                <w:rFonts w:ascii="Calibri" w:eastAsia="Times New Roman" w:hAnsi="Calibri" w:cs="Calibri"/>
                <w:color w:val="000000"/>
                <w:kern w:val="0"/>
                <w:sz w:val="22"/>
                <w:szCs w:val="22"/>
              </w:rPr>
            </w:pPr>
          </w:p>
        </w:tc>
      </w:tr>
      <w:tr w:rsidR="009B4932" w:rsidRPr="000A7F47" w14:paraId="0B2E7E0C"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5C9219E8"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6BF8BD15"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2020:6 - 2020:6 </w:t>
            </w:r>
          </w:p>
        </w:tc>
        <w:tc>
          <w:tcPr>
            <w:tcW w:w="1107" w:type="pct"/>
            <w:tcBorders>
              <w:top w:val="nil"/>
              <w:left w:val="nil"/>
              <w:bottom w:val="nil"/>
              <w:right w:val="nil"/>
            </w:tcBorders>
            <w:shd w:val="clear" w:color="auto" w:fill="auto"/>
            <w:noWrap/>
            <w:vAlign w:val="bottom"/>
            <w:hideMark/>
          </w:tcPr>
          <w:p w14:paraId="407ACCBC"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2014:9 - 2014:11 </w:t>
            </w:r>
          </w:p>
        </w:tc>
        <w:tc>
          <w:tcPr>
            <w:tcW w:w="1111" w:type="pct"/>
            <w:tcBorders>
              <w:top w:val="nil"/>
              <w:left w:val="nil"/>
              <w:bottom w:val="nil"/>
              <w:right w:val="nil"/>
            </w:tcBorders>
          </w:tcPr>
          <w:p w14:paraId="701CAAA7"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420D16BF" w14:textId="2D59FBC6" w:rsidR="009B4932" w:rsidRPr="000A7F47" w:rsidRDefault="009B4932" w:rsidP="009B4932">
            <w:pPr>
              <w:widowControl/>
              <w:jc w:val="left"/>
              <w:rPr>
                <w:rFonts w:ascii="Calibri" w:eastAsia="Times New Roman" w:hAnsi="Calibri" w:cs="Calibri"/>
                <w:color w:val="000000"/>
                <w:kern w:val="0"/>
                <w:sz w:val="22"/>
                <w:szCs w:val="22"/>
              </w:rPr>
            </w:pPr>
          </w:p>
        </w:tc>
      </w:tr>
      <w:tr w:rsidR="009B4932" w:rsidRPr="000A7F47" w14:paraId="56B4B62F"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11A651FA"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34A39F77"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2020:9 - 2020:9 </w:t>
            </w:r>
          </w:p>
        </w:tc>
        <w:tc>
          <w:tcPr>
            <w:tcW w:w="1107" w:type="pct"/>
            <w:tcBorders>
              <w:top w:val="nil"/>
              <w:left w:val="nil"/>
              <w:bottom w:val="nil"/>
              <w:right w:val="nil"/>
            </w:tcBorders>
            <w:shd w:val="clear" w:color="auto" w:fill="auto"/>
            <w:noWrap/>
            <w:vAlign w:val="bottom"/>
            <w:hideMark/>
          </w:tcPr>
          <w:p w14:paraId="04296230"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2015:2 - 2015:2 </w:t>
            </w:r>
          </w:p>
        </w:tc>
        <w:tc>
          <w:tcPr>
            <w:tcW w:w="1111" w:type="pct"/>
            <w:tcBorders>
              <w:top w:val="nil"/>
              <w:left w:val="nil"/>
              <w:bottom w:val="nil"/>
              <w:right w:val="nil"/>
            </w:tcBorders>
          </w:tcPr>
          <w:p w14:paraId="1EAD1563"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42A889A1" w14:textId="16CBACB3" w:rsidR="009B4932" w:rsidRPr="000A7F47" w:rsidRDefault="009B4932" w:rsidP="009B4932">
            <w:pPr>
              <w:widowControl/>
              <w:jc w:val="left"/>
              <w:rPr>
                <w:rFonts w:ascii="Calibri" w:eastAsia="Times New Roman" w:hAnsi="Calibri" w:cs="Calibri"/>
                <w:color w:val="000000"/>
                <w:kern w:val="0"/>
                <w:sz w:val="22"/>
                <w:szCs w:val="22"/>
              </w:rPr>
            </w:pPr>
          </w:p>
        </w:tc>
      </w:tr>
      <w:tr w:rsidR="009B4932" w:rsidRPr="000A7F47" w14:paraId="2BD54D14"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6DBE1AF6"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311D532B"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2020:11 - 2020:11 </w:t>
            </w:r>
          </w:p>
        </w:tc>
        <w:tc>
          <w:tcPr>
            <w:tcW w:w="1107" w:type="pct"/>
            <w:tcBorders>
              <w:top w:val="nil"/>
              <w:left w:val="nil"/>
              <w:bottom w:val="nil"/>
              <w:right w:val="nil"/>
            </w:tcBorders>
            <w:shd w:val="clear" w:color="auto" w:fill="auto"/>
            <w:noWrap/>
            <w:vAlign w:val="bottom"/>
            <w:hideMark/>
          </w:tcPr>
          <w:p w14:paraId="4D0C5F94"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2015:9 - 2015:9 </w:t>
            </w:r>
          </w:p>
        </w:tc>
        <w:tc>
          <w:tcPr>
            <w:tcW w:w="1111" w:type="pct"/>
            <w:tcBorders>
              <w:top w:val="nil"/>
              <w:left w:val="nil"/>
              <w:bottom w:val="nil"/>
              <w:right w:val="nil"/>
            </w:tcBorders>
          </w:tcPr>
          <w:p w14:paraId="1713FD9C"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6EBB8B20" w14:textId="711A3FF1" w:rsidR="009B4932" w:rsidRPr="000A7F47" w:rsidRDefault="009B4932" w:rsidP="009B4932">
            <w:pPr>
              <w:widowControl/>
              <w:jc w:val="left"/>
              <w:rPr>
                <w:rFonts w:ascii="Calibri" w:eastAsia="Times New Roman" w:hAnsi="Calibri" w:cs="Calibri"/>
                <w:color w:val="000000"/>
                <w:kern w:val="0"/>
                <w:sz w:val="22"/>
                <w:szCs w:val="22"/>
              </w:rPr>
            </w:pPr>
          </w:p>
        </w:tc>
      </w:tr>
      <w:tr w:rsidR="009B4932" w:rsidRPr="000A7F47" w14:paraId="477A99D5"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30FAB4E2"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1CFA19EC"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2021:1 - 2021:1 </w:t>
            </w:r>
          </w:p>
        </w:tc>
        <w:tc>
          <w:tcPr>
            <w:tcW w:w="1107" w:type="pct"/>
            <w:tcBorders>
              <w:top w:val="nil"/>
              <w:left w:val="nil"/>
              <w:bottom w:val="nil"/>
              <w:right w:val="nil"/>
            </w:tcBorders>
            <w:shd w:val="clear" w:color="auto" w:fill="auto"/>
            <w:noWrap/>
            <w:vAlign w:val="bottom"/>
            <w:hideMark/>
          </w:tcPr>
          <w:p w14:paraId="41C121B7"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2015:12 - 2015:12 </w:t>
            </w:r>
          </w:p>
        </w:tc>
        <w:tc>
          <w:tcPr>
            <w:tcW w:w="1111" w:type="pct"/>
            <w:tcBorders>
              <w:top w:val="nil"/>
              <w:left w:val="nil"/>
              <w:bottom w:val="nil"/>
              <w:right w:val="nil"/>
            </w:tcBorders>
          </w:tcPr>
          <w:p w14:paraId="768C21DE"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29373F0D" w14:textId="74F5034A" w:rsidR="009B4932" w:rsidRPr="000A7F47" w:rsidRDefault="009B4932" w:rsidP="009B4932">
            <w:pPr>
              <w:widowControl/>
              <w:jc w:val="left"/>
              <w:rPr>
                <w:rFonts w:ascii="Calibri" w:eastAsia="Times New Roman" w:hAnsi="Calibri" w:cs="Calibri"/>
                <w:color w:val="000000"/>
                <w:kern w:val="0"/>
                <w:sz w:val="22"/>
                <w:szCs w:val="22"/>
              </w:rPr>
            </w:pPr>
          </w:p>
        </w:tc>
      </w:tr>
      <w:tr w:rsidR="009B4932" w:rsidRPr="000A7F47" w14:paraId="02E67274"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456C5E7D"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6971C0A4"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2021:5 - 2021:6 </w:t>
            </w:r>
          </w:p>
        </w:tc>
        <w:tc>
          <w:tcPr>
            <w:tcW w:w="1107" w:type="pct"/>
            <w:tcBorders>
              <w:top w:val="nil"/>
              <w:left w:val="nil"/>
              <w:bottom w:val="nil"/>
              <w:right w:val="nil"/>
            </w:tcBorders>
            <w:shd w:val="clear" w:color="auto" w:fill="auto"/>
            <w:noWrap/>
            <w:vAlign w:val="bottom"/>
            <w:hideMark/>
          </w:tcPr>
          <w:p w14:paraId="4BF84E9C"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2016:3 - 2016:6 </w:t>
            </w:r>
          </w:p>
        </w:tc>
        <w:tc>
          <w:tcPr>
            <w:tcW w:w="1111" w:type="pct"/>
            <w:tcBorders>
              <w:top w:val="nil"/>
              <w:left w:val="nil"/>
              <w:bottom w:val="nil"/>
              <w:right w:val="nil"/>
            </w:tcBorders>
          </w:tcPr>
          <w:p w14:paraId="017F8E0C"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0FEC9A41" w14:textId="78FC48BE" w:rsidR="009B4932" w:rsidRPr="000A7F47" w:rsidRDefault="009B4932" w:rsidP="009B4932">
            <w:pPr>
              <w:widowControl/>
              <w:jc w:val="left"/>
              <w:rPr>
                <w:rFonts w:ascii="Calibri" w:eastAsia="Times New Roman" w:hAnsi="Calibri" w:cs="Calibri"/>
                <w:color w:val="000000"/>
                <w:kern w:val="0"/>
                <w:sz w:val="22"/>
                <w:szCs w:val="22"/>
              </w:rPr>
            </w:pPr>
          </w:p>
        </w:tc>
      </w:tr>
      <w:tr w:rsidR="009B4932" w:rsidRPr="000A7F47" w14:paraId="2661258E" w14:textId="77777777" w:rsidTr="00BF7CBA">
        <w:trPr>
          <w:trHeight w:val="291"/>
        </w:trPr>
        <w:tc>
          <w:tcPr>
            <w:tcW w:w="429" w:type="pct"/>
            <w:vMerge/>
            <w:tcBorders>
              <w:top w:val="nil"/>
              <w:left w:val="nil"/>
              <w:bottom w:val="single" w:sz="4" w:space="0" w:color="000000"/>
              <w:right w:val="single" w:sz="4" w:space="0" w:color="auto"/>
            </w:tcBorders>
            <w:vAlign w:val="center"/>
            <w:hideMark/>
          </w:tcPr>
          <w:p w14:paraId="5DC18084"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nil"/>
              <w:right w:val="nil"/>
            </w:tcBorders>
            <w:shd w:val="clear" w:color="auto" w:fill="auto"/>
            <w:noWrap/>
            <w:vAlign w:val="bottom"/>
            <w:hideMark/>
          </w:tcPr>
          <w:p w14:paraId="636C2085"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2021:11 - 2021:11 </w:t>
            </w:r>
          </w:p>
        </w:tc>
        <w:tc>
          <w:tcPr>
            <w:tcW w:w="1107" w:type="pct"/>
            <w:tcBorders>
              <w:top w:val="nil"/>
              <w:left w:val="nil"/>
              <w:bottom w:val="nil"/>
              <w:right w:val="nil"/>
            </w:tcBorders>
            <w:shd w:val="clear" w:color="auto" w:fill="auto"/>
            <w:noWrap/>
            <w:vAlign w:val="bottom"/>
            <w:hideMark/>
          </w:tcPr>
          <w:p w14:paraId="4628739F"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2016:8 - 2016:8 </w:t>
            </w:r>
          </w:p>
        </w:tc>
        <w:tc>
          <w:tcPr>
            <w:tcW w:w="1111" w:type="pct"/>
            <w:tcBorders>
              <w:top w:val="nil"/>
              <w:left w:val="nil"/>
              <w:bottom w:val="nil"/>
              <w:right w:val="nil"/>
            </w:tcBorders>
          </w:tcPr>
          <w:p w14:paraId="62F0F146"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nil"/>
              <w:right w:val="nil"/>
            </w:tcBorders>
            <w:shd w:val="clear" w:color="auto" w:fill="auto"/>
            <w:noWrap/>
            <w:vAlign w:val="bottom"/>
            <w:hideMark/>
          </w:tcPr>
          <w:p w14:paraId="18E8646B" w14:textId="157920ED" w:rsidR="009B4932" w:rsidRPr="000A7F47" w:rsidRDefault="009B4932" w:rsidP="009B4932">
            <w:pPr>
              <w:widowControl/>
              <w:jc w:val="left"/>
              <w:rPr>
                <w:rFonts w:ascii="Calibri" w:eastAsia="Times New Roman" w:hAnsi="Calibri" w:cs="Calibri"/>
                <w:color w:val="000000"/>
                <w:kern w:val="0"/>
                <w:sz w:val="22"/>
                <w:szCs w:val="22"/>
              </w:rPr>
            </w:pPr>
          </w:p>
        </w:tc>
      </w:tr>
      <w:tr w:rsidR="009B4932" w:rsidRPr="000A7F47" w14:paraId="6BC649CA" w14:textId="77777777" w:rsidTr="00BF7CBA">
        <w:trPr>
          <w:trHeight w:val="86"/>
        </w:trPr>
        <w:tc>
          <w:tcPr>
            <w:tcW w:w="429" w:type="pct"/>
            <w:vMerge/>
            <w:tcBorders>
              <w:top w:val="nil"/>
              <w:left w:val="nil"/>
              <w:bottom w:val="single" w:sz="4" w:space="0" w:color="auto"/>
              <w:right w:val="single" w:sz="4" w:space="0" w:color="auto"/>
            </w:tcBorders>
            <w:vAlign w:val="center"/>
            <w:hideMark/>
          </w:tcPr>
          <w:p w14:paraId="77EA7367"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107" w:type="pct"/>
            <w:tcBorders>
              <w:top w:val="nil"/>
              <w:left w:val="nil"/>
              <w:bottom w:val="single" w:sz="4" w:space="0" w:color="auto"/>
              <w:right w:val="nil"/>
            </w:tcBorders>
            <w:shd w:val="clear" w:color="auto" w:fill="auto"/>
            <w:noWrap/>
            <w:vAlign w:val="bottom"/>
            <w:hideMark/>
          </w:tcPr>
          <w:p w14:paraId="785A26CF"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2022:1 - 2022:1 </w:t>
            </w:r>
          </w:p>
        </w:tc>
        <w:tc>
          <w:tcPr>
            <w:tcW w:w="1107" w:type="pct"/>
            <w:tcBorders>
              <w:top w:val="nil"/>
              <w:left w:val="nil"/>
              <w:bottom w:val="single" w:sz="4" w:space="0" w:color="auto"/>
              <w:right w:val="nil"/>
            </w:tcBorders>
            <w:shd w:val="clear" w:color="auto" w:fill="auto"/>
            <w:noWrap/>
            <w:vAlign w:val="bottom"/>
            <w:hideMark/>
          </w:tcPr>
          <w:p w14:paraId="358FBEB9" w14:textId="77777777" w:rsidR="009B4932" w:rsidRPr="000A7F47" w:rsidRDefault="009B4932" w:rsidP="009B4932">
            <w:pPr>
              <w:widowControl/>
              <w:jc w:val="left"/>
              <w:rPr>
                <w:rFonts w:ascii="Calibri" w:eastAsia="Times New Roman" w:hAnsi="Calibri" w:cs="Calibri"/>
                <w:color w:val="000000"/>
                <w:kern w:val="0"/>
                <w:sz w:val="22"/>
                <w:szCs w:val="22"/>
              </w:rPr>
            </w:pPr>
            <w:r w:rsidRPr="000A7F47">
              <w:rPr>
                <w:rFonts w:ascii="Calibri" w:eastAsia="Times New Roman" w:hAnsi="Calibri" w:cs="Calibri"/>
                <w:color w:val="000000"/>
                <w:kern w:val="0"/>
                <w:sz w:val="22"/>
                <w:szCs w:val="22"/>
              </w:rPr>
              <w:t xml:space="preserve">2016:10 - 2017:2 </w:t>
            </w:r>
          </w:p>
        </w:tc>
        <w:tc>
          <w:tcPr>
            <w:tcW w:w="1111" w:type="pct"/>
            <w:tcBorders>
              <w:top w:val="nil"/>
              <w:left w:val="nil"/>
              <w:bottom w:val="single" w:sz="4" w:space="0" w:color="auto"/>
              <w:right w:val="nil"/>
            </w:tcBorders>
          </w:tcPr>
          <w:p w14:paraId="4BD372FA" w14:textId="77777777" w:rsidR="009B4932" w:rsidRPr="000A7F47" w:rsidRDefault="009B4932" w:rsidP="009B4932">
            <w:pPr>
              <w:widowControl/>
              <w:jc w:val="left"/>
              <w:rPr>
                <w:rFonts w:ascii="Calibri" w:eastAsia="Times New Roman" w:hAnsi="Calibri" w:cs="Calibri"/>
                <w:color w:val="000000"/>
                <w:kern w:val="0"/>
                <w:sz w:val="22"/>
                <w:szCs w:val="22"/>
              </w:rPr>
            </w:pPr>
          </w:p>
        </w:tc>
        <w:tc>
          <w:tcPr>
            <w:tcW w:w="1245" w:type="pct"/>
            <w:tcBorders>
              <w:top w:val="nil"/>
              <w:left w:val="nil"/>
              <w:bottom w:val="single" w:sz="4" w:space="0" w:color="auto"/>
              <w:right w:val="nil"/>
            </w:tcBorders>
            <w:shd w:val="clear" w:color="auto" w:fill="auto"/>
            <w:noWrap/>
            <w:vAlign w:val="bottom"/>
            <w:hideMark/>
          </w:tcPr>
          <w:p w14:paraId="66948BDB" w14:textId="5064F337" w:rsidR="009B4932" w:rsidRPr="000A7F47" w:rsidRDefault="009B4932" w:rsidP="009B4932">
            <w:pPr>
              <w:widowControl/>
              <w:jc w:val="left"/>
              <w:rPr>
                <w:rFonts w:ascii="Calibri" w:eastAsia="Times New Roman" w:hAnsi="Calibri" w:cs="Calibri"/>
                <w:color w:val="000000"/>
                <w:kern w:val="0"/>
                <w:sz w:val="22"/>
                <w:szCs w:val="22"/>
              </w:rPr>
            </w:pPr>
          </w:p>
        </w:tc>
      </w:tr>
    </w:tbl>
    <w:p w14:paraId="10346876" w14:textId="4F326520" w:rsidR="00613587" w:rsidRPr="007C5AAC" w:rsidRDefault="009B787A" w:rsidP="007C5AAC">
      <w:pPr>
        <w:spacing w:before="240" w:after="120" w:line="360" w:lineRule="auto"/>
        <w:ind w:firstLine="480"/>
        <w:rPr>
          <w:rFonts w:ascii="宋体" w:hAnsi="宋体"/>
          <w:sz w:val="24"/>
        </w:rPr>
      </w:pPr>
      <w:r w:rsidRPr="009B787A">
        <w:rPr>
          <w:rFonts w:ascii="宋体" w:hAnsi="宋体"/>
          <w:sz w:val="24"/>
        </w:rPr>
        <w:t>进一步考察</w:t>
      </w:r>
      <w:r w:rsidR="00010670">
        <w:rPr>
          <w:rFonts w:ascii="宋体" w:hAnsi="宋体" w:hint="eastAsia"/>
          <w:sz w:val="24"/>
        </w:rPr>
        <w:t>经济政策不确定性的</w:t>
      </w:r>
      <w:r w:rsidRPr="009B787A">
        <w:rPr>
          <w:rFonts w:ascii="宋体" w:hAnsi="宋体"/>
          <w:sz w:val="24"/>
        </w:rPr>
        <w:t>波动对</w:t>
      </w:r>
      <w:r w:rsidR="00010670">
        <w:rPr>
          <w:rFonts w:ascii="宋体" w:hAnsi="宋体" w:hint="eastAsia"/>
          <w:sz w:val="24"/>
        </w:rPr>
        <w:t>股市状态</w:t>
      </w:r>
      <w:r w:rsidRPr="009B787A">
        <w:rPr>
          <w:rFonts w:ascii="宋体" w:hAnsi="宋体"/>
          <w:sz w:val="24"/>
        </w:rPr>
        <w:t>的区制状态转换概率矩阵及其特性，结果如表</w:t>
      </w:r>
      <w:r w:rsidR="00010670">
        <w:rPr>
          <w:rFonts w:ascii="宋体" w:hAnsi="宋体"/>
          <w:sz w:val="24"/>
        </w:rPr>
        <w:t>6</w:t>
      </w:r>
      <w:r w:rsidRPr="009B787A">
        <w:rPr>
          <w:rFonts w:ascii="宋体" w:hAnsi="宋体"/>
          <w:sz w:val="24"/>
        </w:rPr>
        <w:t>、表</w:t>
      </w:r>
      <w:r w:rsidR="00010670">
        <w:rPr>
          <w:rFonts w:ascii="宋体" w:hAnsi="宋体"/>
          <w:sz w:val="24"/>
        </w:rPr>
        <w:t>7</w:t>
      </w:r>
      <w:r w:rsidRPr="009B787A">
        <w:rPr>
          <w:rFonts w:ascii="宋体" w:hAnsi="宋体"/>
          <w:sz w:val="24"/>
        </w:rPr>
        <w:t>所示。</w:t>
      </w:r>
    </w:p>
    <w:p w14:paraId="3BB9816C" w14:textId="52EC1A18" w:rsidR="007C5AAC" w:rsidRPr="007C5AAC" w:rsidRDefault="007C5AAC" w:rsidP="007C5AAC">
      <w:pPr>
        <w:pStyle w:val="Caption"/>
        <w:keepNext/>
        <w:jc w:val="center"/>
        <w:rPr>
          <w:color w:val="auto"/>
        </w:rPr>
      </w:pPr>
      <w:r w:rsidRPr="007C5AAC">
        <w:rPr>
          <w:color w:val="auto"/>
        </w:rPr>
        <w:t xml:space="preserve">Table </w:t>
      </w:r>
      <w:r w:rsidRPr="007C5AAC">
        <w:rPr>
          <w:color w:val="auto"/>
        </w:rPr>
        <w:fldChar w:fldCharType="begin"/>
      </w:r>
      <w:r w:rsidRPr="007C5AAC">
        <w:rPr>
          <w:color w:val="auto"/>
        </w:rPr>
        <w:instrText xml:space="preserve"> SEQ Table \* ARABIC </w:instrText>
      </w:r>
      <w:r w:rsidRPr="007C5AAC">
        <w:rPr>
          <w:color w:val="auto"/>
        </w:rPr>
        <w:fldChar w:fldCharType="separate"/>
      </w:r>
      <w:r>
        <w:rPr>
          <w:noProof/>
          <w:color w:val="auto"/>
        </w:rPr>
        <w:t>8</w:t>
      </w:r>
      <w:r w:rsidRPr="007C5AAC">
        <w:rPr>
          <w:color w:val="auto"/>
        </w:rPr>
        <w:fldChar w:fldCharType="end"/>
      </w:r>
      <w:r w:rsidRPr="007C5AAC">
        <w:rPr>
          <w:color w:val="auto"/>
        </w:rPr>
        <w:t xml:space="preserve"> </w:t>
      </w:r>
      <w:r w:rsidRPr="007C5AAC">
        <w:rPr>
          <w:rFonts w:hint="eastAsia"/>
          <w:color w:val="auto"/>
        </w:rPr>
        <w:t>MSIH(3)-VAR(3)</w:t>
      </w:r>
      <w:r w:rsidRPr="007C5AAC">
        <w:rPr>
          <w:rFonts w:hint="eastAsia"/>
          <w:color w:val="auto"/>
        </w:rPr>
        <w:t>区制概率转移</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074"/>
        <w:gridCol w:w="2074"/>
        <w:gridCol w:w="2074"/>
        <w:gridCol w:w="2074"/>
      </w:tblGrid>
      <w:tr w:rsidR="00010670" w:rsidRPr="00EA6975" w14:paraId="62F82F80" w14:textId="77777777" w:rsidTr="00EA6975">
        <w:tc>
          <w:tcPr>
            <w:tcW w:w="2074" w:type="dxa"/>
            <w:tcBorders>
              <w:bottom w:val="single" w:sz="4" w:space="0" w:color="auto"/>
              <w:right w:val="nil"/>
            </w:tcBorders>
            <w:vAlign w:val="center"/>
          </w:tcPr>
          <w:p w14:paraId="24A96473" w14:textId="77777777" w:rsidR="00010670" w:rsidRPr="00EA6975" w:rsidRDefault="00010670" w:rsidP="00EA6975">
            <w:pPr>
              <w:widowControl/>
              <w:jc w:val="left"/>
              <w:rPr>
                <w:rFonts w:ascii="Calibri" w:eastAsia="Times New Roman" w:hAnsi="Calibri" w:cs="Calibri"/>
                <w:color w:val="000000"/>
                <w:sz w:val="22"/>
                <w:szCs w:val="22"/>
              </w:rPr>
            </w:pPr>
          </w:p>
        </w:tc>
        <w:tc>
          <w:tcPr>
            <w:tcW w:w="2074" w:type="dxa"/>
            <w:tcBorders>
              <w:left w:val="nil"/>
              <w:bottom w:val="single" w:sz="4" w:space="0" w:color="auto"/>
              <w:right w:val="nil"/>
            </w:tcBorders>
            <w:vAlign w:val="center"/>
          </w:tcPr>
          <w:p w14:paraId="117F5F34" w14:textId="727A10B8" w:rsidR="00010670" w:rsidRPr="00EA6975" w:rsidRDefault="00010670" w:rsidP="00EA6975">
            <w:pPr>
              <w:widowControl/>
              <w:jc w:val="left"/>
              <w:rPr>
                <w:rFonts w:ascii="Calibri" w:eastAsia="Times New Roman" w:hAnsi="Calibri" w:cs="Calibri"/>
                <w:color w:val="000000"/>
                <w:sz w:val="22"/>
                <w:szCs w:val="22"/>
              </w:rPr>
            </w:pPr>
            <w:r w:rsidRPr="00EA6975">
              <w:rPr>
                <w:rFonts w:ascii="Calibri" w:eastAsia="Times New Roman" w:hAnsi="Calibri" w:cs="Calibri" w:hint="eastAsia"/>
                <w:color w:val="000000"/>
                <w:sz w:val="22"/>
                <w:szCs w:val="22"/>
              </w:rPr>
              <w:t>Regime</w:t>
            </w:r>
            <w:r w:rsidRPr="00EA6975">
              <w:rPr>
                <w:rFonts w:ascii="Calibri" w:eastAsia="Times New Roman" w:hAnsi="Calibri" w:cs="Calibri"/>
                <w:color w:val="000000"/>
                <w:sz w:val="22"/>
                <w:szCs w:val="22"/>
              </w:rPr>
              <w:t>1</w:t>
            </w:r>
          </w:p>
        </w:tc>
        <w:tc>
          <w:tcPr>
            <w:tcW w:w="2074" w:type="dxa"/>
            <w:tcBorders>
              <w:left w:val="nil"/>
              <w:bottom w:val="single" w:sz="4" w:space="0" w:color="auto"/>
              <w:right w:val="nil"/>
            </w:tcBorders>
            <w:vAlign w:val="center"/>
          </w:tcPr>
          <w:p w14:paraId="5E74160C" w14:textId="712ADAAA" w:rsidR="00010670" w:rsidRPr="00EA6975" w:rsidRDefault="00010670" w:rsidP="00EA6975">
            <w:pPr>
              <w:widowControl/>
              <w:jc w:val="left"/>
              <w:rPr>
                <w:rFonts w:ascii="Calibri" w:eastAsia="Times New Roman" w:hAnsi="Calibri" w:cs="Calibri"/>
                <w:color w:val="000000"/>
                <w:sz w:val="22"/>
                <w:szCs w:val="22"/>
              </w:rPr>
            </w:pPr>
            <w:r w:rsidRPr="00EA6975">
              <w:rPr>
                <w:rFonts w:ascii="Calibri" w:eastAsia="Times New Roman" w:hAnsi="Calibri" w:cs="Calibri" w:hint="eastAsia"/>
                <w:color w:val="000000"/>
                <w:sz w:val="22"/>
                <w:szCs w:val="22"/>
              </w:rPr>
              <w:t>Regime</w:t>
            </w:r>
            <w:r w:rsidRPr="00EA6975">
              <w:rPr>
                <w:rFonts w:ascii="Calibri" w:eastAsia="Times New Roman" w:hAnsi="Calibri" w:cs="Calibri"/>
                <w:color w:val="000000"/>
                <w:sz w:val="22"/>
                <w:szCs w:val="22"/>
              </w:rPr>
              <w:t>2</w:t>
            </w:r>
          </w:p>
        </w:tc>
        <w:tc>
          <w:tcPr>
            <w:tcW w:w="2074" w:type="dxa"/>
            <w:tcBorders>
              <w:left w:val="nil"/>
              <w:bottom w:val="single" w:sz="4" w:space="0" w:color="auto"/>
            </w:tcBorders>
            <w:vAlign w:val="center"/>
          </w:tcPr>
          <w:p w14:paraId="267EA121" w14:textId="5217C2EA" w:rsidR="00010670" w:rsidRPr="00EA6975" w:rsidRDefault="00010670" w:rsidP="00EA6975">
            <w:pPr>
              <w:widowControl/>
              <w:jc w:val="left"/>
              <w:rPr>
                <w:rFonts w:ascii="Calibri" w:eastAsia="Times New Roman" w:hAnsi="Calibri" w:cs="Calibri"/>
                <w:color w:val="000000"/>
                <w:sz w:val="22"/>
                <w:szCs w:val="22"/>
              </w:rPr>
            </w:pPr>
            <w:r w:rsidRPr="00EA6975">
              <w:rPr>
                <w:rFonts w:ascii="Calibri" w:eastAsia="Times New Roman" w:hAnsi="Calibri" w:cs="Calibri" w:hint="eastAsia"/>
                <w:color w:val="000000"/>
                <w:sz w:val="22"/>
                <w:szCs w:val="22"/>
              </w:rPr>
              <w:t>Regime</w:t>
            </w:r>
            <w:r w:rsidRPr="00EA6975">
              <w:rPr>
                <w:rFonts w:ascii="Calibri" w:eastAsia="Times New Roman" w:hAnsi="Calibri" w:cs="Calibri"/>
                <w:color w:val="000000"/>
                <w:sz w:val="22"/>
                <w:szCs w:val="22"/>
              </w:rPr>
              <w:t>3</w:t>
            </w:r>
          </w:p>
        </w:tc>
      </w:tr>
      <w:tr w:rsidR="00010670" w:rsidRPr="00EA6975" w14:paraId="1DAD546C" w14:textId="77777777" w:rsidTr="00EA6975">
        <w:tc>
          <w:tcPr>
            <w:tcW w:w="2074" w:type="dxa"/>
            <w:tcBorders>
              <w:bottom w:val="nil"/>
              <w:right w:val="nil"/>
            </w:tcBorders>
            <w:vAlign w:val="center"/>
          </w:tcPr>
          <w:p w14:paraId="7C4DE363" w14:textId="5F854BC4" w:rsidR="00010670" w:rsidRPr="00EA6975" w:rsidRDefault="00010670" w:rsidP="00EA6975">
            <w:pPr>
              <w:widowControl/>
              <w:jc w:val="left"/>
              <w:rPr>
                <w:rFonts w:ascii="Calibri" w:eastAsia="Times New Roman" w:hAnsi="Calibri" w:cs="Calibri"/>
                <w:color w:val="000000"/>
                <w:sz w:val="22"/>
                <w:szCs w:val="22"/>
              </w:rPr>
            </w:pPr>
            <w:r w:rsidRPr="00EA6975">
              <w:rPr>
                <w:rFonts w:ascii="Calibri" w:eastAsia="Times New Roman" w:hAnsi="Calibri" w:cs="Calibri" w:hint="eastAsia"/>
                <w:color w:val="000000"/>
                <w:sz w:val="22"/>
                <w:szCs w:val="22"/>
              </w:rPr>
              <w:t>Regime</w:t>
            </w:r>
            <w:r w:rsidRPr="00EA6975">
              <w:rPr>
                <w:rFonts w:ascii="Calibri" w:eastAsia="Times New Roman" w:hAnsi="Calibri" w:cs="Calibri"/>
                <w:color w:val="000000"/>
                <w:sz w:val="22"/>
                <w:szCs w:val="22"/>
              </w:rPr>
              <w:t>1</w:t>
            </w:r>
          </w:p>
        </w:tc>
        <w:tc>
          <w:tcPr>
            <w:tcW w:w="2074" w:type="dxa"/>
            <w:tcBorders>
              <w:left w:val="nil"/>
              <w:bottom w:val="nil"/>
              <w:right w:val="nil"/>
            </w:tcBorders>
            <w:vAlign w:val="center"/>
          </w:tcPr>
          <w:p w14:paraId="531954F5" w14:textId="13C7A660" w:rsidR="00010670" w:rsidRPr="00EA6975" w:rsidRDefault="0026662C" w:rsidP="00EA6975">
            <w:pPr>
              <w:widowControl/>
              <w:jc w:val="left"/>
              <w:rPr>
                <w:rFonts w:ascii="Calibri" w:eastAsia="Times New Roman" w:hAnsi="Calibri" w:cs="Calibri"/>
                <w:color w:val="000000"/>
                <w:sz w:val="22"/>
                <w:szCs w:val="22"/>
              </w:rPr>
            </w:pPr>
            <w:r w:rsidRPr="0026662C">
              <w:rPr>
                <w:rFonts w:ascii="Calibri" w:eastAsia="Times New Roman" w:hAnsi="Calibri" w:cs="Calibri"/>
                <w:color w:val="000000"/>
                <w:sz w:val="22"/>
                <w:szCs w:val="22"/>
              </w:rPr>
              <w:t>0.8499</w:t>
            </w:r>
          </w:p>
        </w:tc>
        <w:tc>
          <w:tcPr>
            <w:tcW w:w="2074" w:type="dxa"/>
            <w:tcBorders>
              <w:left w:val="nil"/>
              <w:bottom w:val="nil"/>
              <w:right w:val="nil"/>
            </w:tcBorders>
            <w:vAlign w:val="center"/>
          </w:tcPr>
          <w:p w14:paraId="0DDD2EEC" w14:textId="193A4824" w:rsidR="00010670" w:rsidRPr="00EA6975" w:rsidRDefault="0026662C" w:rsidP="00EA6975">
            <w:pPr>
              <w:widowControl/>
              <w:jc w:val="left"/>
              <w:rPr>
                <w:rFonts w:ascii="Calibri" w:eastAsia="Times New Roman" w:hAnsi="Calibri" w:cs="Calibri"/>
                <w:color w:val="000000"/>
                <w:sz w:val="22"/>
                <w:szCs w:val="22"/>
              </w:rPr>
            </w:pPr>
            <w:r w:rsidRPr="0026662C">
              <w:rPr>
                <w:rFonts w:ascii="Calibri" w:eastAsia="Times New Roman" w:hAnsi="Calibri" w:cs="Calibri"/>
                <w:color w:val="000000"/>
                <w:sz w:val="22"/>
                <w:szCs w:val="22"/>
              </w:rPr>
              <w:t>0.1501</w:t>
            </w:r>
          </w:p>
        </w:tc>
        <w:tc>
          <w:tcPr>
            <w:tcW w:w="2074" w:type="dxa"/>
            <w:tcBorders>
              <w:left w:val="nil"/>
              <w:bottom w:val="nil"/>
            </w:tcBorders>
            <w:vAlign w:val="center"/>
          </w:tcPr>
          <w:p w14:paraId="795DC722" w14:textId="47BC9B05" w:rsidR="00010670" w:rsidRPr="00EA6975" w:rsidRDefault="0026662C" w:rsidP="00EA6975">
            <w:pPr>
              <w:widowControl/>
              <w:jc w:val="left"/>
              <w:rPr>
                <w:rFonts w:ascii="Calibri" w:eastAsia="Times New Roman" w:hAnsi="Calibri" w:cs="Calibri"/>
                <w:color w:val="000000"/>
                <w:sz w:val="22"/>
                <w:szCs w:val="22"/>
              </w:rPr>
            </w:pPr>
            <w:r w:rsidRPr="0026662C">
              <w:rPr>
                <w:rFonts w:ascii="Calibri" w:eastAsia="Times New Roman" w:hAnsi="Calibri" w:cs="Calibri"/>
                <w:color w:val="000000"/>
                <w:sz w:val="22"/>
                <w:szCs w:val="22"/>
              </w:rPr>
              <w:t>8.923e-006</w:t>
            </w:r>
          </w:p>
        </w:tc>
      </w:tr>
      <w:tr w:rsidR="00010670" w:rsidRPr="00EA6975" w14:paraId="55C12F9C" w14:textId="77777777" w:rsidTr="00EA6975">
        <w:tc>
          <w:tcPr>
            <w:tcW w:w="2074" w:type="dxa"/>
            <w:tcBorders>
              <w:top w:val="nil"/>
              <w:bottom w:val="nil"/>
              <w:right w:val="nil"/>
            </w:tcBorders>
            <w:vAlign w:val="center"/>
          </w:tcPr>
          <w:p w14:paraId="29AEE1B7" w14:textId="553726EA" w:rsidR="00010670" w:rsidRPr="00EA6975" w:rsidRDefault="00010670" w:rsidP="00EA6975">
            <w:pPr>
              <w:widowControl/>
              <w:jc w:val="left"/>
              <w:rPr>
                <w:rFonts w:ascii="Calibri" w:eastAsia="Times New Roman" w:hAnsi="Calibri" w:cs="Calibri"/>
                <w:color w:val="000000"/>
                <w:sz w:val="22"/>
                <w:szCs w:val="22"/>
              </w:rPr>
            </w:pPr>
            <w:r w:rsidRPr="00EA6975">
              <w:rPr>
                <w:rFonts w:ascii="Calibri" w:eastAsia="Times New Roman" w:hAnsi="Calibri" w:cs="Calibri" w:hint="eastAsia"/>
                <w:color w:val="000000"/>
                <w:sz w:val="22"/>
                <w:szCs w:val="22"/>
              </w:rPr>
              <w:t>Regime</w:t>
            </w:r>
            <w:r w:rsidRPr="00EA6975">
              <w:rPr>
                <w:rFonts w:ascii="Calibri" w:eastAsia="Times New Roman" w:hAnsi="Calibri" w:cs="Calibri"/>
                <w:color w:val="000000"/>
                <w:sz w:val="22"/>
                <w:szCs w:val="22"/>
              </w:rPr>
              <w:t>2</w:t>
            </w:r>
          </w:p>
        </w:tc>
        <w:tc>
          <w:tcPr>
            <w:tcW w:w="2074" w:type="dxa"/>
            <w:tcBorders>
              <w:top w:val="nil"/>
              <w:left w:val="nil"/>
              <w:bottom w:val="nil"/>
              <w:right w:val="nil"/>
            </w:tcBorders>
            <w:vAlign w:val="center"/>
          </w:tcPr>
          <w:p w14:paraId="3515F8C1" w14:textId="0F60E984" w:rsidR="00010670" w:rsidRPr="00EA6975" w:rsidRDefault="0026662C" w:rsidP="00EA6975">
            <w:pPr>
              <w:widowControl/>
              <w:jc w:val="left"/>
              <w:rPr>
                <w:rFonts w:ascii="Calibri" w:eastAsia="Times New Roman" w:hAnsi="Calibri" w:cs="Calibri"/>
                <w:color w:val="000000"/>
                <w:sz w:val="22"/>
                <w:szCs w:val="22"/>
              </w:rPr>
            </w:pPr>
            <w:r w:rsidRPr="0026662C">
              <w:rPr>
                <w:rFonts w:ascii="Calibri" w:eastAsia="Times New Roman" w:hAnsi="Calibri" w:cs="Calibri"/>
                <w:color w:val="000000"/>
                <w:sz w:val="22"/>
                <w:szCs w:val="22"/>
              </w:rPr>
              <w:t>0.03592</w:t>
            </w:r>
          </w:p>
        </w:tc>
        <w:tc>
          <w:tcPr>
            <w:tcW w:w="2074" w:type="dxa"/>
            <w:tcBorders>
              <w:top w:val="nil"/>
              <w:left w:val="nil"/>
              <w:bottom w:val="nil"/>
              <w:right w:val="nil"/>
            </w:tcBorders>
            <w:vAlign w:val="center"/>
          </w:tcPr>
          <w:p w14:paraId="26F4E4B3" w14:textId="49BF6BAE" w:rsidR="00010670" w:rsidRPr="00EA6975" w:rsidRDefault="0026662C" w:rsidP="00EA6975">
            <w:pPr>
              <w:widowControl/>
              <w:jc w:val="left"/>
              <w:rPr>
                <w:rFonts w:ascii="Calibri" w:eastAsia="Times New Roman" w:hAnsi="Calibri" w:cs="Calibri"/>
                <w:color w:val="000000"/>
                <w:sz w:val="22"/>
                <w:szCs w:val="22"/>
              </w:rPr>
            </w:pPr>
            <w:r w:rsidRPr="0026662C">
              <w:rPr>
                <w:rFonts w:ascii="Calibri" w:eastAsia="Times New Roman" w:hAnsi="Calibri" w:cs="Calibri"/>
                <w:color w:val="000000"/>
                <w:sz w:val="22"/>
                <w:szCs w:val="22"/>
              </w:rPr>
              <w:t>0.7967</w:t>
            </w:r>
          </w:p>
        </w:tc>
        <w:tc>
          <w:tcPr>
            <w:tcW w:w="2074" w:type="dxa"/>
            <w:tcBorders>
              <w:top w:val="nil"/>
              <w:left w:val="nil"/>
              <w:bottom w:val="nil"/>
            </w:tcBorders>
            <w:vAlign w:val="center"/>
          </w:tcPr>
          <w:p w14:paraId="1BF65FAD" w14:textId="4BF21707" w:rsidR="00010670" w:rsidRPr="00EA6975" w:rsidRDefault="0026662C" w:rsidP="00EA6975">
            <w:pPr>
              <w:widowControl/>
              <w:jc w:val="left"/>
              <w:rPr>
                <w:rFonts w:ascii="Calibri" w:eastAsia="Times New Roman" w:hAnsi="Calibri" w:cs="Calibri"/>
                <w:color w:val="000000"/>
                <w:sz w:val="22"/>
                <w:szCs w:val="22"/>
              </w:rPr>
            </w:pPr>
            <w:r w:rsidRPr="0026662C">
              <w:rPr>
                <w:rFonts w:ascii="Calibri" w:eastAsia="Times New Roman" w:hAnsi="Calibri" w:cs="Calibri"/>
                <w:color w:val="000000"/>
                <w:sz w:val="22"/>
                <w:szCs w:val="22"/>
              </w:rPr>
              <w:t>0.1674</w:t>
            </w:r>
          </w:p>
        </w:tc>
      </w:tr>
      <w:tr w:rsidR="00010670" w:rsidRPr="00EA6975" w14:paraId="0FC6BAE6" w14:textId="77777777" w:rsidTr="00EA6975">
        <w:tc>
          <w:tcPr>
            <w:tcW w:w="2074" w:type="dxa"/>
            <w:tcBorders>
              <w:top w:val="nil"/>
              <w:bottom w:val="single" w:sz="4" w:space="0" w:color="auto"/>
              <w:right w:val="nil"/>
            </w:tcBorders>
            <w:vAlign w:val="center"/>
          </w:tcPr>
          <w:p w14:paraId="66432A66" w14:textId="50864708" w:rsidR="00010670" w:rsidRPr="00EA6975" w:rsidRDefault="00010670" w:rsidP="00EA6975">
            <w:pPr>
              <w:widowControl/>
              <w:jc w:val="left"/>
              <w:rPr>
                <w:rFonts w:ascii="Calibri" w:eastAsia="Times New Roman" w:hAnsi="Calibri" w:cs="Calibri"/>
                <w:color w:val="000000"/>
                <w:sz w:val="22"/>
                <w:szCs w:val="22"/>
              </w:rPr>
            </w:pPr>
            <w:r w:rsidRPr="00EA6975">
              <w:rPr>
                <w:rFonts w:ascii="Calibri" w:eastAsia="Times New Roman" w:hAnsi="Calibri" w:cs="Calibri" w:hint="eastAsia"/>
                <w:color w:val="000000"/>
                <w:sz w:val="22"/>
                <w:szCs w:val="22"/>
              </w:rPr>
              <w:t>Regime</w:t>
            </w:r>
            <w:r w:rsidRPr="00EA6975">
              <w:rPr>
                <w:rFonts w:ascii="Calibri" w:eastAsia="Times New Roman" w:hAnsi="Calibri" w:cs="Calibri"/>
                <w:color w:val="000000"/>
                <w:sz w:val="22"/>
                <w:szCs w:val="22"/>
              </w:rPr>
              <w:t>3</w:t>
            </w:r>
          </w:p>
        </w:tc>
        <w:tc>
          <w:tcPr>
            <w:tcW w:w="2074" w:type="dxa"/>
            <w:tcBorders>
              <w:top w:val="nil"/>
              <w:left w:val="nil"/>
              <w:bottom w:val="single" w:sz="4" w:space="0" w:color="auto"/>
              <w:right w:val="nil"/>
            </w:tcBorders>
            <w:vAlign w:val="center"/>
          </w:tcPr>
          <w:p w14:paraId="39BE7049" w14:textId="1718CD60" w:rsidR="00010670" w:rsidRPr="00EA6975" w:rsidRDefault="0026662C" w:rsidP="00EA6975">
            <w:pPr>
              <w:widowControl/>
              <w:jc w:val="left"/>
              <w:rPr>
                <w:rFonts w:ascii="Calibri" w:eastAsia="Times New Roman" w:hAnsi="Calibri" w:cs="Calibri"/>
                <w:color w:val="000000"/>
                <w:sz w:val="22"/>
                <w:szCs w:val="22"/>
              </w:rPr>
            </w:pPr>
            <w:r w:rsidRPr="0026662C">
              <w:rPr>
                <w:rFonts w:ascii="Calibri" w:eastAsia="Times New Roman" w:hAnsi="Calibri" w:cs="Calibri"/>
                <w:color w:val="000000"/>
                <w:sz w:val="22"/>
                <w:szCs w:val="22"/>
              </w:rPr>
              <w:t>0.001613</w:t>
            </w:r>
          </w:p>
        </w:tc>
        <w:tc>
          <w:tcPr>
            <w:tcW w:w="2074" w:type="dxa"/>
            <w:tcBorders>
              <w:top w:val="nil"/>
              <w:left w:val="nil"/>
              <w:bottom w:val="single" w:sz="4" w:space="0" w:color="auto"/>
              <w:right w:val="nil"/>
            </w:tcBorders>
            <w:vAlign w:val="center"/>
          </w:tcPr>
          <w:p w14:paraId="59E66334" w14:textId="4B77B5CA" w:rsidR="00010670" w:rsidRPr="00EA6975" w:rsidRDefault="0026662C" w:rsidP="00EA6975">
            <w:pPr>
              <w:widowControl/>
              <w:jc w:val="left"/>
              <w:rPr>
                <w:rFonts w:ascii="Calibri" w:eastAsia="Times New Roman" w:hAnsi="Calibri" w:cs="Calibri"/>
                <w:color w:val="000000"/>
                <w:sz w:val="22"/>
                <w:szCs w:val="22"/>
              </w:rPr>
            </w:pPr>
            <w:r w:rsidRPr="0026662C">
              <w:rPr>
                <w:rFonts w:ascii="Calibri" w:eastAsia="Times New Roman" w:hAnsi="Calibri" w:cs="Calibri"/>
                <w:color w:val="000000"/>
                <w:sz w:val="22"/>
                <w:szCs w:val="22"/>
              </w:rPr>
              <w:t>0.3203</w:t>
            </w:r>
          </w:p>
        </w:tc>
        <w:tc>
          <w:tcPr>
            <w:tcW w:w="2074" w:type="dxa"/>
            <w:tcBorders>
              <w:top w:val="nil"/>
              <w:left w:val="nil"/>
              <w:bottom w:val="single" w:sz="4" w:space="0" w:color="auto"/>
            </w:tcBorders>
            <w:vAlign w:val="center"/>
          </w:tcPr>
          <w:p w14:paraId="7678B50D" w14:textId="716AB155" w:rsidR="00010670" w:rsidRPr="00EA6975" w:rsidRDefault="0026662C" w:rsidP="00EA6975">
            <w:pPr>
              <w:widowControl/>
              <w:jc w:val="left"/>
              <w:rPr>
                <w:rFonts w:ascii="Calibri" w:eastAsia="Times New Roman" w:hAnsi="Calibri" w:cs="Calibri"/>
                <w:color w:val="000000"/>
                <w:sz w:val="22"/>
                <w:szCs w:val="22"/>
              </w:rPr>
            </w:pPr>
            <w:r w:rsidRPr="0026662C">
              <w:rPr>
                <w:rFonts w:ascii="Calibri" w:eastAsia="Times New Roman" w:hAnsi="Calibri" w:cs="Calibri"/>
                <w:color w:val="000000"/>
                <w:sz w:val="22"/>
                <w:szCs w:val="22"/>
              </w:rPr>
              <w:t>0.6781</w:t>
            </w:r>
          </w:p>
        </w:tc>
      </w:tr>
    </w:tbl>
    <w:p w14:paraId="18B39028" w14:textId="77777777" w:rsidR="00010670" w:rsidRPr="00A05DCA" w:rsidRDefault="00010670" w:rsidP="008624E8">
      <w:pPr>
        <w:spacing w:line="360" w:lineRule="auto"/>
        <w:jc w:val="center"/>
        <w:rPr>
          <w:rFonts w:ascii="宋体" w:hAnsi="宋体" w:cs="Calibri"/>
          <w:color w:val="000000"/>
          <w:kern w:val="0"/>
          <w:sz w:val="20"/>
          <w:szCs w:val="20"/>
        </w:rPr>
      </w:pPr>
    </w:p>
    <w:p w14:paraId="6D105F39" w14:textId="37B41DBE" w:rsidR="00034E18" w:rsidRDefault="009B787A" w:rsidP="008624E8">
      <w:pPr>
        <w:spacing w:after="120" w:line="360" w:lineRule="auto"/>
        <w:ind w:firstLine="480"/>
        <w:rPr>
          <w:rFonts w:ascii="宋体" w:hAnsi="宋体"/>
          <w:sz w:val="24"/>
        </w:rPr>
      </w:pPr>
      <w:r w:rsidRPr="009B278F">
        <w:rPr>
          <w:rFonts w:ascii="宋体" w:hAnsi="宋体"/>
          <w:b/>
          <w:bCs/>
          <w:sz w:val="24"/>
        </w:rPr>
        <w:t>首先，在样本区间内，平稳波动的市场运行状态具有较强的持续性，而</w:t>
      </w:r>
      <w:r w:rsidR="00860DAC" w:rsidRPr="009B278F">
        <w:rPr>
          <w:rFonts w:ascii="宋体" w:hAnsi="宋体" w:hint="eastAsia"/>
          <w:b/>
          <w:bCs/>
          <w:sz w:val="24"/>
        </w:rPr>
        <w:t>低、</w:t>
      </w:r>
      <w:r w:rsidRPr="009B278F">
        <w:rPr>
          <w:rFonts w:ascii="宋体" w:hAnsi="宋体"/>
          <w:b/>
          <w:bCs/>
          <w:sz w:val="24"/>
        </w:rPr>
        <w:t>高波动状态持续性</w:t>
      </w:r>
      <w:r w:rsidR="00861DE5">
        <w:rPr>
          <w:rFonts w:ascii="宋体" w:hAnsi="宋体" w:hint="eastAsia"/>
          <w:b/>
          <w:bCs/>
          <w:sz w:val="24"/>
        </w:rPr>
        <w:t>相比于区制1的平稳波动状态</w:t>
      </w:r>
      <w:r w:rsidR="00EC2BDA">
        <w:rPr>
          <w:rFonts w:ascii="宋体" w:hAnsi="宋体" w:hint="eastAsia"/>
          <w:b/>
          <w:bCs/>
          <w:sz w:val="24"/>
        </w:rPr>
        <w:t>较弱</w:t>
      </w:r>
      <w:r w:rsidRPr="009B278F">
        <w:rPr>
          <w:rFonts w:ascii="宋体" w:hAnsi="宋体"/>
          <w:b/>
          <w:bCs/>
          <w:sz w:val="24"/>
        </w:rPr>
        <w:t>。</w:t>
      </w:r>
      <w:r w:rsidRPr="009B787A">
        <w:rPr>
          <w:rFonts w:ascii="宋体" w:hAnsi="宋体"/>
          <w:sz w:val="24"/>
        </w:rPr>
        <w:t>前一时期处于区制1平稳波动，下一时期仍然保持在平稳波动状态的概率为</w:t>
      </w:r>
      <w:r w:rsidR="00EC2BDA">
        <w:rPr>
          <w:rFonts w:ascii="宋体" w:hAnsi="宋体" w:hint="eastAsia"/>
          <w:sz w:val="24"/>
        </w:rPr>
        <w:t>0</w:t>
      </w:r>
      <w:r w:rsidR="00EC2BDA">
        <w:rPr>
          <w:rFonts w:ascii="宋体" w:hAnsi="宋体"/>
          <w:sz w:val="24"/>
        </w:rPr>
        <w:t>.8499</w:t>
      </w:r>
      <w:r w:rsidRPr="009B787A">
        <w:rPr>
          <w:rFonts w:ascii="宋体" w:hAnsi="宋体"/>
          <w:sz w:val="24"/>
        </w:rPr>
        <w:t>，前一时期处于区制2低波动，下一时期仍然保持在低波动状态的概率为</w:t>
      </w:r>
      <w:r w:rsidR="00EC2BDA" w:rsidRPr="002A2F22">
        <w:rPr>
          <w:rFonts w:ascii="宋体" w:hAnsi="宋体"/>
          <w:sz w:val="24"/>
        </w:rPr>
        <w:t>0.7967</w:t>
      </w:r>
      <w:r w:rsidRPr="009B787A">
        <w:rPr>
          <w:rFonts w:ascii="宋体" w:hAnsi="宋体"/>
          <w:sz w:val="24"/>
        </w:rPr>
        <w:t>，而前一时期处于区制3的高波动状态，下一时期仍然保持在高波动状态的概率仅为</w:t>
      </w:r>
      <w:r w:rsidR="00EC2BDA" w:rsidRPr="002A2F22">
        <w:rPr>
          <w:rFonts w:ascii="宋体" w:hAnsi="宋体"/>
          <w:sz w:val="24"/>
        </w:rPr>
        <w:t>0.6781</w:t>
      </w:r>
      <w:r w:rsidR="00FF6FFB">
        <w:rPr>
          <w:rFonts w:ascii="宋体" w:hAnsi="宋体" w:hint="eastAsia"/>
          <w:sz w:val="24"/>
        </w:rPr>
        <w:t>。</w:t>
      </w:r>
      <w:r w:rsidR="00EC2BDA">
        <w:rPr>
          <w:rFonts w:ascii="宋体" w:hAnsi="宋体" w:hint="eastAsia"/>
          <w:sz w:val="24"/>
        </w:rPr>
        <w:t>（区制1</w:t>
      </w:r>
      <w:r w:rsidR="00EC2BDA">
        <w:rPr>
          <w:rFonts w:ascii="宋体" w:hAnsi="宋体"/>
          <w:sz w:val="24"/>
        </w:rPr>
        <w:t>-3</w:t>
      </w:r>
      <w:r w:rsidR="00EC2BDA">
        <w:rPr>
          <w:rFonts w:ascii="宋体" w:hAnsi="宋体" w:hint="eastAsia"/>
          <w:sz w:val="24"/>
        </w:rPr>
        <w:t>保持在原区制的概率分别为0</w:t>
      </w:r>
      <w:r w:rsidR="00EC2BDA">
        <w:rPr>
          <w:rFonts w:ascii="宋体" w:hAnsi="宋体"/>
          <w:sz w:val="24"/>
        </w:rPr>
        <w:t>.8499</w:t>
      </w:r>
      <w:r w:rsidR="00EC2BDA">
        <w:rPr>
          <w:rFonts w:ascii="宋体" w:hAnsi="宋体" w:hint="eastAsia"/>
          <w:sz w:val="24"/>
        </w:rPr>
        <w:t>、0</w:t>
      </w:r>
      <w:r w:rsidR="00EC2BDA">
        <w:rPr>
          <w:rFonts w:ascii="宋体" w:hAnsi="宋体"/>
          <w:sz w:val="24"/>
        </w:rPr>
        <w:t>.7967</w:t>
      </w:r>
      <w:r w:rsidR="00EC2BDA">
        <w:rPr>
          <w:rFonts w:ascii="宋体" w:hAnsi="宋体" w:hint="eastAsia"/>
          <w:sz w:val="24"/>
        </w:rPr>
        <w:t>、0</w:t>
      </w:r>
      <w:r w:rsidR="00EC2BDA">
        <w:rPr>
          <w:rFonts w:ascii="宋体" w:hAnsi="宋体"/>
          <w:sz w:val="24"/>
        </w:rPr>
        <w:t>.6781</w:t>
      </w:r>
      <w:r w:rsidR="00EC2BDA">
        <w:rPr>
          <w:rFonts w:ascii="宋体" w:hAnsi="宋体" w:hint="eastAsia"/>
          <w:sz w:val="24"/>
        </w:rPr>
        <w:t>）</w:t>
      </w:r>
    </w:p>
    <w:p w14:paraId="2002D463" w14:textId="6DCAAA57" w:rsidR="007A76DB" w:rsidRDefault="009B787A" w:rsidP="002D474D">
      <w:pPr>
        <w:spacing w:after="120" w:line="360" w:lineRule="auto"/>
        <w:ind w:firstLine="480"/>
        <w:rPr>
          <w:rFonts w:ascii="宋体" w:hAnsi="宋体"/>
          <w:sz w:val="24"/>
        </w:rPr>
      </w:pPr>
      <w:r w:rsidRPr="00063F48">
        <w:rPr>
          <w:rFonts w:ascii="宋体" w:hAnsi="宋体"/>
          <w:b/>
          <w:bCs/>
          <w:sz w:val="24"/>
        </w:rPr>
        <w:t>其次，</w:t>
      </w:r>
      <w:r w:rsidR="00860DAC" w:rsidRPr="00063F48">
        <w:rPr>
          <w:rFonts w:ascii="宋体" w:hAnsi="宋体" w:hint="eastAsia"/>
          <w:b/>
          <w:bCs/>
          <w:sz w:val="24"/>
        </w:rPr>
        <w:t>经济政策不确定性</w:t>
      </w:r>
      <w:r w:rsidRPr="00063F48">
        <w:rPr>
          <w:rFonts w:ascii="宋体" w:hAnsi="宋体"/>
          <w:b/>
          <w:bCs/>
          <w:sz w:val="24"/>
        </w:rPr>
        <w:t>波动对</w:t>
      </w:r>
      <w:r w:rsidR="00AF6D9E" w:rsidRPr="00063F48">
        <w:rPr>
          <w:rFonts w:ascii="宋体" w:hAnsi="宋体" w:hint="eastAsia"/>
          <w:b/>
          <w:bCs/>
          <w:sz w:val="24"/>
        </w:rPr>
        <w:t>股市</w:t>
      </w:r>
      <w:r w:rsidRPr="00063F48">
        <w:rPr>
          <w:rFonts w:ascii="宋体" w:hAnsi="宋体"/>
          <w:b/>
          <w:bCs/>
          <w:sz w:val="24"/>
        </w:rPr>
        <w:t>影响的区制状态转换具有非对称性。</w:t>
      </w:r>
      <w:r w:rsidR="002D474D" w:rsidRPr="002D474D">
        <w:rPr>
          <w:rFonts w:ascii="宋体" w:hAnsi="宋体" w:hint="eastAsia"/>
          <w:sz w:val="24"/>
        </w:rPr>
        <w:t>从平稳波动状态（区制</w:t>
      </w:r>
      <w:r w:rsidR="002D474D" w:rsidRPr="002D474D">
        <w:rPr>
          <w:rFonts w:ascii="宋体" w:hAnsi="宋体"/>
          <w:sz w:val="24"/>
        </w:rPr>
        <w:t>1</w:t>
      </w:r>
      <w:r w:rsidR="002D474D" w:rsidRPr="002D474D">
        <w:rPr>
          <w:rFonts w:ascii="宋体" w:hAnsi="宋体" w:hint="eastAsia"/>
          <w:sz w:val="24"/>
        </w:rPr>
        <w:t>）转换到低波动状态（区制</w:t>
      </w:r>
      <w:r w:rsidR="002D474D" w:rsidRPr="002D474D">
        <w:rPr>
          <w:rFonts w:ascii="宋体" w:hAnsi="宋体"/>
          <w:sz w:val="24"/>
        </w:rPr>
        <w:t>2</w:t>
      </w:r>
      <w:r w:rsidR="002D474D" w:rsidRPr="002D474D">
        <w:rPr>
          <w:rFonts w:ascii="宋体" w:hAnsi="宋体" w:hint="eastAsia"/>
          <w:sz w:val="24"/>
        </w:rPr>
        <w:t>）的概率为</w:t>
      </w:r>
      <w:r w:rsidR="002D474D" w:rsidRPr="002D474D">
        <w:rPr>
          <w:rFonts w:ascii="宋体" w:hAnsi="宋体"/>
          <w:sz w:val="24"/>
        </w:rPr>
        <w:t>0.1501</w:t>
      </w:r>
      <w:r w:rsidR="002D474D" w:rsidRPr="002D474D">
        <w:rPr>
          <w:rFonts w:ascii="宋体" w:hAnsi="宋体" w:hint="eastAsia"/>
          <w:sz w:val="24"/>
        </w:rPr>
        <w:t>，而从低波动状态（区制</w:t>
      </w:r>
      <w:r w:rsidR="002D474D" w:rsidRPr="002D474D">
        <w:rPr>
          <w:rFonts w:ascii="宋体" w:hAnsi="宋体"/>
          <w:sz w:val="24"/>
        </w:rPr>
        <w:t>2</w:t>
      </w:r>
      <w:r w:rsidR="002D474D" w:rsidRPr="002D474D">
        <w:rPr>
          <w:rFonts w:ascii="宋体" w:hAnsi="宋体" w:hint="eastAsia"/>
          <w:sz w:val="24"/>
        </w:rPr>
        <w:t>）转换到平稳波动状态（区制</w:t>
      </w:r>
      <w:r w:rsidR="002D474D" w:rsidRPr="002D474D">
        <w:rPr>
          <w:rFonts w:ascii="宋体" w:hAnsi="宋体"/>
          <w:sz w:val="24"/>
        </w:rPr>
        <w:t>1</w:t>
      </w:r>
      <w:r w:rsidR="002D474D" w:rsidRPr="002D474D">
        <w:rPr>
          <w:rFonts w:ascii="宋体" w:hAnsi="宋体" w:hint="eastAsia"/>
          <w:sz w:val="24"/>
        </w:rPr>
        <w:t>）的概率为</w:t>
      </w:r>
      <w:r w:rsidR="002D474D" w:rsidRPr="002D474D">
        <w:rPr>
          <w:rFonts w:ascii="宋体" w:hAnsi="宋体"/>
          <w:sz w:val="24"/>
        </w:rPr>
        <w:t>0.03592</w:t>
      </w:r>
      <w:r w:rsidR="002D474D" w:rsidRPr="002D474D">
        <w:rPr>
          <w:rFonts w:ascii="宋体" w:hAnsi="宋体" w:hint="eastAsia"/>
          <w:sz w:val="24"/>
        </w:rPr>
        <w:t>。从平稳波动状态（区制</w:t>
      </w:r>
      <w:r w:rsidR="002D474D" w:rsidRPr="002D474D">
        <w:rPr>
          <w:rFonts w:ascii="宋体" w:hAnsi="宋体"/>
          <w:sz w:val="24"/>
        </w:rPr>
        <w:t>1</w:t>
      </w:r>
      <w:r w:rsidR="002D474D" w:rsidRPr="002D474D">
        <w:rPr>
          <w:rFonts w:ascii="宋体" w:hAnsi="宋体" w:hint="eastAsia"/>
          <w:sz w:val="24"/>
        </w:rPr>
        <w:t>）转换到高波动状态（区制</w:t>
      </w:r>
      <w:r w:rsidR="002D474D" w:rsidRPr="002D474D">
        <w:rPr>
          <w:rFonts w:ascii="宋体" w:hAnsi="宋体"/>
          <w:sz w:val="24"/>
        </w:rPr>
        <w:t>3</w:t>
      </w:r>
      <w:r w:rsidR="002D474D" w:rsidRPr="002D474D">
        <w:rPr>
          <w:rFonts w:ascii="宋体" w:hAnsi="宋体" w:hint="eastAsia"/>
          <w:sz w:val="24"/>
        </w:rPr>
        <w:t>）的概率为</w:t>
      </w:r>
      <w:r w:rsidR="002D474D" w:rsidRPr="002D474D">
        <w:rPr>
          <w:rFonts w:ascii="宋体" w:hAnsi="宋体"/>
          <w:sz w:val="24"/>
        </w:rPr>
        <w:t>0.1031</w:t>
      </w:r>
      <w:r w:rsidR="002D474D" w:rsidRPr="002D474D">
        <w:rPr>
          <w:rFonts w:ascii="宋体" w:hAnsi="宋体" w:hint="eastAsia"/>
          <w:sz w:val="24"/>
        </w:rPr>
        <w:t>，而从高波动状态（区制</w:t>
      </w:r>
      <w:r w:rsidR="002D474D" w:rsidRPr="002D474D">
        <w:rPr>
          <w:rFonts w:ascii="宋体" w:hAnsi="宋体"/>
          <w:sz w:val="24"/>
        </w:rPr>
        <w:t>3</w:t>
      </w:r>
      <w:r w:rsidR="002D474D" w:rsidRPr="002D474D">
        <w:rPr>
          <w:rFonts w:ascii="宋体" w:hAnsi="宋体" w:hint="eastAsia"/>
          <w:sz w:val="24"/>
        </w:rPr>
        <w:t>）转换到平稳波动状态（区制</w:t>
      </w:r>
      <w:r w:rsidR="002D474D" w:rsidRPr="002D474D">
        <w:rPr>
          <w:rFonts w:ascii="宋体" w:hAnsi="宋体"/>
          <w:sz w:val="24"/>
        </w:rPr>
        <w:t>1</w:t>
      </w:r>
      <w:r w:rsidR="002D474D" w:rsidRPr="002D474D">
        <w:rPr>
          <w:rFonts w:ascii="宋体" w:hAnsi="宋体" w:hint="eastAsia"/>
          <w:sz w:val="24"/>
        </w:rPr>
        <w:t>）的概率仅为</w:t>
      </w:r>
      <w:r w:rsidR="002D474D" w:rsidRPr="002D474D">
        <w:rPr>
          <w:rFonts w:ascii="宋体" w:hAnsi="宋体"/>
          <w:sz w:val="24"/>
        </w:rPr>
        <w:t>0.0382</w:t>
      </w:r>
      <w:r w:rsidR="002D474D" w:rsidRPr="002D474D">
        <w:rPr>
          <w:rFonts w:ascii="宋体" w:hAnsi="宋体" w:hint="eastAsia"/>
          <w:sz w:val="24"/>
        </w:rPr>
        <w:t>。从低波动状态（区制</w:t>
      </w:r>
      <w:r w:rsidR="002D474D" w:rsidRPr="002D474D">
        <w:rPr>
          <w:rFonts w:ascii="宋体" w:hAnsi="宋体"/>
          <w:sz w:val="24"/>
        </w:rPr>
        <w:t>2</w:t>
      </w:r>
      <w:r w:rsidR="002D474D" w:rsidRPr="002D474D">
        <w:rPr>
          <w:rFonts w:ascii="宋体" w:hAnsi="宋体" w:hint="eastAsia"/>
          <w:sz w:val="24"/>
        </w:rPr>
        <w:t>）转换到高波动状态（区制</w:t>
      </w:r>
      <w:r w:rsidR="002D474D" w:rsidRPr="002D474D">
        <w:rPr>
          <w:rFonts w:ascii="宋体" w:hAnsi="宋体"/>
          <w:sz w:val="24"/>
        </w:rPr>
        <w:t>3</w:t>
      </w:r>
      <w:r w:rsidR="002D474D" w:rsidRPr="002D474D">
        <w:rPr>
          <w:rFonts w:ascii="宋体" w:hAnsi="宋体" w:hint="eastAsia"/>
          <w:sz w:val="24"/>
        </w:rPr>
        <w:t>）的概率为</w:t>
      </w:r>
      <w:r w:rsidR="002D474D" w:rsidRPr="002D474D">
        <w:rPr>
          <w:rFonts w:ascii="宋体" w:hAnsi="宋体"/>
          <w:sz w:val="24"/>
        </w:rPr>
        <w:t>0.3073</w:t>
      </w:r>
      <w:r w:rsidR="002D474D" w:rsidRPr="002D474D">
        <w:rPr>
          <w:rFonts w:ascii="宋体" w:hAnsi="宋体" w:hint="eastAsia"/>
          <w:sz w:val="24"/>
        </w:rPr>
        <w:t>，而从高波动状态（区制</w:t>
      </w:r>
      <w:r w:rsidR="002D474D" w:rsidRPr="002D474D">
        <w:rPr>
          <w:rFonts w:ascii="宋体" w:hAnsi="宋体"/>
          <w:sz w:val="24"/>
        </w:rPr>
        <w:t>3</w:t>
      </w:r>
      <w:r w:rsidR="002D474D" w:rsidRPr="002D474D">
        <w:rPr>
          <w:rFonts w:ascii="宋体" w:hAnsi="宋体" w:hint="eastAsia"/>
          <w:sz w:val="24"/>
        </w:rPr>
        <w:t>）转换到低波动状态（区制</w:t>
      </w:r>
      <w:r w:rsidR="002D474D" w:rsidRPr="002D474D">
        <w:rPr>
          <w:rFonts w:ascii="宋体" w:hAnsi="宋体"/>
          <w:sz w:val="24"/>
        </w:rPr>
        <w:t>2</w:t>
      </w:r>
      <w:r w:rsidR="002D474D" w:rsidRPr="002D474D">
        <w:rPr>
          <w:rFonts w:ascii="宋体" w:hAnsi="宋体" w:hint="eastAsia"/>
          <w:sz w:val="24"/>
        </w:rPr>
        <w:t>）的概率为</w:t>
      </w:r>
      <w:r w:rsidR="002D474D" w:rsidRPr="002D474D">
        <w:rPr>
          <w:rFonts w:ascii="宋体" w:hAnsi="宋体"/>
          <w:sz w:val="24"/>
        </w:rPr>
        <w:t>0.3896</w:t>
      </w:r>
      <w:r w:rsidR="002D474D" w:rsidRPr="002D474D">
        <w:rPr>
          <w:rFonts w:ascii="宋体" w:hAnsi="宋体" w:hint="eastAsia"/>
          <w:sz w:val="24"/>
        </w:rPr>
        <w:t>。</w:t>
      </w:r>
    </w:p>
    <w:p w14:paraId="1BCCAF5B" w14:textId="497E0027" w:rsidR="003C03AB" w:rsidRPr="007C5AAC" w:rsidRDefault="00EC2BDA" w:rsidP="007C5AAC">
      <w:pPr>
        <w:spacing w:after="120" w:line="360" w:lineRule="auto"/>
        <w:ind w:firstLine="480"/>
        <w:rPr>
          <w:rFonts w:ascii="宋体" w:hAnsi="宋体"/>
          <w:sz w:val="24"/>
        </w:rPr>
      </w:pPr>
      <w:r w:rsidRPr="00EC2BDA">
        <w:rPr>
          <w:rFonts w:ascii="宋体" w:hAnsi="宋体" w:hint="eastAsia"/>
          <w:b/>
          <w:bCs/>
          <w:sz w:val="24"/>
        </w:rPr>
        <w:t>这</w:t>
      </w:r>
      <w:r w:rsidR="009B787A" w:rsidRPr="00EC2BDA">
        <w:rPr>
          <w:rFonts w:ascii="宋体" w:hAnsi="宋体"/>
          <w:b/>
          <w:bCs/>
          <w:sz w:val="24"/>
        </w:rPr>
        <w:t>一结</w:t>
      </w:r>
      <w:r w:rsidR="009B787A" w:rsidRPr="00EA6975">
        <w:rPr>
          <w:rFonts w:ascii="宋体" w:hAnsi="宋体"/>
          <w:b/>
          <w:bCs/>
          <w:sz w:val="24"/>
        </w:rPr>
        <w:t>果表明平稳波动的市场状态比低</w:t>
      </w:r>
      <w:r w:rsidR="00F23D27" w:rsidRPr="00EA6975">
        <w:rPr>
          <w:rFonts w:ascii="宋体" w:hAnsi="宋体" w:hint="eastAsia"/>
          <w:b/>
          <w:bCs/>
          <w:sz w:val="24"/>
        </w:rPr>
        <w:t>、高</w:t>
      </w:r>
      <w:r w:rsidR="009B787A" w:rsidRPr="00EA6975">
        <w:rPr>
          <w:rFonts w:ascii="宋体" w:hAnsi="宋体"/>
          <w:b/>
          <w:bCs/>
          <w:sz w:val="24"/>
        </w:rPr>
        <w:t>波动的市场状态具备更强的持续性，而高波动状态持续性</w:t>
      </w:r>
      <w:r w:rsidR="00312B88">
        <w:rPr>
          <w:rFonts w:ascii="宋体" w:hAnsi="宋体" w:hint="eastAsia"/>
          <w:b/>
          <w:bCs/>
          <w:sz w:val="24"/>
        </w:rPr>
        <w:t>较差</w:t>
      </w:r>
      <w:r w:rsidR="009B787A" w:rsidRPr="00EA6975">
        <w:rPr>
          <w:rFonts w:ascii="宋体" w:hAnsi="宋体"/>
          <w:b/>
          <w:bCs/>
          <w:sz w:val="24"/>
        </w:rPr>
        <w:t>，且</w:t>
      </w:r>
      <w:r w:rsidR="00312B88">
        <w:rPr>
          <w:rFonts w:ascii="宋体" w:hAnsi="宋体" w:hint="eastAsia"/>
          <w:b/>
          <w:bCs/>
          <w:sz w:val="24"/>
        </w:rPr>
        <w:t>由更高波动状态转向低一级波动状态区制的可能性更高</w:t>
      </w:r>
      <w:r w:rsidR="009B787A" w:rsidRPr="00EA6975">
        <w:rPr>
          <w:rFonts w:ascii="宋体" w:hAnsi="宋体"/>
          <w:b/>
          <w:bCs/>
          <w:sz w:val="24"/>
        </w:rPr>
        <w:t>。</w:t>
      </w:r>
      <w:r w:rsidR="009B787A" w:rsidRPr="009B787A">
        <w:rPr>
          <w:rFonts w:ascii="宋体" w:hAnsi="宋体"/>
          <w:sz w:val="24"/>
        </w:rPr>
        <w:t>可能的原因是，当</w:t>
      </w:r>
      <w:r w:rsidR="00F23D27">
        <w:rPr>
          <w:rFonts w:ascii="宋体" w:hAnsi="宋体" w:hint="eastAsia"/>
          <w:sz w:val="24"/>
        </w:rPr>
        <w:t>经济政策不确定性</w:t>
      </w:r>
      <w:r w:rsidR="009B787A" w:rsidRPr="009B787A">
        <w:rPr>
          <w:rFonts w:ascii="宋体" w:hAnsi="宋体"/>
          <w:sz w:val="24"/>
        </w:rPr>
        <w:t>波动较大时，</w:t>
      </w:r>
      <w:r w:rsidR="00F23D27">
        <w:rPr>
          <w:rFonts w:ascii="宋体" w:hAnsi="宋体" w:hint="eastAsia"/>
          <w:sz w:val="24"/>
        </w:rPr>
        <w:t>意味着政府</w:t>
      </w:r>
      <w:r w:rsidR="009B787A" w:rsidRPr="009B787A">
        <w:rPr>
          <w:rFonts w:ascii="宋体" w:hAnsi="宋体"/>
          <w:sz w:val="24"/>
        </w:rPr>
        <w:t>往往会以</w:t>
      </w:r>
      <w:r w:rsidR="00F23D27">
        <w:rPr>
          <w:rFonts w:ascii="宋体" w:hAnsi="宋体" w:hint="eastAsia"/>
          <w:sz w:val="24"/>
        </w:rPr>
        <w:t>维护经济</w:t>
      </w:r>
      <w:r w:rsidR="009B787A" w:rsidRPr="009B787A">
        <w:rPr>
          <w:rFonts w:ascii="宋体" w:hAnsi="宋体"/>
          <w:sz w:val="24"/>
        </w:rPr>
        <w:t>稳定为目标，采取系列管控措施，抑制</w:t>
      </w:r>
      <w:r w:rsidR="00F23D27">
        <w:rPr>
          <w:rFonts w:ascii="宋体" w:hAnsi="宋体" w:hint="eastAsia"/>
          <w:sz w:val="24"/>
        </w:rPr>
        <w:t>经济状态</w:t>
      </w:r>
      <w:r w:rsidR="009B787A" w:rsidRPr="009B787A">
        <w:rPr>
          <w:rFonts w:ascii="宋体" w:hAnsi="宋体"/>
          <w:sz w:val="24"/>
        </w:rPr>
        <w:t>的大幅波动</w:t>
      </w:r>
      <w:r w:rsidR="00B54859">
        <w:rPr>
          <w:rFonts w:ascii="宋体" w:hAnsi="宋体" w:hint="eastAsia"/>
          <w:sz w:val="24"/>
        </w:rPr>
        <w:t>。</w:t>
      </w:r>
    </w:p>
    <w:p w14:paraId="03C1B1B4" w14:textId="14BA0FA2" w:rsidR="007C5AAC" w:rsidRPr="007C5AAC" w:rsidRDefault="007C5AAC" w:rsidP="007C5AAC">
      <w:pPr>
        <w:pStyle w:val="Caption"/>
        <w:keepNext/>
        <w:jc w:val="center"/>
        <w:rPr>
          <w:color w:val="auto"/>
        </w:rPr>
      </w:pPr>
      <w:r w:rsidRPr="007C5AAC">
        <w:rPr>
          <w:color w:val="auto"/>
        </w:rPr>
        <w:t xml:space="preserve">Table </w:t>
      </w:r>
      <w:r w:rsidRPr="007C5AAC">
        <w:rPr>
          <w:color w:val="auto"/>
        </w:rPr>
        <w:fldChar w:fldCharType="begin"/>
      </w:r>
      <w:r w:rsidRPr="007C5AAC">
        <w:rPr>
          <w:color w:val="auto"/>
        </w:rPr>
        <w:instrText xml:space="preserve"> SEQ Table \* ARABIC </w:instrText>
      </w:r>
      <w:r w:rsidRPr="007C5AAC">
        <w:rPr>
          <w:color w:val="auto"/>
        </w:rPr>
        <w:fldChar w:fldCharType="separate"/>
      </w:r>
      <w:r w:rsidRPr="007C5AAC">
        <w:rPr>
          <w:noProof/>
          <w:color w:val="auto"/>
        </w:rPr>
        <w:t>9</w:t>
      </w:r>
      <w:r w:rsidRPr="007C5AAC">
        <w:rPr>
          <w:color w:val="auto"/>
        </w:rPr>
        <w:fldChar w:fldCharType="end"/>
      </w:r>
      <w:r w:rsidRPr="007C5AAC">
        <w:rPr>
          <w:color w:val="auto"/>
        </w:rPr>
        <w:t xml:space="preserve"> </w:t>
      </w:r>
      <w:r w:rsidRPr="007C5AAC">
        <w:rPr>
          <w:rFonts w:hint="eastAsia"/>
          <w:color w:val="auto"/>
        </w:rPr>
        <w:t>区制属性</w:t>
      </w:r>
    </w:p>
    <w:tbl>
      <w:tblPr>
        <w:tblpPr w:leftFromText="180" w:rightFromText="180" w:vertAnchor="text" w:tblpY="-76"/>
        <w:tblW w:w="5054" w:type="pct"/>
        <w:tblLook w:val="04A0" w:firstRow="1" w:lastRow="0" w:firstColumn="1" w:lastColumn="0" w:noHBand="0" w:noVBand="1"/>
      </w:tblPr>
      <w:tblGrid>
        <w:gridCol w:w="1433"/>
        <w:gridCol w:w="2079"/>
        <w:gridCol w:w="2348"/>
        <w:gridCol w:w="2536"/>
      </w:tblGrid>
      <w:tr w:rsidR="00182EFF" w:rsidRPr="000A7F47" w14:paraId="15C44B9A" w14:textId="77777777" w:rsidTr="0034461D">
        <w:trPr>
          <w:trHeight w:val="291"/>
        </w:trPr>
        <w:tc>
          <w:tcPr>
            <w:tcW w:w="853" w:type="pct"/>
            <w:tcBorders>
              <w:top w:val="single" w:sz="4" w:space="0" w:color="auto"/>
              <w:left w:val="nil"/>
            </w:tcBorders>
            <w:vAlign w:val="center"/>
          </w:tcPr>
          <w:p w14:paraId="1B846285" w14:textId="07682A01" w:rsidR="00182EFF" w:rsidRPr="000A7F47" w:rsidRDefault="00182EFF" w:rsidP="00182EFF">
            <w:pPr>
              <w:widowControl/>
              <w:jc w:val="center"/>
              <w:rPr>
                <w:rFonts w:ascii="Calibri" w:eastAsia="Times New Roman" w:hAnsi="Calibri" w:cs="Calibri"/>
                <w:color w:val="000000"/>
                <w:kern w:val="0"/>
                <w:sz w:val="22"/>
                <w:szCs w:val="22"/>
              </w:rPr>
            </w:pPr>
          </w:p>
        </w:tc>
        <w:tc>
          <w:tcPr>
            <w:tcW w:w="1238" w:type="pct"/>
            <w:tcBorders>
              <w:top w:val="single" w:sz="4" w:space="0" w:color="auto"/>
              <w:left w:val="nil"/>
              <w:right w:val="nil"/>
            </w:tcBorders>
            <w:shd w:val="clear" w:color="auto" w:fill="auto"/>
            <w:noWrap/>
            <w:vAlign w:val="center"/>
          </w:tcPr>
          <w:p w14:paraId="40C45259" w14:textId="794036AD" w:rsidR="00182EFF" w:rsidRPr="000A7F47" w:rsidRDefault="00182EFF" w:rsidP="00182EFF">
            <w:pPr>
              <w:widowControl/>
              <w:jc w:val="center"/>
              <w:rPr>
                <w:rFonts w:ascii="Calibri" w:eastAsia="Times New Roman" w:hAnsi="Calibri" w:cs="Calibri"/>
                <w:color w:val="000000"/>
                <w:kern w:val="0"/>
                <w:sz w:val="22"/>
                <w:szCs w:val="22"/>
              </w:rPr>
            </w:pPr>
            <w:r w:rsidRPr="00EA6975">
              <w:rPr>
                <w:rFonts w:ascii="Calibri" w:eastAsia="Times New Roman" w:hAnsi="Calibri" w:cs="Calibri" w:hint="eastAsia"/>
                <w:color w:val="000000"/>
                <w:kern w:val="0"/>
                <w:sz w:val="22"/>
                <w:szCs w:val="22"/>
              </w:rPr>
              <w:t>Regime</w:t>
            </w:r>
            <w:r w:rsidRPr="00EA6975">
              <w:rPr>
                <w:rFonts w:ascii="Calibri" w:eastAsia="Times New Roman" w:hAnsi="Calibri" w:cs="Calibri"/>
                <w:color w:val="000000"/>
                <w:kern w:val="0"/>
                <w:sz w:val="22"/>
                <w:szCs w:val="22"/>
              </w:rPr>
              <w:t>1</w:t>
            </w:r>
          </w:p>
        </w:tc>
        <w:tc>
          <w:tcPr>
            <w:tcW w:w="1398" w:type="pct"/>
            <w:tcBorders>
              <w:top w:val="single" w:sz="4" w:space="0" w:color="auto"/>
              <w:left w:val="nil"/>
              <w:right w:val="nil"/>
            </w:tcBorders>
            <w:shd w:val="clear" w:color="auto" w:fill="auto"/>
            <w:noWrap/>
            <w:vAlign w:val="center"/>
          </w:tcPr>
          <w:p w14:paraId="4697E57E" w14:textId="2F7E84D5" w:rsidR="00182EFF" w:rsidRPr="000A7F47" w:rsidRDefault="00182EFF" w:rsidP="00182EFF">
            <w:pPr>
              <w:widowControl/>
              <w:jc w:val="center"/>
              <w:rPr>
                <w:rFonts w:ascii="Calibri" w:eastAsia="Times New Roman" w:hAnsi="Calibri" w:cs="Calibri"/>
                <w:color w:val="000000"/>
                <w:kern w:val="0"/>
                <w:sz w:val="22"/>
                <w:szCs w:val="22"/>
              </w:rPr>
            </w:pPr>
            <w:r w:rsidRPr="00EA6975">
              <w:rPr>
                <w:rFonts w:ascii="Calibri" w:eastAsia="Times New Roman" w:hAnsi="Calibri" w:cs="Calibri" w:hint="eastAsia"/>
                <w:color w:val="000000"/>
                <w:kern w:val="0"/>
                <w:sz w:val="22"/>
                <w:szCs w:val="22"/>
              </w:rPr>
              <w:t>Regime</w:t>
            </w:r>
            <w:r w:rsidRPr="00EA6975">
              <w:rPr>
                <w:rFonts w:ascii="Calibri" w:eastAsia="Times New Roman" w:hAnsi="Calibri" w:cs="Calibri"/>
                <w:color w:val="000000"/>
                <w:kern w:val="0"/>
                <w:sz w:val="22"/>
                <w:szCs w:val="22"/>
              </w:rPr>
              <w:t>2</w:t>
            </w:r>
          </w:p>
        </w:tc>
        <w:tc>
          <w:tcPr>
            <w:tcW w:w="1510" w:type="pct"/>
            <w:tcBorders>
              <w:top w:val="single" w:sz="4" w:space="0" w:color="auto"/>
              <w:left w:val="nil"/>
              <w:right w:val="nil"/>
            </w:tcBorders>
            <w:shd w:val="clear" w:color="auto" w:fill="auto"/>
            <w:noWrap/>
            <w:vAlign w:val="center"/>
          </w:tcPr>
          <w:p w14:paraId="4C4BDF5A" w14:textId="23BAAE21" w:rsidR="00182EFF" w:rsidRPr="000A7F47" w:rsidRDefault="00182EFF" w:rsidP="00182EFF">
            <w:pPr>
              <w:widowControl/>
              <w:jc w:val="center"/>
              <w:rPr>
                <w:rFonts w:ascii="Calibri" w:eastAsia="Times New Roman" w:hAnsi="Calibri" w:cs="Calibri"/>
                <w:color w:val="000000"/>
                <w:kern w:val="0"/>
                <w:sz w:val="22"/>
                <w:szCs w:val="22"/>
              </w:rPr>
            </w:pPr>
            <w:r w:rsidRPr="00EA6975">
              <w:rPr>
                <w:rFonts w:ascii="Calibri" w:eastAsia="Times New Roman" w:hAnsi="Calibri" w:cs="Calibri" w:hint="eastAsia"/>
                <w:color w:val="000000"/>
                <w:kern w:val="0"/>
                <w:sz w:val="22"/>
                <w:szCs w:val="22"/>
              </w:rPr>
              <w:t>Regime</w:t>
            </w:r>
            <w:r w:rsidRPr="00EA6975">
              <w:rPr>
                <w:rFonts w:ascii="Calibri" w:eastAsia="Times New Roman" w:hAnsi="Calibri" w:cs="Calibri"/>
                <w:color w:val="000000"/>
                <w:kern w:val="0"/>
                <w:sz w:val="22"/>
                <w:szCs w:val="22"/>
              </w:rPr>
              <w:t>3</w:t>
            </w:r>
          </w:p>
        </w:tc>
      </w:tr>
      <w:tr w:rsidR="00182EFF" w:rsidRPr="000A7F47" w14:paraId="5575CB7C" w14:textId="77777777" w:rsidTr="0034461D">
        <w:trPr>
          <w:trHeight w:val="291"/>
        </w:trPr>
        <w:tc>
          <w:tcPr>
            <w:tcW w:w="853" w:type="pct"/>
            <w:tcBorders>
              <w:top w:val="single" w:sz="4" w:space="0" w:color="auto"/>
              <w:left w:val="nil"/>
            </w:tcBorders>
            <w:vAlign w:val="center"/>
          </w:tcPr>
          <w:p w14:paraId="7F4D40FA" w14:textId="6FF8B699" w:rsidR="00182EFF" w:rsidRDefault="00182EFF" w:rsidP="00182EFF">
            <w:pPr>
              <w:widowControl/>
              <w:jc w:val="center"/>
              <w:rPr>
                <w:rFonts w:ascii="宋体" w:hAnsi="宋体" w:cs="宋体"/>
                <w:color w:val="000000"/>
                <w:kern w:val="0"/>
                <w:sz w:val="22"/>
                <w:szCs w:val="22"/>
              </w:rPr>
            </w:pPr>
            <w:r>
              <w:rPr>
                <w:rFonts w:ascii="宋体" w:hAnsi="宋体" w:cs="宋体" w:hint="eastAsia"/>
                <w:color w:val="000000"/>
                <w:kern w:val="0"/>
                <w:sz w:val="22"/>
                <w:szCs w:val="22"/>
              </w:rPr>
              <w:t>样本数</w:t>
            </w:r>
          </w:p>
        </w:tc>
        <w:tc>
          <w:tcPr>
            <w:tcW w:w="1238" w:type="pct"/>
            <w:tcBorders>
              <w:top w:val="single" w:sz="4" w:space="0" w:color="auto"/>
              <w:left w:val="nil"/>
              <w:right w:val="nil"/>
            </w:tcBorders>
            <w:shd w:val="clear" w:color="auto" w:fill="auto"/>
            <w:noWrap/>
            <w:vAlign w:val="bottom"/>
          </w:tcPr>
          <w:p w14:paraId="51C2C3E9" w14:textId="3381EDD0" w:rsidR="00182EFF" w:rsidRPr="0050383D" w:rsidRDefault="00182EFF" w:rsidP="00182EFF">
            <w:pPr>
              <w:widowControl/>
              <w:jc w:val="center"/>
              <w:rPr>
                <w:rFonts w:ascii="Calibri" w:eastAsia="Times New Roman" w:hAnsi="Calibri" w:cs="Calibri"/>
                <w:color w:val="000000"/>
                <w:kern w:val="0"/>
                <w:sz w:val="22"/>
                <w:szCs w:val="22"/>
              </w:rPr>
            </w:pPr>
            <w:r w:rsidRPr="0050383D">
              <w:rPr>
                <w:rFonts w:ascii="Calibri" w:eastAsia="Times New Roman" w:hAnsi="Calibri" w:cs="Calibri"/>
                <w:color w:val="000000"/>
                <w:kern w:val="0"/>
                <w:sz w:val="22"/>
                <w:szCs w:val="22"/>
              </w:rPr>
              <w:t>33.8</w:t>
            </w:r>
          </w:p>
        </w:tc>
        <w:tc>
          <w:tcPr>
            <w:tcW w:w="1398" w:type="pct"/>
            <w:tcBorders>
              <w:top w:val="single" w:sz="4" w:space="0" w:color="auto"/>
              <w:left w:val="nil"/>
              <w:right w:val="nil"/>
            </w:tcBorders>
            <w:shd w:val="clear" w:color="auto" w:fill="auto"/>
            <w:noWrap/>
            <w:vAlign w:val="bottom"/>
          </w:tcPr>
          <w:p w14:paraId="37E29CAF" w14:textId="1A8D2380" w:rsidR="00182EFF" w:rsidRPr="0050383D" w:rsidRDefault="00182EFF" w:rsidP="00182EFF">
            <w:pPr>
              <w:widowControl/>
              <w:jc w:val="center"/>
              <w:rPr>
                <w:rFonts w:ascii="Calibri" w:eastAsia="Times New Roman" w:hAnsi="Calibri" w:cs="Calibri"/>
                <w:color w:val="000000"/>
                <w:kern w:val="0"/>
                <w:sz w:val="22"/>
                <w:szCs w:val="22"/>
              </w:rPr>
            </w:pPr>
            <w:r w:rsidRPr="0050383D">
              <w:rPr>
                <w:rFonts w:ascii="Calibri" w:eastAsia="Times New Roman" w:hAnsi="Calibri" w:cs="Calibri"/>
                <w:color w:val="000000"/>
                <w:kern w:val="0"/>
                <w:sz w:val="22"/>
                <w:szCs w:val="22"/>
              </w:rPr>
              <w:t>122.2</w:t>
            </w:r>
          </w:p>
        </w:tc>
        <w:tc>
          <w:tcPr>
            <w:tcW w:w="1510" w:type="pct"/>
            <w:tcBorders>
              <w:top w:val="single" w:sz="4" w:space="0" w:color="auto"/>
              <w:left w:val="nil"/>
              <w:right w:val="nil"/>
            </w:tcBorders>
            <w:shd w:val="clear" w:color="auto" w:fill="auto"/>
            <w:noWrap/>
            <w:vAlign w:val="bottom"/>
          </w:tcPr>
          <w:p w14:paraId="0BA1B3A7" w14:textId="33979E4C" w:rsidR="00182EFF" w:rsidRPr="0050383D" w:rsidRDefault="00182EFF" w:rsidP="00182EFF">
            <w:pPr>
              <w:widowControl/>
              <w:jc w:val="center"/>
              <w:rPr>
                <w:rFonts w:ascii="Calibri" w:eastAsia="Times New Roman" w:hAnsi="Calibri" w:cs="Calibri"/>
                <w:color w:val="000000"/>
                <w:kern w:val="0"/>
                <w:sz w:val="22"/>
                <w:szCs w:val="22"/>
              </w:rPr>
            </w:pPr>
            <w:r w:rsidRPr="0050383D">
              <w:rPr>
                <w:rFonts w:ascii="Calibri" w:eastAsia="Times New Roman" w:hAnsi="Calibri" w:cs="Calibri"/>
                <w:color w:val="000000"/>
                <w:kern w:val="0"/>
                <w:sz w:val="22"/>
                <w:szCs w:val="22"/>
              </w:rPr>
              <w:t>63.1</w:t>
            </w:r>
          </w:p>
        </w:tc>
      </w:tr>
      <w:tr w:rsidR="00182EFF" w:rsidRPr="000A7F47" w14:paraId="3FB4D850" w14:textId="77777777" w:rsidTr="0034461D">
        <w:trPr>
          <w:trHeight w:val="291"/>
        </w:trPr>
        <w:tc>
          <w:tcPr>
            <w:tcW w:w="853" w:type="pct"/>
            <w:tcBorders>
              <w:left w:val="nil"/>
            </w:tcBorders>
            <w:vAlign w:val="center"/>
          </w:tcPr>
          <w:p w14:paraId="2695067F" w14:textId="77777777" w:rsidR="00182EFF" w:rsidRPr="000A7F47" w:rsidRDefault="00182EFF" w:rsidP="00182EFF">
            <w:pPr>
              <w:widowControl/>
              <w:jc w:val="center"/>
              <w:rPr>
                <w:rFonts w:ascii="Calibri" w:eastAsia="Times New Roman" w:hAnsi="Calibri" w:cs="Calibri"/>
                <w:color w:val="000000"/>
                <w:kern w:val="0"/>
                <w:sz w:val="22"/>
                <w:szCs w:val="22"/>
              </w:rPr>
            </w:pPr>
            <w:r>
              <w:rPr>
                <w:rFonts w:ascii="Calibri" w:hAnsi="Calibri" w:cs="Calibri" w:hint="eastAsia"/>
                <w:color w:val="000000"/>
                <w:kern w:val="0"/>
                <w:sz w:val="22"/>
                <w:szCs w:val="22"/>
              </w:rPr>
              <w:t>概率</w:t>
            </w:r>
          </w:p>
        </w:tc>
        <w:tc>
          <w:tcPr>
            <w:tcW w:w="1238" w:type="pct"/>
            <w:tcBorders>
              <w:top w:val="nil"/>
              <w:left w:val="nil"/>
              <w:bottom w:val="nil"/>
              <w:right w:val="nil"/>
            </w:tcBorders>
            <w:shd w:val="clear" w:color="auto" w:fill="auto"/>
            <w:noWrap/>
            <w:vAlign w:val="bottom"/>
          </w:tcPr>
          <w:p w14:paraId="3E270EC7" w14:textId="77777777" w:rsidR="00182EFF" w:rsidRPr="0050383D" w:rsidRDefault="00182EFF" w:rsidP="00182EFF">
            <w:pPr>
              <w:widowControl/>
              <w:jc w:val="center"/>
              <w:rPr>
                <w:rFonts w:ascii="Calibri" w:eastAsia="Times New Roman" w:hAnsi="Calibri" w:cs="Calibri"/>
                <w:color w:val="000000"/>
                <w:kern w:val="0"/>
                <w:sz w:val="22"/>
                <w:szCs w:val="22"/>
              </w:rPr>
            </w:pPr>
            <w:r w:rsidRPr="0050383D">
              <w:rPr>
                <w:rFonts w:ascii="Calibri" w:eastAsia="Times New Roman" w:hAnsi="Calibri" w:cs="Calibri"/>
                <w:color w:val="000000"/>
                <w:kern w:val="0"/>
                <w:sz w:val="22"/>
                <w:szCs w:val="22"/>
              </w:rPr>
              <w:t>0.1388</w:t>
            </w:r>
          </w:p>
        </w:tc>
        <w:tc>
          <w:tcPr>
            <w:tcW w:w="1398" w:type="pct"/>
            <w:tcBorders>
              <w:top w:val="nil"/>
              <w:left w:val="nil"/>
              <w:bottom w:val="nil"/>
              <w:right w:val="nil"/>
            </w:tcBorders>
            <w:shd w:val="clear" w:color="auto" w:fill="auto"/>
            <w:noWrap/>
            <w:vAlign w:val="bottom"/>
          </w:tcPr>
          <w:p w14:paraId="7B6EBD8F" w14:textId="77777777" w:rsidR="00182EFF" w:rsidRPr="0050383D" w:rsidRDefault="00182EFF" w:rsidP="00182EFF">
            <w:pPr>
              <w:widowControl/>
              <w:jc w:val="center"/>
              <w:rPr>
                <w:rFonts w:ascii="Calibri" w:eastAsia="Times New Roman" w:hAnsi="Calibri" w:cs="Calibri"/>
                <w:color w:val="000000"/>
                <w:kern w:val="0"/>
                <w:sz w:val="22"/>
                <w:szCs w:val="22"/>
              </w:rPr>
            </w:pPr>
            <w:r w:rsidRPr="0050383D">
              <w:rPr>
                <w:rFonts w:ascii="Calibri" w:eastAsia="Times New Roman" w:hAnsi="Calibri" w:cs="Calibri"/>
                <w:color w:val="000000"/>
                <w:kern w:val="0"/>
                <w:sz w:val="22"/>
                <w:szCs w:val="22"/>
              </w:rPr>
              <w:t>0.5666</w:t>
            </w:r>
          </w:p>
        </w:tc>
        <w:tc>
          <w:tcPr>
            <w:tcW w:w="1510" w:type="pct"/>
            <w:tcBorders>
              <w:top w:val="nil"/>
              <w:left w:val="nil"/>
              <w:bottom w:val="nil"/>
              <w:right w:val="nil"/>
            </w:tcBorders>
            <w:shd w:val="clear" w:color="auto" w:fill="auto"/>
            <w:noWrap/>
            <w:vAlign w:val="bottom"/>
          </w:tcPr>
          <w:p w14:paraId="626B0BE9" w14:textId="77777777" w:rsidR="00182EFF" w:rsidRPr="0050383D" w:rsidRDefault="00182EFF" w:rsidP="00182EFF">
            <w:pPr>
              <w:widowControl/>
              <w:jc w:val="center"/>
              <w:rPr>
                <w:rFonts w:ascii="Calibri" w:eastAsia="Times New Roman" w:hAnsi="Calibri" w:cs="Calibri"/>
                <w:color w:val="000000"/>
                <w:kern w:val="0"/>
                <w:sz w:val="22"/>
                <w:szCs w:val="22"/>
              </w:rPr>
            </w:pPr>
            <w:r w:rsidRPr="0050383D">
              <w:rPr>
                <w:rFonts w:ascii="Calibri" w:eastAsia="Times New Roman" w:hAnsi="Calibri" w:cs="Calibri"/>
                <w:color w:val="000000"/>
                <w:kern w:val="0"/>
                <w:sz w:val="22"/>
                <w:szCs w:val="22"/>
              </w:rPr>
              <w:t>0.2946</w:t>
            </w:r>
          </w:p>
        </w:tc>
      </w:tr>
      <w:tr w:rsidR="00182EFF" w:rsidRPr="00EA6975" w14:paraId="1098A6CC" w14:textId="77777777" w:rsidTr="0034461D">
        <w:trPr>
          <w:trHeight w:val="291"/>
        </w:trPr>
        <w:tc>
          <w:tcPr>
            <w:tcW w:w="853" w:type="pct"/>
            <w:tcBorders>
              <w:left w:val="nil"/>
              <w:bottom w:val="single" w:sz="4" w:space="0" w:color="auto"/>
            </w:tcBorders>
            <w:vAlign w:val="center"/>
          </w:tcPr>
          <w:p w14:paraId="17DB59C5" w14:textId="77777777" w:rsidR="00182EFF" w:rsidRDefault="00182EFF" w:rsidP="00182EFF">
            <w:pPr>
              <w:widowControl/>
              <w:jc w:val="center"/>
              <w:rPr>
                <w:rFonts w:ascii="Calibri" w:hAnsi="Calibri" w:cs="Calibri"/>
                <w:color w:val="000000"/>
                <w:kern w:val="0"/>
                <w:sz w:val="22"/>
                <w:szCs w:val="22"/>
              </w:rPr>
            </w:pPr>
            <w:r>
              <w:rPr>
                <w:rFonts w:ascii="Calibri" w:hAnsi="Calibri" w:cs="Calibri" w:hint="eastAsia"/>
                <w:color w:val="000000"/>
                <w:kern w:val="0"/>
                <w:sz w:val="22"/>
                <w:szCs w:val="22"/>
              </w:rPr>
              <w:t>平均持续期</w:t>
            </w:r>
          </w:p>
        </w:tc>
        <w:tc>
          <w:tcPr>
            <w:tcW w:w="1238" w:type="pct"/>
            <w:tcBorders>
              <w:top w:val="nil"/>
              <w:left w:val="nil"/>
              <w:bottom w:val="single" w:sz="4" w:space="0" w:color="auto"/>
              <w:right w:val="nil"/>
            </w:tcBorders>
            <w:shd w:val="clear" w:color="auto" w:fill="auto"/>
            <w:noWrap/>
            <w:vAlign w:val="bottom"/>
          </w:tcPr>
          <w:p w14:paraId="550F92D6" w14:textId="77777777" w:rsidR="00182EFF" w:rsidRPr="0050383D" w:rsidRDefault="00182EFF" w:rsidP="00182EFF">
            <w:pPr>
              <w:widowControl/>
              <w:jc w:val="center"/>
              <w:rPr>
                <w:rFonts w:ascii="Calibri" w:eastAsia="Times New Roman" w:hAnsi="Calibri" w:cs="Calibri"/>
                <w:color w:val="000000"/>
                <w:kern w:val="0"/>
                <w:sz w:val="22"/>
                <w:szCs w:val="22"/>
              </w:rPr>
            </w:pPr>
            <w:r w:rsidRPr="0050383D">
              <w:rPr>
                <w:rFonts w:ascii="Calibri" w:eastAsia="Times New Roman" w:hAnsi="Calibri" w:cs="Calibri"/>
                <w:color w:val="000000"/>
                <w:kern w:val="0"/>
                <w:sz w:val="22"/>
                <w:szCs w:val="22"/>
              </w:rPr>
              <w:t>6.66</w:t>
            </w:r>
          </w:p>
        </w:tc>
        <w:tc>
          <w:tcPr>
            <w:tcW w:w="1398" w:type="pct"/>
            <w:tcBorders>
              <w:top w:val="nil"/>
              <w:left w:val="nil"/>
              <w:bottom w:val="single" w:sz="4" w:space="0" w:color="auto"/>
              <w:right w:val="nil"/>
            </w:tcBorders>
            <w:shd w:val="clear" w:color="auto" w:fill="auto"/>
            <w:noWrap/>
            <w:vAlign w:val="bottom"/>
          </w:tcPr>
          <w:p w14:paraId="51810564" w14:textId="77777777" w:rsidR="00182EFF" w:rsidRPr="0050383D" w:rsidRDefault="00182EFF" w:rsidP="00182EFF">
            <w:pPr>
              <w:widowControl/>
              <w:jc w:val="center"/>
              <w:rPr>
                <w:rFonts w:ascii="Calibri" w:eastAsia="Times New Roman" w:hAnsi="Calibri" w:cs="Calibri"/>
                <w:color w:val="000000"/>
                <w:kern w:val="0"/>
                <w:sz w:val="22"/>
                <w:szCs w:val="22"/>
              </w:rPr>
            </w:pPr>
            <w:r w:rsidRPr="0050383D">
              <w:rPr>
                <w:rFonts w:ascii="Calibri" w:eastAsia="Times New Roman" w:hAnsi="Calibri" w:cs="Calibri"/>
                <w:color w:val="000000"/>
                <w:kern w:val="0"/>
                <w:sz w:val="22"/>
                <w:szCs w:val="22"/>
              </w:rPr>
              <w:t>4.92</w:t>
            </w:r>
          </w:p>
        </w:tc>
        <w:tc>
          <w:tcPr>
            <w:tcW w:w="1510" w:type="pct"/>
            <w:tcBorders>
              <w:top w:val="nil"/>
              <w:left w:val="nil"/>
              <w:bottom w:val="single" w:sz="4" w:space="0" w:color="auto"/>
              <w:right w:val="nil"/>
            </w:tcBorders>
            <w:shd w:val="clear" w:color="auto" w:fill="auto"/>
            <w:noWrap/>
            <w:vAlign w:val="bottom"/>
          </w:tcPr>
          <w:p w14:paraId="5DB8AB83" w14:textId="77777777" w:rsidR="00182EFF" w:rsidRPr="0050383D" w:rsidRDefault="00182EFF" w:rsidP="00182EFF">
            <w:pPr>
              <w:widowControl/>
              <w:jc w:val="center"/>
              <w:rPr>
                <w:rFonts w:ascii="Calibri" w:eastAsia="Times New Roman" w:hAnsi="Calibri" w:cs="Calibri"/>
                <w:color w:val="000000"/>
                <w:kern w:val="0"/>
                <w:sz w:val="22"/>
                <w:szCs w:val="22"/>
              </w:rPr>
            </w:pPr>
            <w:r w:rsidRPr="0050383D">
              <w:rPr>
                <w:rFonts w:ascii="Calibri" w:eastAsia="Times New Roman" w:hAnsi="Calibri" w:cs="Calibri"/>
                <w:color w:val="000000"/>
                <w:kern w:val="0"/>
                <w:sz w:val="22"/>
                <w:szCs w:val="22"/>
              </w:rPr>
              <w:t>3.11</w:t>
            </w:r>
          </w:p>
        </w:tc>
      </w:tr>
    </w:tbl>
    <w:p w14:paraId="2B820582" w14:textId="31F848E5" w:rsidR="00C35A73" w:rsidRDefault="009B787A" w:rsidP="00372BE4">
      <w:pPr>
        <w:spacing w:before="240" w:after="120" w:line="360" w:lineRule="auto"/>
        <w:ind w:firstLine="490"/>
        <w:rPr>
          <w:rFonts w:ascii="宋体" w:hAnsi="宋体"/>
          <w:sz w:val="24"/>
        </w:rPr>
      </w:pPr>
      <w:r w:rsidRPr="009B278F">
        <w:rPr>
          <w:rFonts w:ascii="宋体" w:hAnsi="宋体"/>
          <w:b/>
          <w:bCs/>
          <w:sz w:val="24"/>
        </w:rPr>
        <w:t>最后，</w:t>
      </w:r>
      <w:r w:rsidR="003820AF">
        <w:rPr>
          <w:rFonts w:ascii="宋体" w:hAnsi="宋体" w:hint="eastAsia"/>
          <w:b/>
          <w:bCs/>
          <w:sz w:val="24"/>
        </w:rPr>
        <w:t>从图表9的各区制属性可以看出，</w:t>
      </w:r>
      <w:r w:rsidR="00FF6FFB" w:rsidRPr="009B278F">
        <w:rPr>
          <w:rFonts w:ascii="宋体" w:hAnsi="宋体" w:hint="eastAsia"/>
          <w:b/>
          <w:bCs/>
          <w:sz w:val="24"/>
        </w:rPr>
        <w:t>中国经济政策不确定性</w:t>
      </w:r>
      <w:r w:rsidR="00AD6A82">
        <w:rPr>
          <w:rFonts w:ascii="宋体" w:hAnsi="宋体" w:hint="eastAsia"/>
          <w:b/>
          <w:bCs/>
          <w:sz w:val="24"/>
        </w:rPr>
        <w:t>对于股市波动状态影响</w:t>
      </w:r>
      <w:r w:rsidRPr="009B278F">
        <w:rPr>
          <w:rFonts w:ascii="宋体" w:hAnsi="宋体"/>
          <w:b/>
          <w:bCs/>
          <w:sz w:val="24"/>
        </w:rPr>
        <w:t>的区制状态转换明显</w:t>
      </w:r>
      <w:r w:rsidRPr="009D6890">
        <w:rPr>
          <w:rFonts w:ascii="宋体" w:hAnsi="宋体"/>
          <w:b/>
          <w:bCs/>
          <w:sz w:val="24"/>
        </w:rPr>
        <w:t>，区制状态2所占的比例更高、区制状态1持续时间更长</w:t>
      </w:r>
      <w:r w:rsidR="003820AF">
        <w:rPr>
          <w:rFonts w:ascii="宋体" w:hAnsi="宋体" w:hint="eastAsia"/>
          <w:b/>
          <w:bCs/>
          <w:sz w:val="24"/>
        </w:rPr>
        <w:t>，进一步验证了三区制划分的合理性</w:t>
      </w:r>
      <w:r w:rsidRPr="009D6890">
        <w:rPr>
          <w:rFonts w:ascii="宋体" w:hAnsi="宋体"/>
          <w:b/>
          <w:bCs/>
          <w:sz w:val="24"/>
        </w:rPr>
        <w:t>。</w:t>
      </w:r>
      <w:r w:rsidRPr="009B787A">
        <w:rPr>
          <w:rFonts w:ascii="宋体" w:hAnsi="宋体"/>
          <w:sz w:val="24"/>
        </w:rPr>
        <w:t>处于区制1的平稳波动状态的样本数为</w:t>
      </w:r>
      <w:r w:rsidR="008D2153">
        <w:rPr>
          <w:rFonts w:ascii="宋体" w:hAnsi="宋体"/>
          <w:sz w:val="24"/>
        </w:rPr>
        <w:t>33.8</w:t>
      </w:r>
      <w:r w:rsidRPr="009B787A">
        <w:rPr>
          <w:rFonts w:ascii="宋体" w:hAnsi="宋体"/>
          <w:sz w:val="24"/>
        </w:rPr>
        <w:t>个月，占总样本的</w:t>
      </w:r>
      <w:r w:rsidR="0032141C">
        <w:rPr>
          <w:rFonts w:ascii="宋体" w:hAnsi="宋体"/>
          <w:sz w:val="24"/>
        </w:rPr>
        <w:t>15.36</w:t>
      </w:r>
      <w:r w:rsidRPr="009B787A">
        <w:rPr>
          <w:rFonts w:ascii="宋体" w:hAnsi="宋体"/>
          <w:sz w:val="24"/>
        </w:rPr>
        <w:t>%，其平均持续时间可达</w:t>
      </w:r>
      <w:r w:rsidR="008D2153">
        <w:rPr>
          <w:rFonts w:ascii="宋体" w:hAnsi="宋体"/>
          <w:sz w:val="24"/>
        </w:rPr>
        <w:t>6.66</w:t>
      </w:r>
      <w:r w:rsidRPr="009B787A">
        <w:rPr>
          <w:rFonts w:ascii="宋体" w:hAnsi="宋体"/>
          <w:sz w:val="24"/>
        </w:rPr>
        <w:t>个月</w:t>
      </w:r>
      <w:r w:rsidR="00FF6FFB">
        <w:rPr>
          <w:rFonts w:ascii="宋体" w:hAnsi="宋体" w:hint="eastAsia"/>
          <w:sz w:val="24"/>
        </w:rPr>
        <w:t>；</w:t>
      </w:r>
      <w:r w:rsidRPr="009B787A">
        <w:rPr>
          <w:rFonts w:ascii="宋体" w:hAnsi="宋体"/>
          <w:sz w:val="24"/>
        </w:rPr>
        <w:t>处于区制2的低波动状态的样本数为</w:t>
      </w:r>
      <w:r w:rsidR="008D2153">
        <w:rPr>
          <w:rFonts w:ascii="宋体" w:hAnsi="宋体"/>
          <w:sz w:val="24"/>
        </w:rPr>
        <w:t>122.2</w:t>
      </w:r>
      <w:r w:rsidRPr="009B787A">
        <w:rPr>
          <w:rFonts w:ascii="宋体" w:hAnsi="宋体"/>
          <w:sz w:val="24"/>
        </w:rPr>
        <w:t>个月，占总样本的55.</w:t>
      </w:r>
      <w:r w:rsidR="0032141C">
        <w:rPr>
          <w:rFonts w:ascii="宋体" w:hAnsi="宋体"/>
          <w:sz w:val="24"/>
        </w:rPr>
        <w:t>55</w:t>
      </w:r>
      <w:r w:rsidRPr="009B787A">
        <w:rPr>
          <w:rFonts w:ascii="宋体" w:hAnsi="宋体"/>
          <w:sz w:val="24"/>
        </w:rPr>
        <w:t>%，其平均持续时间为</w:t>
      </w:r>
      <w:r w:rsidR="008D2153">
        <w:rPr>
          <w:rFonts w:ascii="宋体" w:hAnsi="宋体"/>
          <w:sz w:val="24"/>
        </w:rPr>
        <w:t>4</w:t>
      </w:r>
      <w:r w:rsidR="008D2153">
        <w:rPr>
          <w:rFonts w:ascii="宋体" w:hAnsi="宋体" w:hint="eastAsia"/>
          <w:sz w:val="24"/>
        </w:rPr>
        <w:t>.9</w:t>
      </w:r>
      <w:r w:rsidR="008D2153">
        <w:rPr>
          <w:rFonts w:ascii="宋体" w:hAnsi="宋体"/>
          <w:sz w:val="24"/>
        </w:rPr>
        <w:t>2</w:t>
      </w:r>
      <w:r w:rsidR="008D2153">
        <w:rPr>
          <w:rFonts w:ascii="宋体" w:hAnsi="宋体" w:hint="eastAsia"/>
          <w:sz w:val="24"/>
        </w:rPr>
        <w:t>个月</w:t>
      </w:r>
      <w:r w:rsidR="00FF6FFB">
        <w:rPr>
          <w:rFonts w:ascii="宋体" w:hAnsi="宋体" w:hint="eastAsia"/>
          <w:sz w:val="24"/>
        </w:rPr>
        <w:t>；</w:t>
      </w:r>
      <w:r w:rsidRPr="009B787A">
        <w:rPr>
          <w:rFonts w:ascii="宋体" w:hAnsi="宋体"/>
          <w:sz w:val="24"/>
        </w:rPr>
        <w:t>而处于区制3的高波动状态的样本数为</w:t>
      </w:r>
      <w:r w:rsidR="008D2153">
        <w:rPr>
          <w:rFonts w:ascii="宋体" w:hAnsi="宋体"/>
          <w:sz w:val="24"/>
        </w:rPr>
        <w:t>63.1</w:t>
      </w:r>
      <w:r w:rsidRPr="009B787A">
        <w:rPr>
          <w:rFonts w:ascii="宋体" w:hAnsi="宋体"/>
          <w:sz w:val="24"/>
        </w:rPr>
        <w:t>个月，占总样本的</w:t>
      </w:r>
      <w:r w:rsidR="0032141C">
        <w:rPr>
          <w:rFonts w:ascii="宋体" w:hAnsi="宋体" w:hint="eastAsia"/>
          <w:sz w:val="24"/>
        </w:rPr>
        <w:t>2</w:t>
      </w:r>
      <w:r w:rsidR="0032141C">
        <w:rPr>
          <w:rFonts w:ascii="宋体" w:hAnsi="宋体"/>
          <w:sz w:val="24"/>
        </w:rPr>
        <w:t>8</w:t>
      </w:r>
      <w:r w:rsidRPr="009B787A">
        <w:rPr>
          <w:rFonts w:ascii="宋体" w:hAnsi="宋体"/>
          <w:sz w:val="24"/>
        </w:rPr>
        <w:t>.</w:t>
      </w:r>
      <w:r w:rsidR="0032141C">
        <w:rPr>
          <w:rFonts w:ascii="宋体" w:hAnsi="宋体"/>
          <w:sz w:val="24"/>
        </w:rPr>
        <w:t>68</w:t>
      </w:r>
      <w:r w:rsidRPr="009B787A">
        <w:rPr>
          <w:rFonts w:ascii="宋体" w:hAnsi="宋体"/>
          <w:sz w:val="24"/>
        </w:rPr>
        <w:t>%，其平均持续时间</w:t>
      </w:r>
      <w:r w:rsidR="009D6890">
        <w:rPr>
          <w:rFonts w:ascii="宋体" w:hAnsi="宋体" w:hint="eastAsia"/>
          <w:sz w:val="24"/>
        </w:rPr>
        <w:t>为</w:t>
      </w:r>
      <w:r w:rsidR="008D2153">
        <w:rPr>
          <w:rFonts w:ascii="宋体" w:hAnsi="宋体" w:hint="eastAsia"/>
          <w:sz w:val="24"/>
        </w:rPr>
        <w:t>3</w:t>
      </w:r>
      <w:r w:rsidR="008D2153">
        <w:rPr>
          <w:rFonts w:ascii="宋体" w:hAnsi="宋体"/>
          <w:sz w:val="24"/>
        </w:rPr>
        <w:t>.11</w:t>
      </w:r>
      <w:r w:rsidRPr="009B787A">
        <w:rPr>
          <w:rFonts w:ascii="宋体" w:hAnsi="宋体"/>
          <w:sz w:val="24"/>
        </w:rPr>
        <w:t>个月，远</w:t>
      </w:r>
      <w:r w:rsidRPr="009B787A">
        <w:rPr>
          <w:rFonts w:ascii="宋体" w:hAnsi="宋体" w:hint="eastAsia"/>
          <w:sz w:val="24"/>
        </w:rPr>
        <w:t>低</w:t>
      </w:r>
      <w:r w:rsidRPr="009B787A">
        <w:rPr>
          <w:rFonts w:ascii="宋体" w:hAnsi="宋体"/>
          <w:sz w:val="24"/>
        </w:rPr>
        <w:t>于区制1和区制2的持续</w:t>
      </w:r>
      <w:r w:rsidRPr="009B787A">
        <w:rPr>
          <w:rFonts w:ascii="宋体" w:hAnsi="宋体"/>
          <w:sz w:val="24"/>
        </w:rPr>
        <w:lastRenderedPageBreak/>
        <w:t>期。以上分析表明经济运行具有一定的平滑性，</w:t>
      </w:r>
      <w:r w:rsidR="00034E18">
        <w:rPr>
          <w:rFonts w:ascii="宋体" w:hAnsi="宋体" w:hint="eastAsia"/>
          <w:sz w:val="24"/>
        </w:rPr>
        <w:t>各项经济政策</w:t>
      </w:r>
      <w:r w:rsidRPr="009B787A">
        <w:rPr>
          <w:rFonts w:ascii="宋体" w:hAnsi="宋体"/>
          <w:sz w:val="24"/>
        </w:rPr>
        <w:t>出现</w:t>
      </w:r>
      <w:r w:rsidR="00305ED2">
        <w:rPr>
          <w:rFonts w:ascii="宋体" w:hAnsi="宋体" w:hint="eastAsia"/>
          <w:sz w:val="24"/>
        </w:rPr>
        <w:t>突然</w:t>
      </w:r>
      <w:r w:rsidRPr="009B787A">
        <w:rPr>
          <w:rFonts w:ascii="宋体" w:hAnsi="宋体"/>
          <w:sz w:val="24"/>
        </w:rPr>
        <w:t>转向的可能性</w:t>
      </w:r>
      <w:r w:rsidR="00305ED2">
        <w:rPr>
          <w:rFonts w:ascii="宋体" w:hAnsi="宋体" w:hint="eastAsia"/>
          <w:sz w:val="24"/>
        </w:rPr>
        <w:t>较低</w:t>
      </w:r>
      <w:r w:rsidRPr="009B787A">
        <w:rPr>
          <w:rFonts w:ascii="宋体" w:hAnsi="宋体"/>
          <w:sz w:val="24"/>
        </w:rPr>
        <w:t>。</w:t>
      </w:r>
    </w:p>
    <w:p w14:paraId="75524C31" w14:textId="76996C18" w:rsidR="00804577" w:rsidRPr="00BE643E" w:rsidRDefault="00243765" w:rsidP="00DB0FE3">
      <w:pPr>
        <w:pStyle w:val="2"/>
        <w:spacing w:before="156" w:after="156"/>
        <w:ind w:firstLine="600"/>
        <w:rPr>
          <w:sz w:val="28"/>
          <w:szCs w:val="28"/>
        </w:rPr>
      </w:pPr>
      <w:bookmarkStart w:id="27" w:name="_Toc135748085"/>
      <w:r w:rsidRPr="00DB0FE3">
        <w:rPr>
          <w:sz w:val="28"/>
          <w:szCs w:val="28"/>
        </w:rPr>
        <w:t>4.</w:t>
      </w:r>
      <w:r w:rsidR="00BE643E" w:rsidRPr="00DB0FE3">
        <w:rPr>
          <w:sz w:val="28"/>
          <w:szCs w:val="28"/>
        </w:rPr>
        <w:t>3</w:t>
      </w:r>
      <w:r w:rsidR="00804577" w:rsidRPr="00BE643E">
        <w:rPr>
          <w:rFonts w:hint="eastAsia"/>
          <w:sz w:val="28"/>
          <w:szCs w:val="28"/>
        </w:rPr>
        <w:t>模型回归结果分析</w:t>
      </w:r>
      <w:bookmarkEnd w:id="27"/>
    </w:p>
    <w:p w14:paraId="044B5ABC" w14:textId="55C62F27" w:rsidR="001C7EE9" w:rsidRPr="009D3C62" w:rsidRDefault="007B0A76" w:rsidP="009D3C62">
      <w:pPr>
        <w:spacing w:after="120" w:line="360" w:lineRule="auto"/>
        <w:ind w:firstLine="480"/>
        <w:rPr>
          <w:rFonts w:ascii="宋体" w:hAnsi="宋体"/>
          <w:sz w:val="24"/>
        </w:rPr>
      </w:pPr>
      <w:r w:rsidRPr="007B0A76">
        <w:rPr>
          <w:rFonts w:ascii="宋体" w:hAnsi="宋体"/>
          <w:sz w:val="24"/>
        </w:rPr>
        <w:t>本文</w:t>
      </w:r>
      <w:r w:rsidR="004C424D">
        <w:rPr>
          <w:rFonts w:ascii="宋体" w:hAnsi="宋体" w:hint="eastAsia"/>
          <w:sz w:val="24"/>
        </w:rPr>
        <w:t>建立的</w:t>
      </w:r>
      <w:r w:rsidR="004C424D" w:rsidRPr="002F64A4">
        <w:rPr>
          <w:rFonts w:ascii="宋体" w:hAnsi="宋体"/>
          <w:sz w:val="24"/>
        </w:rPr>
        <w:t>MSI</w:t>
      </w:r>
      <w:r w:rsidR="004C424D">
        <w:rPr>
          <w:rFonts w:ascii="宋体" w:hAnsi="宋体"/>
          <w:sz w:val="24"/>
        </w:rPr>
        <w:t>H</w:t>
      </w:r>
      <w:r w:rsidR="004C424D" w:rsidRPr="002F64A4">
        <w:rPr>
          <w:rFonts w:ascii="宋体" w:hAnsi="宋体"/>
          <w:sz w:val="24"/>
        </w:rPr>
        <w:t>(3)－VAR(</w:t>
      </w:r>
      <w:r w:rsidR="004C424D">
        <w:rPr>
          <w:rFonts w:ascii="宋体" w:hAnsi="宋体"/>
          <w:sz w:val="24"/>
        </w:rPr>
        <w:t>3</w:t>
      </w:r>
      <w:r w:rsidR="004C424D" w:rsidRPr="002F64A4">
        <w:rPr>
          <w:rFonts w:ascii="宋体" w:hAnsi="宋体"/>
          <w:sz w:val="24"/>
        </w:rPr>
        <w:t>)</w:t>
      </w:r>
      <w:r w:rsidR="008D2153">
        <w:rPr>
          <w:rFonts w:ascii="宋体" w:hAnsi="宋体" w:hint="eastAsia"/>
          <w:sz w:val="24"/>
        </w:rPr>
        <w:t>模型</w:t>
      </w:r>
      <w:r w:rsidRPr="007B0A76">
        <w:rPr>
          <w:rFonts w:ascii="宋体" w:hAnsi="宋体"/>
          <w:sz w:val="24"/>
        </w:rPr>
        <w:t>假定截距、方差都是区制依赖的，即不同的区制状态下</w:t>
      </w:r>
      <w:r w:rsidR="004C424D">
        <w:rPr>
          <w:rFonts w:ascii="宋体" w:hAnsi="宋体" w:hint="eastAsia"/>
          <w:sz w:val="24"/>
        </w:rPr>
        <w:t>，</w:t>
      </w:r>
      <w:r>
        <w:rPr>
          <w:rFonts w:ascii="宋体" w:hAnsi="宋体" w:hint="eastAsia"/>
          <w:sz w:val="24"/>
        </w:rPr>
        <w:t>经济政策不确定性的波动</w:t>
      </w:r>
      <w:r w:rsidRPr="007B0A76">
        <w:rPr>
          <w:rFonts w:ascii="宋体" w:hAnsi="宋体"/>
          <w:sz w:val="24"/>
        </w:rPr>
        <w:t>对</w:t>
      </w:r>
      <w:r>
        <w:rPr>
          <w:rFonts w:ascii="宋体" w:hAnsi="宋体" w:hint="eastAsia"/>
          <w:sz w:val="24"/>
        </w:rPr>
        <w:t>股市状态</w:t>
      </w:r>
      <w:r w:rsidRPr="007B0A76">
        <w:rPr>
          <w:rFonts w:ascii="宋体" w:hAnsi="宋体"/>
          <w:sz w:val="24"/>
        </w:rPr>
        <w:t>影响的系数是变动的。</w:t>
      </w:r>
      <w:r w:rsidR="008D2153">
        <w:rPr>
          <w:rFonts w:ascii="宋体" w:hAnsi="宋体" w:hint="eastAsia"/>
          <w:b/>
          <w:bCs/>
          <w:sz w:val="24"/>
        </w:rPr>
        <w:t>因此</w:t>
      </w:r>
      <w:r w:rsidRPr="007B0A76">
        <w:rPr>
          <w:rFonts w:ascii="宋体" w:hAnsi="宋体"/>
          <w:b/>
          <w:bCs/>
          <w:sz w:val="24"/>
        </w:rPr>
        <w:t>本部分将对</w:t>
      </w:r>
      <w:r w:rsidR="00FF7D57">
        <w:rPr>
          <w:rFonts w:ascii="宋体" w:hAnsi="宋体" w:hint="eastAsia"/>
          <w:b/>
          <w:bCs/>
          <w:sz w:val="24"/>
        </w:rPr>
        <w:t>经济政策不确定性</w:t>
      </w:r>
      <w:r w:rsidRPr="007B0A76">
        <w:rPr>
          <w:rFonts w:ascii="宋体" w:hAnsi="宋体"/>
          <w:b/>
          <w:bCs/>
          <w:sz w:val="24"/>
        </w:rPr>
        <w:t>波动影响</w:t>
      </w:r>
      <w:r w:rsidR="007624CC">
        <w:rPr>
          <w:rFonts w:ascii="宋体" w:hAnsi="宋体" w:hint="eastAsia"/>
          <w:b/>
          <w:bCs/>
          <w:sz w:val="24"/>
        </w:rPr>
        <w:t>股市收益率、波动率、流动性</w:t>
      </w:r>
      <w:r w:rsidRPr="007B0A76">
        <w:rPr>
          <w:rFonts w:ascii="宋体" w:hAnsi="宋体"/>
          <w:b/>
          <w:bCs/>
          <w:sz w:val="24"/>
        </w:rPr>
        <w:t>的过程</w:t>
      </w:r>
      <w:r w:rsidR="008D2153">
        <w:rPr>
          <w:rFonts w:ascii="宋体" w:hAnsi="宋体" w:hint="eastAsia"/>
          <w:b/>
          <w:bCs/>
          <w:sz w:val="24"/>
        </w:rPr>
        <w:t>所</w:t>
      </w:r>
      <w:r w:rsidRPr="007B0A76">
        <w:rPr>
          <w:rFonts w:ascii="宋体" w:hAnsi="宋体"/>
          <w:b/>
          <w:bCs/>
          <w:sz w:val="24"/>
        </w:rPr>
        <w:t>存在非线性特征</w:t>
      </w:r>
      <w:r w:rsidR="008D2153">
        <w:rPr>
          <w:rFonts w:ascii="宋体" w:hAnsi="宋体" w:hint="eastAsia"/>
          <w:b/>
          <w:bCs/>
          <w:sz w:val="24"/>
        </w:rPr>
        <w:t>的结果</w:t>
      </w:r>
      <w:r w:rsidRPr="007B0A76">
        <w:rPr>
          <w:rFonts w:ascii="宋体" w:hAnsi="宋体"/>
          <w:b/>
          <w:bCs/>
          <w:sz w:val="24"/>
        </w:rPr>
        <w:t>进行</w:t>
      </w:r>
      <w:r w:rsidR="008D2153">
        <w:rPr>
          <w:rFonts w:ascii="宋体" w:hAnsi="宋体" w:hint="eastAsia"/>
          <w:b/>
          <w:bCs/>
          <w:sz w:val="24"/>
        </w:rPr>
        <w:t>分析</w:t>
      </w:r>
      <w:r w:rsidR="007123F9">
        <w:rPr>
          <w:rFonts w:ascii="宋体" w:hAnsi="宋体" w:hint="eastAsia"/>
          <w:b/>
          <w:bCs/>
          <w:sz w:val="24"/>
        </w:rPr>
        <w:t>。</w:t>
      </w:r>
    </w:p>
    <w:p w14:paraId="78A90AA9" w14:textId="067AE44A" w:rsidR="007C5AAC" w:rsidRPr="007C5AAC" w:rsidRDefault="007C5AAC" w:rsidP="007C5AAC">
      <w:pPr>
        <w:pStyle w:val="Caption"/>
        <w:keepNext/>
        <w:jc w:val="center"/>
        <w:rPr>
          <w:color w:val="auto"/>
        </w:rPr>
      </w:pPr>
      <w:r w:rsidRPr="007C5AAC">
        <w:rPr>
          <w:color w:val="auto"/>
        </w:rPr>
        <w:t xml:space="preserve">Table </w:t>
      </w:r>
      <w:r w:rsidRPr="007C5AAC">
        <w:rPr>
          <w:color w:val="auto"/>
        </w:rPr>
        <w:fldChar w:fldCharType="begin"/>
      </w:r>
      <w:r w:rsidRPr="007C5AAC">
        <w:rPr>
          <w:color w:val="auto"/>
        </w:rPr>
        <w:instrText xml:space="preserve"> SEQ Table \* ARABIC </w:instrText>
      </w:r>
      <w:r w:rsidRPr="007C5AAC">
        <w:rPr>
          <w:color w:val="auto"/>
        </w:rPr>
        <w:fldChar w:fldCharType="separate"/>
      </w:r>
      <w:r>
        <w:rPr>
          <w:noProof/>
          <w:color w:val="auto"/>
        </w:rPr>
        <w:t>10</w:t>
      </w:r>
      <w:r w:rsidRPr="007C5AAC">
        <w:rPr>
          <w:color w:val="auto"/>
        </w:rPr>
        <w:fldChar w:fldCharType="end"/>
      </w:r>
      <w:r w:rsidRPr="007C5AAC">
        <w:rPr>
          <w:color w:val="auto"/>
        </w:rPr>
        <w:t xml:space="preserve"> </w:t>
      </w:r>
      <w:r w:rsidRPr="007C5AAC">
        <w:rPr>
          <w:rFonts w:hint="eastAsia"/>
          <w:color w:val="auto"/>
        </w:rPr>
        <w:t>模型回归结果</w:t>
      </w:r>
    </w:p>
    <w:tbl>
      <w:tblPr>
        <w:tblW w:w="4608" w:type="pct"/>
        <w:jc w:val="center"/>
        <w:tblLook w:val="04A0" w:firstRow="1" w:lastRow="0" w:firstColumn="1" w:lastColumn="0" w:noHBand="0" w:noVBand="1"/>
      </w:tblPr>
      <w:tblGrid>
        <w:gridCol w:w="1930"/>
        <w:gridCol w:w="1047"/>
        <w:gridCol w:w="1559"/>
        <w:gridCol w:w="1562"/>
        <w:gridCol w:w="1557"/>
      </w:tblGrid>
      <w:tr w:rsidR="003F4A17" w:rsidRPr="003F4A17" w14:paraId="548B519C" w14:textId="77777777" w:rsidTr="00B0698D">
        <w:trPr>
          <w:trHeight w:val="290"/>
          <w:jc w:val="center"/>
        </w:trPr>
        <w:tc>
          <w:tcPr>
            <w:tcW w:w="1261" w:type="pct"/>
            <w:tcBorders>
              <w:top w:val="single" w:sz="4" w:space="0" w:color="auto"/>
              <w:left w:val="nil"/>
              <w:bottom w:val="single" w:sz="4" w:space="0" w:color="auto"/>
              <w:right w:val="nil"/>
            </w:tcBorders>
            <w:shd w:val="clear" w:color="auto" w:fill="auto"/>
            <w:noWrap/>
            <w:vAlign w:val="bottom"/>
            <w:hideMark/>
          </w:tcPr>
          <w:p w14:paraId="603AD179" w14:textId="77777777" w:rsidR="003F4A17" w:rsidRPr="003F4A17" w:rsidRDefault="003F4A17" w:rsidP="003F4A17">
            <w:pPr>
              <w:widowControl/>
              <w:jc w:val="righ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w:t>
            </w:r>
          </w:p>
        </w:tc>
        <w:tc>
          <w:tcPr>
            <w:tcW w:w="684" w:type="pct"/>
            <w:tcBorders>
              <w:top w:val="single" w:sz="4" w:space="0" w:color="auto"/>
              <w:left w:val="nil"/>
              <w:bottom w:val="single" w:sz="4" w:space="0" w:color="auto"/>
              <w:right w:val="nil"/>
            </w:tcBorders>
            <w:shd w:val="clear" w:color="auto" w:fill="auto"/>
            <w:noWrap/>
            <w:vAlign w:val="bottom"/>
            <w:hideMark/>
          </w:tcPr>
          <w:p w14:paraId="4B82F23D" w14:textId="77777777" w:rsidR="003F4A17" w:rsidRPr="003F4A17" w:rsidRDefault="003F4A17" w:rsidP="003F4A17">
            <w:pPr>
              <w:widowControl/>
              <w:jc w:val="righ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LIQ</w:t>
            </w:r>
          </w:p>
        </w:tc>
        <w:tc>
          <w:tcPr>
            <w:tcW w:w="1018" w:type="pct"/>
            <w:tcBorders>
              <w:top w:val="single" w:sz="4" w:space="0" w:color="auto"/>
              <w:left w:val="nil"/>
              <w:bottom w:val="single" w:sz="4" w:space="0" w:color="auto"/>
              <w:right w:val="nil"/>
            </w:tcBorders>
            <w:shd w:val="clear" w:color="auto" w:fill="auto"/>
            <w:noWrap/>
            <w:vAlign w:val="bottom"/>
            <w:hideMark/>
          </w:tcPr>
          <w:p w14:paraId="7993DB7C" w14:textId="77777777" w:rsidR="003F4A17" w:rsidRPr="003F4A17" w:rsidRDefault="003F4A17" w:rsidP="003F4A17">
            <w:pPr>
              <w:widowControl/>
              <w:jc w:val="righ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RET</w:t>
            </w:r>
          </w:p>
        </w:tc>
        <w:tc>
          <w:tcPr>
            <w:tcW w:w="1020" w:type="pct"/>
            <w:tcBorders>
              <w:top w:val="single" w:sz="4" w:space="0" w:color="auto"/>
              <w:left w:val="nil"/>
              <w:bottom w:val="single" w:sz="4" w:space="0" w:color="auto"/>
              <w:right w:val="nil"/>
            </w:tcBorders>
            <w:shd w:val="clear" w:color="auto" w:fill="auto"/>
            <w:noWrap/>
            <w:vAlign w:val="bottom"/>
            <w:hideMark/>
          </w:tcPr>
          <w:p w14:paraId="38580F45" w14:textId="77777777" w:rsidR="003F4A17" w:rsidRPr="003F4A17" w:rsidRDefault="003F4A17" w:rsidP="003F4A17">
            <w:pPr>
              <w:widowControl/>
              <w:jc w:val="righ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VOL</w:t>
            </w:r>
          </w:p>
        </w:tc>
        <w:tc>
          <w:tcPr>
            <w:tcW w:w="1017" w:type="pct"/>
            <w:tcBorders>
              <w:top w:val="single" w:sz="4" w:space="0" w:color="auto"/>
              <w:left w:val="nil"/>
              <w:bottom w:val="single" w:sz="4" w:space="0" w:color="auto"/>
              <w:right w:val="nil"/>
            </w:tcBorders>
            <w:shd w:val="clear" w:color="auto" w:fill="auto"/>
            <w:noWrap/>
            <w:vAlign w:val="bottom"/>
            <w:hideMark/>
          </w:tcPr>
          <w:p w14:paraId="254EA136" w14:textId="77777777" w:rsidR="003F4A17" w:rsidRPr="003F4A17" w:rsidRDefault="003F4A17" w:rsidP="003F4A17">
            <w:pPr>
              <w:widowControl/>
              <w:jc w:val="righ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DCEPU</w:t>
            </w:r>
          </w:p>
        </w:tc>
      </w:tr>
      <w:tr w:rsidR="003F4A17" w:rsidRPr="003F4A17" w14:paraId="3F393E60" w14:textId="77777777" w:rsidTr="00B0698D">
        <w:trPr>
          <w:trHeight w:val="290"/>
          <w:jc w:val="center"/>
        </w:trPr>
        <w:tc>
          <w:tcPr>
            <w:tcW w:w="1261" w:type="pct"/>
            <w:tcBorders>
              <w:top w:val="nil"/>
              <w:left w:val="nil"/>
              <w:bottom w:val="nil"/>
              <w:right w:val="nil"/>
            </w:tcBorders>
            <w:shd w:val="clear" w:color="auto" w:fill="auto"/>
            <w:noWrap/>
            <w:vAlign w:val="bottom"/>
            <w:hideMark/>
          </w:tcPr>
          <w:p w14:paraId="7FC6A1F6"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Const(Reg.1)  </w:t>
            </w:r>
          </w:p>
        </w:tc>
        <w:tc>
          <w:tcPr>
            <w:tcW w:w="684" w:type="pct"/>
            <w:tcBorders>
              <w:top w:val="nil"/>
              <w:left w:val="nil"/>
              <w:bottom w:val="nil"/>
              <w:right w:val="nil"/>
            </w:tcBorders>
            <w:shd w:val="clear" w:color="auto" w:fill="auto"/>
            <w:noWrap/>
            <w:vAlign w:val="bottom"/>
            <w:hideMark/>
          </w:tcPr>
          <w:p w14:paraId="024067D6"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0.5450</w:t>
            </w:r>
          </w:p>
        </w:tc>
        <w:tc>
          <w:tcPr>
            <w:tcW w:w="1018" w:type="pct"/>
            <w:tcBorders>
              <w:top w:val="nil"/>
              <w:left w:val="nil"/>
              <w:bottom w:val="nil"/>
              <w:right w:val="nil"/>
            </w:tcBorders>
            <w:shd w:val="clear" w:color="auto" w:fill="auto"/>
            <w:noWrap/>
            <w:vAlign w:val="bottom"/>
            <w:hideMark/>
          </w:tcPr>
          <w:p w14:paraId="7BDC2DD1"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-0.0381</w:t>
            </w:r>
          </w:p>
        </w:tc>
        <w:tc>
          <w:tcPr>
            <w:tcW w:w="1020" w:type="pct"/>
            <w:tcBorders>
              <w:top w:val="nil"/>
              <w:left w:val="nil"/>
              <w:bottom w:val="nil"/>
              <w:right w:val="nil"/>
            </w:tcBorders>
            <w:shd w:val="clear" w:color="auto" w:fill="auto"/>
            <w:noWrap/>
            <w:vAlign w:val="bottom"/>
            <w:hideMark/>
          </w:tcPr>
          <w:p w14:paraId="48D6AA28"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0.0069</w:t>
            </w:r>
          </w:p>
        </w:tc>
        <w:tc>
          <w:tcPr>
            <w:tcW w:w="1017" w:type="pct"/>
            <w:tcBorders>
              <w:top w:val="nil"/>
              <w:left w:val="nil"/>
              <w:bottom w:val="nil"/>
              <w:right w:val="nil"/>
            </w:tcBorders>
            <w:shd w:val="clear" w:color="auto" w:fill="auto"/>
            <w:noWrap/>
            <w:vAlign w:val="bottom"/>
            <w:hideMark/>
          </w:tcPr>
          <w:p w14:paraId="6E4A9B6B"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-0.1117</w:t>
            </w:r>
          </w:p>
        </w:tc>
      </w:tr>
      <w:tr w:rsidR="003F4A17" w:rsidRPr="003F4A17" w14:paraId="6D0D9D1F" w14:textId="77777777" w:rsidTr="00B0698D">
        <w:trPr>
          <w:trHeight w:val="290"/>
          <w:jc w:val="center"/>
        </w:trPr>
        <w:tc>
          <w:tcPr>
            <w:tcW w:w="1261" w:type="pct"/>
            <w:tcBorders>
              <w:top w:val="nil"/>
              <w:left w:val="nil"/>
              <w:bottom w:val="nil"/>
              <w:right w:val="nil"/>
            </w:tcBorders>
            <w:shd w:val="clear" w:color="auto" w:fill="auto"/>
            <w:noWrap/>
            <w:vAlign w:val="bottom"/>
            <w:hideMark/>
          </w:tcPr>
          <w:p w14:paraId="121AAEF0"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Const(Reg.2)  </w:t>
            </w:r>
          </w:p>
        </w:tc>
        <w:tc>
          <w:tcPr>
            <w:tcW w:w="684" w:type="pct"/>
            <w:tcBorders>
              <w:top w:val="nil"/>
              <w:left w:val="nil"/>
              <w:bottom w:val="nil"/>
              <w:right w:val="nil"/>
            </w:tcBorders>
            <w:shd w:val="clear" w:color="auto" w:fill="auto"/>
            <w:noWrap/>
            <w:vAlign w:val="bottom"/>
            <w:hideMark/>
          </w:tcPr>
          <w:p w14:paraId="24B5DA4C"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0.7468</w:t>
            </w:r>
          </w:p>
        </w:tc>
        <w:tc>
          <w:tcPr>
            <w:tcW w:w="1018" w:type="pct"/>
            <w:tcBorders>
              <w:top w:val="nil"/>
              <w:left w:val="nil"/>
              <w:bottom w:val="nil"/>
              <w:right w:val="nil"/>
            </w:tcBorders>
            <w:shd w:val="clear" w:color="auto" w:fill="auto"/>
            <w:noWrap/>
            <w:vAlign w:val="bottom"/>
            <w:hideMark/>
          </w:tcPr>
          <w:p w14:paraId="6F84566B"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0.0014</w:t>
            </w:r>
          </w:p>
        </w:tc>
        <w:tc>
          <w:tcPr>
            <w:tcW w:w="1020" w:type="pct"/>
            <w:tcBorders>
              <w:top w:val="nil"/>
              <w:left w:val="nil"/>
              <w:bottom w:val="nil"/>
              <w:right w:val="nil"/>
            </w:tcBorders>
            <w:shd w:val="clear" w:color="auto" w:fill="auto"/>
            <w:noWrap/>
            <w:vAlign w:val="bottom"/>
            <w:hideMark/>
          </w:tcPr>
          <w:p w14:paraId="42F44BA5"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0.0038</w:t>
            </w:r>
          </w:p>
        </w:tc>
        <w:tc>
          <w:tcPr>
            <w:tcW w:w="1017" w:type="pct"/>
            <w:tcBorders>
              <w:top w:val="nil"/>
              <w:left w:val="nil"/>
              <w:bottom w:val="nil"/>
              <w:right w:val="nil"/>
            </w:tcBorders>
            <w:shd w:val="clear" w:color="auto" w:fill="auto"/>
            <w:noWrap/>
            <w:vAlign w:val="bottom"/>
            <w:hideMark/>
          </w:tcPr>
          <w:p w14:paraId="3106CDB0"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-0.0118</w:t>
            </w:r>
          </w:p>
        </w:tc>
      </w:tr>
      <w:tr w:rsidR="003F4A17" w:rsidRPr="003F4A17" w14:paraId="7D021869" w14:textId="77777777" w:rsidTr="00B0698D">
        <w:trPr>
          <w:trHeight w:val="290"/>
          <w:jc w:val="center"/>
        </w:trPr>
        <w:tc>
          <w:tcPr>
            <w:tcW w:w="1261" w:type="pct"/>
            <w:tcBorders>
              <w:top w:val="nil"/>
              <w:left w:val="nil"/>
              <w:bottom w:val="nil"/>
              <w:right w:val="nil"/>
            </w:tcBorders>
            <w:shd w:val="clear" w:color="auto" w:fill="auto"/>
            <w:noWrap/>
            <w:vAlign w:val="bottom"/>
            <w:hideMark/>
          </w:tcPr>
          <w:p w14:paraId="3E519357"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Const(Reg.3)  </w:t>
            </w:r>
          </w:p>
        </w:tc>
        <w:tc>
          <w:tcPr>
            <w:tcW w:w="684" w:type="pct"/>
            <w:tcBorders>
              <w:top w:val="nil"/>
              <w:left w:val="nil"/>
              <w:bottom w:val="nil"/>
              <w:right w:val="nil"/>
            </w:tcBorders>
            <w:shd w:val="clear" w:color="auto" w:fill="auto"/>
            <w:noWrap/>
            <w:vAlign w:val="bottom"/>
            <w:hideMark/>
          </w:tcPr>
          <w:p w14:paraId="5A8E4BCB"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1.2715</w:t>
            </w:r>
          </w:p>
        </w:tc>
        <w:tc>
          <w:tcPr>
            <w:tcW w:w="1018" w:type="pct"/>
            <w:tcBorders>
              <w:top w:val="nil"/>
              <w:left w:val="nil"/>
              <w:bottom w:val="nil"/>
              <w:right w:val="nil"/>
            </w:tcBorders>
            <w:shd w:val="clear" w:color="auto" w:fill="auto"/>
            <w:noWrap/>
            <w:vAlign w:val="bottom"/>
            <w:hideMark/>
          </w:tcPr>
          <w:p w14:paraId="1FFE86C3"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-0.0151</w:t>
            </w:r>
          </w:p>
        </w:tc>
        <w:tc>
          <w:tcPr>
            <w:tcW w:w="1020" w:type="pct"/>
            <w:tcBorders>
              <w:top w:val="nil"/>
              <w:left w:val="nil"/>
              <w:bottom w:val="nil"/>
              <w:right w:val="nil"/>
            </w:tcBorders>
            <w:shd w:val="clear" w:color="auto" w:fill="auto"/>
            <w:noWrap/>
            <w:vAlign w:val="bottom"/>
            <w:hideMark/>
          </w:tcPr>
          <w:p w14:paraId="02849C6B"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0.0126</w:t>
            </w:r>
          </w:p>
        </w:tc>
        <w:tc>
          <w:tcPr>
            <w:tcW w:w="1017" w:type="pct"/>
            <w:tcBorders>
              <w:top w:val="nil"/>
              <w:left w:val="nil"/>
              <w:bottom w:val="nil"/>
              <w:right w:val="nil"/>
            </w:tcBorders>
            <w:shd w:val="clear" w:color="auto" w:fill="auto"/>
            <w:noWrap/>
            <w:vAlign w:val="bottom"/>
            <w:hideMark/>
          </w:tcPr>
          <w:p w14:paraId="3471637A"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-0.0946</w:t>
            </w:r>
          </w:p>
        </w:tc>
      </w:tr>
      <w:tr w:rsidR="003F4A17" w:rsidRPr="003F4A17" w14:paraId="5E395F5A" w14:textId="77777777" w:rsidTr="00B0698D">
        <w:trPr>
          <w:trHeight w:val="290"/>
          <w:jc w:val="center"/>
        </w:trPr>
        <w:tc>
          <w:tcPr>
            <w:tcW w:w="1261" w:type="pct"/>
            <w:tcBorders>
              <w:top w:val="nil"/>
              <w:left w:val="nil"/>
              <w:bottom w:val="nil"/>
              <w:right w:val="nil"/>
            </w:tcBorders>
            <w:shd w:val="clear" w:color="auto" w:fill="auto"/>
            <w:noWrap/>
            <w:vAlign w:val="bottom"/>
            <w:hideMark/>
          </w:tcPr>
          <w:p w14:paraId="546F63DD"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LIQ_1         </w:t>
            </w:r>
          </w:p>
        </w:tc>
        <w:tc>
          <w:tcPr>
            <w:tcW w:w="684" w:type="pct"/>
            <w:tcBorders>
              <w:top w:val="nil"/>
              <w:left w:val="nil"/>
              <w:bottom w:val="nil"/>
              <w:right w:val="nil"/>
            </w:tcBorders>
            <w:shd w:val="clear" w:color="auto" w:fill="auto"/>
            <w:noWrap/>
            <w:vAlign w:val="bottom"/>
            <w:hideMark/>
          </w:tcPr>
          <w:p w14:paraId="5056E888"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0.4559</w:t>
            </w:r>
          </w:p>
        </w:tc>
        <w:tc>
          <w:tcPr>
            <w:tcW w:w="1018" w:type="pct"/>
            <w:tcBorders>
              <w:top w:val="nil"/>
              <w:left w:val="nil"/>
              <w:bottom w:val="nil"/>
              <w:right w:val="nil"/>
            </w:tcBorders>
            <w:shd w:val="clear" w:color="auto" w:fill="auto"/>
            <w:noWrap/>
            <w:vAlign w:val="bottom"/>
            <w:hideMark/>
          </w:tcPr>
          <w:p w14:paraId="31237BAE"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-0.0027</w:t>
            </w:r>
          </w:p>
        </w:tc>
        <w:tc>
          <w:tcPr>
            <w:tcW w:w="1020" w:type="pct"/>
            <w:tcBorders>
              <w:top w:val="nil"/>
              <w:left w:val="nil"/>
              <w:bottom w:val="nil"/>
              <w:right w:val="nil"/>
            </w:tcBorders>
            <w:shd w:val="clear" w:color="auto" w:fill="auto"/>
            <w:noWrap/>
            <w:vAlign w:val="bottom"/>
            <w:hideMark/>
          </w:tcPr>
          <w:p w14:paraId="394C869F"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0.0003</w:t>
            </w:r>
          </w:p>
        </w:tc>
        <w:tc>
          <w:tcPr>
            <w:tcW w:w="1017" w:type="pct"/>
            <w:tcBorders>
              <w:top w:val="nil"/>
              <w:left w:val="nil"/>
              <w:bottom w:val="nil"/>
              <w:right w:val="nil"/>
            </w:tcBorders>
            <w:shd w:val="clear" w:color="auto" w:fill="auto"/>
            <w:noWrap/>
            <w:vAlign w:val="bottom"/>
            <w:hideMark/>
          </w:tcPr>
          <w:p w14:paraId="47D55562"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0.0544</w:t>
            </w:r>
          </w:p>
        </w:tc>
      </w:tr>
      <w:tr w:rsidR="003F4A17" w:rsidRPr="003F4A17" w14:paraId="36A02692" w14:textId="77777777" w:rsidTr="00B0698D">
        <w:trPr>
          <w:trHeight w:val="290"/>
          <w:jc w:val="center"/>
        </w:trPr>
        <w:tc>
          <w:tcPr>
            <w:tcW w:w="1261" w:type="pct"/>
            <w:tcBorders>
              <w:top w:val="nil"/>
              <w:left w:val="nil"/>
              <w:bottom w:val="nil"/>
              <w:right w:val="nil"/>
            </w:tcBorders>
            <w:shd w:val="clear" w:color="auto" w:fill="auto"/>
            <w:noWrap/>
            <w:vAlign w:val="bottom"/>
            <w:hideMark/>
          </w:tcPr>
          <w:p w14:paraId="5A0BD5DD"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LIQ_2         </w:t>
            </w:r>
          </w:p>
        </w:tc>
        <w:tc>
          <w:tcPr>
            <w:tcW w:w="684" w:type="pct"/>
            <w:tcBorders>
              <w:top w:val="nil"/>
              <w:left w:val="nil"/>
              <w:bottom w:val="nil"/>
              <w:right w:val="nil"/>
            </w:tcBorders>
            <w:shd w:val="clear" w:color="auto" w:fill="auto"/>
            <w:noWrap/>
            <w:vAlign w:val="bottom"/>
            <w:hideMark/>
          </w:tcPr>
          <w:p w14:paraId="131854C8"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0.0578</w:t>
            </w:r>
          </w:p>
        </w:tc>
        <w:tc>
          <w:tcPr>
            <w:tcW w:w="1018" w:type="pct"/>
            <w:tcBorders>
              <w:top w:val="nil"/>
              <w:left w:val="nil"/>
              <w:bottom w:val="nil"/>
              <w:right w:val="nil"/>
            </w:tcBorders>
            <w:shd w:val="clear" w:color="auto" w:fill="auto"/>
            <w:noWrap/>
            <w:vAlign w:val="bottom"/>
            <w:hideMark/>
          </w:tcPr>
          <w:p w14:paraId="277939CD"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-0.0139</w:t>
            </w:r>
          </w:p>
        </w:tc>
        <w:tc>
          <w:tcPr>
            <w:tcW w:w="1020" w:type="pct"/>
            <w:tcBorders>
              <w:top w:val="nil"/>
              <w:left w:val="nil"/>
              <w:bottom w:val="nil"/>
              <w:right w:val="nil"/>
            </w:tcBorders>
            <w:shd w:val="clear" w:color="auto" w:fill="auto"/>
            <w:noWrap/>
            <w:vAlign w:val="bottom"/>
            <w:hideMark/>
          </w:tcPr>
          <w:p w14:paraId="70AB2956"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-0.0001</w:t>
            </w:r>
          </w:p>
        </w:tc>
        <w:tc>
          <w:tcPr>
            <w:tcW w:w="1017" w:type="pct"/>
            <w:tcBorders>
              <w:top w:val="nil"/>
              <w:left w:val="nil"/>
              <w:bottom w:val="nil"/>
              <w:right w:val="nil"/>
            </w:tcBorders>
            <w:shd w:val="clear" w:color="auto" w:fill="auto"/>
            <w:noWrap/>
            <w:vAlign w:val="bottom"/>
            <w:hideMark/>
          </w:tcPr>
          <w:p w14:paraId="715DCD76"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-0.0949</w:t>
            </w:r>
          </w:p>
        </w:tc>
      </w:tr>
      <w:tr w:rsidR="003F4A17" w:rsidRPr="003F4A17" w14:paraId="7626D1D1" w14:textId="77777777" w:rsidTr="00B0698D">
        <w:trPr>
          <w:trHeight w:val="290"/>
          <w:jc w:val="center"/>
        </w:trPr>
        <w:tc>
          <w:tcPr>
            <w:tcW w:w="1261" w:type="pct"/>
            <w:tcBorders>
              <w:top w:val="nil"/>
              <w:left w:val="nil"/>
              <w:bottom w:val="nil"/>
              <w:right w:val="nil"/>
            </w:tcBorders>
            <w:shd w:val="clear" w:color="auto" w:fill="auto"/>
            <w:noWrap/>
            <w:vAlign w:val="bottom"/>
            <w:hideMark/>
          </w:tcPr>
          <w:p w14:paraId="38F48EE0"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LIQ_3         </w:t>
            </w:r>
          </w:p>
        </w:tc>
        <w:tc>
          <w:tcPr>
            <w:tcW w:w="684" w:type="pct"/>
            <w:tcBorders>
              <w:top w:val="nil"/>
              <w:left w:val="nil"/>
              <w:bottom w:val="nil"/>
              <w:right w:val="nil"/>
            </w:tcBorders>
            <w:shd w:val="clear" w:color="auto" w:fill="auto"/>
            <w:noWrap/>
            <w:vAlign w:val="bottom"/>
            <w:hideMark/>
          </w:tcPr>
          <w:p w14:paraId="1919E711"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0.1501</w:t>
            </w:r>
          </w:p>
        </w:tc>
        <w:tc>
          <w:tcPr>
            <w:tcW w:w="1018" w:type="pct"/>
            <w:tcBorders>
              <w:top w:val="nil"/>
              <w:left w:val="nil"/>
              <w:bottom w:val="nil"/>
              <w:right w:val="nil"/>
            </w:tcBorders>
            <w:shd w:val="clear" w:color="auto" w:fill="auto"/>
            <w:noWrap/>
            <w:vAlign w:val="bottom"/>
            <w:hideMark/>
          </w:tcPr>
          <w:p w14:paraId="11C239CA"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0.0172</w:t>
            </w:r>
          </w:p>
        </w:tc>
        <w:tc>
          <w:tcPr>
            <w:tcW w:w="1020" w:type="pct"/>
            <w:tcBorders>
              <w:top w:val="nil"/>
              <w:left w:val="nil"/>
              <w:bottom w:val="nil"/>
              <w:right w:val="nil"/>
            </w:tcBorders>
            <w:shd w:val="clear" w:color="auto" w:fill="auto"/>
            <w:noWrap/>
            <w:vAlign w:val="bottom"/>
            <w:hideMark/>
          </w:tcPr>
          <w:p w14:paraId="632FC037"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-0.0006</w:t>
            </w:r>
          </w:p>
        </w:tc>
        <w:tc>
          <w:tcPr>
            <w:tcW w:w="1017" w:type="pct"/>
            <w:tcBorders>
              <w:top w:val="nil"/>
              <w:left w:val="nil"/>
              <w:bottom w:val="nil"/>
              <w:right w:val="nil"/>
            </w:tcBorders>
            <w:shd w:val="clear" w:color="auto" w:fill="auto"/>
            <w:noWrap/>
            <w:vAlign w:val="bottom"/>
            <w:hideMark/>
          </w:tcPr>
          <w:p w14:paraId="39EDE2E9"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0.0507</w:t>
            </w:r>
          </w:p>
        </w:tc>
      </w:tr>
      <w:tr w:rsidR="003F4A17" w:rsidRPr="003F4A17" w14:paraId="76BD7FC4" w14:textId="77777777" w:rsidTr="00B0698D">
        <w:trPr>
          <w:trHeight w:val="290"/>
          <w:jc w:val="center"/>
        </w:trPr>
        <w:tc>
          <w:tcPr>
            <w:tcW w:w="1261" w:type="pct"/>
            <w:tcBorders>
              <w:top w:val="nil"/>
              <w:left w:val="nil"/>
              <w:bottom w:val="nil"/>
              <w:right w:val="nil"/>
            </w:tcBorders>
            <w:shd w:val="clear" w:color="auto" w:fill="auto"/>
            <w:noWrap/>
            <w:vAlign w:val="bottom"/>
            <w:hideMark/>
          </w:tcPr>
          <w:p w14:paraId="4A4C4293"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RET_1         </w:t>
            </w:r>
          </w:p>
        </w:tc>
        <w:tc>
          <w:tcPr>
            <w:tcW w:w="684" w:type="pct"/>
            <w:tcBorders>
              <w:top w:val="nil"/>
              <w:left w:val="nil"/>
              <w:bottom w:val="nil"/>
              <w:right w:val="nil"/>
            </w:tcBorders>
            <w:shd w:val="clear" w:color="auto" w:fill="auto"/>
            <w:noWrap/>
            <w:vAlign w:val="bottom"/>
            <w:hideMark/>
          </w:tcPr>
          <w:p w14:paraId="6AA2E0C9"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2.7000</w:t>
            </w:r>
          </w:p>
        </w:tc>
        <w:tc>
          <w:tcPr>
            <w:tcW w:w="1018" w:type="pct"/>
            <w:tcBorders>
              <w:top w:val="nil"/>
              <w:left w:val="nil"/>
              <w:bottom w:val="nil"/>
              <w:right w:val="nil"/>
            </w:tcBorders>
            <w:shd w:val="clear" w:color="auto" w:fill="auto"/>
            <w:noWrap/>
            <w:vAlign w:val="bottom"/>
            <w:hideMark/>
          </w:tcPr>
          <w:p w14:paraId="059661A1"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0.0494</w:t>
            </w:r>
          </w:p>
        </w:tc>
        <w:tc>
          <w:tcPr>
            <w:tcW w:w="1020" w:type="pct"/>
            <w:tcBorders>
              <w:top w:val="nil"/>
              <w:left w:val="nil"/>
              <w:bottom w:val="nil"/>
              <w:right w:val="nil"/>
            </w:tcBorders>
            <w:shd w:val="clear" w:color="auto" w:fill="auto"/>
            <w:noWrap/>
            <w:vAlign w:val="bottom"/>
            <w:hideMark/>
          </w:tcPr>
          <w:p w14:paraId="752C1276"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0.0019</w:t>
            </w:r>
          </w:p>
        </w:tc>
        <w:tc>
          <w:tcPr>
            <w:tcW w:w="1017" w:type="pct"/>
            <w:tcBorders>
              <w:top w:val="nil"/>
              <w:left w:val="nil"/>
              <w:bottom w:val="nil"/>
              <w:right w:val="nil"/>
            </w:tcBorders>
            <w:shd w:val="clear" w:color="auto" w:fill="auto"/>
            <w:noWrap/>
            <w:vAlign w:val="bottom"/>
            <w:hideMark/>
          </w:tcPr>
          <w:p w14:paraId="36CD22D1"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-0.5536</w:t>
            </w:r>
          </w:p>
        </w:tc>
      </w:tr>
      <w:tr w:rsidR="003F4A17" w:rsidRPr="003F4A17" w14:paraId="069DFAC5" w14:textId="77777777" w:rsidTr="00B0698D">
        <w:trPr>
          <w:trHeight w:val="290"/>
          <w:jc w:val="center"/>
        </w:trPr>
        <w:tc>
          <w:tcPr>
            <w:tcW w:w="1261" w:type="pct"/>
            <w:tcBorders>
              <w:top w:val="nil"/>
              <w:left w:val="nil"/>
              <w:bottom w:val="nil"/>
              <w:right w:val="nil"/>
            </w:tcBorders>
            <w:shd w:val="clear" w:color="auto" w:fill="auto"/>
            <w:noWrap/>
            <w:vAlign w:val="bottom"/>
            <w:hideMark/>
          </w:tcPr>
          <w:p w14:paraId="5EDB8C38"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RET_2         </w:t>
            </w:r>
          </w:p>
        </w:tc>
        <w:tc>
          <w:tcPr>
            <w:tcW w:w="684" w:type="pct"/>
            <w:tcBorders>
              <w:top w:val="nil"/>
              <w:left w:val="nil"/>
              <w:bottom w:val="nil"/>
              <w:right w:val="nil"/>
            </w:tcBorders>
            <w:shd w:val="clear" w:color="auto" w:fill="auto"/>
            <w:noWrap/>
            <w:vAlign w:val="bottom"/>
            <w:hideMark/>
          </w:tcPr>
          <w:p w14:paraId="279F30AA"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-0.2370</w:t>
            </w:r>
          </w:p>
        </w:tc>
        <w:tc>
          <w:tcPr>
            <w:tcW w:w="1018" w:type="pct"/>
            <w:tcBorders>
              <w:top w:val="nil"/>
              <w:left w:val="nil"/>
              <w:bottom w:val="nil"/>
              <w:right w:val="nil"/>
            </w:tcBorders>
            <w:shd w:val="clear" w:color="auto" w:fill="auto"/>
            <w:noWrap/>
            <w:vAlign w:val="bottom"/>
            <w:hideMark/>
          </w:tcPr>
          <w:p w14:paraId="211AA7F3"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0.1202</w:t>
            </w:r>
          </w:p>
        </w:tc>
        <w:tc>
          <w:tcPr>
            <w:tcW w:w="1020" w:type="pct"/>
            <w:tcBorders>
              <w:top w:val="nil"/>
              <w:left w:val="nil"/>
              <w:bottom w:val="nil"/>
              <w:right w:val="nil"/>
            </w:tcBorders>
            <w:shd w:val="clear" w:color="auto" w:fill="auto"/>
            <w:noWrap/>
            <w:vAlign w:val="bottom"/>
            <w:hideMark/>
          </w:tcPr>
          <w:p w14:paraId="16A9E5FA"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0.0075</w:t>
            </w:r>
          </w:p>
        </w:tc>
        <w:tc>
          <w:tcPr>
            <w:tcW w:w="1017" w:type="pct"/>
            <w:tcBorders>
              <w:top w:val="nil"/>
              <w:left w:val="nil"/>
              <w:bottom w:val="nil"/>
              <w:right w:val="nil"/>
            </w:tcBorders>
            <w:shd w:val="clear" w:color="auto" w:fill="auto"/>
            <w:noWrap/>
            <w:vAlign w:val="bottom"/>
            <w:hideMark/>
          </w:tcPr>
          <w:p w14:paraId="0EE8735A"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-0.3652</w:t>
            </w:r>
          </w:p>
        </w:tc>
      </w:tr>
      <w:tr w:rsidR="003F4A17" w:rsidRPr="003F4A17" w14:paraId="3B20433C" w14:textId="77777777" w:rsidTr="00B0698D">
        <w:trPr>
          <w:trHeight w:val="290"/>
          <w:jc w:val="center"/>
        </w:trPr>
        <w:tc>
          <w:tcPr>
            <w:tcW w:w="1261" w:type="pct"/>
            <w:tcBorders>
              <w:top w:val="nil"/>
              <w:left w:val="nil"/>
              <w:bottom w:val="nil"/>
              <w:right w:val="nil"/>
            </w:tcBorders>
            <w:shd w:val="clear" w:color="auto" w:fill="auto"/>
            <w:noWrap/>
            <w:vAlign w:val="bottom"/>
            <w:hideMark/>
          </w:tcPr>
          <w:p w14:paraId="75AA1E72"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RET_3         </w:t>
            </w:r>
          </w:p>
        </w:tc>
        <w:tc>
          <w:tcPr>
            <w:tcW w:w="684" w:type="pct"/>
            <w:tcBorders>
              <w:top w:val="nil"/>
              <w:left w:val="nil"/>
              <w:bottom w:val="nil"/>
              <w:right w:val="nil"/>
            </w:tcBorders>
            <w:shd w:val="clear" w:color="auto" w:fill="auto"/>
            <w:noWrap/>
            <w:vAlign w:val="bottom"/>
            <w:hideMark/>
          </w:tcPr>
          <w:p w14:paraId="1A5EF52D"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-1.2121</w:t>
            </w:r>
          </w:p>
        </w:tc>
        <w:tc>
          <w:tcPr>
            <w:tcW w:w="1018" w:type="pct"/>
            <w:tcBorders>
              <w:top w:val="nil"/>
              <w:left w:val="nil"/>
              <w:bottom w:val="nil"/>
              <w:right w:val="nil"/>
            </w:tcBorders>
            <w:shd w:val="clear" w:color="auto" w:fill="auto"/>
            <w:noWrap/>
            <w:vAlign w:val="bottom"/>
            <w:hideMark/>
          </w:tcPr>
          <w:p w14:paraId="47F07944"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-0.0286</w:t>
            </w:r>
          </w:p>
        </w:tc>
        <w:tc>
          <w:tcPr>
            <w:tcW w:w="1020" w:type="pct"/>
            <w:tcBorders>
              <w:top w:val="nil"/>
              <w:left w:val="nil"/>
              <w:bottom w:val="nil"/>
              <w:right w:val="nil"/>
            </w:tcBorders>
            <w:shd w:val="clear" w:color="auto" w:fill="auto"/>
            <w:noWrap/>
            <w:vAlign w:val="bottom"/>
            <w:hideMark/>
          </w:tcPr>
          <w:p w14:paraId="6F690F33"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-0.0027</w:t>
            </w:r>
          </w:p>
        </w:tc>
        <w:tc>
          <w:tcPr>
            <w:tcW w:w="1017" w:type="pct"/>
            <w:tcBorders>
              <w:top w:val="nil"/>
              <w:left w:val="nil"/>
              <w:bottom w:val="nil"/>
              <w:right w:val="nil"/>
            </w:tcBorders>
            <w:shd w:val="clear" w:color="auto" w:fill="auto"/>
            <w:noWrap/>
            <w:vAlign w:val="bottom"/>
            <w:hideMark/>
          </w:tcPr>
          <w:p w14:paraId="2C790E24"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0.5623</w:t>
            </w:r>
          </w:p>
        </w:tc>
      </w:tr>
      <w:tr w:rsidR="003F4A17" w:rsidRPr="003F4A17" w14:paraId="21F01EBF" w14:textId="77777777" w:rsidTr="00B0698D">
        <w:trPr>
          <w:trHeight w:val="290"/>
          <w:jc w:val="center"/>
        </w:trPr>
        <w:tc>
          <w:tcPr>
            <w:tcW w:w="1261" w:type="pct"/>
            <w:tcBorders>
              <w:top w:val="nil"/>
              <w:left w:val="nil"/>
              <w:bottom w:val="nil"/>
              <w:right w:val="nil"/>
            </w:tcBorders>
            <w:shd w:val="clear" w:color="auto" w:fill="auto"/>
            <w:noWrap/>
            <w:vAlign w:val="bottom"/>
            <w:hideMark/>
          </w:tcPr>
          <w:p w14:paraId="5FC02B90"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VOL_1         </w:t>
            </w:r>
          </w:p>
        </w:tc>
        <w:tc>
          <w:tcPr>
            <w:tcW w:w="684" w:type="pct"/>
            <w:tcBorders>
              <w:top w:val="nil"/>
              <w:left w:val="nil"/>
              <w:bottom w:val="nil"/>
              <w:right w:val="nil"/>
            </w:tcBorders>
            <w:shd w:val="clear" w:color="auto" w:fill="auto"/>
            <w:noWrap/>
            <w:vAlign w:val="bottom"/>
            <w:hideMark/>
          </w:tcPr>
          <w:p w14:paraId="6A541A30"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-4.8144</w:t>
            </w:r>
          </w:p>
        </w:tc>
        <w:tc>
          <w:tcPr>
            <w:tcW w:w="1018" w:type="pct"/>
            <w:tcBorders>
              <w:top w:val="nil"/>
              <w:left w:val="nil"/>
              <w:bottom w:val="nil"/>
              <w:right w:val="nil"/>
            </w:tcBorders>
            <w:shd w:val="clear" w:color="auto" w:fill="auto"/>
            <w:noWrap/>
            <w:vAlign w:val="bottom"/>
            <w:hideMark/>
          </w:tcPr>
          <w:p w14:paraId="377D8C57"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-1.0830</w:t>
            </w:r>
          </w:p>
        </w:tc>
        <w:tc>
          <w:tcPr>
            <w:tcW w:w="1020" w:type="pct"/>
            <w:tcBorders>
              <w:top w:val="nil"/>
              <w:left w:val="nil"/>
              <w:bottom w:val="nil"/>
              <w:right w:val="nil"/>
            </w:tcBorders>
            <w:shd w:val="clear" w:color="auto" w:fill="auto"/>
            <w:noWrap/>
            <w:vAlign w:val="bottom"/>
            <w:hideMark/>
          </w:tcPr>
          <w:p w14:paraId="667DA478"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0.3591</w:t>
            </w:r>
          </w:p>
        </w:tc>
        <w:tc>
          <w:tcPr>
            <w:tcW w:w="1017" w:type="pct"/>
            <w:tcBorders>
              <w:top w:val="nil"/>
              <w:left w:val="nil"/>
              <w:bottom w:val="nil"/>
              <w:right w:val="nil"/>
            </w:tcBorders>
            <w:shd w:val="clear" w:color="auto" w:fill="auto"/>
            <w:noWrap/>
            <w:vAlign w:val="bottom"/>
            <w:hideMark/>
          </w:tcPr>
          <w:p w14:paraId="7D1B78A4"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11.3974</w:t>
            </w:r>
          </w:p>
        </w:tc>
      </w:tr>
      <w:tr w:rsidR="003F4A17" w:rsidRPr="003F4A17" w14:paraId="5F0D76CE" w14:textId="77777777" w:rsidTr="00B0698D">
        <w:trPr>
          <w:trHeight w:val="290"/>
          <w:jc w:val="center"/>
        </w:trPr>
        <w:tc>
          <w:tcPr>
            <w:tcW w:w="1261" w:type="pct"/>
            <w:tcBorders>
              <w:top w:val="nil"/>
              <w:left w:val="nil"/>
              <w:bottom w:val="nil"/>
              <w:right w:val="nil"/>
            </w:tcBorders>
            <w:shd w:val="clear" w:color="auto" w:fill="auto"/>
            <w:noWrap/>
            <w:vAlign w:val="bottom"/>
            <w:hideMark/>
          </w:tcPr>
          <w:p w14:paraId="13D83FE9"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VOL_2         </w:t>
            </w:r>
          </w:p>
        </w:tc>
        <w:tc>
          <w:tcPr>
            <w:tcW w:w="684" w:type="pct"/>
            <w:tcBorders>
              <w:top w:val="nil"/>
              <w:left w:val="nil"/>
              <w:bottom w:val="nil"/>
              <w:right w:val="nil"/>
            </w:tcBorders>
            <w:shd w:val="clear" w:color="auto" w:fill="auto"/>
            <w:noWrap/>
            <w:vAlign w:val="bottom"/>
            <w:hideMark/>
          </w:tcPr>
          <w:p w14:paraId="6A187BCC"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-9.4668</w:t>
            </w:r>
          </w:p>
        </w:tc>
        <w:tc>
          <w:tcPr>
            <w:tcW w:w="1018" w:type="pct"/>
            <w:tcBorders>
              <w:top w:val="nil"/>
              <w:left w:val="nil"/>
              <w:bottom w:val="nil"/>
              <w:right w:val="nil"/>
            </w:tcBorders>
            <w:shd w:val="clear" w:color="auto" w:fill="auto"/>
            <w:noWrap/>
            <w:vAlign w:val="bottom"/>
            <w:hideMark/>
          </w:tcPr>
          <w:p w14:paraId="48523D1E"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1.9803</w:t>
            </w:r>
          </w:p>
        </w:tc>
        <w:tc>
          <w:tcPr>
            <w:tcW w:w="1020" w:type="pct"/>
            <w:tcBorders>
              <w:top w:val="nil"/>
              <w:left w:val="nil"/>
              <w:bottom w:val="nil"/>
              <w:right w:val="nil"/>
            </w:tcBorders>
            <w:shd w:val="clear" w:color="auto" w:fill="auto"/>
            <w:noWrap/>
            <w:vAlign w:val="bottom"/>
            <w:hideMark/>
          </w:tcPr>
          <w:p w14:paraId="15FF72FB"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0.1084</w:t>
            </w:r>
          </w:p>
        </w:tc>
        <w:tc>
          <w:tcPr>
            <w:tcW w:w="1017" w:type="pct"/>
            <w:tcBorders>
              <w:top w:val="nil"/>
              <w:left w:val="nil"/>
              <w:bottom w:val="nil"/>
              <w:right w:val="nil"/>
            </w:tcBorders>
            <w:shd w:val="clear" w:color="auto" w:fill="auto"/>
            <w:noWrap/>
            <w:vAlign w:val="bottom"/>
            <w:hideMark/>
          </w:tcPr>
          <w:p w14:paraId="03EABAD0"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3.7687</w:t>
            </w:r>
          </w:p>
        </w:tc>
      </w:tr>
      <w:tr w:rsidR="003F4A17" w:rsidRPr="003F4A17" w14:paraId="176AFE1E" w14:textId="77777777" w:rsidTr="00B0698D">
        <w:trPr>
          <w:trHeight w:val="290"/>
          <w:jc w:val="center"/>
        </w:trPr>
        <w:tc>
          <w:tcPr>
            <w:tcW w:w="1261" w:type="pct"/>
            <w:tcBorders>
              <w:top w:val="nil"/>
              <w:left w:val="nil"/>
              <w:bottom w:val="nil"/>
              <w:right w:val="nil"/>
            </w:tcBorders>
            <w:shd w:val="clear" w:color="auto" w:fill="auto"/>
            <w:noWrap/>
            <w:vAlign w:val="bottom"/>
            <w:hideMark/>
          </w:tcPr>
          <w:p w14:paraId="2293B459"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VOL_3         </w:t>
            </w:r>
          </w:p>
        </w:tc>
        <w:tc>
          <w:tcPr>
            <w:tcW w:w="684" w:type="pct"/>
            <w:tcBorders>
              <w:top w:val="nil"/>
              <w:left w:val="nil"/>
              <w:bottom w:val="nil"/>
              <w:right w:val="nil"/>
            </w:tcBorders>
            <w:shd w:val="clear" w:color="auto" w:fill="auto"/>
            <w:noWrap/>
            <w:vAlign w:val="bottom"/>
            <w:hideMark/>
          </w:tcPr>
          <w:p w14:paraId="177A894F"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-4.8670</w:t>
            </w:r>
          </w:p>
        </w:tc>
        <w:tc>
          <w:tcPr>
            <w:tcW w:w="1018" w:type="pct"/>
            <w:tcBorders>
              <w:top w:val="nil"/>
              <w:left w:val="nil"/>
              <w:bottom w:val="nil"/>
              <w:right w:val="nil"/>
            </w:tcBorders>
            <w:shd w:val="clear" w:color="auto" w:fill="auto"/>
            <w:noWrap/>
            <w:vAlign w:val="bottom"/>
            <w:hideMark/>
          </w:tcPr>
          <w:p w14:paraId="52F26068"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-0.0987</w:t>
            </w:r>
          </w:p>
        </w:tc>
        <w:tc>
          <w:tcPr>
            <w:tcW w:w="1020" w:type="pct"/>
            <w:tcBorders>
              <w:top w:val="nil"/>
              <w:left w:val="nil"/>
              <w:bottom w:val="nil"/>
              <w:right w:val="nil"/>
            </w:tcBorders>
            <w:shd w:val="clear" w:color="auto" w:fill="auto"/>
            <w:noWrap/>
            <w:vAlign w:val="bottom"/>
            <w:hideMark/>
          </w:tcPr>
          <w:p w14:paraId="37696547"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0.0976</w:t>
            </w:r>
          </w:p>
        </w:tc>
        <w:tc>
          <w:tcPr>
            <w:tcW w:w="1017" w:type="pct"/>
            <w:tcBorders>
              <w:top w:val="nil"/>
              <w:left w:val="nil"/>
              <w:bottom w:val="nil"/>
              <w:right w:val="nil"/>
            </w:tcBorders>
            <w:shd w:val="clear" w:color="auto" w:fill="auto"/>
            <w:noWrap/>
            <w:vAlign w:val="bottom"/>
            <w:hideMark/>
          </w:tcPr>
          <w:p w14:paraId="615F130F"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11.1645</w:t>
            </w:r>
          </w:p>
        </w:tc>
      </w:tr>
      <w:tr w:rsidR="003F4A17" w:rsidRPr="003F4A17" w14:paraId="129A6AFF" w14:textId="77777777" w:rsidTr="00B0698D">
        <w:trPr>
          <w:trHeight w:val="290"/>
          <w:jc w:val="center"/>
        </w:trPr>
        <w:tc>
          <w:tcPr>
            <w:tcW w:w="1261" w:type="pct"/>
            <w:tcBorders>
              <w:top w:val="nil"/>
              <w:left w:val="nil"/>
              <w:bottom w:val="nil"/>
              <w:right w:val="nil"/>
            </w:tcBorders>
            <w:shd w:val="clear" w:color="auto" w:fill="auto"/>
            <w:noWrap/>
            <w:vAlign w:val="bottom"/>
            <w:hideMark/>
          </w:tcPr>
          <w:p w14:paraId="7EA38C4D"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DCEPU_1       </w:t>
            </w:r>
          </w:p>
        </w:tc>
        <w:tc>
          <w:tcPr>
            <w:tcW w:w="684" w:type="pct"/>
            <w:tcBorders>
              <w:top w:val="nil"/>
              <w:left w:val="nil"/>
              <w:bottom w:val="nil"/>
              <w:right w:val="nil"/>
            </w:tcBorders>
            <w:shd w:val="clear" w:color="auto" w:fill="auto"/>
            <w:noWrap/>
            <w:vAlign w:val="bottom"/>
            <w:hideMark/>
          </w:tcPr>
          <w:p w14:paraId="634A6A25"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-0.0231</w:t>
            </w:r>
          </w:p>
        </w:tc>
        <w:tc>
          <w:tcPr>
            <w:tcW w:w="1018" w:type="pct"/>
            <w:tcBorders>
              <w:top w:val="nil"/>
              <w:left w:val="nil"/>
              <w:bottom w:val="nil"/>
              <w:right w:val="nil"/>
            </w:tcBorders>
            <w:shd w:val="clear" w:color="auto" w:fill="auto"/>
            <w:noWrap/>
            <w:vAlign w:val="bottom"/>
            <w:hideMark/>
          </w:tcPr>
          <w:p w14:paraId="38D6F72A"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0.0011</w:t>
            </w:r>
          </w:p>
        </w:tc>
        <w:tc>
          <w:tcPr>
            <w:tcW w:w="1020" w:type="pct"/>
            <w:tcBorders>
              <w:top w:val="nil"/>
              <w:left w:val="nil"/>
              <w:bottom w:val="nil"/>
              <w:right w:val="nil"/>
            </w:tcBorders>
            <w:shd w:val="clear" w:color="auto" w:fill="auto"/>
            <w:noWrap/>
            <w:vAlign w:val="bottom"/>
            <w:hideMark/>
          </w:tcPr>
          <w:p w14:paraId="29D4EB6A"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0.0002</w:t>
            </w:r>
          </w:p>
        </w:tc>
        <w:tc>
          <w:tcPr>
            <w:tcW w:w="1017" w:type="pct"/>
            <w:tcBorders>
              <w:top w:val="nil"/>
              <w:left w:val="nil"/>
              <w:bottom w:val="nil"/>
              <w:right w:val="nil"/>
            </w:tcBorders>
            <w:shd w:val="clear" w:color="auto" w:fill="auto"/>
            <w:noWrap/>
            <w:vAlign w:val="bottom"/>
            <w:hideMark/>
          </w:tcPr>
          <w:p w14:paraId="6857FD39"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-0.5368</w:t>
            </w:r>
          </w:p>
        </w:tc>
      </w:tr>
      <w:tr w:rsidR="003F4A17" w:rsidRPr="003F4A17" w14:paraId="287D579F" w14:textId="77777777" w:rsidTr="00B0698D">
        <w:trPr>
          <w:trHeight w:val="290"/>
          <w:jc w:val="center"/>
        </w:trPr>
        <w:tc>
          <w:tcPr>
            <w:tcW w:w="1261" w:type="pct"/>
            <w:tcBorders>
              <w:top w:val="nil"/>
              <w:left w:val="nil"/>
              <w:bottom w:val="nil"/>
              <w:right w:val="nil"/>
            </w:tcBorders>
            <w:shd w:val="clear" w:color="auto" w:fill="auto"/>
            <w:noWrap/>
            <w:vAlign w:val="bottom"/>
            <w:hideMark/>
          </w:tcPr>
          <w:p w14:paraId="490772B5"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DCEPU_2       </w:t>
            </w:r>
          </w:p>
        </w:tc>
        <w:tc>
          <w:tcPr>
            <w:tcW w:w="684" w:type="pct"/>
            <w:tcBorders>
              <w:top w:val="nil"/>
              <w:left w:val="nil"/>
              <w:bottom w:val="nil"/>
              <w:right w:val="nil"/>
            </w:tcBorders>
            <w:shd w:val="clear" w:color="auto" w:fill="auto"/>
            <w:noWrap/>
            <w:vAlign w:val="bottom"/>
            <w:hideMark/>
          </w:tcPr>
          <w:p w14:paraId="3DC85AD4"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-0.1011</w:t>
            </w:r>
          </w:p>
        </w:tc>
        <w:tc>
          <w:tcPr>
            <w:tcW w:w="1018" w:type="pct"/>
            <w:tcBorders>
              <w:top w:val="nil"/>
              <w:left w:val="nil"/>
              <w:bottom w:val="nil"/>
              <w:right w:val="nil"/>
            </w:tcBorders>
            <w:shd w:val="clear" w:color="auto" w:fill="auto"/>
            <w:noWrap/>
            <w:vAlign w:val="bottom"/>
            <w:hideMark/>
          </w:tcPr>
          <w:p w14:paraId="4A513F05"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0.0026</w:t>
            </w:r>
          </w:p>
        </w:tc>
        <w:tc>
          <w:tcPr>
            <w:tcW w:w="1020" w:type="pct"/>
            <w:tcBorders>
              <w:top w:val="nil"/>
              <w:left w:val="nil"/>
              <w:bottom w:val="nil"/>
              <w:right w:val="nil"/>
            </w:tcBorders>
            <w:shd w:val="clear" w:color="auto" w:fill="auto"/>
            <w:noWrap/>
            <w:vAlign w:val="bottom"/>
            <w:hideMark/>
          </w:tcPr>
          <w:p w14:paraId="29EB9203"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0.0008</w:t>
            </w:r>
          </w:p>
        </w:tc>
        <w:tc>
          <w:tcPr>
            <w:tcW w:w="1017" w:type="pct"/>
            <w:tcBorders>
              <w:top w:val="nil"/>
              <w:left w:val="nil"/>
              <w:bottom w:val="nil"/>
              <w:right w:val="nil"/>
            </w:tcBorders>
            <w:shd w:val="clear" w:color="auto" w:fill="auto"/>
            <w:noWrap/>
            <w:vAlign w:val="bottom"/>
            <w:hideMark/>
          </w:tcPr>
          <w:p w14:paraId="4D4D45D8"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-0.4406</w:t>
            </w:r>
          </w:p>
        </w:tc>
      </w:tr>
      <w:tr w:rsidR="003F4A17" w:rsidRPr="003F4A17" w14:paraId="4A25BE76" w14:textId="77777777" w:rsidTr="00B0698D">
        <w:trPr>
          <w:trHeight w:val="290"/>
          <w:jc w:val="center"/>
        </w:trPr>
        <w:tc>
          <w:tcPr>
            <w:tcW w:w="1261" w:type="pct"/>
            <w:tcBorders>
              <w:top w:val="nil"/>
              <w:left w:val="nil"/>
              <w:bottom w:val="single" w:sz="4" w:space="0" w:color="auto"/>
              <w:right w:val="nil"/>
            </w:tcBorders>
            <w:shd w:val="clear" w:color="auto" w:fill="auto"/>
            <w:noWrap/>
            <w:vAlign w:val="bottom"/>
            <w:hideMark/>
          </w:tcPr>
          <w:p w14:paraId="6B9734AB"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DCEPU_3       </w:t>
            </w:r>
          </w:p>
        </w:tc>
        <w:tc>
          <w:tcPr>
            <w:tcW w:w="684" w:type="pct"/>
            <w:tcBorders>
              <w:top w:val="nil"/>
              <w:left w:val="nil"/>
              <w:bottom w:val="single" w:sz="4" w:space="0" w:color="auto"/>
              <w:right w:val="nil"/>
            </w:tcBorders>
            <w:shd w:val="clear" w:color="auto" w:fill="auto"/>
            <w:noWrap/>
            <w:vAlign w:val="bottom"/>
            <w:hideMark/>
          </w:tcPr>
          <w:p w14:paraId="22CC7005"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-0.0047</w:t>
            </w:r>
          </w:p>
        </w:tc>
        <w:tc>
          <w:tcPr>
            <w:tcW w:w="1018" w:type="pct"/>
            <w:tcBorders>
              <w:top w:val="nil"/>
              <w:left w:val="nil"/>
              <w:bottom w:val="single" w:sz="4" w:space="0" w:color="auto"/>
              <w:right w:val="nil"/>
            </w:tcBorders>
            <w:shd w:val="clear" w:color="auto" w:fill="auto"/>
            <w:noWrap/>
            <w:vAlign w:val="bottom"/>
            <w:hideMark/>
          </w:tcPr>
          <w:p w14:paraId="17F238E0"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0.0048</w:t>
            </w:r>
          </w:p>
        </w:tc>
        <w:tc>
          <w:tcPr>
            <w:tcW w:w="1020" w:type="pct"/>
            <w:tcBorders>
              <w:top w:val="nil"/>
              <w:left w:val="nil"/>
              <w:bottom w:val="single" w:sz="4" w:space="0" w:color="auto"/>
              <w:right w:val="nil"/>
            </w:tcBorders>
            <w:shd w:val="clear" w:color="auto" w:fill="auto"/>
            <w:noWrap/>
            <w:vAlign w:val="bottom"/>
            <w:hideMark/>
          </w:tcPr>
          <w:p w14:paraId="427CA0AC"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0.0007</w:t>
            </w:r>
          </w:p>
        </w:tc>
        <w:tc>
          <w:tcPr>
            <w:tcW w:w="1017" w:type="pct"/>
            <w:tcBorders>
              <w:top w:val="nil"/>
              <w:left w:val="nil"/>
              <w:bottom w:val="single" w:sz="4" w:space="0" w:color="auto"/>
              <w:right w:val="nil"/>
            </w:tcBorders>
            <w:shd w:val="clear" w:color="auto" w:fill="auto"/>
            <w:noWrap/>
            <w:vAlign w:val="bottom"/>
            <w:hideMark/>
          </w:tcPr>
          <w:p w14:paraId="422CC246"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-0.0100</w:t>
            </w:r>
          </w:p>
        </w:tc>
      </w:tr>
      <w:tr w:rsidR="003F4A17" w:rsidRPr="003F4A17" w14:paraId="2B0D2137" w14:textId="77777777" w:rsidTr="00B0698D">
        <w:trPr>
          <w:trHeight w:val="290"/>
          <w:jc w:val="center"/>
        </w:trPr>
        <w:tc>
          <w:tcPr>
            <w:tcW w:w="1261" w:type="pct"/>
            <w:tcBorders>
              <w:top w:val="single" w:sz="4" w:space="0" w:color="auto"/>
              <w:left w:val="nil"/>
              <w:bottom w:val="nil"/>
              <w:right w:val="nil"/>
            </w:tcBorders>
            <w:shd w:val="clear" w:color="auto" w:fill="auto"/>
            <w:noWrap/>
            <w:vAlign w:val="bottom"/>
            <w:hideMark/>
          </w:tcPr>
          <w:p w14:paraId="25089633"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SE (Reg.1)  </w:t>
            </w:r>
          </w:p>
        </w:tc>
        <w:tc>
          <w:tcPr>
            <w:tcW w:w="684" w:type="pct"/>
            <w:tcBorders>
              <w:top w:val="single" w:sz="4" w:space="0" w:color="auto"/>
              <w:left w:val="nil"/>
              <w:bottom w:val="nil"/>
              <w:right w:val="nil"/>
            </w:tcBorders>
            <w:shd w:val="clear" w:color="auto" w:fill="auto"/>
            <w:noWrap/>
            <w:vAlign w:val="bottom"/>
            <w:hideMark/>
          </w:tcPr>
          <w:p w14:paraId="5576FA7E"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0.2083</w:t>
            </w:r>
          </w:p>
        </w:tc>
        <w:tc>
          <w:tcPr>
            <w:tcW w:w="1018" w:type="pct"/>
            <w:tcBorders>
              <w:top w:val="single" w:sz="4" w:space="0" w:color="auto"/>
              <w:left w:val="nil"/>
              <w:bottom w:val="nil"/>
              <w:right w:val="nil"/>
            </w:tcBorders>
            <w:shd w:val="clear" w:color="auto" w:fill="auto"/>
            <w:noWrap/>
            <w:vAlign w:val="bottom"/>
            <w:hideMark/>
          </w:tcPr>
          <w:p w14:paraId="5074970E"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0.0492</w:t>
            </w:r>
          </w:p>
        </w:tc>
        <w:tc>
          <w:tcPr>
            <w:tcW w:w="1020" w:type="pct"/>
            <w:tcBorders>
              <w:top w:val="single" w:sz="4" w:space="0" w:color="auto"/>
              <w:left w:val="nil"/>
              <w:bottom w:val="nil"/>
              <w:right w:val="nil"/>
            </w:tcBorders>
            <w:shd w:val="clear" w:color="auto" w:fill="auto"/>
            <w:noWrap/>
            <w:vAlign w:val="bottom"/>
            <w:hideMark/>
          </w:tcPr>
          <w:p w14:paraId="23D3C16A"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0.0036</w:t>
            </w:r>
          </w:p>
        </w:tc>
        <w:tc>
          <w:tcPr>
            <w:tcW w:w="1017" w:type="pct"/>
            <w:tcBorders>
              <w:top w:val="single" w:sz="4" w:space="0" w:color="auto"/>
              <w:left w:val="nil"/>
              <w:bottom w:val="nil"/>
              <w:right w:val="nil"/>
            </w:tcBorders>
            <w:shd w:val="clear" w:color="auto" w:fill="auto"/>
            <w:noWrap/>
            <w:vAlign w:val="bottom"/>
            <w:hideMark/>
          </w:tcPr>
          <w:p w14:paraId="0DAFC45F" w14:textId="617E1AA2" w:rsidR="003F4A17" w:rsidRPr="003F4A17" w:rsidRDefault="008B67BB"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0.2969</w:t>
            </w:r>
          </w:p>
        </w:tc>
      </w:tr>
      <w:tr w:rsidR="003F4A17" w:rsidRPr="003F4A17" w14:paraId="11D015FB" w14:textId="77777777" w:rsidTr="00B0698D">
        <w:trPr>
          <w:trHeight w:val="290"/>
          <w:jc w:val="center"/>
        </w:trPr>
        <w:tc>
          <w:tcPr>
            <w:tcW w:w="1261" w:type="pct"/>
            <w:tcBorders>
              <w:top w:val="nil"/>
              <w:left w:val="nil"/>
              <w:bottom w:val="nil"/>
              <w:right w:val="nil"/>
            </w:tcBorders>
            <w:shd w:val="clear" w:color="auto" w:fill="auto"/>
            <w:noWrap/>
            <w:vAlign w:val="bottom"/>
            <w:hideMark/>
          </w:tcPr>
          <w:p w14:paraId="31C0175E"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SE (Reg.2)  </w:t>
            </w:r>
          </w:p>
        </w:tc>
        <w:tc>
          <w:tcPr>
            <w:tcW w:w="684" w:type="pct"/>
            <w:tcBorders>
              <w:top w:val="nil"/>
              <w:left w:val="nil"/>
              <w:bottom w:val="nil"/>
              <w:right w:val="nil"/>
            </w:tcBorders>
            <w:shd w:val="clear" w:color="auto" w:fill="auto"/>
            <w:noWrap/>
            <w:vAlign w:val="bottom"/>
            <w:hideMark/>
          </w:tcPr>
          <w:p w14:paraId="314D4991"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0.4328</w:t>
            </w:r>
          </w:p>
        </w:tc>
        <w:tc>
          <w:tcPr>
            <w:tcW w:w="1018" w:type="pct"/>
            <w:tcBorders>
              <w:top w:val="nil"/>
              <w:left w:val="nil"/>
              <w:bottom w:val="nil"/>
              <w:right w:val="nil"/>
            </w:tcBorders>
            <w:shd w:val="clear" w:color="auto" w:fill="auto"/>
            <w:noWrap/>
            <w:vAlign w:val="bottom"/>
            <w:hideMark/>
          </w:tcPr>
          <w:p w14:paraId="7D0C0009" w14:textId="4C716A0B"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w:t>
            </w:r>
            <w:r w:rsidR="001165AC">
              <w:rPr>
                <w:rFonts w:ascii="Calibri" w:eastAsia="Times New Roman" w:hAnsi="Calibri" w:cs="Calibri"/>
                <w:color w:val="000000"/>
                <w:kern w:val="0"/>
                <w:sz w:val="20"/>
                <w:szCs w:val="20"/>
              </w:rPr>
              <w:t>7</w:t>
            </w:r>
            <w:r w:rsidRPr="003F4A17">
              <w:rPr>
                <w:rFonts w:ascii="Calibri" w:eastAsia="Times New Roman" w:hAnsi="Calibri" w:cs="Calibri"/>
                <w:color w:val="000000"/>
                <w:kern w:val="0"/>
                <w:sz w:val="20"/>
                <w:szCs w:val="20"/>
              </w:rPr>
              <w:t>06</w:t>
            </w:r>
          </w:p>
        </w:tc>
        <w:tc>
          <w:tcPr>
            <w:tcW w:w="1020" w:type="pct"/>
            <w:tcBorders>
              <w:top w:val="nil"/>
              <w:left w:val="nil"/>
              <w:bottom w:val="nil"/>
              <w:right w:val="nil"/>
            </w:tcBorders>
            <w:shd w:val="clear" w:color="auto" w:fill="auto"/>
            <w:noWrap/>
            <w:vAlign w:val="bottom"/>
            <w:hideMark/>
          </w:tcPr>
          <w:p w14:paraId="506A5A98" w14:textId="748A4C84"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w:t>
            </w:r>
            <w:r w:rsidR="00F10BC7">
              <w:rPr>
                <w:rFonts w:ascii="Calibri" w:eastAsia="Times New Roman" w:hAnsi="Calibri" w:cs="Calibri"/>
                <w:color w:val="000000"/>
                <w:kern w:val="0"/>
                <w:sz w:val="20"/>
                <w:szCs w:val="20"/>
              </w:rPr>
              <w:t>4</w:t>
            </w:r>
            <w:r w:rsidRPr="003F4A17">
              <w:rPr>
                <w:rFonts w:ascii="Calibri" w:eastAsia="Times New Roman" w:hAnsi="Calibri" w:cs="Calibri"/>
                <w:color w:val="000000"/>
                <w:kern w:val="0"/>
                <w:sz w:val="20"/>
                <w:szCs w:val="20"/>
              </w:rPr>
              <w:t>5</w:t>
            </w:r>
          </w:p>
        </w:tc>
        <w:tc>
          <w:tcPr>
            <w:tcW w:w="1017" w:type="pct"/>
            <w:tcBorders>
              <w:top w:val="nil"/>
              <w:left w:val="nil"/>
              <w:bottom w:val="nil"/>
              <w:right w:val="nil"/>
            </w:tcBorders>
            <w:shd w:val="clear" w:color="auto" w:fill="auto"/>
            <w:noWrap/>
            <w:vAlign w:val="bottom"/>
            <w:hideMark/>
          </w:tcPr>
          <w:p w14:paraId="1B2266D7"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0.3037</w:t>
            </w:r>
          </w:p>
        </w:tc>
      </w:tr>
      <w:tr w:rsidR="003F4A17" w:rsidRPr="003F4A17" w14:paraId="020CF257" w14:textId="77777777" w:rsidTr="00B0698D">
        <w:trPr>
          <w:trHeight w:val="290"/>
          <w:jc w:val="center"/>
        </w:trPr>
        <w:tc>
          <w:tcPr>
            <w:tcW w:w="1261" w:type="pct"/>
            <w:tcBorders>
              <w:top w:val="nil"/>
              <w:left w:val="nil"/>
              <w:bottom w:val="single" w:sz="4" w:space="0" w:color="auto"/>
              <w:right w:val="nil"/>
            </w:tcBorders>
            <w:shd w:val="clear" w:color="auto" w:fill="auto"/>
            <w:noWrap/>
            <w:vAlign w:val="bottom"/>
            <w:hideMark/>
          </w:tcPr>
          <w:p w14:paraId="76E809C9" w14:textId="77777777" w:rsidR="003F4A17" w:rsidRPr="003F4A17" w:rsidRDefault="003F4A17" w:rsidP="003F4A17">
            <w:pPr>
              <w:widowControl/>
              <w:jc w:val="left"/>
              <w:rPr>
                <w:rFonts w:ascii="Calibri" w:eastAsia="Times New Roman" w:hAnsi="Calibri" w:cs="Calibri"/>
                <w:b/>
                <w:bCs/>
                <w:color w:val="000000"/>
                <w:kern w:val="0"/>
                <w:sz w:val="20"/>
                <w:szCs w:val="20"/>
              </w:rPr>
            </w:pPr>
            <w:r w:rsidRPr="003F4A17">
              <w:rPr>
                <w:rFonts w:ascii="Calibri" w:eastAsia="Times New Roman" w:hAnsi="Calibri" w:cs="Calibri"/>
                <w:b/>
                <w:bCs/>
                <w:color w:val="000000"/>
                <w:kern w:val="0"/>
                <w:sz w:val="20"/>
                <w:szCs w:val="20"/>
              </w:rPr>
              <w:t xml:space="preserve">SE (Reg.3)  </w:t>
            </w:r>
          </w:p>
        </w:tc>
        <w:tc>
          <w:tcPr>
            <w:tcW w:w="684" w:type="pct"/>
            <w:tcBorders>
              <w:top w:val="nil"/>
              <w:left w:val="nil"/>
              <w:bottom w:val="single" w:sz="4" w:space="0" w:color="auto"/>
              <w:right w:val="nil"/>
            </w:tcBorders>
            <w:shd w:val="clear" w:color="auto" w:fill="auto"/>
            <w:noWrap/>
            <w:vAlign w:val="bottom"/>
            <w:hideMark/>
          </w:tcPr>
          <w:p w14:paraId="3ECC486D"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0.9809</w:t>
            </w:r>
          </w:p>
        </w:tc>
        <w:tc>
          <w:tcPr>
            <w:tcW w:w="1018" w:type="pct"/>
            <w:tcBorders>
              <w:top w:val="nil"/>
              <w:left w:val="nil"/>
              <w:bottom w:val="single" w:sz="4" w:space="0" w:color="auto"/>
              <w:right w:val="nil"/>
            </w:tcBorders>
            <w:shd w:val="clear" w:color="auto" w:fill="auto"/>
            <w:noWrap/>
            <w:vAlign w:val="bottom"/>
            <w:hideMark/>
          </w:tcPr>
          <w:p w14:paraId="3E03405C"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0.1214</w:t>
            </w:r>
          </w:p>
        </w:tc>
        <w:tc>
          <w:tcPr>
            <w:tcW w:w="1020" w:type="pct"/>
            <w:tcBorders>
              <w:top w:val="nil"/>
              <w:left w:val="nil"/>
              <w:bottom w:val="single" w:sz="4" w:space="0" w:color="auto"/>
              <w:right w:val="nil"/>
            </w:tcBorders>
            <w:shd w:val="clear" w:color="auto" w:fill="auto"/>
            <w:noWrap/>
            <w:vAlign w:val="bottom"/>
            <w:hideMark/>
          </w:tcPr>
          <w:p w14:paraId="1DC8DD32" w14:textId="77777777" w:rsidR="003F4A17" w:rsidRPr="003F4A17" w:rsidRDefault="003F4A17"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0.0061</w:t>
            </w:r>
          </w:p>
        </w:tc>
        <w:tc>
          <w:tcPr>
            <w:tcW w:w="1017" w:type="pct"/>
            <w:tcBorders>
              <w:top w:val="nil"/>
              <w:left w:val="nil"/>
              <w:bottom w:val="single" w:sz="4" w:space="0" w:color="auto"/>
              <w:right w:val="nil"/>
            </w:tcBorders>
            <w:shd w:val="clear" w:color="auto" w:fill="auto"/>
            <w:noWrap/>
            <w:vAlign w:val="bottom"/>
            <w:hideMark/>
          </w:tcPr>
          <w:p w14:paraId="3DDA7D7D" w14:textId="3DD0A37A" w:rsidR="003F4A17" w:rsidRPr="003F4A17" w:rsidRDefault="008B67BB" w:rsidP="003F4A17">
            <w:pPr>
              <w:widowControl/>
              <w:jc w:val="right"/>
              <w:rPr>
                <w:rFonts w:ascii="Calibri" w:eastAsia="Times New Roman" w:hAnsi="Calibri" w:cs="Calibri"/>
                <w:color w:val="000000"/>
                <w:kern w:val="0"/>
                <w:sz w:val="20"/>
                <w:szCs w:val="20"/>
              </w:rPr>
            </w:pPr>
            <w:r w:rsidRPr="003F4A17">
              <w:rPr>
                <w:rFonts w:ascii="Calibri" w:eastAsia="Times New Roman" w:hAnsi="Calibri" w:cs="Calibri"/>
                <w:color w:val="000000"/>
                <w:kern w:val="0"/>
                <w:sz w:val="20"/>
                <w:szCs w:val="20"/>
              </w:rPr>
              <w:t>0.6214</w:t>
            </w:r>
          </w:p>
        </w:tc>
      </w:tr>
    </w:tbl>
    <w:p w14:paraId="421370E4" w14:textId="1777EC6E" w:rsidR="003F2A78" w:rsidRPr="003F2A78" w:rsidRDefault="00C1114F" w:rsidP="003F2A78">
      <w:pPr>
        <w:spacing w:before="240" w:after="120" w:line="360" w:lineRule="auto"/>
        <w:ind w:firstLine="480"/>
        <w:rPr>
          <w:rFonts w:ascii="宋体" w:hAnsi="宋体"/>
          <w:sz w:val="24"/>
        </w:rPr>
      </w:pPr>
      <w:r w:rsidRPr="00C1114F">
        <w:rPr>
          <w:rFonts w:ascii="宋体" w:hAnsi="宋体"/>
          <w:sz w:val="24"/>
        </w:rPr>
        <w:t>表10展示了在不同区制状态下，MSIH(3)－VAR(3)模型的各变量的回归系数。</w:t>
      </w:r>
      <w:r w:rsidR="004C424D">
        <w:rPr>
          <w:rFonts w:ascii="宋体" w:hAnsi="宋体" w:hint="eastAsia"/>
          <w:sz w:val="24"/>
        </w:rPr>
        <w:t>总体</w:t>
      </w:r>
      <w:r w:rsidRPr="00C1114F">
        <w:rPr>
          <w:rFonts w:ascii="宋体" w:hAnsi="宋体"/>
          <w:sz w:val="24"/>
        </w:rPr>
        <w:t>估计结果表明，在区制状态3的情况下，MSIH(3)－VAR(3)模型的标准误差显著大于区制状态1和2的调整速度和标准误差。这表明在区制状态3，经济政策的不确定性波动幅度远超过区制状态1和2的波动幅度。这一发现与区制转换概率图中对三个区制中经济政策不确定性波动的划分是一致的</w:t>
      </w:r>
      <w:r w:rsidRPr="00C1114F">
        <w:rPr>
          <w:rFonts w:ascii="宋体" w:hAnsi="宋体" w:hint="eastAsia"/>
          <w:sz w:val="24"/>
        </w:rPr>
        <w:t>。</w:t>
      </w:r>
      <w:r w:rsidR="003F2A78" w:rsidRPr="007B0A76">
        <w:rPr>
          <w:rFonts w:ascii="宋体" w:hAnsi="宋体"/>
          <w:sz w:val="24"/>
        </w:rPr>
        <w:t>此外，这一结果也表明</w:t>
      </w:r>
      <w:r w:rsidR="003F2A78">
        <w:rPr>
          <w:rFonts w:ascii="宋体" w:hAnsi="宋体" w:hint="eastAsia"/>
          <w:sz w:val="24"/>
        </w:rPr>
        <w:t>经济政策不确定性</w:t>
      </w:r>
      <w:r w:rsidR="003F2A78" w:rsidRPr="007B0A76">
        <w:rPr>
          <w:rFonts w:ascii="宋体" w:hAnsi="宋体"/>
          <w:sz w:val="24"/>
        </w:rPr>
        <w:t>较大的波动往往</w:t>
      </w:r>
      <w:r w:rsidR="004C424D">
        <w:rPr>
          <w:rFonts w:ascii="宋体" w:hAnsi="宋体" w:hint="eastAsia"/>
          <w:sz w:val="24"/>
        </w:rPr>
        <w:t>会</w:t>
      </w:r>
      <w:r w:rsidR="003F2A78" w:rsidRPr="007B0A76">
        <w:rPr>
          <w:rFonts w:ascii="宋体" w:hAnsi="宋体"/>
          <w:sz w:val="24"/>
        </w:rPr>
        <w:t>伴随</w:t>
      </w:r>
      <w:r w:rsidR="003F2A78">
        <w:rPr>
          <w:rFonts w:ascii="宋体" w:hAnsi="宋体" w:hint="eastAsia"/>
          <w:sz w:val="24"/>
        </w:rPr>
        <w:t>股市</w:t>
      </w:r>
      <w:r w:rsidR="003F2A78" w:rsidRPr="007B0A76">
        <w:rPr>
          <w:rFonts w:ascii="宋体" w:hAnsi="宋体"/>
          <w:sz w:val="24"/>
        </w:rPr>
        <w:t>的波动，因此，可以</w:t>
      </w:r>
      <w:r w:rsidR="00715D22">
        <w:rPr>
          <w:rFonts w:ascii="宋体" w:hAnsi="宋体" w:hint="eastAsia"/>
          <w:sz w:val="24"/>
        </w:rPr>
        <w:t>再次确认</w:t>
      </w:r>
      <w:r w:rsidR="003F2A78">
        <w:rPr>
          <w:rFonts w:ascii="宋体" w:hAnsi="宋体" w:hint="eastAsia"/>
          <w:sz w:val="24"/>
        </w:rPr>
        <w:t>经济政策不确定性</w:t>
      </w:r>
      <w:r w:rsidR="003F2A78" w:rsidRPr="007B0A76">
        <w:rPr>
          <w:rFonts w:ascii="宋体" w:hAnsi="宋体"/>
          <w:sz w:val="24"/>
        </w:rPr>
        <w:t>波动影响</w:t>
      </w:r>
      <w:r w:rsidR="003F2A78">
        <w:rPr>
          <w:rFonts w:ascii="宋体" w:hAnsi="宋体" w:hint="eastAsia"/>
          <w:sz w:val="24"/>
        </w:rPr>
        <w:t>股市</w:t>
      </w:r>
      <w:r w:rsidR="003F2A78" w:rsidRPr="007B0A76">
        <w:rPr>
          <w:rFonts w:ascii="宋体" w:hAnsi="宋体"/>
          <w:sz w:val="24"/>
        </w:rPr>
        <w:t>的过程是满足非线性特征的</w:t>
      </w:r>
      <w:r w:rsidR="003F2A78" w:rsidRPr="007B0A76">
        <w:rPr>
          <w:rFonts w:ascii="宋体" w:hAnsi="宋体" w:hint="eastAsia"/>
          <w:sz w:val="24"/>
        </w:rPr>
        <w:t>。</w:t>
      </w:r>
    </w:p>
    <w:p w14:paraId="74EDDAF0" w14:textId="242DCAAA" w:rsidR="00B0698D" w:rsidRDefault="005C44E1" w:rsidP="003F3E43">
      <w:pPr>
        <w:keepNext/>
        <w:spacing w:before="240" w:after="120" w:line="360" w:lineRule="auto"/>
        <w:jc w:val="left"/>
      </w:pPr>
      <w:r>
        <w:rPr>
          <w:noProof/>
          <w14:ligatures w14:val="standardContextual"/>
        </w:rPr>
        <w:lastRenderedPageBreak/>
        <w:drawing>
          <wp:inline distT="0" distB="0" distL="0" distR="0" wp14:anchorId="0BC4B48D" wp14:editId="2EEF9207">
            <wp:extent cx="5274310" cy="3535045"/>
            <wp:effectExtent l="0" t="0" r="2540" b="8255"/>
            <wp:docPr id="56650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02659" name=""/>
                    <pic:cNvPicPr/>
                  </pic:nvPicPr>
                  <pic:blipFill>
                    <a:blip r:embed="rId20"/>
                    <a:stretch>
                      <a:fillRect/>
                    </a:stretch>
                  </pic:blipFill>
                  <pic:spPr>
                    <a:xfrm>
                      <a:off x="0" y="0"/>
                      <a:ext cx="5274310" cy="3535045"/>
                    </a:xfrm>
                    <a:prstGeom prst="rect">
                      <a:avLst/>
                    </a:prstGeom>
                  </pic:spPr>
                </pic:pic>
              </a:graphicData>
            </a:graphic>
          </wp:inline>
        </w:drawing>
      </w:r>
      <w:r w:rsidR="0000052D" w:rsidRPr="0000052D">
        <w:rPr>
          <w:noProof/>
          <w14:ligatures w14:val="standardContextual"/>
        </w:rPr>
        <w:t xml:space="preserve"> </w:t>
      </w:r>
      <w:r w:rsidR="007A77AE" w:rsidRPr="007A77AE">
        <w:rPr>
          <w:noProof/>
          <w14:ligatures w14:val="standardContextual"/>
        </w:rPr>
        <w:t xml:space="preserve"> </w:t>
      </w:r>
    </w:p>
    <w:p w14:paraId="5E568CBF" w14:textId="43BCEA5D" w:rsidR="007C5AAC" w:rsidRPr="00B0698D" w:rsidRDefault="00B0698D" w:rsidP="00B0698D">
      <w:pPr>
        <w:pStyle w:val="Caption"/>
        <w:jc w:val="center"/>
        <w:rPr>
          <w:rFonts w:ascii="宋体" w:hAnsi="宋体"/>
          <w:b/>
          <w:bCs/>
          <w:color w:val="auto"/>
          <w:sz w:val="24"/>
        </w:rPr>
      </w:pPr>
      <w:r w:rsidRPr="00B0698D">
        <w:rPr>
          <w:color w:val="auto"/>
        </w:rPr>
        <w:t xml:space="preserve">Figure </w:t>
      </w:r>
      <w:r w:rsidRPr="00B0698D">
        <w:rPr>
          <w:color w:val="auto"/>
        </w:rPr>
        <w:fldChar w:fldCharType="begin"/>
      </w:r>
      <w:r w:rsidRPr="00B0698D">
        <w:rPr>
          <w:color w:val="auto"/>
        </w:rPr>
        <w:instrText xml:space="preserve"> SEQ Figure \* ARABIC </w:instrText>
      </w:r>
      <w:r w:rsidRPr="00B0698D">
        <w:rPr>
          <w:color w:val="auto"/>
        </w:rPr>
        <w:fldChar w:fldCharType="separate"/>
      </w:r>
      <w:r w:rsidR="00812280">
        <w:rPr>
          <w:noProof/>
          <w:color w:val="auto"/>
        </w:rPr>
        <w:t>4</w:t>
      </w:r>
      <w:r w:rsidRPr="00B0698D">
        <w:rPr>
          <w:color w:val="auto"/>
        </w:rPr>
        <w:fldChar w:fldCharType="end"/>
      </w:r>
      <w:r w:rsidRPr="00B0698D">
        <w:rPr>
          <w:color w:val="auto"/>
        </w:rPr>
        <w:t xml:space="preserve"> </w:t>
      </w:r>
      <w:r w:rsidRPr="00B0698D">
        <w:rPr>
          <w:rFonts w:hint="eastAsia"/>
          <w:color w:val="auto"/>
        </w:rPr>
        <w:t>脉冲响应图</w:t>
      </w:r>
    </w:p>
    <w:p w14:paraId="62D0E67C" w14:textId="65F66502" w:rsidR="00AC4D12" w:rsidRDefault="00FD6739" w:rsidP="004664A9">
      <w:pPr>
        <w:spacing w:after="120" w:line="360" w:lineRule="auto"/>
        <w:ind w:firstLine="480"/>
        <w:rPr>
          <w:rFonts w:ascii="宋体" w:hAnsi="宋体"/>
          <w:sz w:val="24"/>
        </w:rPr>
      </w:pPr>
      <w:r w:rsidRPr="00FD6739">
        <w:rPr>
          <w:rFonts w:ascii="宋体" w:hAnsi="宋体" w:hint="eastAsia"/>
          <w:sz w:val="24"/>
        </w:rPr>
        <w:t>图4是股市对于经济政策不确定性冲击的脉冲相应图</w:t>
      </w:r>
      <w:r>
        <w:rPr>
          <w:rFonts w:ascii="宋体" w:hAnsi="宋体" w:hint="eastAsia"/>
          <w:sz w:val="24"/>
        </w:rPr>
        <w:t>，</w:t>
      </w:r>
      <w:r w:rsidR="007429D2">
        <w:rPr>
          <w:rFonts w:ascii="宋体" w:hAnsi="宋体" w:hint="eastAsia"/>
          <w:sz w:val="24"/>
        </w:rPr>
        <w:t>从</w:t>
      </w:r>
      <w:r w:rsidR="005A3136">
        <w:rPr>
          <w:rFonts w:ascii="宋体" w:hAnsi="宋体" w:hint="eastAsia"/>
          <w:sz w:val="24"/>
        </w:rPr>
        <w:t>上</w:t>
      </w:r>
      <w:r w:rsidR="007429D2">
        <w:rPr>
          <w:rFonts w:ascii="宋体" w:hAnsi="宋体" w:hint="eastAsia"/>
          <w:sz w:val="24"/>
        </w:rPr>
        <w:t>至</w:t>
      </w:r>
      <w:r w:rsidR="005A3136">
        <w:rPr>
          <w:rFonts w:ascii="宋体" w:hAnsi="宋体" w:hint="eastAsia"/>
          <w:sz w:val="24"/>
        </w:rPr>
        <w:t>下</w:t>
      </w:r>
      <w:r w:rsidR="007429D2">
        <w:rPr>
          <w:rFonts w:ascii="宋体" w:hAnsi="宋体" w:hint="eastAsia"/>
          <w:sz w:val="24"/>
        </w:rPr>
        <w:t>依次是分区制情况下股市收益率、流动性、波动</w:t>
      </w:r>
      <w:r w:rsidR="003B615C">
        <w:rPr>
          <w:rFonts w:ascii="宋体" w:hAnsi="宋体" w:hint="eastAsia"/>
          <w:sz w:val="24"/>
        </w:rPr>
        <w:t>性</w:t>
      </w:r>
      <w:r w:rsidR="007429D2">
        <w:rPr>
          <w:rFonts w:ascii="宋体" w:hAnsi="宋体" w:hint="eastAsia"/>
          <w:sz w:val="24"/>
        </w:rPr>
        <w:t>对经济政策不确定性冲击的反应。</w:t>
      </w:r>
      <w:r w:rsidR="004664A9" w:rsidRPr="0074429F">
        <w:rPr>
          <w:rFonts w:ascii="宋体" w:hAnsi="宋体" w:hint="eastAsia"/>
          <w:sz w:val="24"/>
        </w:rPr>
        <w:t>根据图中的脉冲响应结果</w:t>
      </w:r>
      <w:r w:rsidR="004664A9">
        <w:rPr>
          <w:rFonts w:ascii="宋体" w:hAnsi="宋体" w:hint="eastAsia"/>
          <w:sz w:val="24"/>
        </w:rPr>
        <w:t>可以看出</w:t>
      </w:r>
      <w:r w:rsidR="004146B9">
        <w:rPr>
          <w:rFonts w:ascii="宋体" w:hAnsi="宋体" w:hint="eastAsia"/>
          <w:sz w:val="24"/>
        </w:rPr>
        <w:t>，</w:t>
      </w:r>
      <w:r w:rsidR="004664A9" w:rsidRPr="0074429F">
        <w:rPr>
          <w:rFonts w:ascii="宋体" w:hAnsi="宋体" w:hint="eastAsia"/>
          <w:sz w:val="24"/>
        </w:rPr>
        <w:t>政策不确定性的变化会对</w:t>
      </w:r>
      <w:r w:rsidR="004664A9">
        <w:rPr>
          <w:rFonts w:ascii="宋体" w:hAnsi="宋体" w:hint="eastAsia"/>
          <w:sz w:val="24"/>
        </w:rPr>
        <w:t>股市</w:t>
      </w:r>
      <w:r w:rsidR="004664A9" w:rsidRPr="0074429F">
        <w:rPr>
          <w:rFonts w:ascii="宋体" w:hAnsi="宋体" w:hint="eastAsia"/>
          <w:sz w:val="24"/>
        </w:rPr>
        <w:t>构成冲击，且在不同时刻，呈现显著的时变特征。</w:t>
      </w:r>
    </w:p>
    <w:p w14:paraId="3FB8FF58" w14:textId="60F90D3C" w:rsidR="004664A9" w:rsidRDefault="004664A9" w:rsidP="004664A9">
      <w:pPr>
        <w:spacing w:after="120" w:line="360" w:lineRule="auto"/>
        <w:ind w:firstLine="480"/>
        <w:rPr>
          <w:rFonts w:ascii="宋体" w:hAnsi="宋体"/>
          <w:sz w:val="24"/>
        </w:rPr>
      </w:pPr>
      <w:r w:rsidRPr="00AC4D12">
        <w:rPr>
          <w:rFonts w:ascii="宋体" w:hAnsi="宋体" w:hint="eastAsia"/>
          <w:b/>
          <w:bCs/>
          <w:sz w:val="24"/>
        </w:rPr>
        <w:t>从整体趋势看，经济政策不确定性</w:t>
      </w:r>
      <w:r w:rsidR="000F6D15" w:rsidRPr="00AC4D12">
        <w:rPr>
          <w:rFonts w:ascii="宋体" w:hAnsi="宋体" w:hint="eastAsia"/>
          <w:b/>
          <w:bCs/>
          <w:sz w:val="24"/>
        </w:rPr>
        <w:t>变化</w:t>
      </w:r>
      <w:r w:rsidR="00AC4D12" w:rsidRPr="00AC4D12">
        <w:rPr>
          <w:rFonts w:ascii="宋体" w:hAnsi="宋体" w:hint="eastAsia"/>
          <w:b/>
          <w:bCs/>
          <w:sz w:val="24"/>
        </w:rPr>
        <w:t>对于股市</w:t>
      </w:r>
      <w:r w:rsidR="00745CB3">
        <w:rPr>
          <w:rFonts w:ascii="宋体" w:hAnsi="宋体" w:hint="eastAsia"/>
          <w:b/>
          <w:bCs/>
          <w:sz w:val="24"/>
        </w:rPr>
        <w:t>流动性、收益率和波动率的</w:t>
      </w:r>
      <w:r w:rsidR="00AC4D12" w:rsidRPr="00AC4D12">
        <w:rPr>
          <w:rFonts w:ascii="宋体" w:hAnsi="宋体" w:hint="eastAsia"/>
          <w:b/>
          <w:bCs/>
          <w:sz w:val="24"/>
        </w:rPr>
        <w:t>的影响</w:t>
      </w:r>
      <w:r w:rsidR="00745CB3">
        <w:rPr>
          <w:rFonts w:ascii="宋体" w:hAnsi="宋体" w:hint="eastAsia"/>
          <w:b/>
          <w:bCs/>
          <w:sz w:val="24"/>
        </w:rPr>
        <w:t>分别在</w:t>
      </w:r>
      <w:r w:rsidR="00211639">
        <w:rPr>
          <w:rFonts w:ascii="宋体" w:hAnsi="宋体" w:hint="eastAsia"/>
          <w:b/>
          <w:bCs/>
          <w:sz w:val="24"/>
        </w:rPr>
        <w:t>滞</w:t>
      </w:r>
      <w:r w:rsidR="00745CB3">
        <w:rPr>
          <w:rFonts w:ascii="宋体" w:hAnsi="宋体" w:hint="eastAsia"/>
          <w:b/>
          <w:bCs/>
          <w:sz w:val="24"/>
        </w:rPr>
        <w:t>后两</w:t>
      </w:r>
      <w:r w:rsidR="00211639">
        <w:rPr>
          <w:rFonts w:ascii="宋体" w:hAnsi="宋体" w:hint="eastAsia"/>
          <w:b/>
          <w:bCs/>
          <w:sz w:val="24"/>
        </w:rPr>
        <w:t>期</w:t>
      </w:r>
      <w:r w:rsidR="00745CB3">
        <w:rPr>
          <w:rFonts w:ascii="宋体" w:hAnsi="宋体" w:hint="eastAsia"/>
          <w:b/>
          <w:bCs/>
          <w:sz w:val="24"/>
        </w:rPr>
        <w:t>和三期时</w:t>
      </w:r>
      <w:r w:rsidR="00AC4D12" w:rsidRPr="00AC4D12">
        <w:rPr>
          <w:rFonts w:ascii="宋体" w:hAnsi="宋体" w:hint="eastAsia"/>
          <w:b/>
          <w:bCs/>
          <w:sz w:val="24"/>
        </w:rPr>
        <w:t>最</w:t>
      </w:r>
      <w:r w:rsidR="00F77C9A">
        <w:rPr>
          <w:rFonts w:ascii="宋体" w:hAnsi="宋体" w:hint="eastAsia"/>
          <w:b/>
          <w:bCs/>
          <w:sz w:val="24"/>
        </w:rPr>
        <w:t>强烈</w:t>
      </w:r>
      <w:r w:rsidR="00AC4D12" w:rsidRPr="00AC4D12">
        <w:rPr>
          <w:rFonts w:ascii="宋体" w:hAnsi="宋体" w:hint="eastAsia"/>
          <w:b/>
          <w:bCs/>
          <w:sz w:val="24"/>
        </w:rPr>
        <w:t>，</w:t>
      </w:r>
      <w:r w:rsidR="00745CB3">
        <w:rPr>
          <w:rFonts w:ascii="宋体" w:hAnsi="宋体" w:hint="eastAsia"/>
          <w:b/>
          <w:bCs/>
          <w:sz w:val="24"/>
        </w:rPr>
        <w:t>达到峰值，</w:t>
      </w:r>
      <w:r w:rsidR="00276D09">
        <w:rPr>
          <w:rFonts w:ascii="宋体" w:hAnsi="宋体" w:hint="eastAsia"/>
          <w:b/>
          <w:bCs/>
          <w:sz w:val="24"/>
        </w:rPr>
        <w:t>且</w:t>
      </w:r>
      <w:r w:rsidR="00AC4D12" w:rsidRPr="00AC4D12">
        <w:rPr>
          <w:rFonts w:ascii="宋体" w:hAnsi="宋体" w:hint="eastAsia"/>
          <w:b/>
          <w:bCs/>
          <w:sz w:val="24"/>
        </w:rPr>
        <w:t>存在较长期的影响</w:t>
      </w:r>
      <w:r w:rsidR="005A3136">
        <w:rPr>
          <w:rFonts w:ascii="宋体" w:hAnsi="宋体" w:hint="eastAsia"/>
          <w:b/>
          <w:bCs/>
          <w:sz w:val="24"/>
        </w:rPr>
        <w:t>，其中流动性受冲击影响持续时间较长</w:t>
      </w:r>
      <w:r w:rsidR="00AC4D12" w:rsidRPr="00AC4D12">
        <w:rPr>
          <w:rFonts w:ascii="宋体" w:hAnsi="宋体" w:hint="eastAsia"/>
          <w:b/>
          <w:bCs/>
          <w:sz w:val="24"/>
        </w:rPr>
        <w:t>。</w:t>
      </w:r>
      <w:r>
        <w:rPr>
          <w:rFonts w:ascii="宋体" w:hAnsi="宋体" w:hint="eastAsia"/>
          <w:sz w:val="24"/>
        </w:rPr>
        <w:t>股市收益率</w:t>
      </w:r>
      <w:r w:rsidR="00782F70">
        <w:rPr>
          <w:rFonts w:ascii="宋体" w:hAnsi="宋体" w:hint="eastAsia"/>
          <w:sz w:val="24"/>
        </w:rPr>
        <w:t>和波动率的脉冲响应值</w:t>
      </w:r>
      <w:r w:rsidRPr="00FD2536">
        <w:rPr>
          <w:rFonts w:ascii="宋体" w:hAnsi="宋体" w:hint="eastAsia"/>
          <w:sz w:val="24"/>
        </w:rPr>
        <w:t>在</w:t>
      </w:r>
      <w:r>
        <w:rPr>
          <w:rFonts w:ascii="宋体" w:hAnsi="宋体" w:hint="eastAsia"/>
          <w:sz w:val="24"/>
        </w:rPr>
        <w:t>1到</w:t>
      </w:r>
      <w:r w:rsidRPr="00FD2536">
        <w:rPr>
          <w:rFonts w:ascii="宋体" w:hAnsi="宋体" w:hint="eastAsia"/>
          <w:sz w:val="24"/>
        </w:rPr>
        <w:t>2个月内急剧</w:t>
      </w:r>
      <w:r w:rsidR="00782F70">
        <w:rPr>
          <w:rFonts w:ascii="宋体" w:hAnsi="宋体" w:hint="eastAsia"/>
          <w:sz w:val="24"/>
        </w:rPr>
        <w:t>上升</w:t>
      </w:r>
      <w:r w:rsidRPr="00FD2536">
        <w:rPr>
          <w:rFonts w:ascii="宋体" w:hAnsi="宋体" w:hint="eastAsia"/>
          <w:sz w:val="24"/>
        </w:rPr>
        <w:t>，</w:t>
      </w:r>
      <w:r w:rsidR="00782F70">
        <w:rPr>
          <w:rFonts w:ascii="宋体" w:hAnsi="宋体" w:hint="eastAsia"/>
          <w:sz w:val="24"/>
        </w:rPr>
        <w:t>分别在2月和3月后</w:t>
      </w:r>
      <w:r w:rsidRPr="00FD2536">
        <w:rPr>
          <w:rFonts w:ascii="宋体" w:hAnsi="宋体" w:hint="eastAsia"/>
          <w:sz w:val="24"/>
        </w:rPr>
        <w:t>到达</w:t>
      </w:r>
      <w:r w:rsidR="00C972FC">
        <w:rPr>
          <w:rFonts w:ascii="宋体" w:hAnsi="宋体" w:hint="eastAsia"/>
          <w:sz w:val="24"/>
        </w:rPr>
        <w:t>最</w:t>
      </w:r>
      <w:r w:rsidR="00782F70">
        <w:rPr>
          <w:rFonts w:ascii="宋体" w:hAnsi="宋体" w:hint="eastAsia"/>
          <w:sz w:val="24"/>
        </w:rPr>
        <w:t>高</w:t>
      </w:r>
      <w:r w:rsidR="00C972FC">
        <w:rPr>
          <w:rFonts w:ascii="宋体" w:hAnsi="宋体" w:hint="eastAsia"/>
          <w:sz w:val="24"/>
        </w:rPr>
        <w:t>值</w:t>
      </w:r>
      <w:r w:rsidRPr="00FD2536">
        <w:rPr>
          <w:rFonts w:ascii="宋体" w:hAnsi="宋体" w:hint="eastAsia"/>
          <w:sz w:val="24"/>
        </w:rPr>
        <w:t>，之后</w:t>
      </w:r>
      <w:r w:rsidR="00C972FC">
        <w:rPr>
          <w:rFonts w:ascii="宋体" w:hAnsi="宋体" w:hint="eastAsia"/>
          <w:sz w:val="24"/>
        </w:rPr>
        <w:t>开始</w:t>
      </w:r>
      <w:r w:rsidR="00782F70">
        <w:rPr>
          <w:rFonts w:ascii="宋体" w:hAnsi="宋体" w:hint="eastAsia"/>
          <w:sz w:val="24"/>
        </w:rPr>
        <w:t>波动型下降</w:t>
      </w:r>
      <w:r w:rsidR="000F6D15">
        <w:rPr>
          <w:rFonts w:ascii="宋体" w:hAnsi="宋体" w:hint="eastAsia"/>
          <w:sz w:val="24"/>
        </w:rPr>
        <w:t>，</w:t>
      </w:r>
      <w:r w:rsidRPr="00FD2536">
        <w:rPr>
          <w:rFonts w:ascii="宋体" w:hAnsi="宋体" w:hint="eastAsia"/>
          <w:sz w:val="24"/>
        </w:rPr>
        <w:t>约</w:t>
      </w:r>
      <w:r w:rsidR="00782F70">
        <w:rPr>
          <w:rFonts w:ascii="宋体" w:hAnsi="宋体"/>
          <w:sz w:val="24"/>
        </w:rPr>
        <w:t>10</w:t>
      </w:r>
      <w:r w:rsidRPr="00FD2536">
        <w:rPr>
          <w:rFonts w:ascii="宋体" w:hAnsi="宋体" w:hint="eastAsia"/>
          <w:sz w:val="24"/>
        </w:rPr>
        <w:t>到</w:t>
      </w:r>
      <w:r w:rsidR="00782F70">
        <w:rPr>
          <w:rFonts w:ascii="宋体" w:hAnsi="宋体" w:hint="eastAsia"/>
          <w:sz w:val="24"/>
        </w:rPr>
        <w:t>1</w:t>
      </w:r>
      <w:r w:rsidR="00782F70">
        <w:rPr>
          <w:rFonts w:ascii="宋体" w:hAnsi="宋体"/>
          <w:sz w:val="24"/>
        </w:rPr>
        <w:t>1</w:t>
      </w:r>
      <w:r w:rsidRPr="00FD2536">
        <w:rPr>
          <w:rFonts w:ascii="宋体" w:hAnsi="宋体" w:hint="eastAsia"/>
          <w:sz w:val="24"/>
        </w:rPr>
        <w:t>个月后，经济政策不确定性</w:t>
      </w:r>
      <w:r w:rsidR="00782F70">
        <w:rPr>
          <w:rFonts w:ascii="宋体" w:hAnsi="宋体" w:hint="eastAsia"/>
          <w:sz w:val="24"/>
        </w:rPr>
        <w:t>对收益率</w:t>
      </w:r>
      <w:r w:rsidRPr="00FD2536">
        <w:rPr>
          <w:rFonts w:ascii="宋体" w:hAnsi="宋体" w:hint="eastAsia"/>
          <w:sz w:val="24"/>
        </w:rPr>
        <w:t>的影响消失</w:t>
      </w:r>
      <w:r w:rsidR="00782F70">
        <w:rPr>
          <w:rFonts w:ascii="宋体" w:hAnsi="宋体" w:hint="eastAsia"/>
          <w:sz w:val="24"/>
        </w:rPr>
        <w:t>，</w:t>
      </w:r>
      <w:r w:rsidR="000F6D15">
        <w:rPr>
          <w:rFonts w:ascii="宋体" w:hAnsi="宋体" w:hint="eastAsia"/>
          <w:sz w:val="24"/>
        </w:rPr>
        <w:t>股市流动性</w:t>
      </w:r>
      <w:r w:rsidR="00AC4D12">
        <w:rPr>
          <w:rFonts w:ascii="宋体" w:hAnsi="宋体" w:hint="eastAsia"/>
          <w:sz w:val="24"/>
        </w:rPr>
        <w:t>受冲击影响后在7至8个月后逐渐消失；而股市波动性受冲击的影响持续时间更长，在约</w:t>
      </w:r>
      <w:r w:rsidR="00F97B35">
        <w:rPr>
          <w:rFonts w:ascii="宋体" w:hAnsi="宋体"/>
          <w:sz w:val="24"/>
        </w:rPr>
        <w:t>16</w:t>
      </w:r>
      <w:r w:rsidR="00AC4D12">
        <w:rPr>
          <w:rFonts w:ascii="宋体" w:hAnsi="宋体" w:hint="eastAsia"/>
          <w:sz w:val="24"/>
        </w:rPr>
        <w:t>至1</w:t>
      </w:r>
      <w:r w:rsidR="00F97B35">
        <w:rPr>
          <w:rFonts w:ascii="宋体" w:hAnsi="宋体"/>
          <w:sz w:val="24"/>
        </w:rPr>
        <w:t>7</w:t>
      </w:r>
      <w:r w:rsidR="00AC4D12">
        <w:rPr>
          <w:rFonts w:ascii="宋体" w:hAnsi="宋体" w:hint="eastAsia"/>
          <w:sz w:val="24"/>
        </w:rPr>
        <w:t>个月左右消失</w:t>
      </w:r>
      <w:r w:rsidR="001A6C3A">
        <w:rPr>
          <w:rFonts w:ascii="宋体" w:hAnsi="宋体" w:hint="eastAsia"/>
          <w:sz w:val="24"/>
        </w:rPr>
        <w:t>。</w:t>
      </w:r>
      <w:r w:rsidR="00D82C0E">
        <w:rPr>
          <w:rFonts w:ascii="宋体" w:hAnsi="宋体" w:hint="eastAsia"/>
          <w:sz w:val="24"/>
        </w:rPr>
        <w:t>这一结果与MP理论相一致，政策不确定性的冲击存在明显的</w:t>
      </w:r>
      <w:r w:rsidR="007C746E">
        <w:rPr>
          <w:rFonts w:ascii="宋体" w:hAnsi="宋体" w:hint="eastAsia"/>
          <w:sz w:val="24"/>
        </w:rPr>
        <w:t>滞后</w:t>
      </w:r>
      <w:r w:rsidR="00D82C0E">
        <w:rPr>
          <w:rFonts w:ascii="宋体" w:hAnsi="宋体" w:hint="eastAsia"/>
          <w:sz w:val="24"/>
        </w:rPr>
        <w:t>效果。</w:t>
      </w:r>
    </w:p>
    <w:p w14:paraId="4E5CA05C" w14:textId="7C64A626" w:rsidR="00D30FD1" w:rsidRPr="00EF0883" w:rsidRDefault="00895E23" w:rsidP="00EF0883">
      <w:pPr>
        <w:spacing w:after="120" w:line="360" w:lineRule="auto"/>
        <w:ind w:firstLine="480"/>
        <w:rPr>
          <w:rFonts w:ascii="宋体" w:hAnsi="宋体"/>
          <w:sz w:val="24"/>
        </w:rPr>
      </w:pPr>
      <w:r>
        <w:rPr>
          <w:rFonts w:ascii="宋体" w:hAnsi="宋体" w:hint="eastAsia"/>
          <w:sz w:val="24"/>
        </w:rPr>
        <w:t>其次</w:t>
      </w:r>
      <w:r w:rsidR="004664A9">
        <w:rPr>
          <w:rFonts w:ascii="宋体" w:hAnsi="宋体" w:hint="eastAsia"/>
          <w:sz w:val="24"/>
        </w:rPr>
        <w:t>，</w:t>
      </w:r>
      <w:r w:rsidR="004664A9" w:rsidRPr="00570FB0">
        <w:rPr>
          <w:rFonts w:ascii="宋体" w:hAnsi="宋体" w:hint="eastAsia"/>
          <w:b/>
          <w:bCs/>
          <w:sz w:val="24"/>
        </w:rPr>
        <w:t>EPU指数不同波动状态</w:t>
      </w:r>
      <w:r w:rsidRPr="00570FB0">
        <w:rPr>
          <w:rFonts w:ascii="宋体" w:hAnsi="宋体" w:hint="eastAsia"/>
          <w:b/>
          <w:bCs/>
          <w:sz w:val="24"/>
        </w:rPr>
        <w:t>的</w:t>
      </w:r>
      <w:r w:rsidR="00570FB0" w:rsidRPr="00570FB0">
        <w:rPr>
          <w:rFonts w:ascii="宋体" w:hAnsi="宋体" w:hint="eastAsia"/>
          <w:b/>
          <w:bCs/>
          <w:sz w:val="24"/>
        </w:rPr>
        <w:t>所属</w:t>
      </w:r>
      <w:r w:rsidRPr="00570FB0">
        <w:rPr>
          <w:rFonts w:ascii="宋体" w:hAnsi="宋体" w:hint="eastAsia"/>
          <w:b/>
          <w:bCs/>
          <w:sz w:val="24"/>
        </w:rPr>
        <w:t>区制</w:t>
      </w:r>
      <w:r w:rsidR="004664A9" w:rsidRPr="00570FB0">
        <w:rPr>
          <w:rFonts w:ascii="宋体" w:hAnsi="宋体" w:hint="eastAsia"/>
          <w:b/>
          <w:bCs/>
          <w:sz w:val="24"/>
        </w:rPr>
        <w:t>下</w:t>
      </w:r>
      <w:r w:rsidR="00570FB0" w:rsidRPr="00570FB0">
        <w:rPr>
          <w:rFonts w:ascii="宋体" w:hAnsi="宋体" w:hint="eastAsia"/>
          <w:b/>
          <w:bCs/>
          <w:sz w:val="24"/>
        </w:rPr>
        <w:t>，</w:t>
      </w:r>
      <w:r w:rsidR="00057C8A">
        <w:rPr>
          <w:rFonts w:ascii="宋体" w:hAnsi="宋体" w:hint="eastAsia"/>
          <w:b/>
          <w:bCs/>
          <w:sz w:val="24"/>
        </w:rPr>
        <w:t>经济政策不确定性对于股市的冲击效果</w:t>
      </w:r>
      <w:r w:rsidR="004664A9" w:rsidRPr="00570FB0">
        <w:rPr>
          <w:rFonts w:ascii="宋体" w:hAnsi="宋体" w:hint="eastAsia"/>
          <w:b/>
          <w:bCs/>
          <w:sz w:val="24"/>
        </w:rPr>
        <w:t>存在</w:t>
      </w:r>
      <w:r w:rsidR="00570FB0" w:rsidRPr="00570FB0">
        <w:rPr>
          <w:rFonts w:ascii="宋体" w:hAnsi="宋体" w:hint="eastAsia"/>
          <w:b/>
          <w:bCs/>
          <w:sz w:val="24"/>
        </w:rPr>
        <w:t>较大</w:t>
      </w:r>
      <w:r w:rsidR="004664A9" w:rsidRPr="00570FB0">
        <w:rPr>
          <w:rFonts w:ascii="宋体" w:hAnsi="宋体" w:hint="eastAsia"/>
          <w:b/>
          <w:bCs/>
          <w:sz w:val="24"/>
        </w:rPr>
        <w:t>差异</w:t>
      </w:r>
      <w:r w:rsidR="00570FB0">
        <w:rPr>
          <w:rFonts w:ascii="宋体" w:hAnsi="宋体" w:hint="eastAsia"/>
          <w:sz w:val="24"/>
        </w:rPr>
        <w:t>。</w:t>
      </w:r>
      <w:r w:rsidR="00002634">
        <w:rPr>
          <w:rFonts w:ascii="宋体" w:hAnsi="宋体" w:hint="eastAsia"/>
          <w:sz w:val="24"/>
        </w:rPr>
        <w:t>从区制1</w:t>
      </w:r>
      <w:r w:rsidR="00002634">
        <w:rPr>
          <w:rFonts w:ascii="宋体" w:hAnsi="宋体"/>
          <w:sz w:val="24"/>
        </w:rPr>
        <w:t xml:space="preserve"> </w:t>
      </w:r>
      <w:r w:rsidR="00002634">
        <w:rPr>
          <w:rFonts w:ascii="宋体" w:hAnsi="宋体" w:hint="eastAsia"/>
          <w:sz w:val="24"/>
        </w:rPr>
        <w:t>到区制</w:t>
      </w:r>
      <w:r w:rsidR="00002634">
        <w:rPr>
          <w:rFonts w:ascii="宋体" w:hAnsi="宋体"/>
          <w:sz w:val="24"/>
        </w:rPr>
        <w:t>3</w:t>
      </w:r>
      <w:r w:rsidR="00002634">
        <w:rPr>
          <w:rFonts w:ascii="宋体" w:hAnsi="宋体" w:hint="eastAsia"/>
          <w:sz w:val="24"/>
        </w:rPr>
        <w:t>，</w:t>
      </w:r>
      <w:r w:rsidR="00057C8A">
        <w:rPr>
          <w:rFonts w:ascii="宋体" w:hAnsi="宋体" w:hint="eastAsia"/>
          <w:sz w:val="24"/>
        </w:rPr>
        <w:t>脉冲响应值的范围分别为</w:t>
      </w:r>
      <w:r w:rsidR="00057C8A">
        <w:rPr>
          <w:rFonts w:ascii="宋体" w:hAnsi="宋体"/>
          <w:sz w:val="24"/>
        </w:rPr>
        <w:t>[-0.2,0.2],[-0.25,0.25],[-0.5,0.5]</w:t>
      </w:r>
      <w:r w:rsidR="00DB75A6">
        <w:rPr>
          <w:rFonts w:ascii="宋体" w:hAnsi="宋体" w:hint="eastAsia"/>
          <w:sz w:val="24"/>
        </w:rPr>
        <w:t>，</w:t>
      </w:r>
      <w:r w:rsidR="00342EF8">
        <w:rPr>
          <w:rFonts w:ascii="宋体" w:hAnsi="宋体" w:hint="eastAsia"/>
          <w:sz w:val="24"/>
        </w:rPr>
        <w:t>各变量受冲击影响的反应逐步增强。</w:t>
      </w:r>
      <w:r w:rsidR="003300AD">
        <w:rPr>
          <w:rFonts w:ascii="宋体" w:hAnsi="宋体" w:hint="eastAsia"/>
          <w:sz w:val="24"/>
        </w:rPr>
        <w:t>原因可能在于当处于高波动状态的区制下时，经济政策不确定性指数的高企意味</w:t>
      </w:r>
      <w:r w:rsidR="003300AD">
        <w:rPr>
          <w:rFonts w:ascii="宋体" w:hAnsi="宋体" w:hint="eastAsia"/>
          <w:sz w:val="24"/>
        </w:rPr>
        <w:lastRenderedPageBreak/>
        <w:t>着不稳定的经济形势，为了</w:t>
      </w:r>
      <w:r w:rsidR="00437247">
        <w:rPr>
          <w:rFonts w:ascii="宋体" w:hAnsi="宋体" w:hint="eastAsia"/>
          <w:sz w:val="24"/>
        </w:rPr>
        <w:t>恢复经济的平稳运行政府政策会出现转向，出台一系列刺激性、维稳政策，</w:t>
      </w:r>
      <w:r w:rsidR="00437247" w:rsidRPr="00437247">
        <w:rPr>
          <w:rFonts w:ascii="宋体" w:hAnsi="宋体" w:hint="eastAsia"/>
          <w:sz w:val="24"/>
        </w:rPr>
        <w:t>导致了经济政策不确定性指数居高不下</w:t>
      </w:r>
      <w:r w:rsidR="00437247">
        <w:rPr>
          <w:rFonts w:ascii="宋体" w:hAnsi="宋体" w:hint="eastAsia"/>
          <w:sz w:val="24"/>
        </w:rPr>
        <w:t>，</w:t>
      </w:r>
      <w:r w:rsidR="00437247" w:rsidRPr="00437247">
        <w:rPr>
          <w:rFonts w:ascii="宋体" w:hAnsi="宋体" w:hint="eastAsia"/>
          <w:sz w:val="24"/>
        </w:rPr>
        <w:t>而投资者</w:t>
      </w:r>
      <w:r w:rsidR="00437247">
        <w:rPr>
          <w:rFonts w:ascii="宋体" w:hAnsi="宋体" w:hint="eastAsia"/>
          <w:sz w:val="24"/>
        </w:rPr>
        <w:t>对于</w:t>
      </w:r>
      <w:r w:rsidR="00437247" w:rsidRPr="00437247">
        <w:rPr>
          <w:rFonts w:ascii="宋体" w:hAnsi="宋体" w:hint="eastAsia"/>
          <w:sz w:val="24"/>
        </w:rPr>
        <w:t>新出台的政策</w:t>
      </w:r>
      <w:r w:rsidR="00437247">
        <w:rPr>
          <w:rFonts w:ascii="宋体" w:hAnsi="宋体" w:hint="eastAsia"/>
          <w:sz w:val="24"/>
        </w:rPr>
        <w:t>影响、方向、持续时间难以把握</w:t>
      </w:r>
      <w:r w:rsidR="00437247" w:rsidRPr="00437247">
        <w:rPr>
          <w:rFonts w:ascii="宋体" w:hAnsi="宋体" w:hint="eastAsia"/>
          <w:sz w:val="24"/>
        </w:rPr>
        <w:t>，</w:t>
      </w:r>
      <w:r w:rsidR="00437247">
        <w:rPr>
          <w:rFonts w:ascii="宋体" w:hAnsi="宋体" w:hint="eastAsia"/>
          <w:sz w:val="24"/>
        </w:rPr>
        <w:t>因此</w:t>
      </w:r>
      <w:r w:rsidR="00437247" w:rsidRPr="00437247">
        <w:rPr>
          <w:rFonts w:ascii="宋体" w:hAnsi="宋体" w:hint="eastAsia"/>
          <w:sz w:val="24"/>
        </w:rPr>
        <w:t>预期的分歧也随之增加，影响了机构投资者的投资决策，造成了股市的波动。</w:t>
      </w:r>
      <w:r w:rsidR="00EF0883">
        <w:rPr>
          <w:sz w:val="28"/>
          <w:szCs w:val="28"/>
        </w:rPr>
        <w:t xml:space="preserve"> </w:t>
      </w:r>
    </w:p>
    <w:p w14:paraId="6026210C" w14:textId="3E293573" w:rsidR="00EF0883" w:rsidRPr="00710BAB" w:rsidRDefault="00EF0883" w:rsidP="00EF0883">
      <w:pPr>
        <w:pStyle w:val="2"/>
        <w:spacing w:before="156" w:after="156"/>
        <w:ind w:firstLine="600"/>
      </w:pPr>
      <w:bookmarkStart w:id="28" w:name="_Toc135748086"/>
      <w:r w:rsidRPr="00710BAB">
        <w:t>4.4</w:t>
      </w:r>
      <w:r w:rsidRPr="00710BAB">
        <w:rPr>
          <w:rFonts w:hint="eastAsia"/>
        </w:rPr>
        <w:t>稳健性检验</w:t>
      </w:r>
      <w:bookmarkEnd w:id="28"/>
    </w:p>
    <w:p w14:paraId="3D631ED1" w14:textId="52EC6078" w:rsidR="00EF0883" w:rsidRPr="00EF0883" w:rsidRDefault="00EF0883" w:rsidP="00EF0883">
      <w:pPr>
        <w:pStyle w:val="3"/>
        <w:spacing w:before="156" w:after="156"/>
        <w:ind w:firstLine="560"/>
      </w:pPr>
      <w:bookmarkStart w:id="29" w:name="_Toc135748087"/>
      <w:r>
        <w:t>4.4.1</w:t>
      </w:r>
      <w:r w:rsidRPr="00DB0FE3">
        <w:rPr>
          <w:rFonts w:hint="eastAsia"/>
        </w:rPr>
        <w:t>分类</w:t>
      </w:r>
      <w:r>
        <w:rPr>
          <w:rFonts w:hint="eastAsia"/>
        </w:rPr>
        <w:t>经济</w:t>
      </w:r>
      <w:r w:rsidRPr="00DB0FE3">
        <w:rPr>
          <w:rFonts w:hint="eastAsia"/>
        </w:rPr>
        <w:t>政策回归结果分析</w:t>
      </w:r>
      <w:bookmarkEnd w:id="29"/>
    </w:p>
    <w:p w14:paraId="5280D817" w14:textId="76210A49" w:rsidR="00D30FD1" w:rsidRDefault="00D30FD1" w:rsidP="00D30FD1">
      <w:pPr>
        <w:spacing w:after="120" w:line="360" w:lineRule="auto"/>
        <w:ind w:firstLine="480"/>
        <w:rPr>
          <w:rFonts w:ascii="宋体" w:hAnsi="宋体"/>
          <w:sz w:val="24"/>
        </w:rPr>
      </w:pPr>
      <w:r>
        <w:rPr>
          <w:rFonts w:ascii="宋体" w:hAnsi="宋体" w:hint="eastAsia"/>
          <w:sz w:val="24"/>
        </w:rPr>
        <w:t>本部分使用各分类政策不确定性指数分别建立</w:t>
      </w:r>
      <w:r w:rsidRPr="00A16AC1">
        <w:rPr>
          <w:rFonts w:ascii="宋体" w:hAnsi="宋体"/>
          <w:sz w:val="24"/>
        </w:rPr>
        <w:t>MSIH(3)－VAR(</w:t>
      </w:r>
      <w:r>
        <w:rPr>
          <w:rFonts w:ascii="宋体" w:hAnsi="宋体"/>
          <w:sz w:val="24"/>
        </w:rPr>
        <w:t>3</w:t>
      </w:r>
      <w:r w:rsidRPr="00A16AC1">
        <w:rPr>
          <w:rFonts w:ascii="宋体" w:hAnsi="宋体"/>
          <w:sz w:val="24"/>
        </w:rPr>
        <w:t>)模型</w:t>
      </w:r>
      <w:r>
        <w:rPr>
          <w:rFonts w:ascii="宋体" w:hAnsi="宋体" w:hint="eastAsia"/>
          <w:sz w:val="24"/>
        </w:rPr>
        <w:t>，并</w:t>
      </w:r>
      <w:r w:rsidRPr="00A16AC1">
        <w:rPr>
          <w:rFonts w:ascii="宋体" w:hAnsi="宋体"/>
          <w:sz w:val="24"/>
        </w:rPr>
        <w:t>在模型估计的基础上做非线性脉冲响应函数，</w:t>
      </w:r>
      <w:r w:rsidR="00AB4186">
        <w:rPr>
          <w:rFonts w:ascii="宋体" w:hAnsi="宋体" w:hint="eastAsia"/>
          <w:sz w:val="24"/>
        </w:rPr>
        <w:t>比较</w:t>
      </w:r>
      <w:r w:rsidRPr="00A16AC1">
        <w:rPr>
          <w:rFonts w:ascii="宋体" w:hAnsi="宋体"/>
          <w:sz w:val="24"/>
        </w:rPr>
        <w:t>脉冲响应</w:t>
      </w:r>
      <w:r w:rsidR="00AB4186">
        <w:rPr>
          <w:rFonts w:ascii="宋体" w:hAnsi="宋体" w:hint="eastAsia"/>
          <w:sz w:val="24"/>
        </w:rPr>
        <w:t>结果</w:t>
      </w:r>
      <w:r w:rsidRPr="00A16AC1">
        <w:rPr>
          <w:rFonts w:ascii="宋体" w:hAnsi="宋体"/>
          <w:sz w:val="24"/>
        </w:rPr>
        <w:t>可以进一步考察</w:t>
      </w:r>
      <w:r>
        <w:rPr>
          <w:rFonts w:ascii="宋体" w:hAnsi="宋体" w:hint="eastAsia"/>
          <w:sz w:val="24"/>
        </w:rPr>
        <w:t>不同经济政策不确定性的</w:t>
      </w:r>
      <w:r w:rsidRPr="00A16AC1">
        <w:rPr>
          <w:rFonts w:ascii="宋体" w:hAnsi="宋体"/>
          <w:sz w:val="24"/>
        </w:rPr>
        <w:t>波动对</w:t>
      </w:r>
      <w:r>
        <w:rPr>
          <w:rFonts w:ascii="宋体" w:hAnsi="宋体" w:hint="eastAsia"/>
          <w:sz w:val="24"/>
        </w:rPr>
        <w:t>股市收益率、波动率</w:t>
      </w:r>
      <w:r w:rsidRPr="00A16AC1">
        <w:rPr>
          <w:rFonts w:ascii="宋体" w:hAnsi="宋体"/>
          <w:sz w:val="24"/>
        </w:rPr>
        <w:t>的短期</w:t>
      </w:r>
      <w:r>
        <w:rPr>
          <w:rFonts w:ascii="宋体" w:hAnsi="宋体" w:hint="eastAsia"/>
          <w:sz w:val="24"/>
        </w:rPr>
        <w:t>及长期</w:t>
      </w:r>
      <w:r w:rsidRPr="00A16AC1">
        <w:rPr>
          <w:rFonts w:ascii="宋体" w:hAnsi="宋体"/>
          <w:sz w:val="24"/>
        </w:rPr>
        <w:t>影响，并</w:t>
      </w:r>
      <w:r>
        <w:rPr>
          <w:rFonts w:ascii="宋体" w:hAnsi="宋体" w:hint="eastAsia"/>
          <w:sz w:val="24"/>
        </w:rPr>
        <w:t>通过</w:t>
      </w:r>
      <w:r w:rsidRPr="00A16AC1">
        <w:rPr>
          <w:rFonts w:ascii="宋体" w:hAnsi="宋体"/>
          <w:sz w:val="24"/>
        </w:rPr>
        <w:t>比较不同区制下的差异性</w:t>
      </w:r>
      <w:r>
        <w:rPr>
          <w:rFonts w:ascii="宋体" w:hAnsi="宋体" w:hint="eastAsia"/>
          <w:sz w:val="24"/>
        </w:rPr>
        <w:t>结果</w:t>
      </w:r>
      <w:r w:rsidRPr="00A16AC1">
        <w:rPr>
          <w:rFonts w:ascii="宋体" w:hAnsi="宋体"/>
          <w:sz w:val="24"/>
        </w:rPr>
        <w:t>，说明三种区制状态下影响的不同效果</w:t>
      </w:r>
      <w:r>
        <w:rPr>
          <w:rFonts w:ascii="宋体" w:hAnsi="宋体" w:hint="eastAsia"/>
          <w:sz w:val="24"/>
        </w:rPr>
        <w:t>。</w:t>
      </w:r>
    </w:p>
    <w:p w14:paraId="6B8A5115" w14:textId="59E9ED63" w:rsidR="00D30FD1" w:rsidRPr="00812280" w:rsidRDefault="00D30FD1" w:rsidP="00812280">
      <w:pPr>
        <w:spacing w:after="120" w:line="360" w:lineRule="auto"/>
        <w:ind w:firstLine="480"/>
        <w:rPr>
          <w:rFonts w:ascii="宋体" w:hAnsi="宋体"/>
          <w:sz w:val="24"/>
        </w:rPr>
      </w:pPr>
      <w:r w:rsidRPr="00A16AC1">
        <w:rPr>
          <w:rFonts w:ascii="宋体" w:hAnsi="宋体"/>
          <w:sz w:val="24"/>
        </w:rPr>
        <w:t>图</w:t>
      </w:r>
      <w:r>
        <w:rPr>
          <w:rFonts w:ascii="宋体" w:hAnsi="宋体" w:hint="eastAsia"/>
          <w:sz w:val="24"/>
        </w:rPr>
        <w:t>3</w:t>
      </w:r>
      <w:r w:rsidR="00912EA1">
        <w:rPr>
          <w:rFonts w:ascii="宋体" w:hAnsi="宋体" w:hint="eastAsia"/>
          <w:sz w:val="24"/>
        </w:rPr>
        <w:t>从左至右</w:t>
      </w:r>
      <w:r w:rsidRPr="00A16AC1">
        <w:rPr>
          <w:rFonts w:ascii="宋体" w:hAnsi="宋体"/>
          <w:sz w:val="24"/>
        </w:rPr>
        <w:t>分别给出了不同区制下</w:t>
      </w:r>
      <w:r>
        <w:rPr>
          <w:rFonts w:ascii="宋体" w:hAnsi="宋体" w:hint="eastAsia"/>
          <w:sz w:val="24"/>
        </w:rPr>
        <w:t>股市流动性、收益率、波动率</w:t>
      </w:r>
      <w:r w:rsidR="00912EA1">
        <w:rPr>
          <w:rFonts w:ascii="宋体" w:hAnsi="宋体" w:hint="eastAsia"/>
          <w:sz w:val="24"/>
        </w:rPr>
        <w:t>受到</w:t>
      </w:r>
      <w:r w:rsidRPr="00A16AC1">
        <w:rPr>
          <w:rFonts w:ascii="宋体" w:hAnsi="宋体"/>
          <w:sz w:val="24"/>
        </w:rPr>
        <w:t>1单位</w:t>
      </w:r>
      <w:r w:rsidR="00912EA1">
        <w:rPr>
          <w:rFonts w:ascii="宋体" w:hAnsi="宋体" w:hint="eastAsia"/>
          <w:sz w:val="24"/>
        </w:rPr>
        <w:t>财政</w:t>
      </w:r>
      <w:r>
        <w:rPr>
          <w:rFonts w:ascii="宋体" w:hAnsi="宋体" w:hint="eastAsia"/>
          <w:sz w:val="24"/>
        </w:rPr>
        <w:t>政策不确定性</w:t>
      </w:r>
      <w:r w:rsidR="00912EA1">
        <w:rPr>
          <w:rFonts w:ascii="宋体" w:hAnsi="宋体" w:hint="eastAsia"/>
          <w:sz w:val="24"/>
        </w:rPr>
        <w:t>、货币政策不确定性、贸易政策不确定性的</w:t>
      </w:r>
      <w:r w:rsidRPr="00A16AC1">
        <w:rPr>
          <w:rFonts w:ascii="宋体" w:hAnsi="宋体"/>
          <w:sz w:val="24"/>
        </w:rPr>
        <w:t>正向冲击的累计脉冲响应(滞后期为</w:t>
      </w:r>
      <w:r w:rsidR="00ED24FE">
        <w:rPr>
          <w:rFonts w:ascii="宋体" w:hAnsi="宋体"/>
          <w:sz w:val="24"/>
        </w:rPr>
        <w:t>3</w:t>
      </w:r>
      <w:r w:rsidRPr="00A16AC1">
        <w:rPr>
          <w:rFonts w:ascii="宋体" w:hAnsi="宋体"/>
          <w:sz w:val="24"/>
        </w:rPr>
        <w:t>0期)。由上至下三</w:t>
      </w:r>
      <w:r>
        <w:rPr>
          <w:rFonts w:ascii="宋体" w:hAnsi="宋体" w:hint="eastAsia"/>
          <w:sz w:val="24"/>
        </w:rPr>
        <w:t>行</w:t>
      </w:r>
      <w:r w:rsidRPr="00A16AC1">
        <w:rPr>
          <w:rFonts w:ascii="宋体" w:hAnsi="宋体"/>
          <w:sz w:val="24"/>
        </w:rPr>
        <w:t>图分别为对</w:t>
      </w:r>
      <w:r>
        <w:rPr>
          <w:rFonts w:ascii="宋体" w:hAnsi="宋体" w:hint="eastAsia"/>
          <w:sz w:val="24"/>
        </w:rPr>
        <w:t>政策不确定性</w:t>
      </w:r>
      <w:r w:rsidRPr="00A16AC1">
        <w:rPr>
          <w:rFonts w:ascii="宋体" w:hAnsi="宋体"/>
          <w:sz w:val="24"/>
        </w:rPr>
        <w:t>波动正交脉冲冲击在区制1、2、3上的响</w:t>
      </w:r>
      <w:r w:rsidRPr="00A16AC1">
        <w:rPr>
          <w:rFonts w:ascii="宋体" w:hAnsi="宋体" w:hint="eastAsia"/>
          <w:sz w:val="24"/>
        </w:rPr>
        <w:t>应</w:t>
      </w:r>
      <w:r>
        <w:rPr>
          <w:rFonts w:ascii="宋体" w:hAnsi="宋体" w:hint="eastAsia"/>
          <w:sz w:val="24"/>
        </w:rPr>
        <w:t>。</w:t>
      </w:r>
    </w:p>
    <w:p w14:paraId="3CBB657E" w14:textId="77777777" w:rsidR="00812280" w:rsidRDefault="00812280" w:rsidP="00812280">
      <w:pPr>
        <w:keepNext/>
      </w:pPr>
      <w:r>
        <w:rPr>
          <w:noProof/>
          <w14:ligatures w14:val="standardContextual"/>
        </w:rPr>
        <w:drawing>
          <wp:inline distT="0" distB="0" distL="0" distR="0" wp14:anchorId="079C7711" wp14:editId="2739688C">
            <wp:extent cx="5274310" cy="3168650"/>
            <wp:effectExtent l="0" t="0" r="2540" b="0"/>
            <wp:docPr id="197080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03060" name=""/>
                    <pic:cNvPicPr/>
                  </pic:nvPicPr>
                  <pic:blipFill>
                    <a:blip r:embed="rId21"/>
                    <a:stretch>
                      <a:fillRect/>
                    </a:stretch>
                  </pic:blipFill>
                  <pic:spPr>
                    <a:xfrm>
                      <a:off x="0" y="0"/>
                      <a:ext cx="5274310" cy="3168650"/>
                    </a:xfrm>
                    <a:prstGeom prst="rect">
                      <a:avLst/>
                    </a:prstGeom>
                  </pic:spPr>
                </pic:pic>
              </a:graphicData>
            </a:graphic>
          </wp:inline>
        </w:drawing>
      </w:r>
    </w:p>
    <w:p w14:paraId="12EBA923" w14:textId="5FDBA83D" w:rsidR="00090BF4" w:rsidRPr="00F5554C" w:rsidRDefault="00812280" w:rsidP="00F5554C">
      <w:pPr>
        <w:pStyle w:val="Caption"/>
        <w:jc w:val="center"/>
        <w:rPr>
          <w:color w:val="auto"/>
        </w:rPr>
      </w:pPr>
      <w:r w:rsidRPr="00812280">
        <w:rPr>
          <w:color w:val="auto"/>
        </w:rPr>
        <w:t xml:space="preserve">Figure </w:t>
      </w:r>
      <w:r w:rsidRPr="00812280">
        <w:rPr>
          <w:color w:val="auto"/>
        </w:rPr>
        <w:fldChar w:fldCharType="begin"/>
      </w:r>
      <w:r w:rsidRPr="00812280">
        <w:rPr>
          <w:color w:val="auto"/>
        </w:rPr>
        <w:instrText xml:space="preserve"> SEQ Figure \* ARABIC </w:instrText>
      </w:r>
      <w:r w:rsidRPr="00812280">
        <w:rPr>
          <w:color w:val="auto"/>
        </w:rPr>
        <w:fldChar w:fldCharType="separate"/>
      </w:r>
      <w:r w:rsidRPr="00812280">
        <w:rPr>
          <w:noProof/>
          <w:color w:val="auto"/>
        </w:rPr>
        <w:t>5</w:t>
      </w:r>
      <w:r w:rsidRPr="00812280">
        <w:rPr>
          <w:color w:val="auto"/>
        </w:rPr>
        <w:fldChar w:fldCharType="end"/>
      </w:r>
      <w:r w:rsidRPr="00812280">
        <w:rPr>
          <w:color w:val="auto"/>
        </w:rPr>
        <w:t xml:space="preserve"> </w:t>
      </w:r>
      <w:r w:rsidRPr="00812280">
        <w:rPr>
          <w:rFonts w:hint="eastAsia"/>
          <w:color w:val="auto"/>
        </w:rPr>
        <w:t>各分类财政政策不确定性脉冲响应结果</w:t>
      </w:r>
    </w:p>
    <w:p w14:paraId="61CF06CB" w14:textId="29A2C843" w:rsidR="007C4141" w:rsidRDefault="00B7550C" w:rsidP="007C4141">
      <w:pPr>
        <w:spacing w:after="120" w:line="360" w:lineRule="auto"/>
        <w:ind w:firstLine="480"/>
        <w:rPr>
          <w:rFonts w:ascii="宋体" w:hAnsi="宋体"/>
          <w:sz w:val="24"/>
        </w:rPr>
      </w:pPr>
      <w:r>
        <w:rPr>
          <w:rFonts w:ascii="宋体" w:hAnsi="宋体" w:hint="eastAsia"/>
          <w:sz w:val="24"/>
        </w:rPr>
        <w:t>响应结果与经济政策不确定的冲击响应结果相似，都在滞后1</w:t>
      </w:r>
      <w:r>
        <w:rPr>
          <w:rFonts w:ascii="宋体" w:hAnsi="宋体"/>
          <w:sz w:val="24"/>
        </w:rPr>
        <w:t>-3</w:t>
      </w:r>
      <w:r>
        <w:rPr>
          <w:rFonts w:ascii="宋体" w:hAnsi="宋体" w:hint="eastAsia"/>
          <w:sz w:val="24"/>
        </w:rPr>
        <w:t>期的范围内达到峰值，</w:t>
      </w:r>
      <w:r w:rsidR="007C4141" w:rsidRPr="007C4141">
        <w:rPr>
          <w:rFonts w:ascii="宋体" w:hAnsi="宋体" w:hint="eastAsia"/>
          <w:sz w:val="24"/>
        </w:rPr>
        <w:t>其中财政政策不确定性</w:t>
      </w:r>
      <w:r w:rsidR="005C44E1">
        <w:rPr>
          <w:rFonts w:ascii="宋体" w:hAnsi="宋体" w:hint="eastAsia"/>
          <w:sz w:val="24"/>
        </w:rPr>
        <w:t>与货币政策不确定性的脉冲响应值较</w:t>
      </w:r>
      <w:r w:rsidR="007C4141" w:rsidRPr="007C4141">
        <w:rPr>
          <w:rFonts w:ascii="宋体" w:hAnsi="宋体" w:hint="eastAsia"/>
          <w:sz w:val="24"/>
        </w:rPr>
        <w:t>大，说明该政策不确定性的冲击对股市波动的影响</w:t>
      </w:r>
      <w:r w:rsidR="005C44E1">
        <w:rPr>
          <w:rFonts w:ascii="宋体" w:hAnsi="宋体" w:hint="eastAsia"/>
          <w:sz w:val="24"/>
        </w:rPr>
        <w:t>较大</w:t>
      </w:r>
      <w:r w:rsidR="003919B4">
        <w:rPr>
          <w:rFonts w:ascii="宋体" w:hAnsi="宋体" w:hint="eastAsia"/>
          <w:sz w:val="24"/>
        </w:rPr>
        <w:t>，符合我国金融市场的资金</w:t>
      </w:r>
      <w:r w:rsidR="003919B4">
        <w:rPr>
          <w:rFonts w:ascii="宋体" w:hAnsi="宋体" w:hint="eastAsia"/>
          <w:sz w:val="24"/>
        </w:rPr>
        <w:lastRenderedPageBreak/>
        <w:t>导向型特征</w:t>
      </w:r>
      <w:r w:rsidR="005C44E1">
        <w:rPr>
          <w:rFonts w:ascii="宋体" w:hAnsi="宋体" w:hint="eastAsia"/>
          <w:sz w:val="24"/>
        </w:rPr>
        <w:t>；</w:t>
      </w:r>
      <w:r w:rsidR="007C4141" w:rsidRPr="007C4141">
        <w:rPr>
          <w:rFonts w:ascii="宋体" w:hAnsi="宋体" w:hint="eastAsia"/>
          <w:sz w:val="24"/>
        </w:rPr>
        <w:t>货币政策</w:t>
      </w:r>
      <w:r w:rsidR="005C44E1">
        <w:rPr>
          <w:rFonts w:ascii="宋体" w:hAnsi="宋体" w:hint="eastAsia"/>
          <w:sz w:val="24"/>
        </w:rPr>
        <w:t>不确定性</w:t>
      </w:r>
      <w:r w:rsidR="007C4141" w:rsidRPr="007C4141">
        <w:rPr>
          <w:rFonts w:ascii="宋体" w:hAnsi="宋体" w:hint="eastAsia"/>
          <w:sz w:val="24"/>
        </w:rPr>
        <w:t>对股市</w:t>
      </w:r>
      <w:r w:rsidR="005C44E1">
        <w:rPr>
          <w:rFonts w:ascii="宋体" w:hAnsi="宋体" w:hint="eastAsia"/>
          <w:sz w:val="24"/>
        </w:rPr>
        <w:t>冲击的影响</w:t>
      </w:r>
      <w:r w:rsidR="007C4141" w:rsidRPr="007C4141">
        <w:rPr>
          <w:rFonts w:ascii="宋体" w:hAnsi="宋体" w:hint="eastAsia"/>
          <w:sz w:val="24"/>
        </w:rPr>
        <w:t>长期成分的影响时间在</w:t>
      </w:r>
      <w:r w:rsidR="00502980">
        <w:rPr>
          <w:rFonts w:ascii="宋体" w:hAnsi="宋体"/>
          <w:sz w:val="24"/>
        </w:rPr>
        <w:t>18</w:t>
      </w:r>
      <w:r w:rsidR="007C4141" w:rsidRPr="007C4141">
        <w:rPr>
          <w:rFonts w:ascii="宋体" w:hAnsi="宋体" w:hint="eastAsia"/>
          <w:sz w:val="24"/>
        </w:rPr>
        <w:t>个月左右，而</w:t>
      </w:r>
      <w:r w:rsidR="001D30CB">
        <w:rPr>
          <w:rFonts w:ascii="宋体" w:hAnsi="宋体" w:hint="eastAsia"/>
          <w:sz w:val="24"/>
        </w:rPr>
        <w:t>财政</w:t>
      </w:r>
      <w:r w:rsidR="007C4141" w:rsidRPr="007C4141">
        <w:rPr>
          <w:rFonts w:ascii="宋体" w:hAnsi="宋体" w:hint="eastAsia"/>
          <w:sz w:val="24"/>
        </w:rPr>
        <w:t>政策不确定性的衰减速度缓慢，持续时间在四类政策不确定性中最长，并且至</w:t>
      </w:r>
      <w:r w:rsidR="00502980">
        <w:rPr>
          <w:rFonts w:ascii="宋体" w:hAnsi="宋体"/>
          <w:sz w:val="24"/>
        </w:rPr>
        <w:t>2</w:t>
      </w:r>
      <w:r w:rsidR="001D30CB">
        <w:rPr>
          <w:rFonts w:ascii="宋体" w:hAnsi="宋体"/>
          <w:sz w:val="24"/>
        </w:rPr>
        <w:t>0</w:t>
      </w:r>
      <w:r w:rsidR="007C4141" w:rsidRPr="007C4141">
        <w:rPr>
          <w:rFonts w:ascii="宋体" w:hAnsi="宋体" w:hint="eastAsia"/>
          <w:sz w:val="24"/>
        </w:rPr>
        <w:t>个月</w:t>
      </w:r>
      <w:r w:rsidR="001D30CB">
        <w:rPr>
          <w:rFonts w:ascii="宋体" w:hAnsi="宋体" w:hint="eastAsia"/>
          <w:sz w:val="24"/>
        </w:rPr>
        <w:t>左右影响逐渐</w:t>
      </w:r>
      <w:r w:rsidR="00EF0883">
        <w:rPr>
          <w:rFonts w:ascii="宋体" w:hAnsi="宋体" w:hint="eastAsia"/>
          <w:sz w:val="24"/>
        </w:rPr>
        <w:t>消失。</w:t>
      </w:r>
    </w:p>
    <w:p w14:paraId="5ED83CFF" w14:textId="18A089B1" w:rsidR="00461C74" w:rsidRDefault="00D30FD1" w:rsidP="00461C74">
      <w:pPr>
        <w:spacing w:after="120" w:line="360" w:lineRule="auto"/>
        <w:ind w:firstLine="480"/>
        <w:rPr>
          <w:rFonts w:ascii="宋体" w:hAnsi="宋体"/>
          <w:sz w:val="24"/>
        </w:rPr>
      </w:pPr>
      <w:r>
        <w:rPr>
          <w:rFonts w:ascii="宋体" w:hAnsi="宋体" w:hint="eastAsia"/>
          <w:sz w:val="24"/>
        </w:rPr>
        <w:t>此外，</w:t>
      </w:r>
      <w:r w:rsidRPr="00CC2B98">
        <w:rPr>
          <w:rFonts w:ascii="宋体" w:hAnsi="宋体" w:hint="eastAsia"/>
          <w:sz w:val="24"/>
        </w:rPr>
        <w:t>政策制定或调整常常会将股票市场的波动情况作为重要参考依据之一，在股市暴涨和暴跌时分别实施相应的政策以维持股价平稳(陈国进等，2014)。</w:t>
      </w:r>
      <w:r>
        <w:rPr>
          <w:rFonts w:ascii="宋体" w:hAnsi="宋体" w:hint="eastAsia"/>
          <w:sz w:val="24"/>
        </w:rPr>
        <w:t>因此</w:t>
      </w:r>
      <w:r w:rsidRPr="00CC2B98">
        <w:rPr>
          <w:rFonts w:ascii="宋体" w:hAnsi="宋体" w:hint="eastAsia"/>
          <w:sz w:val="24"/>
        </w:rPr>
        <w:t>，股票市场波动性的上涨</w:t>
      </w:r>
      <w:r>
        <w:rPr>
          <w:rFonts w:ascii="宋体" w:hAnsi="宋体" w:hint="eastAsia"/>
          <w:sz w:val="24"/>
        </w:rPr>
        <w:t>也会相应的</w:t>
      </w:r>
      <w:r w:rsidRPr="00CC2B98">
        <w:rPr>
          <w:rFonts w:ascii="宋体" w:hAnsi="宋体" w:hint="eastAsia"/>
          <w:sz w:val="24"/>
        </w:rPr>
        <w:t>会刺激货币政策不确定性的增长。</w:t>
      </w:r>
    </w:p>
    <w:p w14:paraId="698FF0BE" w14:textId="4162623A" w:rsidR="00EF0883" w:rsidRPr="00EF0883" w:rsidRDefault="00EF0883" w:rsidP="00EF0883">
      <w:pPr>
        <w:pStyle w:val="3"/>
        <w:spacing w:before="156" w:after="156"/>
        <w:ind w:firstLine="560"/>
      </w:pPr>
      <w:bookmarkStart w:id="30" w:name="_Toc135748088"/>
      <w:r>
        <w:t>4.4.</w:t>
      </w:r>
      <w:r w:rsidR="00ED24FE">
        <w:t xml:space="preserve">2 </w:t>
      </w:r>
      <w:r w:rsidR="00ED24FE">
        <w:rPr>
          <w:rFonts w:hint="eastAsia"/>
        </w:rPr>
        <w:t>改变经济政策不确定性代理变量</w:t>
      </w:r>
      <w:bookmarkEnd w:id="30"/>
    </w:p>
    <w:p w14:paraId="724C2F6C" w14:textId="0D141E3A" w:rsidR="00461C74" w:rsidRPr="00F0041D" w:rsidRDefault="00F0041D" w:rsidP="00812280">
      <w:pPr>
        <w:spacing w:after="120" w:line="360" w:lineRule="auto"/>
        <w:ind w:firstLine="480"/>
        <w:rPr>
          <w:rFonts w:ascii="宋体" w:hAnsi="宋体"/>
          <w:sz w:val="24"/>
        </w:rPr>
      </w:pPr>
      <w:r w:rsidRPr="00F0041D">
        <w:rPr>
          <w:rFonts w:ascii="宋体" w:hAnsi="宋体" w:hint="eastAsia"/>
          <w:sz w:val="24"/>
        </w:rPr>
        <w:t>为确保回归结果的稳健性，本文将</w:t>
      </w:r>
      <w:r w:rsidRPr="001273CA">
        <w:rPr>
          <w:rFonts w:ascii="宋体" w:hAnsi="宋体"/>
          <w:sz w:val="24"/>
        </w:rPr>
        <w:t>B</w:t>
      </w:r>
      <w:r w:rsidRPr="001273CA">
        <w:rPr>
          <w:rFonts w:ascii="宋体" w:hAnsi="宋体" w:hint="eastAsia"/>
          <w:sz w:val="24"/>
        </w:rPr>
        <w:t>aker等（2</w:t>
      </w:r>
      <w:r w:rsidRPr="001273CA">
        <w:rPr>
          <w:rFonts w:ascii="宋体" w:hAnsi="宋体"/>
          <w:sz w:val="24"/>
        </w:rPr>
        <w:t>016</w:t>
      </w:r>
      <w:r w:rsidRPr="001273CA">
        <w:rPr>
          <w:rFonts w:ascii="宋体" w:hAnsi="宋体" w:hint="eastAsia"/>
          <w:sz w:val="24"/>
        </w:rPr>
        <w:t>）根据新闻报道素材，采用文本挖掘技术构建</w:t>
      </w:r>
      <w:r>
        <w:rPr>
          <w:rFonts w:ascii="宋体" w:hAnsi="宋体" w:hint="eastAsia"/>
          <w:sz w:val="24"/>
        </w:rPr>
        <w:t>的</w:t>
      </w:r>
      <w:r w:rsidRPr="001273CA">
        <w:rPr>
          <w:rFonts w:ascii="宋体" w:hAnsi="宋体" w:hint="eastAsia"/>
          <w:sz w:val="24"/>
        </w:rPr>
        <w:t>经济政策不确定性指数</w:t>
      </w:r>
      <w:r>
        <w:rPr>
          <w:rFonts w:ascii="宋体" w:hAnsi="宋体" w:hint="eastAsia"/>
          <w:sz w:val="24"/>
        </w:rPr>
        <w:t>作为代理变量，区制划分结果和脉冲响应结果与前文基本一致。</w:t>
      </w:r>
    </w:p>
    <w:p w14:paraId="7E55C321" w14:textId="77777777" w:rsidR="00DA6FA1" w:rsidRDefault="00DA6FA1">
      <w:pPr>
        <w:widowControl/>
        <w:spacing w:after="160" w:line="259" w:lineRule="auto"/>
        <w:jc w:val="left"/>
        <w:rPr>
          <w:rFonts w:eastAsia="黑体"/>
          <w:b/>
          <w:bCs/>
          <w:kern w:val="44"/>
          <w:sz w:val="32"/>
          <w:szCs w:val="28"/>
        </w:rPr>
      </w:pPr>
      <w:r>
        <w:br w:type="page"/>
      </w:r>
    </w:p>
    <w:p w14:paraId="0CCCF882" w14:textId="31EA2337" w:rsidR="0095276A" w:rsidRPr="00DB4C26" w:rsidRDefault="00DB4C26" w:rsidP="00DB4C26">
      <w:pPr>
        <w:pStyle w:val="Heading1"/>
        <w:spacing w:before="624" w:after="468"/>
      </w:pPr>
      <w:bookmarkStart w:id="31" w:name="_Toc135748089"/>
      <w:r w:rsidRPr="00DB4C26">
        <w:rPr>
          <w:rFonts w:hint="eastAsia"/>
        </w:rPr>
        <w:lastRenderedPageBreak/>
        <w:t>第</w:t>
      </w:r>
      <w:r w:rsidR="00243765">
        <w:rPr>
          <w:rFonts w:hint="eastAsia"/>
        </w:rPr>
        <w:t>五</w:t>
      </w:r>
      <w:r w:rsidRPr="00DB4C26">
        <w:rPr>
          <w:rFonts w:hint="eastAsia"/>
        </w:rPr>
        <w:t>章</w:t>
      </w:r>
      <w:r w:rsidRPr="00DB4C26">
        <w:rPr>
          <w:rFonts w:hint="eastAsia"/>
        </w:rPr>
        <w:t xml:space="preserve"> </w:t>
      </w:r>
      <w:r w:rsidR="003B1AFE" w:rsidRPr="00DB4C26">
        <w:rPr>
          <w:rFonts w:hint="eastAsia"/>
        </w:rPr>
        <w:t>结论与政策启示</w:t>
      </w:r>
      <w:bookmarkEnd w:id="31"/>
    </w:p>
    <w:p w14:paraId="132E6272" w14:textId="4E998776" w:rsidR="008A52D5" w:rsidRDefault="00332609" w:rsidP="008624E8">
      <w:pPr>
        <w:spacing w:after="120" w:line="360" w:lineRule="auto"/>
        <w:ind w:firstLine="480"/>
        <w:rPr>
          <w:rFonts w:ascii="宋体" w:hAnsi="宋体"/>
          <w:sz w:val="24"/>
        </w:rPr>
      </w:pPr>
      <w:r w:rsidRPr="00332609">
        <w:rPr>
          <w:rFonts w:ascii="宋体" w:hAnsi="宋体"/>
          <w:sz w:val="24"/>
        </w:rPr>
        <w:t>在</w:t>
      </w:r>
      <w:r>
        <w:rPr>
          <w:rFonts w:ascii="宋体" w:hAnsi="宋体" w:hint="eastAsia"/>
          <w:sz w:val="24"/>
        </w:rPr>
        <w:t>后</w:t>
      </w:r>
      <w:r w:rsidRPr="00332609">
        <w:rPr>
          <w:rFonts w:ascii="宋体" w:hAnsi="宋体"/>
          <w:sz w:val="24"/>
        </w:rPr>
        <w:t>疫情时代，全球经济形势充满了重大的不确定性。</w:t>
      </w:r>
      <w:r>
        <w:rPr>
          <w:rFonts w:ascii="宋体" w:hAnsi="宋体" w:hint="eastAsia"/>
          <w:sz w:val="24"/>
        </w:rPr>
        <w:t>此外</w:t>
      </w:r>
      <w:r w:rsidRPr="00332609">
        <w:rPr>
          <w:rFonts w:ascii="宋体" w:hAnsi="宋体"/>
          <w:sz w:val="24"/>
        </w:rPr>
        <w:t>，国内经济内</w:t>
      </w:r>
      <w:r w:rsidR="005B538B">
        <w:rPr>
          <w:rFonts w:ascii="宋体" w:hAnsi="宋体" w:hint="eastAsia"/>
          <w:sz w:val="24"/>
        </w:rPr>
        <w:t>生</w:t>
      </w:r>
      <w:r w:rsidRPr="00332609">
        <w:rPr>
          <w:rFonts w:ascii="宋体" w:hAnsi="宋体"/>
          <w:sz w:val="24"/>
        </w:rPr>
        <w:t>活力的减少增加了对宏观经济的下行压力。为了维持股票市场的稳定并防范和缓解金融风险，必要的</w:t>
      </w:r>
      <w:r>
        <w:rPr>
          <w:rFonts w:ascii="宋体" w:hAnsi="宋体" w:hint="eastAsia"/>
          <w:sz w:val="24"/>
        </w:rPr>
        <w:t>措施</w:t>
      </w:r>
      <w:r w:rsidRPr="00332609">
        <w:rPr>
          <w:rFonts w:ascii="宋体" w:hAnsi="宋体"/>
          <w:sz w:val="24"/>
        </w:rPr>
        <w:t>是</w:t>
      </w:r>
      <w:r w:rsidR="005B538B">
        <w:rPr>
          <w:rFonts w:ascii="宋体" w:hAnsi="宋体" w:hint="eastAsia"/>
          <w:sz w:val="24"/>
        </w:rPr>
        <w:t>亟需</w:t>
      </w:r>
      <w:r w:rsidRPr="00332609">
        <w:rPr>
          <w:rFonts w:ascii="宋体" w:hAnsi="宋体"/>
          <w:sz w:val="24"/>
        </w:rPr>
        <w:t>的</w:t>
      </w:r>
      <w:r w:rsidRPr="00332609">
        <w:rPr>
          <w:rFonts w:ascii="宋体" w:hAnsi="宋体" w:hint="eastAsia"/>
          <w:sz w:val="24"/>
        </w:rPr>
        <w:t>。</w:t>
      </w:r>
      <w:r>
        <w:rPr>
          <w:rFonts w:ascii="宋体" w:hAnsi="宋体" w:hint="eastAsia"/>
          <w:sz w:val="24"/>
        </w:rPr>
        <w:t>因此，本文</w:t>
      </w:r>
      <w:r w:rsidRPr="00332609">
        <w:rPr>
          <w:rFonts w:ascii="宋体" w:hAnsi="宋体" w:hint="eastAsia"/>
          <w:sz w:val="24"/>
        </w:rPr>
        <w:t>基于200</w:t>
      </w:r>
      <w:r>
        <w:rPr>
          <w:rFonts w:ascii="宋体" w:hAnsi="宋体"/>
          <w:sz w:val="24"/>
        </w:rPr>
        <w:t>3</w:t>
      </w:r>
      <w:r w:rsidRPr="00332609">
        <w:rPr>
          <w:rFonts w:ascii="宋体" w:hAnsi="宋体" w:hint="eastAsia"/>
          <w:sz w:val="24"/>
        </w:rPr>
        <w:t>年1月至2022年</w:t>
      </w:r>
      <w:r>
        <w:rPr>
          <w:rFonts w:ascii="宋体" w:hAnsi="宋体"/>
          <w:sz w:val="24"/>
        </w:rPr>
        <w:t>5</w:t>
      </w:r>
      <w:r w:rsidRPr="00332609">
        <w:rPr>
          <w:rFonts w:ascii="宋体" w:hAnsi="宋体" w:hint="eastAsia"/>
          <w:sz w:val="24"/>
        </w:rPr>
        <w:t>月Huang</w:t>
      </w:r>
      <w:r w:rsidR="00B26F70">
        <w:rPr>
          <w:rFonts w:ascii="宋体" w:hAnsi="宋体"/>
          <w:sz w:val="24"/>
        </w:rPr>
        <w:t xml:space="preserve"> </w:t>
      </w:r>
      <w:r w:rsidRPr="00332609">
        <w:rPr>
          <w:rFonts w:ascii="宋体" w:hAnsi="宋体" w:hint="eastAsia"/>
          <w:sz w:val="24"/>
        </w:rPr>
        <w:t>&amp;</w:t>
      </w:r>
      <w:r w:rsidR="00B26F70">
        <w:rPr>
          <w:rFonts w:ascii="宋体" w:hAnsi="宋体"/>
          <w:sz w:val="24"/>
        </w:rPr>
        <w:t xml:space="preserve"> </w:t>
      </w:r>
      <w:r w:rsidRPr="00332609">
        <w:rPr>
          <w:rFonts w:ascii="宋体" w:hAnsi="宋体" w:hint="eastAsia"/>
          <w:sz w:val="24"/>
        </w:rPr>
        <w:t>Luk编制的中国经济政策不确定性指数以及中国股票市场相关数据，通过</w:t>
      </w:r>
      <w:r>
        <w:rPr>
          <w:rFonts w:ascii="宋体" w:hAnsi="宋体" w:hint="eastAsia"/>
          <w:sz w:val="24"/>
        </w:rPr>
        <w:t>MSVAR</w:t>
      </w:r>
      <w:r w:rsidRPr="00332609">
        <w:rPr>
          <w:rFonts w:ascii="宋体" w:hAnsi="宋体" w:hint="eastAsia"/>
          <w:sz w:val="24"/>
        </w:rPr>
        <w:t>模型</w:t>
      </w:r>
      <w:r w:rsidR="003026F7">
        <w:rPr>
          <w:rFonts w:ascii="宋体" w:hAnsi="宋体" w:hint="eastAsia"/>
          <w:sz w:val="24"/>
        </w:rPr>
        <w:t>研究</w:t>
      </w:r>
      <w:r w:rsidRPr="00332609">
        <w:rPr>
          <w:rFonts w:ascii="宋体" w:hAnsi="宋体" w:hint="eastAsia"/>
          <w:sz w:val="24"/>
        </w:rPr>
        <w:t>我国经济政策不确定性对股票市场</w:t>
      </w:r>
      <w:r w:rsidR="007E2231">
        <w:rPr>
          <w:rFonts w:ascii="宋体" w:hAnsi="宋体" w:hint="eastAsia"/>
          <w:sz w:val="24"/>
        </w:rPr>
        <w:t>波动性</w:t>
      </w:r>
      <w:r w:rsidRPr="00332609">
        <w:rPr>
          <w:rFonts w:ascii="宋体" w:hAnsi="宋体" w:hint="eastAsia"/>
          <w:sz w:val="24"/>
        </w:rPr>
        <w:t>的</w:t>
      </w:r>
      <w:r w:rsidR="003026F7">
        <w:rPr>
          <w:rFonts w:ascii="宋体" w:hAnsi="宋体" w:hint="eastAsia"/>
          <w:sz w:val="24"/>
        </w:rPr>
        <w:t>产生的</w:t>
      </w:r>
      <w:r w:rsidRPr="00332609">
        <w:rPr>
          <w:rFonts w:ascii="宋体" w:hAnsi="宋体" w:hint="eastAsia"/>
          <w:sz w:val="24"/>
        </w:rPr>
        <w:t>动态影响</w:t>
      </w:r>
      <w:r>
        <w:rPr>
          <w:rFonts w:ascii="宋体" w:hAnsi="宋体" w:hint="eastAsia"/>
          <w:sz w:val="24"/>
        </w:rPr>
        <w:t>，</w:t>
      </w:r>
      <w:r w:rsidR="008316F6">
        <w:rPr>
          <w:rFonts w:ascii="宋体" w:hAnsi="宋体" w:hint="eastAsia"/>
          <w:sz w:val="24"/>
        </w:rPr>
        <w:t>主要</w:t>
      </w:r>
      <w:r>
        <w:rPr>
          <w:rFonts w:ascii="宋体" w:hAnsi="宋体" w:hint="eastAsia"/>
          <w:sz w:val="24"/>
        </w:rPr>
        <w:t>得</w:t>
      </w:r>
      <w:r w:rsidR="008316F6">
        <w:rPr>
          <w:rFonts w:ascii="宋体" w:hAnsi="宋体" w:hint="eastAsia"/>
          <w:sz w:val="24"/>
        </w:rPr>
        <w:t>到</w:t>
      </w:r>
      <w:r>
        <w:rPr>
          <w:rFonts w:ascii="宋体" w:hAnsi="宋体" w:hint="eastAsia"/>
          <w:sz w:val="24"/>
        </w:rPr>
        <w:t>以下结论。</w:t>
      </w:r>
    </w:p>
    <w:p w14:paraId="34196B7C" w14:textId="15AF06CB" w:rsidR="00031556" w:rsidRDefault="00332609" w:rsidP="004157D8">
      <w:pPr>
        <w:spacing w:after="120" w:line="360" w:lineRule="auto"/>
        <w:rPr>
          <w:rFonts w:ascii="宋体" w:hAnsi="宋体"/>
          <w:sz w:val="24"/>
        </w:rPr>
      </w:pPr>
      <w:r>
        <w:rPr>
          <w:rFonts w:ascii="宋体" w:hAnsi="宋体" w:hint="eastAsia"/>
          <w:sz w:val="24"/>
        </w:rPr>
        <w:t>（1）</w:t>
      </w:r>
      <w:r w:rsidR="00031556">
        <w:rPr>
          <w:rFonts w:ascii="宋体" w:hAnsi="宋体" w:hint="eastAsia"/>
          <w:sz w:val="24"/>
        </w:rPr>
        <w:t>我国股市与经济政策不确性</w:t>
      </w:r>
      <w:r w:rsidR="004157D8">
        <w:rPr>
          <w:rFonts w:ascii="宋体" w:hAnsi="宋体" w:hint="eastAsia"/>
          <w:sz w:val="24"/>
        </w:rPr>
        <w:t>区制划分特征明显，且</w:t>
      </w:r>
      <w:r w:rsidR="00031556">
        <w:rPr>
          <w:rFonts w:ascii="宋体" w:hAnsi="宋体" w:hint="eastAsia"/>
          <w:sz w:val="24"/>
        </w:rPr>
        <w:t>长期处于低波动状态。</w:t>
      </w:r>
    </w:p>
    <w:p w14:paraId="28A207E5" w14:textId="4A34A322" w:rsidR="004157D8" w:rsidRDefault="00031556" w:rsidP="008624E8">
      <w:pPr>
        <w:spacing w:after="120" w:line="360" w:lineRule="auto"/>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w:t>
      </w:r>
      <w:r w:rsidR="004157D8" w:rsidRPr="00241F0E">
        <w:rPr>
          <w:rFonts w:ascii="宋体" w:hAnsi="宋体" w:hint="eastAsia"/>
          <w:sz w:val="24"/>
        </w:rPr>
        <w:t>从总体来看，在EPU指数高波动时期，不确定性冲击对股市的影响更为显著。经济政策不确定性冲击对股市流动性的影响更加强烈，且持续其较长。</w:t>
      </w:r>
    </w:p>
    <w:p w14:paraId="3D858E6B" w14:textId="6F8ABB89" w:rsidR="00332609" w:rsidRDefault="004157D8" w:rsidP="008624E8">
      <w:pPr>
        <w:spacing w:after="120" w:line="360" w:lineRule="auto"/>
        <w:rPr>
          <w:rFonts w:ascii="宋体" w:hAnsi="宋体"/>
          <w:sz w:val="24"/>
        </w:rPr>
      </w:pPr>
      <w:r>
        <w:rPr>
          <w:rFonts w:ascii="宋体" w:hAnsi="宋体" w:hint="eastAsia"/>
          <w:sz w:val="24"/>
        </w:rPr>
        <w:t>（3）</w:t>
      </w:r>
      <w:r w:rsidRPr="00AF5053">
        <w:rPr>
          <w:rFonts w:ascii="宋体" w:hAnsi="宋体" w:hint="eastAsia"/>
          <w:sz w:val="24"/>
        </w:rPr>
        <w:t>经济政策不确定性冲击对股票市场收益率有显著的</w:t>
      </w:r>
      <w:r w:rsidR="00AF5053" w:rsidRPr="00AF5053">
        <w:rPr>
          <w:rFonts w:ascii="宋体" w:hAnsi="宋体" w:hint="eastAsia"/>
          <w:sz w:val="24"/>
        </w:rPr>
        <w:t>正</w:t>
      </w:r>
      <w:r w:rsidRPr="00AF5053">
        <w:rPr>
          <w:rFonts w:ascii="宋体" w:hAnsi="宋体" w:hint="eastAsia"/>
          <w:sz w:val="24"/>
        </w:rPr>
        <w:t>向影响，</w:t>
      </w:r>
      <w:r w:rsidR="00AF5053" w:rsidRPr="00AF5053">
        <w:rPr>
          <w:rFonts w:ascii="宋体" w:hAnsi="宋体" w:hint="eastAsia"/>
          <w:sz w:val="24"/>
        </w:rPr>
        <w:t>而</w:t>
      </w:r>
      <w:r w:rsidRPr="00AF5053">
        <w:rPr>
          <w:rFonts w:ascii="宋体" w:hAnsi="宋体" w:hint="eastAsia"/>
          <w:sz w:val="24"/>
        </w:rPr>
        <w:t>经济政策不确定性冲击</w:t>
      </w:r>
      <w:r w:rsidR="007E2231">
        <w:rPr>
          <w:rFonts w:ascii="宋体" w:hAnsi="宋体" w:hint="eastAsia"/>
          <w:sz w:val="24"/>
        </w:rPr>
        <w:t>对于股票市场收益在两个月后转为负向影响</w:t>
      </w:r>
      <w:r w:rsidR="001A55D9">
        <w:rPr>
          <w:rFonts w:ascii="宋体" w:hAnsi="宋体" w:hint="eastAsia"/>
          <w:sz w:val="24"/>
        </w:rPr>
        <w:t>并逐渐</w:t>
      </w:r>
      <w:r w:rsidR="00EF0D05">
        <w:rPr>
          <w:rFonts w:ascii="宋体" w:hAnsi="宋体" w:hint="eastAsia"/>
          <w:sz w:val="24"/>
        </w:rPr>
        <w:t>减弱至</w:t>
      </w:r>
      <w:r w:rsidR="001A55D9">
        <w:rPr>
          <w:rFonts w:ascii="宋体" w:hAnsi="宋体" w:hint="eastAsia"/>
          <w:sz w:val="24"/>
        </w:rPr>
        <w:t>消失</w:t>
      </w:r>
      <w:r w:rsidR="007E2231">
        <w:rPr>
          <w:rFonts w:ascii="宋体" w:hAnsi="宋体" w:hint="eastAsia"/>
          <w:sz w:val="24"/>
        </w:rPr>
        <w:t>。</w:t>
      </w:r>
    </w:p>
    <w:p w14:paraId="7CBBB24D" w14:textId="68063818" w:rsidR="00BD6CCE" w:rsidRDefault="00BD6CCE" w:rsidP="008624E8">
      <w:pPr>
        <w:spacing w:after="120" w:line="360" w:lineRule="auto"/>
        <w:rPr>
          <w:rFonts w:ascii="宋体" w:hAnsi="宋体"/>
          <w:sz w:val="24"/>
        </w:rPr>
      </w:pPr>
      <w:r>
        <w:rPr>
          <w:rFonts w:ascii="宋体" w:hAnsi="宋体" w:hint="eastAsia"/>
          <w:sz w:val="24"/>
        </w:rPr>
        <w:t>（</w:t>
      </w:r>
      <w:r w:rsidR="00A318DC">
        <w:rPr>
          <w:rFonts w:ascii="宋体" w:hAnsi="宋体"/>
          <w:sz w:val="24"/>
        </w:rPr>
        <w:t>4</w:t>
      </w:r>
      <w:r>
        <w:rPr>
          <w:rFonts w:ascii="宋体" w:hAnsi="宋体" w:hint="eastAsia"/>
          <w:sz w:val="24"/>
        </w:rPr>
        <w:t>）</w:t>
      </w:r>
      <w:r w:rsidRPr="00BD6CCE">
        <w:rPr>
          <w:rFonts w:ascii="宋体" w:hAnsi="宋体" w:hint="eastAsia"/>
          <w:sz w:val="24"/>
        </w:rPr>
        <w:t>经济政策不确定性冲击会增加股票市场波动，由于</w:t>
      </w:r>
      <w:r w:rsidR="009D4125">
        <w:rPr>
          <w:rFonts w:ascii="宋体" w:hAnsi="宋体" w:hint="eastAsia"/>
          <w:sz w:val="24"/>
        </w:rPr>
        <w:t>政策</w:t>
      </w:r>
      <w:r w:rsidRPr="00BD6CCE">
        <w:rPr>
          <w:rFonts w:ascii="宋体" w:hAnsi="宋体" w:hint="eastAsia"/>
          <w:sz w:val="24"/>
        </w:rPr>
        <w:t>的宏观调控的有效性，</w:t>
      </w:r>
      <w:r w:rsidR="008671C9">
        <w:rPr>
          <w:rFonts w:ascii="宋体" w:hAnsi="宋体" w:hint="eastAsia"/>
          <w:sz w:val="24"/>
        </w:rPr>
        <w:t>各</w:t>
      </w:r>
      <w:r w:rsidRPr="00BD6CCE">
        <w:rPr>
          <w:rFonts w:ascii="宋体" w:hAnsi="宋体" w:hint="eastAsia"/>
          <w:sz w:val="24"/>
        </w:rPr>
        <w:t>经济政策不确定性冲击对股票市场波动的正向影响会</w:t>
      </w:r>
      <w:r w:rsidR="00F45B38">
        <w:rPr>
          <w:rFonts w:ascii="宋体" w:hAnsi="宋体" w:hint="eastAsia"/>
          <w:sz w:val="24"/>
        </w:rPr>
        <w:t>逐渐</w:t>
      </w:r>
      <w:r w:rsidRPr="00BD6CCE">
        <w:rPr>
          <w:rFonts w:ascii="宋体" w:hAnsi="宋体" w:hint="eastAsia"/>
          <w:sz w:val="24"/>
        </w:rPr>
        <w:t>减弱直至</w:t>
      </w:r>
      <w:r w:rsidR="008671C9">
        <w:rPr>
          <w:rFonts w:ascii="宋体" w:hAnsi="宋体" w:hint="eastAsia"/>
          <w:sz w:val="24"/>
        </w:rPr>
        <w:t>接近</w:t>
      </w:r>
      <w:r w:rsidRPr="00BD6CCE">
        <w:rPr>
          <w:rFonts w:ascii="宋体" w:hAnsi="宋体" w:hint="eastAsia"/>
          <w:sz w:val="24"/>
        </w:rPr>
        <w:t>零</w:t>
      </w:r>
      <w:r>
        <w:rPr>
          <w:rFonts w:ascii="宋体" w:hAnsi="宋体" w:hint="eastAsia"/>
          <w:sz w:val="24"/>
        </w:rPr>
        <w:t>。</w:t>
      </w:r>
    </w:p>
    <w:p w14:paraId="580A84A5" w14:textId="36C742BB" w:rsidR="00740326" w:rsidRDefault="00740326" w:rsidP="008624E8">
      <w:pPr>
        <w:spacing w:after="120" w:line="360" w:lineRule="auto"/>
        <w:rPr>
          <w:rFonts w:ascii="宋体" w:hAnsi="宋体"/>
          <w:sz w:val="24"/>
        </w:rPr>
      </w:pPr>
      <w:r>
        <w:rPr>
          <w:rFonts w:ascii="宋体" w:hAnsi="宋体" w:hint="eastAsia"/>
          <w:sz w:val="24"/>
        </w:rPr>
        <w:t>（5）</w:t>
      </w:r>
      <w:r w:rsidRPr="00241F0E">
        <w:rPr>
          <w:rFonts w:ascii="宋体" w:hAnsi="宋体" w:hint="eastAsia"/>
          <w:sz w:val="24"/>
        </w:rPr>
        <w:t>货币政策和</w:t>
      </w:r>
      <w:r>
        <w:rPr>
          <w:rFonts w:ascii="宋体" w:hAnsi="宋体" w:hint="eastAsia"/>
          <w:sz w:val="24"/>
        </w:rPr>
        <w:t>财政</w:t>
      </w:r>
      <w:r w:rsidRPr="00241F0E">
        <w:rPr>
          <w:rFonts w:ascii="宋体" w:hAnsi="宋体" w:hint="eastAsia"/>
          <w:sz w:val="24"/>
        </w:rPr>
        <w:t>政策不确定性对股市的波动趋势</w:t>
      </w:r>
      <w:r>
        <w:rPr>
          <w:rFonts w:ascii="宋体" w:hAnsi="宋体" w:hint="eastAsia"/>
          <w:sz w:val="24"/>
        </w:rPr>
        <w:t>的</w:t>
      </w:r>
      <w:r w:rsidRPr="00241F0E">
        <w:rPr>
          <w:rFonts w:ascii="宋体" w:hAnsi="宋体" w:hint="eastAsia"/>
          <w:sz w:val="24"/>
        </w:rPr>
        <w:t>影响</w:t>
      </w:r>
      <w:r>
        <w:rPr>
          <w:rFonts w:ascii="宋体" w:hAnsi="宋体" w:hint="eastAsia"/>
          <w:sz w:val="24"/>
        </w:rPr>
        <w:t>最强烈</w:t>
      </w:r>
      <w:r w:rsidR="005B514A">
        <w:rPr>
          <w:rFonts w:ascii="宋体" w:hAnsi="宋体" w:hint="eastAsia"/>
          <w:sz w:val="24"/>
        </w:rPr>
        <w:t>，且财政政策不确定性冲击的影响持续期最长</w:t>
      </w:r>
      <w:r w:rsidRPr="00241F0E">
        <w:rPr>
          <w:rFonts w:ascii="宋体" w:hAnsi="宋体" w:hint="eastAsia"/>
          <w:sz w:val="24"/>
        </w:rPr>
        <w:t>。</w:t>
      </w:r>
    </w:p>
    <w:p w14:paraId="278EB766" w14:textId="4FE58554" w:rsidR="00BD6CCE" w:rsidRDefault="00BD6CCE" w:rsidP="008624E8">
      <w:pPr>
        <w:spacing w:after="120" w:line="360" w:lineRule="auto"/>
        <w:rPr>
          <w:rFonts w:ascii="宋体" w:hAnsi="宋体"/>
          <w:sz w:val="24"/>
        </w:rPr>
      </w:pPr>
      <w:r w:rsidRPr="00BD6CCE">
        <w:rPr>
          <w:rFonts w:ascii="宋体" w:hAnsi="宋体" w:hint="eastAsia"/>
          <w:sz w:val="24"/>
        </w:rPr>
        <w:t>针对本文的实证结论，给出的政策建议如下。</w:t>
      </w:r>
    </w:p>
    <w:p w14:paraId="5EE57573" w14:textId="0E96F4EC" w:rsidR="008B6A27" w:rsidRDefault="008B6A27" w:rsidP="008624E8">
      <w:pPr>
        <w:spacing w:after="120" w:line="360" w:lineRule="auto"/>
        <w:rPr>
          <w:rFonts w:ascii="宋体" w:hAnsi="宋体"/>
          <w:sz w:val="24"/>
        </w:rPr>
      </w:pPr>
      <w:r>
        <w:rPr>
          <w:rFonts w:ascii="宋体" w:hAnsi="宋体" w:hint="eastAsia"/>
          <w:sz w:val="24"/>
        </w:rPr>
        <w:t>（1）</w:t>
      </w:r>
      <w:r w:rsidR="00B343DC" w:rsidRPr="00B343DC">
        <w:rPr>
          <w:rFonts w:ascii="宋体" w:hAnsi="宋体"/>
          <w:sz w:val="24"/>
        </w:rPr>
        <w:t>频繁变更经济政策会导致短期内对股票市场产生显著影响。这种经济政策不确定性冲击可能引起股票市场过度反应，导致不同政策</w:t>
      </w:r>
      <w:r w:rsidR="000D7842">
        <w:rPr>
          <w:rFonts w:ascii="宋体" w:hAnsi="宋体" w:hint="eastAsia"/>
          <w:sz w:val="24"/>
        </w:rPr>
        <w:t>出现</w:t>
      </w:r>
      <w:r w:rsidR="00B343DC" w:rsidRPr="00B343DC">
        <w:rPr>
          <w:rFonts w:ascii="宋体" w:hAnsi="宋体"/>
          <w:sz w:val="24"/>
        </w:rPr>
        <w:t>交叉</w:t>
      </w:r>
      <w:r w:rsidR="000D7842">
        <w:rPr>
          <w:rFonts w:ascii="宋体" w:hAnsi="宋体" w:hint="eastAsia"/>
          <w:sz w:val="24"/>
        </w:rPr>
        <w:t>性</w:t>
      </w:r>
      <w:r w:rsidR="000D7842" w:rsidRPr="00B343DC">
        <w:rPr>
          <w:rFonts w:ascii="宋体" w:hAnsi="宋体"/>
          <w:sz w:val="24"/>
        </w:rPr>
        <w:t>的影响</w:t>
      </w:r>
      <w:r w:rsidR="00B343DC" w:rsidRPr="00B343DC">
        <w:rPr>
          <w:rFonts w:ascii="宋体" w:hAnsi="宋体"/>
          <w:sz w:val="24"/>
        </w:rPr>
        <w:t>，进而造成资产价格异常波动，</w:t>
      </w:r>
      <w:r w:rsidR="000D7842">
        <w:rPr>
          <w:rFonts w:ascii="宋体" w:hAnsi="宋体" w:hint="eastAsia"/>
          <w:sz w:val="24"/>
        </w:rPr>
        <w:t>从而加剧了</w:t>
      </w:r>
      <w:r w:rsidR="00B343DC" w:rsidRPr="00B343DC">
        <w:rPr>
          <w:rFonts w:ascii="宋体" w:hAnsi="宋体"/>
          <w:sz w:val="24"/>
        </w:rPr>
        <w:t>金融系统的不稳定性</w:t>
      </w:r>
      <w:r w:rsidR="00B343DC" w:rsidRPr="00B343DC">
        <w:rPr>
          <w:rFonts w:ascii="宋体" w:hAnsi="宋体" w:hint="eastAsia"/>
          <w:sz w:val="24"/>
        </w:rPr>
        <w:t>。</w:t>
      </w:r>
      <w:r>
        <w:rPr>
          <w:rFonts w:ascii="宋体" w:hAnsi="宋体" w:hint="eastAsia"/>
          <w:sz w:val="24"/>
        </w:rPr>
        <w:t>因此</w:t>
      </w:r>
      <w:r w:rsidRPr="008B6A27">
        <w:rPr>
          <w:rFonts w:ascii="宋体" w:hAnsi="宋体" w:hint="eastAsia"/>
          <w:sz w:val="24"/>
        </w:rPr>
        <w:t>“宏观政策要保持连续性、稳定性、可持续性”</w:t>
      </w:r>
      <w:r>
        <w:rPr>
          <w:rFonts w:ascii="宋体" w:hAnsi="宋体" w:hint="eastAsia"/>
          <w:sz w:val="24"/>
        </w:rPr>
        <w:t>。</w:t>
      </w:r>
    </w:p>
    <w:p w14:paraId="0B73D48E" w14:textId="7C764762" w:rsidR="00865CD8" w:rsidRPr="00865CD8" w:rsidRDefault="008B6A27" w:rsidP="00865CD8">
      <w:pPr>
        <w:spacing w:after="120" w:line="360" w:lineRule="auto"/>
        <w:rPr>
          <w:rFonts w:ascii="宋体" w:hAnsi="宋体"/>
          <w:sz w:val="24"/>
        </w:rPr>
      </w:pPr>
      <w:r>
        <w:rPr>
          <w:rFonts w:ascii="宋体" w:hAnsi="宋体" w:hint="eastAsia"/>
          <w:sz w:val="24"/>
        </w:rPr>
        <w:t>（2）</w:t>
      </w:r>
      <w:r w:rsidRPr="008B6A27">
        <w:rPr>
          <w:rFonts w:ascii="宋体" w:hAnsi="宋体" w:hint="eastAsia"/>
          <w:sz w:val="24"/>
        </w:rPr>
        <w:t>本文</w:t>
      </w:r>
      <w:r w:rsidR="00B343DC">
        <w:rPr>
          <w:rFonts w:ascii="宋体" w:hAnsi="宋体" w:hint="eastAsia"/>
          <w:sz w:val="24"/>
        </w:rPr>
        <w:t>的</w:t>
      </w:r>
      <w:r w:rsidRPr="008B6A27">
        <w:rPr>
          <w:rFonts w:ascii="宋体" w:hAnsi="宋体" w:hint="eastAsia"/>
          <w:sz w:val="24"/>
        </w:rPr>
        <w:t>脉冲效应分析</w:t>
      </w:r>
      <w:r w:rsidR="00B343DC">
        <w:rPr>
          <w:rFonts w:ascii="宋体" w:hAnsi="宋体" w:hint="eastAsia"/>
          <w:sz w:val="24"/>
        </w:rPr>
        <w:t>结果说明</w:t>
      </w:r>
      <w:r w:rsidRPr="008B6A27">
        <w:rPr>
          <w:rFonts w:ascii="宋体" w:hAnsi="宋体" w:hint="eastAsia"/>
          <w:sz w:val="24"/>
        </w:rPr>
        <w:t>经济政策</w:t>
      </w:r>
      <w:r w:rsidR="004929C3">
        <w:rPr>
          <w:rFonts w:ascii="宋体" w:hAnsi="宋体" w:hint="eastAsia"/>
          <w:sz w:val="24"/>
        </w:rPr>
        <w:t>不确定性</w:t>
      </w:r>
      <w:r w:rsidRPr="008B6A27">
        <w:rPr>
          <w:rFonts w:ascii="宋体" w:hAnsi="宋体" w:hint="eastAsia"/>
          <w:sz w:val="24"/>
        </w:rPr>
        <w:t>的影响</w:t>
      </w:r>
      <w:r w:rsidR="00F817E8">
        <w:rPr>
          <w:rFonts w:ascii="宋体" w:hAnsi="宋体" w:hint="eastAsia"/>
          <w:sz w:val="24"/>
        </w:rPr>
        <w:t>对我国股票市场波动的冲击</w:t>
      </w:r>
      <w:r w:rsidRPr="008B6A27">
        <w:rPr>
          <w:rFonts w:ascii="宋体" w:hAnsi="宋体" w:hint="eastAsia"/>
          <w:sz w:val="24"/>
        </w:rPr>
        <w:t>具有</w:t>
      </w:r>
      <w:r w:rsidR="008671C9">
        <w:rPr>
          <w:rFonts w:ascii="宋体" w:hAnsi="宋体" w:hint="eastAsia"/>
          <w:sz w:val="24"/>
        </w:rPr>
        <w:t>明显的</w:t>
      </w:r>
      <w:r w:rsidRPr="008B6A27">
        <w:rPr>
          <w:rFonts w:ascii="宋体" w:hAnsi="宋体" w:hint="eastAsia"/>
          <w:sz w:val="24"/>
        </w:rPr>
        <w:t>滞后性</w:t>
      </w:r>
      <w:r w:rsidR="008671C9">
        <w:rPr>
          <w:rFonts w:ascii="宋体" w:hAnsi="宋体" w:hint="eastAsia"/>
          <w:sz w:val="24"/>
        </w:rPr>
        <w:t>和</w:t>
      </w:r>
      <w:r w:rsidRPr="008B6A27">
        <w:rPr>
          <w:rFonts w:ascii="宋体" w:hAnsi="宋体" w:hint="eastAsia"/>
          <w:sz w:val="24"/>
        </w:rPr>
        <w:t>时变性，</w:t>
      </w:r>
      <w:r w:rsidR="00B343DC">
        <w:rPr>
          <w:rFonts w:ascii="宋体" w:hAnsi="宋体" w:hint="eastAsia"/>
          <w:sz w:val="24"/>
        </w:rPr>
        <w:t>说明</w:t>
      </w:r>
      <w:r w:rsidR="00F817E8">
        <w:rPr>
          <w:rFonts w:ascii="宋体" w:hAnsi="宋体" w:hint="eastAsia"/>
          <w:sz w:val="24"/>
        </w:rPr>
        <w:t>股票</w:t>
      </w:r>
      <w:r w:rsidRPr="008B6A27">
        <w:rPr>
          <w:rFonts w:ascii="宋体" w:hAnsi="宋体" w:hint="eastAsia"/>
          <w:sz w:val="24"/>
        </w:rPr>
        <w:t>市场有时</w:t>
      </w:r>
      <w:r w:rsidR="00B343DC">
        <w:rPr>
          <w:rFonts w:ascii="宋体" w:hAnsi="宋体" w:hint="eastAsia"/>
          <w:sz w:val="24"/>
        </w:rPr>
        <w:t>会</w:t>
      </w:r>
      <w:r w:rsidRPr="008B6A27">
        <w:rPr>
          <w:rFonts w:ascii="宋体" w:hAnsi="宋体" w:hint="eastAsia"/>
          <w:sz w:val="24"/>
        </w:rPr>
        <w:t>无法对动态的政策信息做出及时</w:t>
      </w:r>
      <w:r w:rsidR="00B343DC">
        <w:rPr>
          <w:rFonts w:ascii="宋体" w:hAnsi="宋体" w:hint="eastAsia"/>
          <w:sz w:val="24"/>
        </w:rPr>
        <w:t>的</w:t>
      </w:r>
      <w:r w:rsidRPr="008B6A27">
        <w:rPr>
          <w:rFonts w:ascii="宋体" w:hAnsi="宋体" w:hint="eastAsia"/>
          <w:sz w:val="24"/>
        </w:rPr>
        <w:t>反应。</w:t>
      </w:r>
      <w:r>
        <w:rPr>
          <w:rFonts w:ascii="宋体" w:hAnsi="宋体" w:hint="eastAsia"/>
          <w:sz w:val="24"/>
        </w:rPr>
        <w:t>因此</w:t>
      </w:r>
      <w:r w:rsidR="00B343DC">
        <w:rPr>
          <w:rFonts w:ascii="宋体" w:hAnsi="宋体" w:hint="eastAsia"/>
          <w:sz w:val="24"/>
        </w:rPr>
        <w:t>政府的</w:t>
      </w:r>
      <w:r w:rsidRPr="008B6A27">
        <w:rPr>
          <w:rFonts w:ascii="宋体" w:hAnsi="宋体" w:hint="eastAsia"/>
          <w:sz w:val="24"/>
        </w:rPr>
        <w:t>经济政策</w:t>
      </w:r>
      <w:r w:rsidR="00B343DC">
        <w:rPr>
          <w:rFonts w:ascii="宋体" w:hAnsi="宋体" w:hint="eastAsia"/>
          <w:sz w:val="24"/>
        </w:rPr>
        <w:t>需要</w:t>
      </w:r>
      <w:r w:rsidRPr="008B6A27">
        <w:rPr>
          <w:rFonts w:ascii="宋体" w:hAnsi="宋体" w:hint="eastAsia"/>
          <w:sz w:val="24"/>
        </w:rPr>
        <w:t>更加精准有效地实施定向调控才能发挥其政策效力。</w:t>
      </w:r>
    </w:p>
    <w:p w14:paraId="2E664C9F" w14:textId="13DC74A7" w:rsidR="0095276A" w:rsidRPr="001F1E82" w:rsidRDefault="0095276A" w:rsidP="001F1E82">
      <w:pPr>
        <w:pStyle w:val="Heading1"/>
        <w:spacing w:before="624" w:after="468"/>
      </w:pPr>
      <w:bookmarkStart w:id="32" w:name="_Toc135748090"/>
      <w:r w:rsidRPr="001F1E82">
        <w:rPr>
          <w:rFonts w:hint="eastAsia"/>
        </w:rPr>
        <w:lastRenderedPageBreak/>
        <w:t>参考文献</w:t>
      </w:r>
      <w:bookmarkEnd w:id="32"/>
    </w:p>
    <w:p w14:paraId="25964ED9"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[1]</w:t>
      </w:r>
      <w:r w:rsidRPr="001F1E82">
        <w:rPr>
          <w:rFonts w:hint="eastAsia"/>
          <w:kern w:val="0"/>
          <w:szCs w:val="21"/>
        </w:rPr>
        <w:t>杨苓</w:t>
      </w:r>
      <w:r w:rsidRPr="001F1E82">
        <w:rPr>
          <w:rFonts w:hint="eastAsia"/>
          <w:kern w:val="0"/>
          <w:szCs w:val="21"/>
        </w:rPr>
        <w:t>,</w:t>
      </w:r>
      <w:r w:rsidRPr="001F1E82">
        <w:rPr>
          <w:rFonts w:hint="eastAsia"/>
          <w:kern w:val="0"/>
          <w:szCs w:val="21"/>
        </w:rPr>
        <w:t>蒋远营</w:t>
      </w:r>
      <w:r w:rsidRPr="001F1E82">
        <w:rPr>
          <w:rFonts w:hint="eastAsia"/>
          <w:kern w:val="0"/>
          <w:szCs w:val="21"/>
        </w:rPr>
        <w:t>.</w:t>
      </w:r>
      <w:r w:rsidRPr="001F1E82">
        <w:rPr>
          <w:rFonts w:hint="eastAsia"/>
          <w:kern w:val="0"/>
          <w:szCs w:val="21"/>
        </w:rPr>
        <w:t>不确定性冲击与市场波动的联动关系——基于中国股票市场和房地产市场的视角</w:t>
      </w:r>
      <w:r w:rsidRPr="001F1E82">
        <w:rPr>
          <w:rFonts w:hint="eastAsia"/>
          <w:kern w:val="0"/>
          <w:szCs w:val="21"/>
        </w:rPr>
        <w:t>[J/OL].</w:t>
      </w:r>
      <w:r w:rsidRPr="001F1E82">
        <w:rPr>
          <w:rFonts w:hint="eastAsia"/>
          <w:kern w:val="0"/>
          <w:szCs w:val="21"/>
        </w:rPr>
        <w:t>系统工程</w:t>
      </w:r>
      <w:r w:rsidRPr="001F1E82">
        <w:rPr>
          <w:rFonts w:hint="eastAsia"/>
          <w:kern w:val="0"/>
          <w:szCs w:val="21"/>
        </w:rPr>
        <w:t>:1-12[2022-10-04].</w:t>
      </w:r>
    </w:p>
    <w:p w14:paraId="125BA191"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2</w:t>
      </w:r>
      <w:r w:rsidRPr="001F1E82">
        <w:rPr>
          <w:rFonts w:hint="eastAsia"/>
          <w:kern w:val="0"/>
          <w:szCs w:val="21"/>
        </w:rPr>
        <w:t>]</w:t>
      </w:r>
      <w:r w:rsidRPr="001F1E82">
        <w:rPr>
          <w:rFonts w:hint="eastAsia"/>
          <w:kern w:val="0"/>
          <w:szCs w:val="21"/>
        </w:rPr>
        <w:t>万相昱</w:t>
      </w:r>
      <w:r w:rsidRPr="001F1E82">
        <w:rPr>
          <w:rFonts w:hint="eastAsia"/>
          <w:kern w:val="0"/>
          <w:szCs w:val="21"/>
        </w:rPr>
        <w:t>,</w:t>
      </w:r>
      <w:r w:rsidRPr="001F1E82">
        <w:rPr>
          <w:rFonts w:hint="eastAsia"/>
          <w:kern w:val="0"/>
          <w:szCs w:val="21"/>
        </w:rPr>
        <w:t>张晨</w:t>
      </w:r>
      <w:r w:rsidRPr="001F1E82">
        <w:rPr>
          <w:rFonts w:hint="eastAsia"/>
          <w:kern w:val="0"/>
          <w:szCs w:val="21"/>
        </w:rPr>
        <w:t>.</w:t>
      </w:r>
      <w:r w:rsidRPr="001F1E82">
        <w:rPr>
          <w:rFonts w:hint="eastAsia"/>
          <w:kern w:val="0"/>
          <w:szCs w:val="21"/>
        </w:rPr>
        <w:t>因子定价模型的时变特征与股市板块差异——基于时变参数似不相关方法的估计</w:t>
      </w:r>
      <w:r w:rsidRPr="001F1E82">
        <w:rPr>
          <w:rFonts w:hint="eastAsia"/>
          <w:kern w:val="0"/>
          <w:szCs w:val="21"/>
        </w:rPr>
        <w:t>[J].</w:t>
      </w:r>
      <w:r w:rsidRPr="001F1E82">
        <w:rPr>
          <w:rFonts w:hint="eastAsia"/>
          <w:kern w:val="0"/>
          <w:szCs w:val="21"/>
        </w:rPr>
        <w:t>统计与决策</w:t>
      </w:r>
      <w:r w:rsidRPr="001F1E82">
        <w:rPr>
          <w:rFonts w:hint="eastAsia"/>
          <w:kern w:val="0"/>
          <w:szCs w:val="21"/>
        </w:rPr>
        <w:t>,2022,38(04):154-158.</w:t>
      </w:r>
    </w:p>
    <w:p w14:paraId="6051FD22"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3</w:t>
      </w:r>
      <w:r w:rsidRPr="001F1E82">
        <w:rPr>
          <w:rFonts w:hint="eastAsia"/>
          <w:kern w:val="0"/>
          <w:szCs w:val="21"/>
        </w:rPr>
        <w:t>]</w:t>
      </w:r>
      <w:r w:rsidRPr="001F1E82">
        <w:rPr>
          <w:rFonts w:hint="eastAsia"/>
          <w:kern w:val="0"/>
          <w:szCs w:val="21"/>
        </w:rPr>
        <w:t>张伟亮</w:t>
      </w:r>
      <w:r w:rsidRPr="001F1E82">
        <w:rPr>
          <w:rFonts w:hint="eastAsia"/>
          <w:kern w:val="0"/>
          <w:szCs w:val="21"/>
        </w:rPr>
        <w:t>,</w:t>
      </w:r>
      <w:r w:rsidRPr="001F1E82">
        <w:rPr>
          <w:rFonts w:hint="eastAsia"/>
          <w:kern w:val="0"/>
          <w:szCs w:val="21"/>
        </w:rPr>
        <w:t>宋丽颖</w:t>
      </w:r>
      <w:r w:rsidRPr="001F1E82">
        <w:rPr>
          <w:rFonts w:hint="eastAsia"/>
          <w:kern w:val="0"/>
          <w:szCs w:val="21"/>
        </w:rPr>
        <w:t>.</w:t>
      </w:r>
      <w:r w:rsidRPr="001F1E82">
        <w:rPr>
          <w:rFonts w:hint="eastAsia"/>
          <w:kern w:val="0"/>
          <w:szCs w:val="21"/>
        </w:rPr>
        <w:t>中国经济政策不确定性时变效应的实证检验</w:t>
      </w:r>
      <w:r w:rsidRPr="001F1E82">
        <w:rPr>
          <w:rFonts w:hint="eastAsia"/>
          <w:kern w:val="0"/>
          <w:szCs w:val="21"/>
        </w:rPr>
        <w:t>[J].</w:t>
      </w:r>
      <w:r w:rsidRPr="001F1E82">
        <w:rPr>
          <w:rFonts w:hint="eastAsia"/>
          <w:kern w:val="0"/>
          <w:szCs w:val="21"/>
        </w:rPr>
        <w:t>统计与决策</w:t>
      </w:r>
      <w:r w:rsidRPr="001F1E82">
        <w:rPr>
          <w:rFonts w:hint="eastAsia"/>
          <w:kern w:val="0"/>
          <w:szCs w:val="21"/>
        </w:rPr>
        <w:t>,2022,38(17):103-108.</w:t>
      </w:r>
    </w:p>
    <w:p w14:paraId="4468E9CD"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4</w:t>
      </w:r>
      <w:r w:rsidRPr="001F1E82">
        <w:rPr>
          <w:rFonts w:hint="eastAsia"/>
          <w:kern w:val="0"/>
          <w:szCs w:val="21"/>
        </w:rPr>
        <w:t>]</w:t>
      </w:r>
      <w:r w:rsidRPr="001F1E82">
        <w:rPr>
          <w:rFonts w:hint="eastAsia"/>
          <w:kern w:val="0"/>
          <w:szCs w:val="21"/>
        </w:rPr>
        <w:t>林建浩</w:t>
      </w:r>
      <w:r w:rsidRPr="001F1E82">
        <w:rPr>
          <w:rFonts w:hint="eastAsia"/>
          <w:kern w:val="0"/>
          <w:szCs w:val="21"/>
        </w:rPr>
        <w:t>,</w:t>
      </w:r>
      <w:r w:rsidRPr="001F1E82">
        <w:rPr>
          <w:rFonts w:hint="eastAsia"/>
          <w:kern w:val="0"/>
          <w:szCs w:val="21"/>
        </w:rPr>
        <w:t>陈良源</w:t>
      </w:r>
      <w:r w:rsidRPr="001F1E82">
        <w:rPr>
          <w:rFonts w:hint="eastAsia"/>
          <w:kern w:val="0"/>
          <w:szCs w:val="21"/>
        </w:rPr>
        <w:t>,</w:t>
      </w:r>
      <w:r w:rsidRPr="001F1E82">
        <w:rPr>
          <w:rFonts w:hint="eastAsia"/>
          <w:kern w:val="0"/>
          <w:szCs w:val="21"/>
        </w:rPr>
        <w:t>田磊</w:t>
      </w:r>
      <w:r w:rsidRPr="001F1E82">
        <w:rPr>
          <w:rFonts w:hint="eastAsia"/>
          <w:kern w:val="0"/>
          <w:szCs w:val="21"/>
        </w:rPr>
        <w:t>.</w:t>
      </w:r>
      <w:r w:rsidRPr="001F1E82">
        <w:rPr>
          <w:rFonts w:hint="eastAsia"/>
          <w:kern w:val="0"/>
          <w:szCs w:val="21"/>
        </w:rPr>
        <w:t>货币政策不确定性是中国股票市场的定价因子吗</w:t>
      </w:r>
      <w:r w:rsidRPr="001F1E82">
        <w:rPr>
          <w:rFonts w:hint="eastAsia"/>
          <w:kern w:val="0"/>
          <w:szCs w:val="21"/>
        </w:rPr>
        <w:t>?[J].</w:t>
      </w:r>
      <w:r w:rsidRPr="001F1E82">
        <w:rPr>
          <w:rFonts w:hint="eastAsia"/>
          <w:kern w:val="0"/>
          <w:szCs w:val="21"/>
        </w:rPr>
        <w:t>经济学</w:t>
      </w:r>
      <w:r w:rsidRPr="001F1E82">
        <w:rPr>
          <w:rFonts w:hint="eastAsia"/>
          <w:kern w:val="0"/>
          <w:szCs w:val="21"/>
        </w:rPr>
        <w:t>(</w:t>
      </w:r>
      <w:r w:rsidRPr="001F1E82">
        <w:rPr>
          <w:rFonts w:hint="eastAsia"/>
          <w:kern w:val="0"/>
          <w:szCs w:val="21"/>
        </w:rPr>
        <w:t>季刊</w:t>
      </w:r>
      <w:r w:rsidRPr="001F1E82">
        <w:rPr>
          <w:rFonts w:hint="eastAsia"/>
          <w:kern w:val="0"/>
          <w:szCs w:val="21"/>
        </w:rPr>
        <w:t>),2021,21(04):1275-1300.</w:t>
      </w:r>
    </w:p>
    <w:p w14:paraId="07DE3F42"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5</w:t>
      </w:r>
      <w:r w:rsidRPr="001F1E82">
        <w:rPr>
          <w:rFonts w:hint="eastAsia"/>
          <w:kern w:val="0"/>
          <w:szCs w:val="21"/>
        </w:rPr>
        <w:t>]</w:t>
      </w:r>
      <w:r w:rsidRPr="001F1E82">
        <w:rPr>
          <w:rFonts w:hint="eastAsia"/>
          <w:kern w:val="0"/>
          <w:szCs w:val="21"/>
        </w:rPr>
        <w:t>李超杰</w:t>
      </w:r>
      <w:r w:rsidRPr="001F1E82">
        <w:rPr>
          <w:rFonts w:hint="eastAsia"/>
          <w:kern w:val="0"/>
          <w:szCs w:val="21"/>
        </w:rPr>
        <w:t>,</w:t>
      </w:r>
      <w:r w:rsidRPr="001F1E82">
        <w:rPr>
          <w:rFonts w:hint="eastAsia"/>
          <w:kern w:val="0"/>
          <w:szCs w:val="21"/>
        </w:rPr>
        <w:t>郑凯鑫</w:t>
      </w:r>
      <w:r w:rsidRPr="001F1E82">
        <w:rPr>
          <w:rFonts w:hint="eastAsia"/>
          <w:kern w:val="0"/>
          <w:szCs w:val="21"/>
        </w:rPr>
        <w:t>.</w:t>
      </w:r>
      <w:r w:rsidRPr="001F1E82">
        <w:rPr>
          <w:rFonts w:hint="eastAsia"/>
          <w:kern w:val="0"/>
          <w:szCs w:val="21"/>
        </w:rPr>
        <w:t>中国经济政策与金融市场波动的内在逻辑——基于大数据挖掘的视角</w:t>
      </w:r>
      <w:r w:rsidRPr="001F1E82">
        <w:rPr>
          <w:rFonts w:hint="eastAsia"/>
          <w:kern w:val="0"/>
          <w:szCs w:val="21"/>
        </w:rPr>
        <w:t>[J].</w:t>
      </w:r>
      <w:r w:rsidRPr="001F1E82">
        <w:rPr>
          <w:rFonts w:hint="eastAsia"/>
          <w:kern w:val="0"/>
          <w:szCs w:val="21"/>
        </w:rPr>
        <w:t>现代经济探讨</w:t>
      </w:r>
      <w:r w:rsidRPr="001F1E82">
        <w:rPr>
          <w:rFonts w:hint="eastAsia"/>
          <w:kern w:val="0"/>
          <w:szCs w:val="21"/>
        </w:rPr>
        <w:t>,2022(09):49-61.</w:t>
      </w:r>
    </w:p>
    <w:p w14:paraId="742D7C06"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6</w:t>
      </w:r>
      <w:r w:rsidRPr="001F1E82">
        <w:rPr>
          <w:rFonts w:hint="eastAsia"/>
          <w:kern w:val="0"/>
          <w:szCs w:val="21"/>
        </w:rPr>
        <w:t>]</w:t>
      </w:r>
      <w:r w:rsidRPr="001F1E82">
        <w:rPr>
          <w:rFonts w:hint="eastAsia"/>
          <w:kern w:val="0"/>
          <w:szCs w:val="21"/>
        </w:rPr>
        <w:t>裴斌</w:t>
      </w:r>
      <w:r w:rsidRPr="001F1E82">
        <w:rPr>
          <w:rFonts w:hint="eastAsia"/>
          <w:kern w:val="0"/>
          <w:szCs w:val="21"/>
        </w:rPr>
        <w:t>,</w:t>
      </w:r>
      <w:r w:rsidRPr="001F1E82">
        <w:rPr>
          <w:rFonts w:hint="eastAsia"/>
          <w:kern w:val="0"/>
          <w:szCs w:val="21"/>
        </w:rPr>
        <w:t>乔广宇</w:t>
      </w:r>
      <w:r w:rsidRPr="001F1E82">
        <w:rPr>
          <w:rFonts w:hint="eastAsia"/>
          <w:kern w:val="0"/>
          <w:szCs w:val="21"/>
        </w:rPr>
        <w:t>.</w:t>
      </w:r>
      <w:r w:rsidRPr="001F1E82">
        <w:rPr>
          <w:rFonts w:hint="eastAsia"/>
          <w:kern w:val="0"/>
          <w:szCs w:val="21"/>
        </w:rPr>
        <w:t>不同类型经济政策不确定性与股市关系的差异性研究</w:t>
      </w:r>
      <w:r w:rsidRPr="001F1E82">
        <w:rPr>
          <w:rFonts w:hint="eastAsia"/>
          <w:kern w:val="0"/>
          <w:szCs w:val="21"/>
        </w:rPr>
        <w:t>[J].</w:t>
      </w:r>
      <w:r w:rsidRPr="001F1E82">
        <w:rPr>
          <w:rFonts w:hint="eastAsia"/>
          <w:kern w:val="0"/>
          <w:szCs w:val="21"/>
        </w:rPr>
        <w:t>工业技术经济</w:t>
      </w:r>
      <w:r w:rsidRPr="001F1E82">
        <w:rPr>
          <w:rFonts w:hint="eastAsia"/>
          <w:kern w:val="0"/>
          <w:szCs w:val="21"/>
        </w:rPr>
        <w:t>,2022,41(06):135-143.</w:t>
      </w:r>
    </w:p>
    <w:p w14:paraId="0FFBE31A"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7</w:t>
      </w:r>
      <w:r w:rsidRPr="001F1E82">
        <w:rPr>
          <w:rFonts w:hint="eastAsia"/>
          <w:kern w:val="0"/>
          <w:szCs w:val="21"/>
        </w:rPr>
        <w:t>]</w:t>
      </w:r>
      <w:r w:rsidRPr="001F1E82">
        <w:rPr>
          <w:rFonts w:hint="eastAsia"/>
          <w:kern w:val="0"/>
          <w:szCs w:val="21"/>
        </w:rPr>
        <w:t>李力</w:t>
      </w:r>
      <w:r w:rsidRPr="001F1E82">
        <w:rPr>
          <w:rFonts w:hint="eastAsia"/>
          <w:kern w:val="0"/>
          <w:szCs w:val="21"/>
        </w:rPr>
        <w:t>,</w:t>
      </w:r>
      <w:r w:rsidRPr="001F1E82">
        <w:rPr>
          <w:rFonts w:hint="eastAsia"/>
          <w:kern w:val="0"/>
          <w:szCs w:val="21"/>
        </w:rPr>
        <w:t>宫蕾</w:t>
      </w:r>
      <w:r w:rsidRPr="001F1E82">
        <w:rPr>
          <w:rFonts w:hint="eastAsia"/>
          <w:kern w:val="0"/>
          <w:szCs w:val="21"/>
        </w:rPr>
        <w:t>,</w:t>
      </w:r>
      <w:r w:rsidRPr="001F1E82">
        <w:rPr>
          <w:rFonts w:hint="eastAsia"/>
          <w:kern w:val="0"/>
          <w:szCs w:val="21"/>
        </w:rPr>
        <w:t>王博</w:t>
      </w:r>
      <w:r w:rsidRPr="001F1E82">
        <w:rPr>
          <w:rFonts w:hint="eastAsia"/>
          <w:kern w:val="0"/>
          <w:szCs w:val="21"/>
        </w:rPr>
        <w:t>.</w:t>
      </w:r>
      <w:r w:rsidRPr="001F1E82">
        <w:rPr>
          <w:rFonts w:hint="eastAsia"/>
          <w:kern w:val="0"/>
          <w:szCs w:val="21"/>
        </w:rPr>
        <w:t>经济政策不确定性冲击与股市波动率——来自宏观与微观两个层面的经验证据</w:t>
      </w:r>
      <w:r w:rsidRPr="001F1E82">
        <w:rPr>
          <w:rFonts w:hint="eastAsia"/>
          <w:kern w:val="0"/>
          <w:szCs w:val="21"/>
        </w:rPr>
        <w:t>[J].</w:t>
      </w:r>
      <w:r w:rsidRPr="001F1E82">
        <w:rPr>
          <w:rFonts w:hint="eastAsia"/>
          <w:kern w:val="0"/>
          <w:szCs w:val="21"/>
        </w:rPr>
        <w:t>金融学季刊</w:t>
      </w:r>
      <w:r w:rsidRPr="001F1E82">
        <w:rPr>
          <w:rFonts w:hint="eastAsia"/>
          <w:kern w:val="0"/>
          <w:szCs w:val="21"/>
        </w:rPr>
        <w:t>,2018,12(04):94-126.</w:t>
      </w:r>
    </w:p>
    <w:p w14:paraId="4D4405BB"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8</w:t>
      </w:r>
      <w:r w:rsidRPr="001F1E82">
        <w:rPr>
          <w:rFonts w:hint="eastAsia"/>
          <w:kern w:val="0"/>
          <w:szCs w:val="21"/>
        </w:rPr>
        <w:t>]</w:t>
      </w:r>
      <w:r w:rsidRPr="001F1E82">
        <w:rPr>
          <w:rFonts w:hint="eastAsia"/>
          <w:kern w:val="0"/>
          <w:szCs w:val="21"/>
        </w:rPr>
        <w:t>汪弘</w:t>
      </w:r>
      <w:r w:rsidRPr="001F1E82">
        <w:rPr>
          <w:rFonts w:hint="eastAsia"/>
          <w:kern w:val="0"/>
          <w:szCs w:val="21"/>
        </w:rPr>
        <w:t>,</w:t>
      </w:r>
      <w:r w:rsidRPr="001F1E82">
        <w:rPr>
          <w:rFonts w:hint="eastAsia"/>
          <w:kern w:val="0"/>
          <w:szCs w:val="21"/>
        </w:rPr>
        <w:t>宋登辉</w:t>
      </w:r>
      <w:r w:rsidRPr="001F1E82">
        <w:rPr>
          <w:rFonts w:hint="eastAsia"/>
          <w:kern w:val="0"/>
          <w:szCs w:val="21"/>
        </w:rPr>
        <w:t>,</w:t>
      </w:r>
      <w:r w:rsidRPr="001F1E82">
        <w:rPr>
          <w:rFonts w:hint="eastAsia"/>
          <w:kern w:val="0"/>
          <w:szCs w:val="21"/>
        </w:rPr>
        <w:t>陈立慧</w:t>
      </w:r>
      <w:r w:rsidRPr="001F1E82">
        <w:rPr>
          <w:rFonts w:hint="eastAsia"/>
          <w:kern w:val="0"/>
          <w:szCs w:val="21"/>
        </w:rPr>
        <w:t>.</w:t>
      </w:r>
      <w:r w:rsidRPr="001F1E82">
        <w:rPr>
          <w:rFonts w:hint="eastAsia"/>
          <w:kern w:val="0"/>
          <w:szCs w:val="21"/>
        </w:rPr>
        <w:t>经济政策不确定性与股票收益</w:t>
      </w:r>
      <w:r w:rsidRPr="001F1E82">
        <w:rPr>
          <w:rFonts w:hint="eastAsia"/>
          <w:kern w:val="0"/>
          <w:szCs w:val="21"/>
        </w:rPr>
        <w:t>[J].</w:t>
      </w:r>
      <w:r w:rsidRPr="001F1E82">
        <w:rPr>
          <w:rFonts w:hint="eastAsia"/>
          <w:kern w:val="0"/>
          <w:szCs w:val="21"/>
        </w:rPr>
        <w:t>金融学季刊</w:t>
      </w:r>
      <w:r w:rsidRPr="001F1E82">
        <w:rPr>
          <w:rFonts w:hint="eastAsia"/>
          <w:kern w:val="0"/>
          <w:szCs w:val="21"/>
        </w:rPr>
        <w:t>,2018,12(04):1-20.</w:t>
      </w:r>
    </w:p>
    <w:p w14:paraId="459CB3FF"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9</w:t>
      </w:r>
      <w:r w:rsidRPr="001F1E82">
        <w:rPr>
          <w:rFonts w:hint="eastAsia"/>
          <w:kern w:val="0"/>
          <w:szCs w:val="21"/>
        </w:rPr>
        <w:t>]</w:t>
      </w:r>
      <w:r w:rsidRPr="001F1E82">
        <w:rPr>
          <w:rFonts w:hint="eastAsia"/>
          <w:kern w:val="0"/>
          <w:szCs w:val="21"/>
        </w:rPr>
        <w:t>陈国进</w:t>
      </w:r>
      <w:r w:rsidRPr="001F1E82">
        <w:rPr>
          <w:rFonts w:hint="eastAsia"/>
          <w:kern w:val="0"/>
          <w:szCs w:val="21"/>
        </w:rPr>
        <w:t>,</w:t>
      </w:r>
      <w:r w:rsidRPr="001F1E82">
        <w:rPr>
          <w:rFonts w:hint="eastAsia"/>
          <w:kern w:val="0"/>
          <w:szCs w:val="21"/>
        </w:rPr>
        <w:t>张润泽</w:t>
      </w:r>
      <w:r w:rsidRPr="001F1E82">
        <w:rPr>
          <w:rFonts w:hint="eastAsia"/>
          <w:kern w:val="0"/>
          <w:szCs w:val="21"/>
        </w:rPr>
        <w:t>,</w:t>
      </w:r>
      <w:r w:rsidRPr="001F1E82">
        <w:rPr>
          <w:rFonts w:hint="eastAsia"/>
          <w:kern w:val="0"/>
          <w:szCs w:val="21"/>
        </w:rPr>
        <w:t>赵向琴</w:t>
      </w:r>
      <w:r w:rsidRPr="001F1E82">
        <w:rPr>
          <w:rFonts w:hint="eastAsia"/>
          <w:kern w:val="0"/>
          <w:szCs w:val="21"/>
        </w:rPr>
        <w:t>.</w:t>
      </w:r>
      <w:r w:rsidRPr="001F1E82">
        <w:rPr>
          <w:rFonts w:hint="eastAsia"/>
          <w:kern w:val="0"/>
          <w:szCs w:val="21"/>
        </w:rPr>
        <w:t>政策不确定性、消费行为与股票资产定价</w:t>
      </w:r>
      <w:r w:rsidRPr="001F1E82">
        <w:rPr>
          <w:rFonts w:hint="eastAsia"/>
          <w:kern w:val="0"/>
          <w:szCs w:val="21"/>
        </w:rPr>
        <w:t>[J].</w:t>
      </w:r>
      <w:r w:rsidRPr="001F1E82">
        <w:rPr>
          <w:rFonts w:hint="eastAsia"/>
          <w:kern w:val="0"/>
          <w:szCs w:val="21"/>
        </w:rPr>
        <w:t>世界经济</w:t>
      </w:r>
      <w:r w:rsidRPr="001F1E82">
        <w:rPr>
          <w:rFonts w:hint="eastAsia"/>
          <w:kern w:val="0"/>
          <w:szCs w:val="21"/>
        </w:rPr>
        <w:t>,2017,40(01):116-141.</w:t>
      </w:r>
    </w:p>
    <w:p w14:paraId="27B2080B"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10</w:t>
      </w:r>
      <w:r w:rsidRPr="001F1E82">
        <w:rPr>
          <w:rFonts w:hint="eastAsia"/>
          <w:kern w:val="0"/>
          <w:szCs w:val="21"/>
        </w:rPr>
        <w:t>]</w:t>
      </w:r>
      <w:r w:rsidRPr="001F1E82">
        <w:rPr>
          <w:rFonts w:hint="eastAsia"/>
          <w:kern w:val="0"/>
          <w:szCs w:val="21"/>
        </w:rPr>
        <w:t>杨艳</w:t>
      </w:r>
      <w:r w:rsidRPr="001F1E82">
        <w:rPr>
          <w:rFonts w:hint="eastAsia"/>
          <w:kern w:val="0"/>
          <w:szCs w:val="21"/>
        </w:rPr>
        <w:t>,</w:t>
      </w:r>
      <w:r w:rsidRPr="001F1E82">
        <w:rPr>
          <w:rFonts w:hint="eastAsia"/>
          <w:kern w:val="0"/>
          <w:szCs w:val="21"/>
        </w:rPr>
        <w:t>宋思学</w:t>
      </w:r>
      <w:r w:rsidRPr="001F1E82">
        <w:rPr>
          <w:rFonts w:hint="eastAsia"/>
          <w:kern w:val="0"/>
          <w:szCs w:val="21"/>
        </w:rPr>
        <w:t>.</w:t>
      </w:r>
      <w:r w:rsidRPr="001F1E82">
        <w:rPr>
          <w:rFonts w:hint="eastAsia"/>
          <w:kern w:val="0"/>
          <w:szCs w:val="21"/>
        </w:rPr>
        <w:t>经济政策不确定性对股市收益率的影响——基于差异化视角的实证分析</w:t>
      </w:r>
      <w:r w:rsidRPr="001F1E82">
        <w:rPr>
          <w:rFonts w:hint="eastAsia"/>
          <w:kern w:val="0"/>
          <w:szCs w:val="21"/>
        </w:rPr>
        <w:t>[J].</w:t>
      </w:r>
      <w:r w:rsidRPr="001F1E82">
        <w:rPr>
          <w:rFonts w:hint="eastAsia"/>
          <w:kern w:val="0"/>
          <w:szCs w:val="21"/>
        </w:rPr>
        <w:t>农村金融研究</w:t>
      </w:r>
      <w:r w:rsidRPr="001F1E82">
        <w:rPr>
          <w:rFonts w:hint="eastAsia"/>
          <w:kern w:val="0"/>
          <w:szCs w:val="21"/>
        </w:rPr>
        <w:t>,2020(08):58-69.</w:t>
      </w:r>
    </w:p>
    <w:p w14:paraId="73EB4FA1"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[1</w:t>
      </w:r>
      <w:r w:rsidRPr="001F1E82">
        <w:rPr>
          <w:kern w:val="0"/>
          <w:szCs w:val="21"/>
        </w:rPr>
        <w:t>1</w:t>
      </w:r>
      <w:r w:rsidRPr="001F1E82">
        <w:rPr>
          <w:rFonts w:hint="eastAsia"/>
          <w:kern w:val="0"/>
          <w:szCs w:val="21"/>
        </w:rPr>
        <w:t>]</w:t>
      </w:r>
      <w:r w:rsidRPr="001F1E82">
        <w:rPr>
          <w:rFonts w:hint="eastAsia"/>
          <w:kern w:val="0"/>
          <w:szCs w:val="21"/>
        </w:rPr>
        <w:t>陈倩</w:t>
      </w:r>
      <w:r w:rsidRPr="001F1E82">
        <w:rPr>
          <w:rFonts w:hint="eastAsia"/>
          <w:kern w:val="0"/>
          <w:szCs w:val="21"/>
        </w:rPr>
        <w:t>,</w:t>
      </w:r>
      <w:r w:rsidRPr="001F1E82">
        <w:rPr>
          <w:rFonts w:hint="eastAsia"/>
          <w:kern w:val="0"/>
          <w:szCs w:val="21"/>
        </w:rPr>
        <w:t>史桂芬</w:t>
      </w:r>
      <w:r w:rsidRPr="001F1E82">
        <w:rPr>
          <w:rFonts w:hint="eastAsia"/>
          <w:kern w:val="0"/>
          <w:szCs w:val="21"/>
        </w:rPr>
        <w:t>.</w:t>
      </w:r>
      <w:r w:rsidRPr="001F1E82">
        <w:rPr>
          <w:rFonts w:hint="eastAsia"/>
          <w:kern w:val="0"/>
          <w:szCs w:val="21"/>
        </w:rPr>
        <w:t>经济政策不确定性冲击下金融风险的跨市场传染</w:t>
      </w:r>
      <w:r w:rsidRPr="001F1E82">
        <w:rPr>
          <w:rFonts w:hint="eastAsia"/>
          <w:kern w:val="0"/>
          <w:szCs w:val="21"/>
        </w:rPr>
        <w:t>[J].</w:t>
      </w:r>
      <w:r w:rsidRPr="001F1E82">
        <w:rPr>
          <w:rFonts w:hint="eastAsia"/>
          <w:kern w:val="0"/>
          <w:szCs w:val="21"/>
        </w:rPr>
        <w:t>统计与决策</w:t>
      </w:r>
      <w:r w:rsidRPr="001F1E82">
        <w:rPr>
          <w:rFonts w:hint="eastAsia"/>
          <w:kern w:val="0"/>
          <w:szCs w:val="21"/>
        </w:rPr>
        <w:t>,2022,38(11):134-139.</w:t>
      </w:r>
    </w:p>
    <w:p w14:paraId="255AD830"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[1</w:t>
      </w:r>
      <w:r w:rsidRPr="001F1E82">
        <w:rPr>
          <w:kern w:val="0"/>
          <w:szCs w:val="21"/>
        </w:rPr>
        <w:t>2</w:t>
      </w:r>
      <w:r w:rsidRPr="001F1E82">
        <w:rPr>
          <w:rFonts w:hint="eastAsia"/>
          <w:kern w:val="0"/>
          <w:szCs w:val="21"/>
        </w:rPr>
        <w:t>]</w:t>
      </w:r>
      <w:r w:rsidRPr="001F1E82">
        <w:rPr>
          <w:rFonts w:hint="eastAsia"/>
          <w:kern w:val="0"/>
          <w:szCs w:val="21"/>
        </w:rPr>
        <w:t>刘慧</w:t>
      </w:r>
      <w:r w:rsidRPr="001F1E82">
        <w:rPr>
          <w:rFonts w:hint="eastAsia"/>
          <w:kern w:val="0"/>
          <w:szCs w:val="21"/>
        </w:rPr>
        <w:t>,</w:t>
      </w:r>
      <w:r w:rsidRPr="001F1E82">
        <w:rPr>
          <w:rFonts w:hint="eastAsia"/>
          <w:kern w:val="0"/>
          <w:szCs w:val="21"/>
        </w:rPr>
        <w:t>张勇</w:t>
      </w:r>
      <w:r w:rsidRPr="001F1E82">
        <w:rPr>
          <w:rFonts w:hint="eastAsia"/>
          <w:kern w:val="0"/>
          <w:szCs w:val="21"/>
        </w:rPr>
        <w:t>.</w:t>
      </w:r>
      <w:r w:rsidRPr="001F1E82">
        <w:rPr>
          <w:rFonts w:hint="eastAsia"/>
          <w:kern w:val="0"/>
          <w:szCs w:val="21"/>
        </w:rPr>
        <w:t>货币政策不确定性的定义、测度及成因分析</w:t>
      </w:r>
      <w:r w:rsidRPr="001F1E82">
        <w:rPr>
          <w:rFonts w:hint="eastAsia"/>
          <w:kern w:val="0"/>
          <w:szCs w:val="21"/>
        </w:rPr>
        <w:t>[J].</w:t>
      </w:r>
      <w:r w:rsidRPr="001F1E82">
        <w:rPr>
          <w:rFonts w:hint="eastAsia"/>
          <w:kern w:val="0"/>
          <w:szCs w:val="21"/>
        </w:rPr>
        <w:t>经济学动态</w:t>
      </w:r>
      <w:r w:rsidRPr="001F1E82">
        <w:rPr>
          <w:rFonts w:hint="eastAsia"/>
          <w:kern w:val="0"/>
          <w:szCs w:val="21"/>
        </w:rPr>
        <w:t>,2022(06):61-79.</w:t>
      </w:r>
    </w:p>
    <w:p w14:paraId="2924774A"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[1</w:t>
      </w:r>
      <w:r w:rsidRPr="001F1E82">
        <w:rPr>
          <w:kern w:val="0"/>
          <w:szCs w:val="21"/>
        </w:rPr>
        <w:t>3</w:t>
      </w:r>
      <w:r w:rsidRPr="001F1E82">
        <w:rPr>
          <w:rFonts w:hint="eastAsia"/>
          <w:kern w:val="0"/>
          <w:szCs w:val="21"/>
        </w:rPr>
        <w:t>]</w:t>
      </w:r>
      <w:r w:rsidRPr="001F1E82">
        <w:rPr>
          <w:rFonts w:hint="eastAsia"/>
          <w:kern w:val="0"/>
          <w:szCs w:val="21"/>
        </w:rPr>
        <w:t>张克钦</w:t>
      </w:r>
      <w:r w:rsidRPr="001F1E82">
        <w:rPr>
          <w:rFonts w:hint="eastAsia"/>
          <w:kern w:val="0"/>
          <w:szCs w:val="21"/>
        </w:rPr>
        <w:t>,</w:t>
      </w:r>
      <w:r w:rsidRPr="001F1E82">
        <w:rPr>
          <w:rFonts w:hint="eastAsia"/>
          <w:kern w:val="0"/>
          <w:szCs w:val="21"/>
        </w:rPr>
        <w:t>李永波</w:t>
      </w:r>
      <w:r w:rsidRPr="001F1E82">
        <w:rPr>
          <w:rFonts w:hint="eastAsia"/>
          <w:kern w:val="0"/>
          <w:szCs w:val="21"/>
        </w:rPr>
        <w:t>.</w:t>
      </w:r>
      <w:r w:rsidRPr="001F1E82">
        <w:rPr>
          <w:rFonts w:hint="eastAsia"/>
          <w:kern w:val="0"/>
          <w:szCs w:val="21"/>
        </w:rPr>
        <w:t>经济政策不确定性与股票市场波动的全球溢出效应</w:t>
      </w:r>
      <w:r w:rsidRPr="001F1E82">
        <w:rPr>
          <w:rFonts w:hint="eastAsia"/>
          <w:kern w:val="0"/>
          <w:szCs w:val="21"/>
        </w:rPr>
        <w:t>[J].</w:t>
      </w:r>
      <w:r w:rsidRPr="001F1E82">
        <w:rPr>
          <w:rFonts w:hint="eastAsia"/>
          <w:kern w:val="0"/>
          <w:szCs w:val="21"/>
        </w:rPr>
        <w:t>财经科学</w:t>
      </w:r>
      <w:r w:rsidRPr="001F1E82">
        <w:rPr>
          <w:rFonts w:hint="eastAsia"/>
          <w:kern w:val="0"/>
          <w:szCs w:val="21"/>
        </w:rPr>
        <w:t>,2022(07):1-16.</w:t>
      </w:r>
    </w:p>
    <w:p w14:paraId="77012127"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[1</w:t>
      </w:r>
      <w:r w:rsidRPr="001F1E82">
        <w:rPr>
          <w:kern w:val="0"/>
          <w:szCs w:val="21"/>
        </w:rPr>
        <w:t>4</w:t>
      </w:r>
      <w:r w:rsidRPr="001F1E82">
        <w:rPr>
          <w:rFonts w:hint="eastAsia"/>
          <w:kern w:val="0"/>
          <w:szCs w:val="21"/>
        </w:rPr>
        <w:t>]</w:t>
      </w:r>
      <w:r w:rsidRPr="001F1E82">
        <w:rPr>
          <w:rFonts w:hint="eastAsia"/>
          <w:kern w:val="0"/>
          <w:szCs w:val="21"/>
        </w:rPr>
        <w:t>林建浩</w:t>
      </w:r>
      <w:r w:rsidRPr="001F1E82">
        <w:rPr>
          <w:rFonts w:hint="eastAsia"/>
          <w:kern w:val="0"/>
          <w:szCs w:val="21"/>
        </w:rPr>
        <w:t>,</w:t>
      </w:r>
      <w:r w:rsidRPr="001F1E82">
        <w:rPr>
          <w:rFonts w:hint="eastAsia"/>
          <w:kern w:val="0"/>
          <w:szCs w:val="21"/>
        </w:rPr>
        <w:t>陈良源</w:t>
      </w:r>
      <w:r w:rsidRPr="001F1E82">
        <w:rPr>
          <w:rFonts w:hint="eastAsia"/>
          <w:kern w:val="0"/>
          <w:szCs w:val="21"/>
        </w:rPr>
        <w:t>,</w:t>
      </w:r>
      <w:r w:rsidRPr="001F1E82">
        <w:rPr>
          <w:rFonts w:hint="eastAsia"/>
          <w:kern w:val="0"/>
          <w:szCs w:val="21"/>
        </w:rPr>
        <w:t>田磊</w:t>
      </w:r>
      <w:r w:rsidRPr="001F1E82">
        <w:rPr>
          <w:rFonts w:hint="eastAsia"/>
          <w:kern w:val="0"/>
          <w:szCs w:val="21"/>
        </w:rPr>
        <w:t>.</w:t>
      </w:r>
      <w:r w:rsidRPr="001F1E82">
        <w:rPr>
          <w:rFonts w:hint="eastAsia"/>
          <w:kern w:val="0"/>
          <w:szCs w:val="21"/>
        </w:rPr>
        <w:t>货币政策不确定性是中国股票市场的定价因子吗</w:t>
      </w:r>
      <w:r w:rsidRPr="001F1E82">
        <w:rPr>
          <w:rFonts w:hint="eastAsia"/>
          <w:kern w:val="0"/>
          <w:szCs w:val="21"/>
        </w:rPr>
        <w:t>?[J].</w:t>
      </w:r>
      <w:r w:rsidRPr="001F1E82">
        <w:rPr>
          <w:rFonts w:hint="eastAsia"/>
          <w:kern w:val="0"/>
          <w:szCs w:val="21"/>
        </w:rPr>
        <w:t>经济学</w:t>
      </w:r>
      <w:r w:rsidRPr="001F1E82">
        <w:rPr>
          <w:rFonts w:hint="eastAsia"/>
          <w:kern w:val="0"/>
          <w:szCs w:val="21"/>
        </w:rPr>
        <w:t>(</w:t>
      </w:r>
      <w:r w:rsidRPr="001F1E82">
        <w:rPr>
          <w:rFonts w:hint="eastAsia"/>
          <w:kern w:val="0"/>
          <w:szCs w:val="21"/>
        </w:rPr>
        <w:t>季刊</w:t>
      </w:r>
      <w:r w:rsidRPr="001F1E82">
        <w:rPr>
          <w:rFonts w:hint="eastAsia"/>
          <w:kern w:val="0"/>
          <w:szCs w:val="21"/>
        </w:rPr>
        <w:t>),2021,21(04):1275-1300.</w:t>
      </w:r>
    </w:p>
    <w:p w14:paraId="0161DC1E"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[1</w:t>
      </w:r>
      <w:r w:rsidRPr="001F1E82">
        <w:rPr>
          <w:kern w:val="0"/>
          <w:szCs w:val="21"/>
        </w:rPr>
        <w:t>5</w:t>
      </w:r>
      <w:r w:rsidRPr="001F1E82">
        <w:rPr>
          <w:rFonts w:hint="eastAsia"/>
          <w:kern w:val="0"/>
          <w:szCs w:val="21"/>
        </w:rPr>
        <w:t>]</w:t>
      </w:r>
      <w:r w:rsidRPr="001F1E82">
        <w:rPr>
          <w:rFonts w:hint="eastAsia"/>
          <w:kern w:val="0"/>
          <w:szCs w:val="21"/>
        </w:rPr>
        <w:t>胡一博</w:t>
      </w:r>
      <w:r w:rsidRPr="001F1E82">
        <w:rPr>
          <w:rFonts w:hint="eastAsia"/>
          <w:kern w:val="0"/>
          <w:szCs w:val="21"/>
        </w:rPr>
        <w:t>,</w:t>
      </w:r>
      <w:r w:rsidRPr="001F1E82">
        <w:rPr>
          <w:rFonts w:hint="eastAsia"/>
          <w:kern w:val="0"/>
          <w:szCs w:val="21"/>
        </w:rPr>
        <w:t>赖玉洁</w:t>
      </w:r>
      <w:r w:rsidRPr="001F1E82">
        <w:rPr>
          <w:rFonts w:hint="eastAsia"/>
          <w:kern w:val="0"/>
          <w:szCs w:val="21"/>
        </w:rPr>
        <w:t>.</w:t>
      </w:r>
      <w:r w:rsidRPr="001F1E82">
        <w:rPr>
          <w:rFonts w:hint="eastAsia"/>
          <w:kern w:val="0"/>
          <w:szCs w:val="21"/>
        </w:rPr>
        <w:t>我国货币政策与股市稳定性的关系研究——基于</w:t>
      </w:r>
      <w:r w:rsidRPr="001F1E82">
        <w:rPr>
          <w:rFonts w:hint="eastAsia"/>
          <w:kern w:val="0"/>
          <w:szCs w:val="21"/>
        </w:rPr>
        <w:t>MSIH-VAR</w:t>
      </w:r>
      <w:r w:rsidRPr="001F1E82">
        <w:rPr>
          <w:rFonts w:hint="eastAsia"/>
          <w:kern w:val="0"/>
          <w:szCs w:val="21"/>
        </w:rPr>
        <w:t>三区制系统模型</w:t>
      </w:r>
      <w:r w:rsidRPr="001F1E82">
        <w:rPr>
          <w:rFonts w:hint="eastAsia"/>
          <w:kern w:val="0"/>
          <w:szCs w:val="21"/>
        </w:rPr>
        <w:t>[J].</w:t>
      </w:r>
      <w:r w:rsidRPr="001F1E82">
        <w:rPr>
          <w:rFonts w:hint="eastAsia"/>
          <w:kern w:val="0"/>
          <w:szCs w:val="21"/>
        </w:rPr>
        <w:t>技术经济与管理研究</w:t>
      </w:r>
      <w:r w:rsidRPr="001F1E82">
        <w:rPr>
          <w:rFonts w:hint="eastAsia"/>
          <w:kern w:val="0"/>
          <w:szCs w:val="21"/>
        </w:rPr>
        <w:t>,2019(08):85-90.</w:t>
      </w:r>
    </w:p>
    <w:p w14:paraId="2246239F"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16</w:t>
      </w:r>
      <w:r w:rsidRPr="001F1E82">
        <w:rPr>
          <w:rFonts w:hint="eastAsia"/>
          <w:kern w:val="0"/>
          <w:szCs w:val="21"/>
        </w:rPr>
        <w:t>]</w:t>
      </w:r>
      <w:r w:rsidRPr="001F1E82">
        <w:rPr>
          <w:rFonts w:hint="eastAsia"/>
          <w:kern w:val="0"/>
          <w:szCs w:val="21"/>
        </w:rPr>
        <w:t>王霦</w:t>
      </w:r>
      <w:r w:rsidRPr="001F1E82">
        <w:rPr>
          <w:rFonts w:hint="eastAsia"/>
          <w:kern w:val="0"/>
          <w:szCs w:val="21"/>
        </w:rPr>
        <w:t>,</w:t>
      </w:r>
      <w:r w:rsidRPr="001F1E82">
        <w:rPr>
          <w:rFonts w:hint="eastAsia"/>
          <w:kern w:val="0"/>
          <w:szCs w:val="21"/>
        </w:rPr>
        <w:t>魏先华</w:t>
      </w:r>
      <w:r w:rsidRPr="001F1E82">
        <w:rPr>
          <w:rFonts w:hint="eastAsia"/>
          <w:kern w:val="0"/>
          <w:szCs w:val="21"/>
        </w:rPr>
        <w:t>.</w:t>
      </w:r>
      <w:r w:rsidRPr="001F1E82">
        <w:rPr>
          <w:rFonts w:hint="eastAsia"/>
          <w:kern w:val="0"/>
          <w:szCs w:val="21"/>
        </w:rPr>
        <w:t>资产收益的区制转换特征与动态大类资产配置</w:t>
      </w:r>
      <w:r w:rsidRPr="001F1E82">
        <w:rPr>
          <w:rFonts w:hint="eastAsia"/>
          <w:kern w:val="0"/>
          <w:szCs w:val="21"/>
        </w:rPr>
        <w:t>[J].</w:t>
      </w:r>
      <w:r w:rsidRPr="001F1E82">
        <w:rPr>
          <w:rFonts w:hint="eastAsia"/>
          <w:kern w:val="0"/>
          <w:szCs w:val="21"/>
        </w:rPr>
        <w:t>投资研究</w:t>
      </w:r>
      <w:r w:rsidRPr="001F1E82">
        <w:rPr>
          <w:rFonts w:hint="eastAsia"/>
          <w:kern w:val="0"/>
          <w:szCs w:val="21"/>
        </w:rPr>
        <w:t>,2017,36(06):102-115.</w:t>
      </w:r>
    </w:p>
    <w:p w14:paraId="77D1517E"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lastRenderedPageBreak/>
        <w:t>[1</w:t>
      </w:r>
      <w:r w:rsidRPr="001F1E82">
        <w:rPr>
          <w:kern w:val="0"/>
          <w:szCs w:val="21"/>
        </w:rPr>
        <w:t>7</w:t>
      </w:r>
      <w:r w:rsidRPr="001F1E82">
        <w:rPr>
          <w:rFonts w:hint="eastAsia"/>
          <w:kern w:val="0"/>
          <w:szCs w:val="21"/>
        </w:rPr>
        <w:t>]</w:t>
      </w:r>
      <w:r w:rsidRPr="001F1E82">
        <w:rPr>
          <w:rFonts w:hint="eastAsia"/>
          <w:kern w:val="0"/>
          <w:szCs w:val="21"/>
        </w:rPr>
        <w:t>郑立君</w:t>
      </w:r>
      <w:r w:rsidRPr="001F1E82">
        <w:rPr>
          <w:rFonts w:hint="eastAsia"/>
          <w:kern w:val="0"/>
          <w:szCs w:val="21"/>
        </w:rPr>
        <w:t>,</w:t>
      </w:r>
      <w:r w:rsidRPr="001F1E82">
        <w:rPr>
          <w:rFonts w:hint="eastAsia"/>
          <w:kern w:val="0"/>
          <w:szCs w:val="21"/>
        </w:rPr>
        <w:t>颜建源</w:t>
      </w:r>
      <w:r w:rsidRPr="001F1E82">
        <w:rPr>
          <w:rFonts w:hint="eastAsia"/>
          <w:kern w:val="0"/>
          <w:szCs w:val="21"/>
        </w:rPr>
        <w:t>,</w:t>
      </w:r>
      <w:r w:rsidRPr="001F1E82">
        <w:rPr>
          <w:rFonts w:hint="eastAsia"/>
          <w:kern w:val="0"/>
          <w:szCs w:val="21"/>
        </w:rPr>
        <w:t>黄友逵</w:t>
      </w:r>
      <w:r w:rsidRPr="001F1E82">
        <w:rPr>
          <w:rFonts w:hint="eastAsia"/>
          <w:kern w:val="0"/>
          <w:szCs w:val="21"/>
        </w:rPr>
        <w:t>,</w:t>
      </w:r>
      <w:r w:rsidRPr="001F1E82">
        <w:rPr>
          <w:rFonts w:hint="eastAsia"/>
          <w:kern w:val="0"/>
          <w:szCs w:val="21"/>
        </w:rPr>
        <w:t>黄灿云</w:t>
      </w:r>
      <w:r w:rsidRPr="001F1E82">
        <w:rPr>
          <w:rFonts w:hint="eastAsia"/>
          <w:kern w:val="0"/>
          <w:szCs w:val="21"/>
        </w:rPr>
        <w:t>,</w:t>
      </w:r>
      <w:r w:rsidRPr="001F1E82">
        <w:rPr>
          <w:rFonts w:hint="eastAsia"/>
          <w:kern w:val="0"/>
          <w:szCs w:val="21"/>
        </w:rPr>
        <w:t>詹振峰</w:t>
      </w:r>
      <w:r w:rsidRPr="001F1E82">
        <w:rPr>
          <w:rFonts w:hint="eastAsia"/>
          <w:kern w:val="0"/>
          <w:szCs w:val="21"/>
        </w:rPr>
        <w:t>.</w:t>
      </w:r>
      <w:r w:rsidRPr="001F1E82">
        <w:rPr>
          <w:rFonts w:hint="eastAsia"/>
          <w:kern w:val="0"/>
          <w:szCs w:val="21"/>
        </w:rPr>
        <w:t>经济政策不确定性、资产价格与货币政策反应——基于</w:t>
      </w:r>
      <w:r w:rsidRPr="001F1E82">
        <w:rPr>
          <w:rFonts w:hint="eastAsia"/>
          <w:kern w:val="0"/>
          <w:szCs w:val="21"/>
        </w:rPr>
        <w:t>MS-VAR</w:t>
      </w:r>
      <w:r w:rsidRPr="001F1E82">
        <w:rPr>
          <w:rFonts w:hint="eastAsia"/>
          <w:kern w:val="0"/>
          <w:szCs w:val="21"/>
        </w:rPr>
        <w:t>模型的分析</w:t>
      </w:r>
      <w:r w:rsidRPr="001F1E82">
        <w:rPr>
          <w:rFonts w:hint="eastAsia"/>
          <w:kern w:val="0"/>
          <w:szCs w:val="21"/>
        </w:rPr>
        <w:t>[J].</w:t>
      </w:r>
      <w:r w:rsidRPr="001F1E82">
        <w:rPr>
          <w:rFonts w:hint="eastAsia"/>
          <w:kern w:val="0"/>
          <w:szCs w:val="21"/>
        </w:rPr>
        <w:t>福建金融</w:t>
      </w:r>
      <w:r w:rsidRPr="001F1E82">
        <w:rPr>
          <w:rFonts w:hint="eastAsia"/>
          <w:kern w:val="0"/>
          <w:szCs w:val="21"/>
        </w:rPr>
        <w:t>,2022(04):27-35.</w:t>
      </w:r>
    </w:p>
    <w:p w14:paraId="34304619"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[1</w:t>
      </w:r>
      <w:r w:rsidRPr="001F1E82">
        <w:rPr>
          <w:kern w:val="0"/>
          <w:szCs w:val="21"/>
        </w:rPr>
        <w:t>8</w:t>
      </w:r>
      <w:r w:rsidRPr="001F1E82">
        <w:rPr>
          <w:rFonts w:hint="eastAsia"/>
          <w:kern w:val="0"/>
          <w:szCs w:val="21"/>
        </w:rPr>
        <w:t>]</w:t>
      </w:r>
      <w:r w:rsidRPr="001F1E82">
        <w:rPr>
          <w:rFonts w:hint="eastAsia"/>
          <w:kern w:val="0"/>
          <w:szCs w:val="21"/>
        </w:rPr>
        <w:t>吕晓英</w:t>
      </w:r>
      <w:r w:rsidRPr="001F1E82">
        <w:rPr>
          <w:rFonts w:hint="eastAsia"/>
          <w:kern w:val="0"/>
          <w:szCs w:val="21"/>
        </w:rPr>
        <w:t>,</w:t>
      </w:r>
      <w:r w:rsidRPr="001F1E82">
        <w:rPr>
          <w:rFonts w:hint="eastAsia"/>
          <w:kern w:val="0"/>
          <w:szCs w:val="21"/>
        </w:rPr>
        <w:t>李先德</w:t>
      </w:r>
      <w:r w:rsidRPr="001F1E82">
        <w:rPr>
          <w:rFonts w:hint="eastAsia"/>
          <w:kern w:val="0"/>
          <w:szCs w:val="21"/>
        </w:rPr>
        <w:t>.</w:t>
      </w:r>
      <w:r w:rsidRPr="001F1E82">
        <w:rPr>
          <w:rFonts w:hint="eastAsia"/>
          <w:kern w:val="0"/>
          <w:szCs w:val="21"/>
        </w:rPr>
        <w:t>经济、社会、政治全球化相互关系的马尔可夫区制转换向量自回归模型分析</w:t>
      </w:r>
      <w:r w:rsidRPr="001F1E82">
        <w:rPr>
          <w:rFonts w:hint="eastAsia"/>
          <w:kern w:val="0"/>
          <w:szCs w:val="21"/>
        </w:rPr>
        <w:t>[J].</w:t>
      </w:r>
      <w:r w:rsidRPr="001F1E82">
        <w:rPr>
          <w:rFonts w:hint="eastAsia"/>
          <w:kern w:val="0"/>
          <w:szCs w:val="21"/>
        </w:rPr>
        <w:t>甘肃社会科学</w:t>
      </w:r>
      <w:r w:rsidRPr="001F1E82">
        <w:rPr>
          <w:rFonts w:hint="eastAsia"/>
          <w:kern w:val="0"/>
          <w:szCs w:val="21"/>
        </w:rPr>
        <w:t>,2021(03):205-212.</w:t>
      </w:r>
    </w:p>
    <w:p w14:paraId="3AFDFDEE"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19</w:t>
      </w:r>
      <w:r w:rsidRPr="001F1E82">
        <w:rPr>
          <w:rFonts w:hint="eastAsia"/>
          <w:kern w:val="0"/>
          <w:szCs w:val="21"/>
        </w:rPr>
        <w:t>]</w:t>
      </w:r>
      <w:r w:rsidRPr="001F1E82">
        <w:rPr>
          <w:rFonts w:hint="eastAsia"/>
          <w:kern w:val="0"/>
          <w:szCs w:val="21"/>
        </w:rPr>
        <w:t>胡一博</w:t>
      </w:r>
      <w:r w:rsidRPr="001F1E82">
        <w:rPr>
          <w:rFonts w:hint="eastAsia"/>
          <w:kern w:val="0"/>
          <w:szCs w:val="21"/>
        </w:rPr>
        <w:t>.</w:t>
      </w:r>
      <w:r w:rsidRPr="001F1E82">
        <w:rPr>
          <w:rFonts w:hint="eastAsia"/>
          <w:kern w:val="0"/>
          <w:szCs w:val="21"/>
        </w:rPr>
        <w:t>货币政策与股市波动的马尔可夫转换关系研究</w:t>
      </w:r>
      <w:r w:rsidRPr="001F1E82">
        <w:rPr>
          <w:rFonts w:hint="eastAsia"/>
          <w:kern w:val="0"/>
          <w:szCs w:val="21"/>
        </w:rPr>
        <w:t>[J].</w:t>
      </w:r>
      <w:r w:rsidRPr="001F1E82">
        <w:rPr>
          <w:rFonts w:hint="eastAsia"/>
          <w:kern w:val="0"/>
          <w:szCs w:val="21"/>
        </w:rPr>
        <w:t>西安工业大学学报</w:t>
      </w:r>
      <w:r w:rsidRPr="001F1E82">
        <w:rPr>
          <w:rFonts w:hint="eastAsia"/>
          <w:kern w:val="0"/>
          <w:szCs w:val="21"/>
        </w:rPr>
        <w:t>,2016,36(01):52-55+67.</w:t>
      </w:r>
    </w:p>
    <w:p w14:paraId="3D036CED"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20</w:t>
      </w:r>
      <w:r w:rsidRPr="001F1E82">
        <w:rPr>
          <w:rFonts w:hint="eastAsia"/>
          <w:kern w:val="0"/>
          <w:szCs w:val="21"/>
        </w:rPr>
        <w:t>]</w:t>
      </w:r>
      <w:r w:rsidRPr="001F1E82">
        <w:rPr>
          <w:rFonts w:hint="eastAsia"/>
          <w:kern w:val="0"/>
          <w:szCs w:val="21"/>
        </w:rPr>
        <w:t>项后军</w:t>
      </w:r>
      <w:r w:rsidRPr="001F1E82">
        <w:rPr>
          <w:rFonts w:hint="eastAsia"/>
          <w:kern w:val="0"/>
          <w:szCs w:val="21"/>
        </w:rPr>
        <w:t>,</w:t>
      </w:r>
      <w:r w:rsidRPr="001F1E82">
        <w:rPr>
          <w:rFonts w:hint="eastAsia"/>
          <w:kern w:val="0"/>
          <w:szCs w:val="21"/>
        </w:rPr>
        <w:t>于洋</w:t>
      </w:r>
      <w:r w:rsidRPr="001F1E82">
        <w:rPr>
          <w:rFonts w:hint="eastAsia"/>
          <w:kern w:val="0"/>
          <w:szCs w:val="21"/>
        </w:rPr>
        <w:t>.</w:t>
      </w:r>
      <w:r w:rsidRPr="001F1E82">
        <w:rPr>
          <w:rFonts w:hint="eastAsia"/>
          <w:kern w:val="0"/>
          <w:szCs w:val="21"/>
        </w:rPr>
        <w:t>区制视角的货币政策规则以及宏观经济波动的非对称性研究</w:t>
      </w:r>
      <w:r w:rsidRPr="001F1E82">
        <w:rPr>
          <w:rFonts w:hint="eastAsia"/>
          <w:kern w:val="0"/>
          <w:szCs w:val="21"/>
        </w:rPr>
        <w:t>[J].</w:t>
      </w:r>
      <w:r w:rsidRPr="001F1E82">
        <w:rPr>
          <w:rFonts w:hint="eastAsia"/>
          <w:kern w:val="0"/>
          <w:szCs w:val="21"/>
        </w:rPr>
        <w:t>经济科学</w:t>
      </w:r>
      <w:r w:rsidRPr="001F1E82">
        <w:rPr>
          <w:rFonts w:hint="eastAsia"/>
          <w:kern w:val="0"/>
          <w:szCs w:val="21"/>
        </w:rPr>
        <w:t>,2010(04):38-49.</w:t>
      </w:r>
    </w:p>
    <w:p w14:paraId="4776954A"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21</w:t>
      </w:r>
      <w:r w:rsidRPr="001F1E82">
        <w:rPr>
          <w:rFonts w:hint="eastAsia"/>
          <w:kern w:val="0"/>
          <w:szCs w:val="21"/>
        </w:rPr>
        <w:t>]</w:t>
      </w:r>
      <w:r w:rsidRPr="001F1E82">
        <w:rPr>
          <w:rFonts w:hint="eastAsia"/>
          <w:kern w:val="0"/>
          <w:szCs w:val="21"/>
        </w:rPr>
        <w:t>吴建华</w:t>
      </w:r>
      <w:r w:rsidRPr="001F1E82">
        <w:rPr>
          <w:rFonts w:hint="eastAsia"/>
          <w:kern w:val="0"/>
          <w:szCs w:val="21"/>
        </w:rPr>
        <w:t>,</w:t>
      </w:r>
      <w:r w:rsidRPr="001F1E82">
        <w:rPr>
          <w:rFonts w:hint="eastAsia"/>
          <w:kern w:val="0"/>
          <w:szCs w:val="21"/>
        </w:rPr>
        <w:t>张颖</w:t>
      </w:r>
      <w:r w:rsidRPr="001F1E82">
        <w:rPr>
          <w:rFonts w:hint="eastAsia"/>
          <w:kern w:val="0"/>
          <w:szCs w:val="21"/>
        </w:rPr>
        <w:t>,</w:t>
      </w:r>
      <w:r w:rsidRPr="001F1E82">
        <w:rPr>
          <w:rFonts w:hint="eastAsia"/>
          <w:kern w:val="0"/>
          <w:szCs w:val="21"/>
        </w:rPr>
        <w:t>原雪梅</w:t>
      </w:r>
      <w:r w:rsidRPr="001F1E82">
        <w:rPr>
          <w:rFonts w:hint="eastAsia"/>
          <w:kern w:val="0"/>
          <w:szCs w:val="21"/>
        </w:rPr>
        <w:t>.</w:t>
      </w:r>
      <w:r w:rsidRPr="001F1E82">
        <w:rPr>
          <w:rFonts w:hint="eastAsia"/>
          <w:kern w:val="0"/>
          <w:szCs w:val="21"/>
        </w:rPr>
        <w:t>基于区制转换的股市泡沫动态监测模型</w:t>
      </w:r>
      <w:r w:rsidRPr="001F1E82">
        <w:rPr>
          <w:rFonts w:hint="eastAsia"/>
          <w:kern w:val="0"/>
          <w:szCs w:val="21"/>
        </w:rPr>
        <w:t>[J].</w:t>
      </w:r>
      <w:r w:rsidRPr="001F1E82">
        <w:rPr>
          <w:rFonts w:hint="eastAsia"/>
          <w:kern w:val="0"/>
          <w:szCs w:val="21"/>
        </w:rPr>
        <w:t>数理统计与管理</w:t>
      </w:r>
      <w:r w:rsidRPr="001F1E82">
        <w:rPr>
          <w:rFonts w:hint="eastAsia"/>
          <w:kern w:val="0"/>
          <w:szCs w:val="21"/>
        </w:rPr>
        <w:t>,2022,41(01):167-178.DOI:10.13860/j.cnki.sltj.20210305-016.</w:t>
      </w:r>
    </w:p>
    <w:p w14:paraId="2B4A25E1"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22</w:t>
      </w:r>
      <w:r w:rsidRPr="001F1E82">
        <w:rPr>
          <w:rFonts w:hint="eastAsia"/>
          <w:kern w:val="0"/>
          <w:szCs w:val="21"/>
        </w:rPr>
        <w:t>]</w:t>
      </w:r>
      <w:r w:rsidRPr="001F1E82">
        <w:rPr>
          <w:rFonts w:hint="eastAsia"/>
          <w:kern w:val="0"/>
          <w:szCs w:val="21"/>
        </w:rPr>
        <w:t>洪绍鹏</w:t>
      </w:r>
      <w:r w:rsidRPr="001F1E82">
        <w:rPr>
          <w:rFonts w:hint="eastAsia"/>
          <w:kern w:val="0"/>
          <w:szCs w:val="21"/>
        </w:rPr>
        <w:t>,</w:t>
      </w:r>
      <w:r w:rsidRPr="001F1E82">
        <w:rPr>
          <w:rFonts w:hint="eastAsia"/>
          <w:kern w:val="0"/>
          <w:szCs w:val="21"/>
        </w:rPr>
        <w:t>王冀惟</w:t>
      </w:r>
      <w:r w:rsidRPr="001F1E82">
        <w:rPr>
          <w:rFonts w:hint="eastAsia"/>
          <w:kern w:val="0"/>
          <w:szCs w:val="21"/>
        </w:rPr>
        <w:t>.</w:t>
      </w:r>
      <w:r w:rsidRPr="001F1E82">
        <w:rPr>
          <w:rFonts w:hint="eastAsia"/>
          <w:kern w:val="0"/>
          <w:szCs w:val="21"/>
        </w:rPr>
        <w:t>我国股市波动率区制转换特性描述与成因分析——基于</w:t>
      </w:r>
      <w:r w:rsidRPr="001F1E82">
        <w:rPr>
          <w:rFonts w:hint="eastAsia"/>
          <w:kern w:val="0"/>
          <w:szCs w:val="21"/>
        </w:rPr>
        <w:t>MS(2)-GJR-GARCH[J].</w:t>
      </w:r>
      <w:r w:rsidRPr="001F1E82">
        <w:rPr>
          <w:rFonts w:hint="eastAsia"/>
          <w:kern w:val="0"/>
          <w:szCs w:val="21"/>
        </w:rPr>
        <w:t>中国市场</w:t>
      </w:r>
      <w:r w:rsidRPr="001F1E82">
        <w:rPr>
          <w:rFonts w:hint="eastAsia"/>
          <w:kern w:val="0"/>
          <w:szCs w:val="21"/>
        </w:rPr>
        <w:t>,2021(05):31-33.</w:t>
      </w:r>
    </w:p>
    <w:p w14:paraId="569BF517"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23</w:t>
      </w:r>
      <w:r w:rsidRPr="001F1E82">
        <w:rPr>
          <w:rFonts w:hint="eastAsia"/>
          <w:kern w:val="0"/>
          <w:szCs w:val="21"/>
        </w:rPr>
        <w:t>]</w:t>
      </w:r>
      <w:r w:rsidRPr="001F1E82">
        <w:rPr>
          <w:rFonts w:hint="eastAsia"/>
          <w:kern w:val="0"/>
          <w:szCs w:val="21"/>
        </w:rPr>
        <w:t>李凤羽</w:t>
      </w:r>
      <w:r w:rsidRPr="001F1E82">
        <w:rPr>
          <w:rFonts w:hint="eastAsia"/>
          <w:kern w:val="0"/>
          <w:szCs w:val="21"/>
        </w:rPr>
        <w:t>,</w:t>
      </w:r>
      <w:r w:rsidRPr="001F1E82">
        <w:rPr>
          <w:rFonts w:hint="eastAsia"/>
          <w:kern w:val="0"/>
          <w:szCs w:val="21"/>
        </w:rPr>
        <w:t>杨墨竹</w:t>
      </w:r>
      <w:r w:rsidRPr="001F1E82">
        <w:rPr>
          <w:rFonts w:hint="eastAsia"/>
          <w:kern w:val="0"/>
          <w:szCs w:val="21"/>
        </w:rPr>
        <w:t>.</w:t>
      </w:r>
      <w:r w:rsidRPr="001F1E82">
        <w:rPr>
          <w:rFonts w:hint="eastAsia"/>
          <w:kern w:val="0"/>
          <w:szCs w:val="21"/>
        </w:rPr>
        <w:t>经济政策不确定性会抑制企业投资吗</w:t>
      </w:r>
      <w:r w:rsidRPr="001F1E82">
        <w:rPr>
          <w:rFonts w:hint="eastAsia"/>
          <w:kern w:val="0"/>
          <w:szCs w:val="21"/>
        </w:rPr>
        <w:t>?</w:t>
      </w:r>
      <w:r w:rsidRPr="001F1E82">
        <w:rPr>
          <w:rFonts w:hint="eastAsia"/>
          <w:kern w:val="0"/>
          <w:szCs w:val="21"/>
        </w:rPr>
        <w:t>——基于中国经济政策不确定指数的实证研究</w:t>
      </w:r>
      <w:r w:rsidRPr="001F1E82">
        <w:rPr>
          <w:rFonts w:hint="eastAsia"/>
          <w:kern w:val="0"/>
          <w:szCs w:val="21"/>
        </w:rPr>
        <w:t>[J].</w:t>
      </w:r>
      <w:r w:rsidRPr="001F1E82">
        <w:rPr>
          <w:rFonts w:hint="eastAsia"/>
          <w:kern w:val="0"/>
          <w:szCs w:val="21"/>
        </w:rPr>
        <w:t>金融研究</w:t>
      </w:r>
      <w:r w:rsidRPr="001F1E82">
        <w:rPr>
          <w:rFonts w:hint="eastAsia"/>
          <w:kern w:val="0"/>
          <w:szCs w:val="21"/>
        </w:rPr>
        <w:t>,2015(04):115-129.</w:t>
      </w:r>
    </w:p>
    <w:p w14:paraId="381650B8"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24</w:t>
      </w:r>
      <w:r w:rsidRPr="001F1E82">
        <w:rPr>
          <w:rFonts w:hint="eastAsia"/>
          <w:kern w:val="0"/>
          <w:szCs w:val="21"/>
        </w:rPr>
        <w:t>]</w:t>
      </w:r>
      <w:r w:rsidRPr="001F1E82">
        <w:rPr>
          <w:rFonts w:hint="eastAsia"/>
          <w:kern w:val="0"/>
          <w:szCs w:val="21"/>
        </w:rPr>
        <w:t>宋玉臣</w:t>
      </w:r>
      <w:r w:rsidRPr="001F1E82">
        <w:rPr>
          <w:rFonts w:hint="eastAsia"/>
          <w:kern w:val="0"/>
          <w:szCs w:val="21"/>
        </w:rPr>
        <w:t>,</w:t>
      </w:r>
      <w:r w:rsidRPr="001F1E82">
        <w:rPr>
          <w:rFonts w:hint="eastAsia"/>
          <w:kern w:val="0"/>
          <w:szCs w:val="21"/>
        </w:rPr>
        <w:t>李洋</w:t>
      </w:r>
      <w:r w:rsidRPr="001F1E82">
        <w:rPr>
          <w:rFonts w:hint="eastAsia"/>
          <w:kern w:val="0"/>
          <w:szCs w:val="21"/>
        </w:rPr>
        <w:t>.</w:t>
      </w:r>
      <w:r w:rsidRPr="001F1E82">
        <w:rPr>
          <w:rFonts w:hint="eastAsia"/>
          <w:kern w:val="0"/>
          <w:szCs w:val="21"/>
        </w:rPr>
        <w:t>突发事件与资本市场系统性风险：制度解释与实证证据</w:t>
      </w:r>
      <w:r w:rsidRPr="001F1E82">
        <w:rPr>
          <w:rFonts w:hint="eastAsia"/>
          <w:kern w:val="0"/>
          <w:szCs w:val="21"/>
        </w:rPr>
        <w:t>[J].</w:t>
      </w:r>
      <w:r w:rsidRPr="001F1E82">
        <w:rPr>
          <w:rFonts w:hint="eastAsia"/>
          <w:kern w:val="0"/>
          <w:szCs w:val="21"/>
        </w:rPr>
        <w:t>上海经济研究</w:t>
      </w:r>
      <w:r w:rsidRPr="001F1E82">
        <w:rPr>
          <w:rFonts w:hint="eastAsia"/>
          <w:kern w:val="0"/>
          <w:szCs w:val="21"/>
        </w:rPr>
        <w:t>,2021(04):100-113</w:t>
      </w:r>
    </w:p>
    <w:p w14:paraId="4B2362C2" w14:textId="77777777"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25</w:t>
      </w:r>
      <w:r w:rsidRPr="001F1E82">
        <w:rPr>
          <w:rFonts w:hint="eastAsia"/>
          <w:kern w:val="0"/>
          <w:szCs w:val="21"/>
        </w:rPr>
        <w:t>]</w:t>
      </w:r>
      <w:r w:rsidRPr="001F1E82">
        <w:rPr>
          <w:rFonts w:hint="eastAsia"/>
          <w:kern w:val="0"/>
          <w:szCs w:val="21"/>
        </w:rPr>
        <w:t>罗君</w:t>
      </w:r>
      <w:r w:rsidRPr="001F1E82">
        <w:rPr>
          <w:rFonts w:hint="eastAsia"/>
          <w:kern w:val="0"/>
          <w:szCs w:val="21"/>
        </w:rPr>
        <w:t>,</w:t>
      </w:r>
      <w:r w:rsidRPr="001F1E82">
        <w:rPr>
          <w:rFonts w:hint="eastAsia"/>
          <w:kern w:val="0"/>
          <w:szCs w:val="21"/>
        </w:rPr>
        <w:t>乔高秀</w:t>
      </w:r>
      <w:r w:rsidRPr="001F1E82">
        <w:rPr>
          <w:rFonts w:hint="eastAsia"/>
          <w:kern w:val="0"/>
          <w:szCs w:val="21"/>
        </w:rPr>
        <w:t>,</w:t>
      </w:r>
      <w:r w:rsidRPr="001F1E82">
        <w:rPr>
          <w:rFonts w:hint="eastAsia"/>
          <w:kern w:val="0"/>
          <w:szCs w:val="21"/>
        </w:rPr>
        <w:t>王璐</w:t>
      </w:r>
      <w:r w:rsidRPr="001F1E82">
        <w:rPr>
          <w:rFonts w:hint="eastAsia"/>
          <w:kern w:val="0"/>
          <w:szCs w:val="21"/>
        </w:rPr>
        <w:t>.</w:t>
      </w:r>
      <w:r w:rsidRPr="001F1E82">
        <w:rPr>
          <w:rFonts w:hint="eastAsia"/>
          <w:kern w:val="0"/>
          <w:szCs w:val="21"/>
        </w:rPr>
        <w:t>股灾背景下沪深股市波动率的结构转换特征分析</w:t>
      </w:r>
      <w:r w:rsidRPr="001F1E82">
        <w:rPr>
          <w:rFonts w:hint="eastAsia"/>
          <w:kern w:val="0"/>
          <w:szCs w:val="21"/>
        </w:rPr>
        <w:t>[J].</w:t>
      </w:r>
      <w:r w:rsidRPr="001F1E82">
        <w:rPr>
          <w:rFonts w:hint="eastAsia"/>
          <w:kern w:val="0"/>
          <w:szCs w:val="21"/>
        </w:rPr>
        <w:t>统计与决策</w:t>
      </w:r>
      <w:r w:rsidRPr="001F1E82">
        <w:rPr>
          <w:rFonts w:hint="eastAsia"/>
          <w:kern w:val="0"/>
          <w:szCs w:val="21"/>
        </w:rPr>
        <w:t>,2018,34(10):167-170.</w:t>
      </w:r>
    </w:p>
    <w:p w14:paraId="457C20F4" w14:textId="7724F98F" w:rsidR="00D13085" w:rsidRPr="001F1E82" w:rsidRDefault="00D13085"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26</w:t>
      </w:r>
      <w:r w:rsidRPr="001F1E82">
        <w:rPr>
          <w:rFonts w:hint="eastAsia"/>
          <w:kern w:val="0"/>
          <w:szCs w:val="21"/>
        </w:rPr>
        <w:t>]</w:t>
      </w:r>
      <w:r w:rsidRPr="001F1E82">
        <w:rPr>
          <w:rFonts w:hint="eastAsia"/>
          <w:kern w:val="0"/>
          <w:szCs w:val="21"/>
        </w:rPr>
        <w:t>陈普</w:t>
      </w:r>
      <w:r w:rsidRPr="001F1E82">
        <w:rPr>
          <w:rFonts w:hint="eastAsia"/>
          <w:kern w:val="0"/>
          <w:szCs w:val="21"/>
        </w:rPr>
        <w:t>,</w:t>
      </w:r>
      <w:r w:rsidRPr="001F1E82">
        <w:rPr>
          <w:rFonts w:hint="eastAsia"/>
          <w:kern w:val="0"/>
          <w:szCs w:val="21"/>
        </w:rPr>
        <w:t>欧阳志刚</w:t>
      </w:r>
      <w:r w:rsidRPr="001F1E82">
        <w:rPr>
          <w:rFonts w:hint="eastAsia"/>
          <w:kern w:val="0"/>
          <w:szCs w:val="21"/>
        </w:rPr>
        <w:t>.</w:t>
      </w:r>
      <w:r w:rsidRPr="001F1E82">
        <w:rPr>
          <w:rFonts w:hint="eastAsia"/>
          <w:kern w:val="0"/>
          <w:szCs w:val="21"/>
        </w:rPr>
        <w:t>美国经济政策不确定性对中国创新的非线性溢出效应</w:t>
      </w:r>
      <w:r w:rsidRPr="001F1E82">
        <w:rPr>
          <w:rFonts w:hint="eastAsia"/>
          <w:kern w:val="0"/>
          <w:szCs w:val="21"/>
        </w:rPr>
        <w:t>[J].</w:t>
      </w:r>
      <w:r w:rsidRPr="001F1E82">
        <w:rPr>
          <w:rFonts w:hint="eastAsia"/>
          <w:kern w:val="0"/>
          <w:szCs w:val="21"/>
        </w:rPr>
        <w:t>当代财经</w:t>
      </w:r>
      <w:r w:rsidRPr="001F1E82">
        <w:rPr>
          <w:rFonts w:hint="eastAsia"/>
          <w:kern w:val="0"/>
          <w:szCs w:val="21"/>
        </w:rPr>
        <w:t>,2023,No.461(04):15-28.DOI:10.13676/j.cnki.cn36-1030/f.2023.04.001.</w:t>
      </w:r>
    </w:p>
    <w:p w14:paraId="54ECDE5B" w14:textId="2C58CE08" w:rsidR="00D13085" w:rsidRPr="001F1E82" w:rsidRDefault="00D13085"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27</w:t>
      </w:r>
      <w:r w:rsidRPr="001F1E82">
        <w:rPr>
          <w:rFonts w:hint="eastAsia"/>
          <w:kern w:val="0"/>
          <w:szCs w:val="21"/>
        </w:rPr>
        <w:t>]</w:t>
      </w:r>
      <w:r w:rsidRPr="001F1E82">
        <w:rPr>
          <w:rFonts w:hint="eastAsia"/>
          <w:kern w:val="0"/>
          <w:szCs w:val="21"/>
        </w:rPr>
        <w:t>宋长青</w:t>
      </w:r>
      <w:r w:rsidRPr="001F1E82">
        <w:rPr>
          <w:rFonts w:hint="eastAsia"/>
          <w:kern w:val="0"/>
          <w:szCs w:val="21"/>
        </w:rPr>
        <w:t>,</w:t>
      </w:r>
      <w:r w:rsidRPr="001F1E82">
        <w:rPr>
          <w:rFonts w:hint="eastAsia"/>
          <w:kern w:val="0"/>
          <w:szCs w:val="21"/>
        </w:rPr>
        <w:t>张羽</w:t>
      </w:r>
      <w:r w:rsidRPr="001F1E82">
        <w:rPr>
          <w:rFonts w:hint="eastAsia"/>
          <w:kern w:val="0"/>
          <w:szCs w:val="21"/>
        </w:rPr>
        <w:t>.</w:t>
      </w:r>
      <w:r w:rsidRPr="001F1E82">
        <w:rPr>
          <w:rFonts w:hint="eastAsia"/>
          <w:kern w:val="0"/>
          <w:szCs w:val="21"/>
        </w:rPr>
        <w:t>经济政策不确定性、金融稳定与经济波动——基于</w:t>
      </w:r>
      <w:r w:rsidRPr="001F1E82">
        <w:rPr>
          <w:rFonts w:hint="eastAsia"/>
          <w:kern w:val="0"/>
          <w:szCs w:val="21"/>
        </w:rPr>
        <w:t>TVP-SV-VAR</w:t>
      </w:r>
      <w:r w:rsidRPr="001F1E82">
        <w:rPr>
          <w:rFonts w:hint="eastAsia"/>
          <w:kern w:val="0"/>
          <w:szCs w:val="21"/>
        </w:rPr>
        <w:t>模型的动态分析</w:t>
      </w:r>
      <w:r w:rsidRPr="001F1E82">
        <w:rPr>
          <w:rFonts w:hint="eastAsia"/>
          <w:kern w:val="0"/>
          <w:szCs w:val="21"/>
        </w:rPr>
        <w:t>[J].</w:t>
      </w:r>
      <w:r w:rsidRPr="001F1E82">
        <w:rPr>
          <w:rFonts w:hint="eastAsia"/>
          <w:kern w:val="0"/>
          <w:szCs w:val="21"/>
        </w:rPr>
        <w:t>财经理论与实践</w:t>
      </w:r>
      <w:r w:rsidRPr="001F1E82">
        <w:rPr>
          <w:rFonts w:hint="eastAsia"/>
          <w:kern w:val="0"/>
          <w:szCs w:val="21"/>
        </w:rPr>
        <w:t>,2023,44(02):32-37.DOI:10.16339/j.cnki.hdxbcjb.2023.02.005.</w:t>
      </w:r>
    </w:p>
    <w:p w14:paraId="266B7298" w14:textId="052F9803" w:rsidR="002604D5" w:rsidRDefault="002604D5" w:rsidP="001F1E82">
      <w:pPr>
        <w:widowControl/>
        <w:shd w:val="clear" w:color="auto" w:fill="FFFFFF"/>
        <w:spacing w:line="400" w:lineRule="exact"/>
        <w:ind w:firstLine="480"/>
        <w:rPr>
          <w:kern w:val="0"/>
          <w:szCs w:val="21"/>
        </w:rPr>
      </w:pPr>
      <w:r w:rsidRPr="001F1E82">
        <w:rPr>
          <w:rFonts w:hint="eastAsia"/>
          <w:kern w:val="0"/>
          <w:szCs w:val="21"/>
        </w:rPr>
        <w:t>[</w:t>
      </w:r>
      <w:r w:rsidRPr="001F1E82">
        <w:rPr>
          <w:kern w:val="0"/>
          <w:szCs w:val="21"/>
        </w:rPr>
        <w:t>28</w:t>
      </w:r>
      <w:r w:rsidRPr="001F1E82">
        <w:rPr>
          <w:rFonts w:hint="eastAsia"/>
          <w:kern w:val="0"/>
          <w:szCs w:val="21"/>
        </w:rPr>
        <w:t>]</w:t>
      </w:r>
      <w:r w:rsidRPr="001F1E82">
        <w:rPr>
          <w:rFonts w:hint="eastAsia"/>
          <w:kern w:val="0"/>
          <w:szCs w:val="21"/>
        </w:rPr>
        <w:t>王义中</w:t>
      </w:r>
      <w:r w:rsidRPr="001F1E82">
        <w:rPr>
          <w:rFonts w:hint="eastAsia"/>
          <w:kern w:val="0"/>
          <w:szCs w:val="21"/>
        </w:rPr>
        <w:t>,</w:t>
      </w:r>
      <w:r w:rsidRPr="001F1E82">
        <w:rPr>
          <w:rFonts w:hint="eastAsia"/>
          <w:kern w:val="0"/>
          <w:szCs w:val="21"/>
        </w:rPr>
        <w:t>郑博文</w:t>
      </w:r>
      <w:r w:rsidRPr="001F1E82">
        <w:rPr>
          <w:rFonts w:hint="eastAsia"/>
          <w:kern w:val="0"/>
          <w:szCs w:val="21"/>
        </w:rPr>
        <w:t>,</w:t>
      </w:r>
      <w:r w:rsidRPr="001F1E82">
        <w:rPr>
          <w:rFonts w:hint="eastAsia"/>
          <w:kern w:val="0"/>
          <w:szCs w:val="21"/>
        </w:rPr>
        <w:t>邬介然</w:t>
      </w:r>
      <w:r w:rsidRPr="001F1E82">
        <w:rPr>
          <w:rFonts w:hint="eastAsia"/>
          <w:kern w:val="0"/>
          <w:szCs w:val="21"/>
        </w:rPr>
        <w:t>.</w:t>
      </w:r>
      <w:r w:rsidRPr="001F1E82">
        <w:rPr>
          <w:rFonts w:hint="eastAsia"/>
          <w:kern w:val="0"/>
          <w:szCs w:val="21"/>
        </w:rPr>
        <w:t>不确定性冲击、信贷资源错配与货币财政政策效果</w:t>
      </w:r>
      <w:r w:rsidRPr="001F1E82">
        <w:rPr>
          <w:rFonts w:hint="eastAsia"/>
          <w:kern w:val="0"/>
          <w:szCs w:val="21"/>
        </w:rPr>
        <w:t>[J/OL].</w:t>
      </w:r>
      <w:r w:rsidRPr="001F1E82">
        <w:rPr>
          <w:rFonts w:hint="eastAsia"/>
          <w:kern w:val="0"/>
          <w:szCs w:val="21"/>
        </w:rPr>
        <w:t>世界经济</w:t>
      </w:r>
      <w:r w:rsidRPr="001F1E82">
        <w:rPr>
          <w:rFonts w:hint="eastAsia"/>
          <w:kern w:val="0"/>
          <w:szCs w:val="21"/>
        </w:rPr>
        <w:t>,2023(02):3-30[2023-05-16].https://doi.org/10.19985/j.cnki.cassjwe.2023.02.001.</w:t>
      </w:r>
    </w:p>
    <w:p w14:paraId="2F978CED" w14:textId="7954B1FB" w:rsidR="002D6AA5" w:rsidRDefault="002D6AA5" w:rsidP="001F1E82">
      <w:pPr>
        <w:widowControl/>
        <w:shd w:val="clear" w:color="auto" w:fill="FFFFFF"/>
        <w:spacing w:line="400" w:lineRule="exact"/>
        <w:ind w:firstLine="480"/>
        <w:rPr>
          <w:kern w:val="0"/>
          <w:szCs w:val="21"/>
        </w:rPr>
      </w:pPr>
      <w:r w:rsidRPr="002D6AA5">
        <w:rPr>
          <w:rFonts w:hint="eastAsia"/>
          <w:kern w:val="0"/>
          <w:szCs w:val="21"/>
        </w:rPr>
        <w:t>[</w:t>
      </w:r>
      <w:r>
        <w:rPr>
          <w:kern w:val="0"/>
          <w:szCs w:val="21"/>
        </w:rPr>
        <w:t>29</w:t>
      </w:r>
      <w:r w:rsidRPr="002D6AA5">
        <w:rPr>
          <w:rFonts w:hint="eastAsia"/>
          <w:kern w:val="0"/>
          <w:szCs w:val="21"/>
        </w:rPr>
        <w:t>]</w:t>
      </w:r>
      <w:r w:rsidRPr="002D6AA5">
        <w:rPr>
          <w:rFonts w:hint="eastAsia"/>
          <w:kern w:val="0"/>
          <w:szCs w:val="21"/>
        </w:rPr>
        <w:t>李振新</w:t>
      </w:r>
      <w:r w:rsidRPr="002D6AA5">
        <w:rPr>
          <w:rFonts w:hint="eastAsia"/>
          <w:kern w:val="0"/>
          <w:szCs w:val="21"/>
        </w:rPr>
        <w:t>,</w:t>
      </w:r>
      <w:r w:rsidRPr="002D6AA5">
        <w:rPr>
          <w:rFonts w:hint="eastAsia"/>
          <w:kern w:val="0"/>
          <w:szCs w:val="21"/>
        </w:rPr>
        <w:t>陈享光</w:t>
      </w:r>
      <w:r w:rsidRPr="002D6AA5">
        <w:rPr>
          <w:rFonts w:hint="eastAsia"/>
          <w:kern w:val="0"/>
          <w:szCs w:val="21"/>
        </w:rPr>
        <w:t>.</w:t>
      </w:r>
      <w:r w:rsidRPr="002D6AA5">
        <w:rPr>
          <w:rFonts w:hint="eastAsia"/>
          <w:kern w:val="0"/>
          <w:szCs w:val="21"/>
        </w:rPr>
        <w:t>经济政策不确定性对中国金融稳定性的影响——基于</w:t>
      </w:r>
      <w:r w:rsidRPr="002D6AA5">
        <w:rPr>
          <w:rFonts w:hint="eastAsia"/>
          <w:kern w:val="0"/>
          <w:szCs w:val="21"/>
        </w:rPr>
        <w:t>SVAR</w:t>
      </w:r>
      <w:r w:rsidRPr="002D6AA5">
        <w:rPr>
          <w:rFonts w:hint="eastAsia"/>
          <w:kern w:val="0"/>
          <w:szCs w:val="21"/>
        </w:rPr>
        <w:t>模型的实证分析</w:t>
      </w:r>
      <w:r w:rsidRPr="002D6AA5">
        <w:rPr>
          <w:rFonts w:hint="eastAsia"/>
          <w:kern w:val="0"/>
          <w:szCs w:val="21"/>
        </w:rPr>
        <w:t>[J].</w:t>
      </w:r>
      <w:r w:rsidRPr="002D6AA5">
        <w:rPr>
          <w:rFonts w:hint="eastAsia"/>
          <w:kern w:val="0"/>
          <w:szCs w:val="21"/>
        </w:rPr>
        <w:t>当代经济研究</w:t>
      </w:r>
      <w:r w:rsidRPr="002D6AA5">
        <w:rPr>
          <w:rFonts w:hint="eastAsia"/>
          <w:kern w:val="0"/>
          <w:szCs w:val="21"/>
        </w:rPr>
        <w:t>,2023,No.331(03):116-128.</w:t>
      </w:r>
    </w:p>
    <w:p w14:paraId="55891149" w14:textId="4F1C0236" w:rsidR="002D6AA5" w:rsidRDefault="002D6AA5" w:rsidP="001F1E82">
      <w:pPr>
        <w:widowControl/>
        <w:shd w:val="clear" w:color="auto" w:fill="FFFFFF"/>
        <w:spacing w:line="400" w:lineRule="exact"/>
        <w:ind w:firstLine="480"/>
        <w:rPr>
          <w:kern w:val="0"/>
          <w:szCs w:val="21"/>
        </w:rPr>
      </w:pPr>
      <w:r w:rsidRPr="002D6AA5">
        <w:rPr>
          <w:rFonts w:hint="eastAsia"/>
          <w:kern w:val="0"/>
          <w:szCs w:val="21"/>
        </w:rPr>
        <w:t>[</w:t>
      </w:r>
      <w:r>
        <w:rPr>
          <w:kern w:val="0"/>
          <w:szCs w:val="21"/>
        </w:rPr>
        <w:t>30</w:t>
      </w:r>
      <w:r w:rsidRPr="002D6AA5">
        <w:rPr>
          <w:rFonts w:hint="eastAsia"/>
          <w:kern w:val="0"/>
          <w:szCs w:val="21"/>
        </w:rPr>
        <w:t>]</w:t>
      </w:r>
      <w:r w:rsidRPr="002D6AA5">
        <w:rPr>
          <w:rFonts w:hint="eastAsia"/>
          <w:kern w:val="0"/>
          <w:szCs w:val="21"/>
        </w:rPr>
        <w:t>宋长青</w:t>
      </w:r>
      <w:r w:rsidRPr="002D6AA5">
        <w:rPr>
          <w:rFonts w:hint="eastAsia"/>
          <w:kern w:val="0"/>
          <w:szCs w:val="21"/>
        </w:rPr>
        <w:t>,</w:t>
      </w:r>
      <w:r w:rsidRPr="002D6AA5">
        <w:rPr>
          <w:rFonts w:hint="eastAsia"/>
          <w:kern w:val="0"/>
          <w:szCs w:val="21"/>
        </w:rPr>
        <w:t>张羽</w:t>
      </w:r>
      <w:r w:rsidRPr="002D6AA5">
        <w:rPr>
          <w:rFonts w:hint="eastAsia"/>
          <w:kern w:val="0"/>
          <w:szCs w:val="21"/>
        </w:rPr>
        <w:t>.</w:t>
      </w:r>
      <w:r w:rsidRPr="002D6AA5">
        <w:rPr>
          <w:rFonts w:hint="eastAsia"/>
          <w:kern w:val="0"/>
          <w:szCs w:val="21"/>
        </w:rPr>
        <w:t>经济政策不确定性、金融稳定与经济波动——基于</w:t>
      </w:r>
      <w:r w:rsidRPr="002D6AA5">
        <w:rPr>
          <w:rFonts w:hint="eastAsia"/>
          <w:kern w:val="0"/>
          <w:szCs w:val="21"/>
        </w:rPr>
        <w:t>TVP-SV-VAR</w:t>
      </w:r>
      <w:r w:rsidRPr="002D6AA5">
        <w:rPr>
          <w:rFonts w:hint="eastAsia"/>
          <w:kern w:val="0"/>
          <w:szCs w:val="21"/>
        </w:rPr>
        <w:t>模型的动态分析</w:t>
      </w:r>
      <w:r w:rsidRPr="002D6AA5">
        <w:rPr>
          <w:rFonts w:hint="eastAsia"/>
          <w:kern w:val="0"/>
          <w:szCs w:val="21"/>
        </w:rPr>
        <w:t>[J].</w:t>
      </w:r>
      <w:r w:rsidRPr="002D6AA5">
        <w:rPr>
          <w:rFonts w:hint="eastAsia"/>
          <w:kern w:val="0"/>
          <w:szCs w:val="21"/>
        </w:rPr>
        <w:t>财经理论与实践</w:t>
      </w:r>
      <w:r w:rsidRPr="002D6AA5">
        <w:rPr>
          <w:rFonts w:hint="eastAsia"/>
          <w:kern w:val="0"/>
          <w:szCs w:val="21"/>
        </w:rPr>
        <w:t>,2023,44(02):32-37.DOI:10.16339/j.cnki.hdxbcjb.2023.02.005.</w:t>
      </w:r>
    </w:p>
    <w:p w14:paraId="2BE804D7" w14:textId="71897E35" w:rsidR="00672E60" w:rsidRPr="001F1E82" w:rsidRDefault="00672E60" w:rsidP="001F1E82">
      <w:pPr>
        <w:widowControl/>
        <w:shd w:val="clear" w:color="auto" w:fill="FFFFFF"/>
        <w:spacing w:line="400" w:lineRule="exact"/>
        <w:ind w:firstLine="480"/>
        <w:rPr>
          <w:kern w:val="0"/>
          <w:szCs w:val="21"/>
        </w:rPr>
      </w:pPr>
      <w:r w:rsidRPr="00672E60">
        <w:rPr>
          <w:rFonts w:hint="eastAsia"/>
          <w:kern w:val="0"/>
          <w:szCs w:val="21"/>
        </w:rPr>
        <w:t>[</w:t>
      </w:r>
      <w:r>
        <w:rPr>
          <w:kern w:val="0"/>
          <w:szCs w:val="21"/>
        </w:rPr>
        <w:t>3</w:t>
      </w:r>
      <w:r w:rsidRPr="00672E60">
        <w:rPr>
          <w:rFonts w:hint="eastAsia"/>
          <w:kern w:val="0"/>
          <w:szCs w:val="21"/>
        </w:rPr>
        <w:t>1]</w:t>
      </w:r>
      <w:r w:rsidRPr="00672E60">
        <w:rPr>
          <w:rFonts w:hint="eastAsia"/>
          <w:kern w:val="0"/>
          <w:szCs w:val="21"/>
        </w:rPr>
        <w:t>马锋</w:t>
      </w:r>
      <w:r w:rsidRPr="00672E60">
        <w:rPr>
          <w:rFonts w:hint="eastAsia"/>
          <w:kern w:val="0"/>
          <w:szCs w:val="21"/>
        </w:rPr>
        <w:t>,</w:t>
      </w:r>
      <w:r w:rsidRPr="00672E60">
        <w:rPr>
          <w:rFonts w:hint="eastAsia"/>
          <w:kern w:val="0"/>
          <w:szCs w:val="21"/>
        </w:rPr>
        <w:t>王继谦</w:t>
      </w:r>
      <w:r w:rsidRPr="00672E60">
        <w:rPr>
          <w:rFonts w:hint="eastAsia"/>
          <w:kern w:val="0"/>
          <w:szCs w:val="21"/>
        </w:rPr>
        <w:t>,</w:t>
      </w:r>
      <w:r w:rsidRPr="00672E60">
        <w:rPr>
          <w:rFonts w:hint="eastAsia"/>
          <w:kern w:val="0"/>
          <w:szCs w:val="21"/>
        </w:rPr>
        <w:t>郭杨莉等</w:t>
      </w:r>
      <w:r w:rsidRPr="00672E60">
        <w:rPr>
          <w:rFonts w:hint="eastAsia"/>
          <w:kern w:val="0"/>
          <w:szCs w:val="21"/>
        </w:rPr>
        <w:t>.</w:t>
      </w:r>
      <w:r w:rsidRPr="00672E60">
        <w:rPr>
          <w:rFonts w:hint="eastAsia"/>
          <w:kern w:val="0"/>
          <w:szCs w:val="21"/>
        </w:rPr>
        <w:t>基于跳跃、跳跃强度和机制转换的股票市场波动建模及其预测研究</w:t>
      </w:r>
      <w:r w:rsidRPr="00672E60">
        <w:rPr>
          <w:rFonts w:hint="eastAsia"/>
          <w:kern w:val="0"/>
          <w:szCs w:val="21"/>
        </w:rPr>
        <w:t>[J].</w:t>
      </w:r>
      <w:r w:rsidRPr="00672E60">
        <w:rPr>
          <w:rFonts w:hint="eastAsia"/>
          <w:kern w:val="0"/>
          <w:szCs w:val="21"/>
        </w:rPr>
        <w:t>系统工程理论与实践</w:t>
      </w:r>
      <w:r w:rsidRPr="00672E60">
        <w:rPr>
          <w:rFonts w:hint="eastAsia"/>
          <w:kern w:val="0"/>
          <w:szCs w:val="21"/>
        </w:rPr>
        <w:t>,2023,43(02):371-382.</w:t>
      </w:r>
    </w:p>
    <w:p w14:paraId="279083FF" w14:textId="36AD92EC" w:rsidR="0095276A" w:rsidRPr="001F1E82" w:rsidRDefault="0095276A" w:rsidP="001F1E82">
      <w:pPr>
        <w:widowControl/>
        <w:shd w:val="clear" w:color="auto" w:fill="FFFFFF"/>
        <w:spacing w:line="400" w:lineRule="exact"/>
        <w:ind w:firstLine="480"/>
        <w:rPr>
          <w:kern w:val="0"/>
          <w:szCs w:val="21"/>
        </w:rPr>
      </w:pPr>
      <w:r w:rsidRPr="001F1E82">
        <w:rPr>
          <w:rFonts w:hint="eastAsia"/>
          <w:kern w:val="0"/>
          <w:szCs w:val="21"/>
        </w:rPr>
        <w:t>[</w:t>
      </w:r>
      <w:r w:rsidR="002D6AA5">
        <w:rPr>
          <w:kern w:val="0"/>
          <w:szCs w:val="21"/>
        </w:rPr>
        <w:t>3</w:t>
      </w:r>
      <w:r w:rsidR="00672E60">
        <w:rPr>
          <w:kern w:val="0"/>
          <w:szCs w:val="21"/>
        </w:rPr>
        <w:t>2</w:t>
      </w:r>
      <w:r w:rsidRPr="001F1E82">
        <w:rPr>
          <w:kern w:val="0"/>
          <w:szCs w:val="21"/>
        </w:rPr>
        <w:t>]Huang,Y.andP.Luk,MeasuringeconomicpolicyuncertaintyinChina.ChinaEconomicReview,2020.59:p.101367.</w:t>
      </w:r>
    </w:p>
    <w:p w14:paraId="6E24871B" w14:textId="263E466D" w:rsidR="0095276A" w:rsidRPr="001F1E82" w:rsidRDefault="0095276A" w:rsidP="001F1E82">
      <w:pPr>
        <w:widowControl/>
        <w:shd w:val="clear" w:color="auto" w:fill="FFFFFF"/>
        <w:spacing w:line="400" w:lineRule="exact"/>
        <w:ind w:firstLine="480"/>
        <w:rPr>
          <w:kern w:val="0"/>
          <w:szCs w:val="21"/>
        </w:rPr>
      </w:pPr>
      <w:r w:rsidRPr="001F1E82">
        <w:rPr>
          <w:kern w:val="0"/>
          <w:szCs w:val="21"/>
        </w:rPr>
        <w:t>[</w:t>
      </w:r>
      <w:r w:rsidR="002D6AA5">
        <w:rPr>
          <w:kern w:val="0"/>
          <w:szCs w:val="21"/>
        </w:rPr>
        <w:t>3</w:t>
      </w:r>
      <w:r w:rsidR="00672E60">
        <w:rPr>
          <w:kern w:val="0"/>
          <w:szCs w:val="21"/>
        </w:rPr>
        <w:t>3</w:t>
      </w:r>
      <w:r w:rsidRPr="001F1E82">
        <w:rPr>
          <w:kern w:val="0"/>
          <w:szCs w:val="21"/>
        </w:rPr>
        <w:t>]Baker,ScottR,Bloom,NicholasDavis,StevenJ.</w:t>
      </w:r>
      <w:hyperlink r:id="rId22" w:tgtFrame="_blank" w:history="1">
        <w:r w:rsidRPr="001F1E82">
          <w:rPr>
            <w:kern w:val="0"/>
            <w:szCs w:val="21"/>
          </w:rPr>
          <w:t>MeasuringEconomicPolicyUncertainty</w:t>
        </w:r>
      </w:hyperlink>
      <w:r w:rsidRPr="001F1E82">
        <w:rPr>
          <w:kern w:val="0"/>
          <w:szCs w:val="21"/>
        </w:rPr>
        <w:t>[J].TheQua</w:t>
      </w:r>
      <w:r w:rsidR="002D6AA5">
        <w:rPr>
          <w:rFonts w:hint="eastAsia"/>
          <w:kern w:val="0"/>
          <w:szCs w:val="21"/>
        </w:rPr>
        <w:t>r</w:t>
      </w:r>
      <w:r w:rsidRPr="001F1E82">
        <w:rPr>
          <w:kern w:val="0"/>
          <w:szCs w:val="21"/>
        </w:rPr>
        <w:t>terlyJournalofEconomics.2016(4).</w:t>
      </w:r>
      <w:r w:rsidRPr="001F1E82">
        <w:rPr>
          <w:kern w:val="0"/>
          <w:szCs w:val="21"/>
        </w:rPr>
        <w:fldChar w:fldCharType="begin"/>
      </w:r>
      <w:r w:rsidRPr="001F1E82">
        <w:rPr>
          <w:kern w:val="0"/>
          <w:szCs w:val="21"/>
        </w:rPr>
        <w:instrText>NE.Cms_Insert</w:instrText>
      </w:r>
      <w:r w:rsidRPr="001F1E82">
        <w:rPr>
          <w:kern w:val="0"/>
          <w:szCs w:val="21"/>
        </w:rPr>
        <w:fldChar w:fldCharType="end"/>
      </w:r>
    </w:p>
    <w:p w14:paraId="0A5FFCDD" w14:textId="04364403" w:rsidR="0095276A" w:rsidRPr="001F1E82" w:rsidRDefault="0095276A" w:rsidP="001F1E82">
      <w:pPr>
        <w:widowControl/>
        <w:shd w:val="clear" w:color="auto" w:fill="FFFFFF"/>
        <w:spacing w:line="400" w:lineRule="exact"/>
        <w:ind w:firstLine="480"/>
        <w:rPr>
          <w:kern w:val="0"/>
          <w:szCs w:val="21"/>
        </w:rPr>
      </w:pPr>
      <w:r w:rsidRPr="001F1E82">
        <w:rPr>
          <w:kern w:val="0"/>
          <w:szCs w:val="21"/>
        </w:rPr>
        <w:lastRenderedPageBreak/>
        <w:t>[</w:t>
      </w:r>
      <w:r w:rsidR="002D6AA5">
        <w:rPr>
          <w:kern w:val="0"/>
          <w:szCs w:val="21"/>
        </w:rPr>
        <w:t>3</w:t>
      </w:r>
      <w:r w:rsidR="00672E60">
        <w:rPr>
          <w:kern w:val="0"/>
          <w:szCs w:val="21"/>
        </w:rPr>
        <w:t>4</w:t>
      </w:r>
      <w:r w:rsidRPr="001F1E82">
        <w:rPr>
          <w:kern w:val="0"/>
          <w:szCs w:val="21"/>
        </w:rPr>
        <w:t>]Dakhlaoui,I.andC.Aloui,TheinteractiverelationshipbetweentheUSeconomicpolicyuncertaintyandBRICstockmarkets.InternationalEconomics,2016.146:p.141-157.</w:t>
      </w:r>
    </w:p>
    <w:p w14:paraId="1F746D0C" w14:textId="7AA23DC5" w:rsidR="0095276A" w:rsidRDefault="0095276A" w:rsidP="001F1E82">
      <w:pPr>
        <w:widowControl/>
        <w:shd w:val="clear" w:color="auto" w:fill="FFFFFF"/>
        <w:spacing w:line="400" w:lineRule="exact"/>
        <w:ind w:firstLine="480"/>
        <w:rPr>
          <w:kern w:val="0"/>
          <w:szCs w:val="21"/>
        </w:rPr>
      </w:pPr>
      <w:r w:rsidRPr="001F1E82">
        <w:rPr>
          <w:kern w:val="0"/>
          <w:szCs w:val="21"/>
        </w:rPr>
        <w:t>[</w:t>
      </w:r>
      <w:r w:rsidR="00D13085" w:rsidRPr="001F1E82">
        <w:rPr>
          <w:kern w:val="0"/>
          <w:szCs w:val="21"/>
        </w:rPr>
        <w:t>3</w:t>
      </w:r>
      <w:r w:rsidR="00672E60">
        <w:rPr>
          <w:kern w:val="0"/>
          <w:szCs w:val="21"/>
        </w:rPr>
        <w:t>5</w:t>
      </w:r>
      <w:r w:rsidRPr="001F1E82">
        <w:rPr>
          <w:kern w:val="0"/>
          <w:szCs w:val="21"/>
        </w:rPr>
        <w:t>]Pástor,Ľ.andP.Veronesi,Politicaluncertaintyandriskpremia.JournalofFinancialEconomics,2013.110(3):p.520-545.</w:t>
      </w:r>
    </w:p>
    <w:p w14:paraId="1E021380" w14:textId="76289F1C" w:rsidR="0028527B" w:rsidRPr="001F1E82" w:rsidRDefault="0028527B" w:rsidP="001F1E82">
      <w:pPr>
        <w:widowControl/>
        <w:shd w:val="clear" w:color="auto" w:fill="FFFFFF"/>
        <w:spacing w:line="400" w:lineRule="exact"/>
        <w:ind w:firstLine="480"/>
        <w:rPr>
          <w:kern w:val="0"/>
          <w:szCs w:val="21"/>
        </w:rPr>
      </w:pPr>
      <w:r>
        <w:rPr>
          <w:rFonts w:hint="eastAsia"/>
          <w:kern w:val="0"/>
          <w:szCs w:val="21"/>
        </w:rPr>
        <w:t>[</w:t>
      </w:r>
      <w:r>
        <w:rPr>
          <w:kern w:val="0"/>
          <w:szCs w:val="21"/>
        </w:rPr>
        <w:t>36]</w:t>
      </w:r>
      <w:hyperlink r:id="rId23" w:tooltip="Liguang Zhang" w:history="1">
        <w:r w:rsidRPr="0028527B">
          <w:rPr>
            <w:kern w:val="0"/>
            <w:szCs w:val="21"/>
          </w:rPr>
          <w:t>Zhang, L.</w:t>
        </w:r>
      </w:hyperlink>
      <w:r w:rsidRPr="0028527B">
        <w:rPr>
          <w:kern w:val="0"/>
          <w:szCs w:val="21"/>
        </w:rPr>
        <w:t>, </w:t>
      </w:r>
      <w:hyperlink r:id="rId24" w:tooltip="Wanyi Chen" w:history="1">
        <w:r w:rsidRPr="0028527B">
          <w:rPr>
            <w:kern w:val="0"/>
            <w:szCs w:val="21"/>
          </w:rPr>
          <w:t>Chen, W.</w:t>
        </w:r>
      </w:hyperlink>
      <w:r w:rsidRPr="0028527B">
        <w:rPr>
          <w:kern w:val="0"/>
          <w:szCs w:val="21"/>
        </w:rPr>
        <w:t> and </w:t>
      </w:r>
      <w:hyperlink r:id="rId25" w:tooltip="Ning Hu" w:history="1">
        <w:r w:rsidRPr="0028527B">
          <w:rPr>
            <w:kern w:val="0"/>
            <w:szCs w:val="21"/>
          </w:rPr>
          <w:t>Hu, N.</w:t>
        </w:r>
      </w:hyperlink>
      <w:r w:rsidRPr="0028527B">
        <w:rPr>
          <w:kern w:val="0"/>
          <w:szCs w:val="21"/>
        </w:rPr>
        <w:t> (2023), "Economic policy uncertainty and stock liquidity: evidence from China", </w:t>
      </w:r>
      <w:hyperlink r:id="rId26" w:history="1">
        <w:r w:rsidRPr="0028527B">
          <w:rPr>
            <w:kern w:val="0"/>
            <w:szCs w:val="21"/>
          </w:rPr>
          <w:t>International Journal of Emerging Markets</w:t>
        </w:r>
      </w:hyperlink>
      <w:r w:rsidRPr="0028527B">
        <w:rPr>
          <w:kern w:val="0"/>
          <w:szCs w:val="21"/>
        </w:rPr>
        <w:t>, Vol. 18 No. 1, pp. 22-44. </w:t>
      </w:r>
    </w:p>
    <w:p w14:paraId="50883921" w14:textId="77777777" w:rsidR="0095276A" w:rsidRDefault="0095276A" w:rsidP="008624E8">
      <w:pPr>
        <w:spacing w:line="360" w:lineRule="auto"/>
        <w:rPr>
          <w:rFonts w:ascii="宋体" w:hAnsi="宋体"/>
        </w:rPr>
      </w:pPr>
    </w:p>
    <w:p w14:paraId="669A8F56" w14:textId="2A787DE5" w:rsidR="00BB4907" w:rsidRDefault="00BB4907">
      <w:pPr>
        <w:widowControl/>
        <w:spacing w:after="160" w:line="259" w:lineRule="auto"/>
        <w:jc w:val="left"/>
        <w:rPr>
          <w:rFonts w:asciiTheme="minorEastAsia" w:eastAsiaTheme="minorEastAsia" w:hAnsiTheme="minorEastAsia"/>
          <w:b/>
          <w:sz w:val="24"/>
        </w:rPr>
      </w:pPr>
      <w:r>
        <w:rPr>
          <w:rFonts w:asciiTheme="minorEastAsia" w:eastAsiaTheme="minorEastAsia" w:hAnsiTheme="minorEastAsia"/>
          <w:b/>
          <w:sz w:val="24"/>
        </w:rPr>
        <w:br w:type="page"/>
      </w:r>
    </w:p>
    <w:p w14:paraId="344268CF" w14:textId="77777777" w:rsidR="001F1E82" w:rsidRDefault="001F1E82" w:rsidP="001F1E82">
      <w:pPr>
        <w:pStyle w:val="Heading1"/>
        <w:spacing w:before="624" w:after="468"/>
      </w:pPr>
      <w:bookmarkStart w:id="33" w:name="_Toc1344"/>
      <w:bookmarkStart w:id="34" w:name="_Toc135748091"/>
      <w:r>
        <w:rPr>
          <w:rFonts w:hint="eastAsia"/>
        </w:rPr>
        <w:lastRenderedPageBreak/>
        <w:t>致</w:t>
      </w:r>
      <w:r>
        <w:rPr>
          <w:rFonts w:hint="eastAsia"/>
        </w:rPr>
        <w:t xml:space="preserve"> </w:t>
      </w:r>
      <w:r>
        <w:t xml:space="preserve"> </w:t>
      </w:r>
      <w:r>
        <w:rPr>
          <w:rFonts w:hint="eastAsia"/>
        </w:rPr>
        <w:t>谢</w:t>
      </w:r>
      <w:bookmarkEnd w:id="33"/>
      <w:bookmarkEnd w:id="34"/>
    </w:p>
    <w:p w14:paraId="324DD27F" w14:textId="6AEAE9E4" w:rsidR="003A45DD" w:rsidRDefault="003A45DD" w:rsidP="00D2777D">
      <w:pPr>
        <w:snapToGrid w:val="0"/>
        <w:spacing w:line="400" w:lineRule="exact"/>
        <w:ind w:firstLineChars="225" w:firstLine="540"/>
        <w:jc w:val="center"/>
        <w:rPr>
          <w:sz w:val="24"/>
        </w:rPr>
      </w:pPr>
      <w:r>
        <w:rPr>
          <w:rFonts w:hint="eastAsia"/>
          <w:sz w:val="24"/>
        </w:rPr>
        <w:t>感谢</w:t>
      </w:r>
      <w:r w:rsidR="000E0043">
        <w:rPr>
          <w:rFonts w:hint="eastAsia"/>
          <w:sz w:val="24"/>
        </w:rPr>
        <w:t>指导老师的建议与帮助。</w:t>
      </w:r>
    </w:p>
    <w:p w14:paraId="311A2AE6" w14:textId="43354BEA" w:rsidR="000E0043" w:rsidRDefault="000E0043" w:rsidP="00D2777D">
      <w:pPr>
        <w:snapToGrid w:val="0"/>
        <w:spacing w:line="400" w:lineRule="exact"/>
        <w:ind w:firstLineChars="225" w:firstLine="540"/>
        <w:jc w:val="center"/>
        <w:rPr>
          <w:sz w:val="24"/>
        </w:rPr>
      </w:pPr>
      <w:r>
        <w:rPr>
          <w:rFonts w:hint="eastAsia"/>
          <w:sz w:val="24"/>
        </w:rPr>
        <w:t>感谢家人与朋友始终如一的支持。</w:t>
      </w:r>
    </w:p>
    <w:p w14:paraId="554B5C6D" w14:textId="4E9CE0FD" w:rsidR="0095276A" w:rsidRPr="003A45DD" w:rsidRDefault="003A45DD" w:rsidP="00D2777D">
      <w:pPr>
        <w:snapToGrid w:val="0"/>
        <w:spacing w:line="400" w:lineRule="exact"/>
        <w:ind w:firstLineChars="225" w:firstLine="540"/>
        <w:jc w:val="center"/>
        <w:rPr>
          <w:sz w:val="24"/>
        </w:rPr>
      </w:pPr>
      <w:r w:rsidRPr="003A45DD">
        <w:rPr>
          <w:rFonts w:hint="eastAsia"/>
          <w:sz w:val="24"/>
        </w:rPr>
        <w:t>祝愿自己可以永葆对宇宙遐想的</w:t>
      </w:r>
      <w:r w:rsidR="000A67DE">
        <w:rPr>
          <w:rFonts w:hint="eastAsia"/>
          <w:sz w:val="24"/>
        </w:rPr>
        <w:t>勇气和</w:t>
      </w:r>
      <w:r w:rsidRPr="003A45DD">
        <w:rPr>
          <w:rFonts w:hint="eastAsia"/>
          <w:sz w:val="24"/>
        </w:rPr>
        <w:t>怅惘。</w:t>
      </w:r>
    </w:p>
    <w:sectPr w:rsidR="0095276A" w:rsidRPr="003A45DD" w:rsidSect="00975A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DCB90" w14:textId="77777777" w:rsidR="00150A86" w:rsidRDefault="00150A86" w:rsidP="00804577">
      <w:r>
        <w:separator/>
      </w:r>
    </w:p>
  </w:endnote>
  <w:endnote w:type="continuationSeparator" w:id="0">
    <w:p w14:paraId="5AD87B14" w14:textId="77777777" w:rsidR="00150A86" w:rsidRDefault="00150A86" w:rsidP="00804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ExtB">
    <w:panose1 w:val="02010609060101010101"/>
    <w:charset w:val="86"/>
    <w:family w:val="modern"/>
    <w:pitch w:val="fixed"/>
    <w:sig w:usb0="00000003" w:usb1="0A0E0000" w:usb2="0000001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749F" w14:textId="77777777" w:rsidR="00CE01A5" w:rsidRDefault="00CE01A5">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2997F053" w14:textId="77777777" w:rsidR="00CE01A5" w:rsidRDefault="00CE01A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267F6" w14:textId="77777777" w:rsidR="00CE01A5" w:rsidRDefault="00CE01A5">
    <w:pPr>
      <w:pStyle w:val="Footer"/>
      <w:ind w:firstLine="360"/>
      <w:jc w:val="center"/>
    </w:pPr>
  </w:p>
  <w:p w14:paraId="040B16BF" w14:textId="77777777" w:rsidR="00CE01A5" w:rsidRDefault="00CE01A5">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5E9A6" w14:textId="77777777" w:rsidR="00150A86" w:rsidRDefault="00150A86" w:rsidP="00804577">
      <w:r>
        <w:separator/>
      </w:r>
    </w:p>
  </w:footnote>
  <w:footnote w:type="continuationSeparator" w:id="0">
    <w:p w14:paraId="27E4AF7D" w14:textId="77777777" w:rsidR="00150A86" w:rsidRDefault="00150A86" w:rsidP="00804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AAD45" w14:textId="37A62268" w:rsidR="00B26B5D" w:rsidRPr="00C341EB" w:rsidRDefault="00B26B5D" w:rsidP="00B26B5D">
    <w:pPr>
      <w:pStyle w:val="Header"/>
      <w:ind w:firstLine="360"/>
    </w:pPr>
    <w:r w:rsidRPr="00C341EB">
      <w:rPr>
        <w:rFonts w:hint="eastAsia"/>
      </w:rPr>
      <w:t>南京农业大学本科毕业论文（设计）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34546"/>
    <w:multiLevelType w:val="multilevel"/>
    <w:tmpl w:val="9722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C18BD"/>
    <w:multiLevelType w:val="multilevel"/>
    <w:tmpl w:val="A5B2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635E77"/>
    <w:multiLevelType w:val="multilevel"/>
    <w:tmpl w:val="A494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821412">
    <w:abstractNumId w:val="0"/>
  </w:num>
  <w:num w:numId="2" w16cid:durableId="414981101">
    <w:abstractNumId w:val="1"/>
  </w:num>
  <w:num w:numId="3" w16cid:durableId="962921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6A"/>
    <w:rsid w:val="0000018D"/>
    <w:rsid w:val="0000052D"/>
    <w:rsid w:val="00002634"/>
    <w:rsid w:val="00010670"/>
    <w:rsid w:val="0001209C"/>
    <w:rsid w:val="0002515A"/>
    <w:rsid w:val="00031556"/>
    <w:rsid w:val="00034E09"/>
    <w:rsid w:val="00034E18"/>
    <w:rsid w:val="0003761B"/>
    <w:rsid w:val="000443CA"/>
    <w:rsid w:val="00051C97"/>
    <w:rsid w:val="00052F31"/>
    <w:rsid w:val="00053D99"/>
    <w:rsid w:val="00055C9D"/>
    <w:rsid w:val="00057C8A"/>
    <w:rsid w:val="00063F48"/>
    <w:rsid w:val="00071BF0"/>
    <w:rsid w:val="00085506"/>
    <w:rsid w:val="000866A4"/>
    <w:rsid w:val="00087E14"/>
    <w:rsid w:val="00090BF4"/>
    <w:rsid w:val="000968B3"/>
    <w:rsid w:val="000A67DE"/>
    <w:rsid w:val="000A6B01"/>
    <w:rsid w:val="000A7F47"/>
    <w:rsid w:val="000C1D40"/>
    <w:rsid w:val="000C5561"/>
    <w:rsid w:val="000C7910"/>
    <w:rsid w:val="000D5212"/>
    <w:rsid w:val="000D7842"/>
    <w:rsid w:val="000E0043"/>
    <w:rsid w:val="000F231B"/>
    <w:rsid w:val="000F2EE9"/>
    <w:rsid w:val="000F4A2B"/>
    <w:rsid w:val="000F6D15"/>
    <w:rsid w:val="00106FBD"/>
    <w:rsid w:val="0010780B"/>
    <w:rsid w:val="001165AC"/>
    <w:rsid w:val="001256F0"/>
    <w:rsid w:val="0012765B"/>
    <w:rsid w:val="001362D7"/>
    <w:rsid w:val="00137DA3"/>
    <w:rsid w:val="00146970"/>
    <w:rsid w:val="00150A86"/>
    <w:rsid w:val="001518B7"/>
    <w:rsid w:val="00151D98"/>
    <w:rsid w:val="001559F0"/>
    <w:rsid w:val="001716E2"/>
    <w:rsid w:val="00175972"/>
    <w:rsid w:val="00180EF8"/>
    <w:rsid w:val="00182EFF"/>
    <w:rsid w:val="001938A9"/>
    <w:rsid w:val="00193F41"/>
    <w:rsid w:val="001978E0"/>
    <w:rsid w:val="001A40ED"/>
    <w:rsid w:val="001A55D9"/>
    <w:rsid w:val="001A55EA"/>
    <w:rsid w:val="001A6C3A"/>
    <w:rsid w:val="001C7EE9"/>
    <w:rsid w:val="001D1CD1"/>
    <w:rsid w:val="001D30CB"/>
    <w:rsid w:val="001F19A6"/>
    <w:rsid w:val="001F1E82"/>
    <w:rsid w:val="001F54CD"/>
    <w:rsid w:val="00203959"/>
    <w:rsid w:val="00211639"/>
    <w:rsid w:val="002118C2"/>
    <w:rsid w:val="00217791"/>
    <w:rsid w:val="002272FF"/>
    <w:rsid w:val="00231968"/>
    <w:rsid w:val="0023486D"/>
    <w:rsid w:val="00241F0E"/>
    <w:rsid w:val="00243765"/>
    <w:rsid w:val="0024727F"/>
    <w:rsid w:val="002527C5"/>
    <w:rsid w:val="00255561"/>
    <w:rsid w:val="00257EFA"/>
    <w:rsid w:val="00260170"/>
    <w:rsid w:val="002604D5"/>
    <w:rsid w:val="0026662C"/>
    <w:rsid w:val="00271DB4"/>
    <w:rsid w:val="0027344C"/>
    <w:rsid w:val="002750F5"/>
    <w:rsid w:val="00276D09"/>
    <w:rsid w:val="0028527B"/>
    <w:rsid w:val="00294C29"/>
    <w:rsid w:val="002A2177"/>
    <w:rsid w:val="002A2F22"/>
    <w:rsid w:val="002A3B7C"/>
    <w:rsid w:val="002B2EC0"/>
    <w:rsid w:val="002B4057"/>
    <w:rsid w:val="002C3949"/>
    <w:rsid w:val="002D152F"/>
    <w:rsid w:val="002D474D"/>
    <w:rsid w:val="002D6AA5"/>
    <w:rsid w:val="002E3061"/>
    <w:rsid w:val="002F24FE"/>
    <w:rsid w:val="002F3E85"/>
    <w:rsid w:val="002F5232"/>
    <w:rsid w:val="002F64A4"/>
    <w:rsid w:val="002F7CED"/>
    <w:rsid w:val="003026F7"/>
    <w:rsid w:val="00303D93"/>
    <w:rsid w:val="00305ED2"/>
    <w:rsid w:val="00306792"/>
    <w:rsid w:val="00312B88"/>
    <w:rsid w:val="003141E4"/>
    <w:rsid w:val="0032038F"/>
    <w:rsid w:val="0032141C"/>
    <w:rsid w:val="00324E36"/>
    <w:rsid w:val="003300AD"/>
    <w:rsid w:val="00332609"/>
    <w:rsid w:val="003330FD"/>
    <w:rsid w:val="00342EF8"/>
    <w:rsid w:val="0034461D"/>
    <w:rsid w:val="00351EE2"/>
    <w:rsid w:val="00363D32"/>
    <w:rsid w:val="00372BE4"/>
    <w:rsid w:val="00376372"/>
    <w:rsid w:val="00377994"/>
    <w:rsid w:val="003820AF"/>
    <w:rsid w:val="003919B4"/>
    <w:rsid w:val="003A33BC"/>
    <w:rsid w:val="003A45DD"/>
    <w:rsid w:val="003A6CC8"/>
    <w:rsid w:val="003B1AFE"/>
    <w:rsid w:val="003B2519"/>
    <w:rsid w:val="003B2607"/>
    <w:rsid w:val="003B615C"/>
    <w:rsid w:val="003C03AB"/>
    <w:rsid w:val="003C1F72"/>
    <w:rsid w:val="003C7A1C"/>
    <w:rsid w:val="003D4040"/>
    <w:rsid w:val="003D467E"/>
    <w:rsid w:val="003D7CBD"/>
    <w:rsid w:val="003E4FDE"/>
    <w:rsid w:val="003F2A78"/>
    <w:rsid w:val="003F3E43"/>
    <w:rsid w:val="003F4A17"/>
    <w:rsid w:val="003F7DFC"/>
    <w:rsid w:val="004052CA"/>
    <w:rsid w:val="00405743"/>
    <w:rsid w:val="004146B9"/>
    <w:rsid w:val="004157D8"/>
    <w:rsid w:val="00425060"/>
    <w:rsid w:val="004267F5"/>
    <w:rsid w:val="00435418"/>
    <w:rsid w:val="00437247"/>
    <w:rsid w:val="00444096"/>
    <w:rsid w:val="00447FA9"/>
    <w:rsid w:val="004536EA"/>
    <w:rsid w:val="004563A9"/>
    <w:rsid w:val="00457E3E"/>
    <w:rsid w:val="00461C74"/>
    <w:rsid w:val="004664A9"/>
    <w:rsid w:val="00467772"/>
    <w:rsid w:val="004805A0"/>
    <w:rsid w:val="004822F7"/>
    <w:rsid w:val="00482A4F"/>
    <w:rsid w:val="00482A82"/>
    <w:rsid w:val="004929C3"/>
    <w:rsid w:val="004C1A0A"/>
    <w:rsid w:val="004C424D"/>
    <w:rsid w:val="004C4EF7"/>
    <w:rsid w:val="004C6202"/>
    <w:rsid w:val="004D074E"/>
    <w:rsid w:val="004D42B4"/>
    <w:rsid w:val="004E5EAF"/>
    <w:rsid w:val="00502980"/>
    <w:rsid w:val="0050383D"/>
    <w:rsid w:val="00504628"/>
    <w:rsid w:val="005113B8"/>
    <w:rsid w:val="005145BA"/>
    <w:rsid w:val="00527B52"/>
    <w:rsid w:val="005403BD"/>
    <w:rsid w:val="00540F18"/>
    <w:rsid w:val="00544319"/>
    <w:rsid w:val="0056015F"/>
    <w:rsid w:val="00563128"/>
    <w:rsid w:val="00570FB0"/>
    <w:rsid w:val="00572CAA"/>
    <w:rsid w:val="0057320A"/>
    <w:rsid w:val="00576E8A"/>
    <w:rsid w:val="0058180D"/>
    <w:rsid w:val="00582623"/>
    <w:rsid w:val="0059033E"/>
    <w:rsid w:val="00591984"/>
    <w:rsid w:val="005A3136"/>
    <w:rsid w:val="005B2AD2"/>
    <w:rsid w:val="005B514A"/>
    <w:rsid w:val="005B51F1"/>
    <w:rsid w:val="005B538B"/>
    <w:rsid w:val="005B5874"/>
    <w:rsid w:val="005C44E1"/>
    <w:rsid w:val="005C5465"/>
    <w:rsid w:val="005D278A"/>
    <w:rsid w:val="005D3935"/>
    <w:rsid w:val="005D4EEA"/>
    <w:rsid w:val="005D59FC"/>
    <w:rsid w:val="005D64FA"/>
    <w:rsid w:val="005D6945"/>
    <w:rsid w:val="005D78D6"/>
    <w:rsid w:val="005E18BE"/>
    <w:rsid w:val="005E535A"/>
    <w:rsid w:val="005E7507"/>
    <w:rsid w:val="005E7A67"/>
    <w:rsid w:val="005F4A5D"/>
    <w:rsid w:val="005F60B0"/>
    <w:rsid w:val="006031D5"/>
    <w:rsid w:val="00603C31"/>
    <w:rsid w:val="00604B90"/>
    <w:rsid w:val="006058CE"/>
    <w:rsid w:val="00613587"/>
    <w:rsid w:val="00630E00"/>
    <w:rsid w:val="00630E5F"/>
    <w:rsid w:val="006348C0"/>
    <w:rsid w:val="00637B9F"/>
    <w:rsid w:val="0064640F"/>
    <w:rsid w:val="006645F1"/>
    <w:rsid w:val="00672E60"/>
    <w:rsid w:val="00680DA4"/>
    <w:rsid w:val="006A17DA"/>
    <w:rsid w:val="006A6AFE"/>
    <w:rsid w:val="006C08BE"/>
    <w:rsid w:val="006C3E28"/>
    <w:rsid w:val="006C5277"/>
    <w:rsid w:val="006D7569"/>
    <w:rsid w:val="006E0FA9"/>
    <w:rsid w:val="006E4524"/>
    <w:rsid w:val="007022FD"/>
    <w:rsid w:val="007034EC"/>
    <w:rsid w:val="00710BAB"/>
    <w:rsid w:val="00710F2E"/>
    <w:rsid w:val="007123F9"/>
    <w:rsid w:val="0071458C"/>
    <w:rsid w:val="00715119"/>
    <w:rsid w:val="00715D22"/>
    <w:rsid w:val="00715DC3"/>
    <w:rsid w:val="00721160"/>
    <w:rsid w:val="00734E94"/>
    <w:rsid w:val="00740326"/>
    <w:rsid w:val="00740CC1"/>
    <w:rsid w:val="007429D2"/>
    <w:rsid w:val="0074404F"/>
    <w:rsid w:val="0074429F"/>
    <w:rsid w:val="00745CB3"/>
    <w:rsid w:val="007555A6"/>
    <w:rsid w:val="007556B0"/>
    <w:rsid w:val="007624CC"/>
    <w:rsid w:val="00762CFB"/>
    <w:rsid w:val="007725E0"/>
    <w:rsid w:val="00782F70"/>
    <w:rsid w:val="00786AE9"/>
    <w:rsid w:val="00793D59"/>
    <w:rsid w:val="00797008"/>
    <w:rsid w:val="007A76DB"/>
    <w:rsid w:val="007A77AE"/>
    <w:rsid w:val="007B0A76"/>
    <w:rsid w:val="007C4141"/>
    <w:rsid w:val="007C5AAC"/>
    <w:rsid w:val="007C746E"/>
    <w:rsid w:val="007C7A28"/>
    <w:rsid w:val="007D4D28"/>
    <w:rsid w:val="007E2231"/>
    <w:rsid w:val="007E6AA0"/>
    <w:rsid w:val="007F661B"/>
    <w:rsid w:val="0080045A"/>
    <w:rsid w:val="008019BF"/>
    <w:rsid w:val="008041ED"/>
    <w:rsid w:val="00804577"/>
    <w:rsid w:val="00812280"/>
    <w:rsid w:val="00821D10"/>
    <w:rsid w:val="00821F8C"/>
    <w:rsid w:val="00823201"/>
    <w:rsid w:val="008316F6"/>
    <w:rsid w:val="00840870"/>
    <w:rsid w:val="008533EC"/>
    <w:rsid w:val="00853D2F"/>
    <w:rsid w:val="00853D79"/>
    <w:rsid w:val="00854BC3"/>
    <w:rsid w:val="00860DAC"/>
    <w:rsid w:val="00860F34"/>
    <w:rsid w:val="00861DE5"/>
    <w:rsid w:val="008624E8"/>
    <w:rsid w:val="008628CD"/>
    <w:rsid w:val="00865CD8"/>
    <w:rsid w:val="008671C9"/>
    <w:rsid w:val="008678F3"/>
    <w:rsid w:val="00870F38"/>
    <w:rsid w:val="00886322"/>
    <w:rsid w:val="0089529C"/>
    <w:rsid w:val="00895E23"/>
    <w:rsid w:val="00896CF5"/>
    <w:rsid w:val="008A0213"/>
    <w:rsid w:val="008A3287"/>
    <w:rsid w:val="008A52D5"/>
    <w:rsid w:val="008B67BB"/>
    <w:rsid w:val="008B6A27"/>
    <w:rsid w:val="008D2153"/>
    <w:rsid w:val="008E03B9"/>
    <w:rsid w:val="008E0499"/>
    <w:rsid w:val="008E1C83"/>
    <w:rsid w:val="008E7CDD"/>
    <w:rsid w:val="00902116"/>
    <w:rsid w:val="00902514"/>
    <w:rsid w:val="009049F6"/>
    <w:rsid w:val="00912EA1"/>
    <w:rsid w:val="00914981"/>
    <w:rsid w:val="0093364D"/>
    <w:rsid w:val="00936D59"/>
    <w:rsid w:val="0095169C"/>
    <w:rsid w:val="0095276A"/>
    <w:rsid w:val="00956911"/>
    <w:rsid w:val="00961542"/>
    <w:rsid w:val="00962852"/>
    <w:rsid w:val="009661DE"/>
    <w:rsid w:val="00974C4F"/>
    <w:rsid w:val="00986FCA"/>
    <w:rsid w:val="009872A2"/>
    <w:rsid w:val="0099085D"/>
    <w:rsid w:val="00992583"/>
    <w:rsid w:val="00994CD8"/>
    <w:rsid w:val="00997F29"/>
    <w:rsid w:val="009A1946"/>
    <w:rsid w:val="009B0E31"/>
    <w:rsid w:val="009B22EA"/>
    <w:rsid w:val="009B278F"/>
    <w:rsid w:val="009B40FB"/>
    <w:rsid w:val="009B4429"/>
    <w:rsid w:val="009B4932"/>
    <w:rsid w:val="009B61A5"/>
    <w:rsid w:val="009B6329"/>
    <w:rsid w:val="009B787A"/>
    <w:rsid w:val="009C4C2A"/>
    <w:rsid w:val="009D0894"/>
    <w:rsid w:val="009D3C62"/>
    <w:rsid w:val="009D4125"/>
    <w:rsid w:val="009D6890"/>
    <w:rsid w:val="009F10F2"/>
    <w:rsid w:val="009F2818"/>
    <w:rsid w:val="009F4645"/>
    <w:rsid w:val="009F786F"/>
    <w:rsid w:val="00A05DCA"/>
    <w:rsid w:val="00A12E47"/>
    <w:rsid w:val="00A157C3"/>
    <w:rsid w:val="00A15968"/>
    <w:rsid w:val="00A16AC1"/>
    <w:rsid w:val="00A21D10"/>
    <w:rsid w:val="00A22783"/>
    <w:rsid w:val="00A318DC"/>
    <w:rsid w:val="00A34C98"/>
    <w:rsid w:val="00A41546"/>
    <w:rsid w:val="00A474DE"/>
    <w:rsid w:val="00A47D52"/>
    <w:rsid w:val="00A52D67"/>
    <w:rsid w:val="00A57F85"/>
    <w:rsid w:val="00A757A7"/>
    <w:rsid w:val="00A83597"/>
    <w:rsid w:val="00A8675C"/>
    <w:rsid w:val="00A93FBB"/>
    <w:rsid w:val="00AA097C"/>
    <w:rsid w:val="00AA120D"/>
    <w:rsid w:val="00AA3C5E"/>
    <w:rsid w:val="00AA652E"/>
    <w:rsid w:val="00AA73BB"/>
    <w:rsid w:val="00AB39C6"/>
    <w:rsid w:val="00AB4186"/>
    <w:rsid w:val="00AB68D4"/>
    <w:rsid w:val="00AC24BF"/>
    <w:rsid w:val="00AC4D12"/>
    <w:rsid w:val="00AD26AC"/>
    <w:rsid w:val="00AD6A82"/>
    <w:rsid w:val="00AE32A3"/>
    <w:rsid w:val="00AF25FF"/>
    <w:rsid w:val="00AF473D"/>
    <w:rsid w:val="00AF5053"/>
    <w:rsid w:val="00AF6D9E"/>
    <w:rsid w:val="00B0698D"/>
    <w:rsid w:val="00B12107"/>
    <w:rsid w:val="00B14DBB"/>
    <w:rsid w:val="00B2093C"/>
    <w:rsid w:val="00B22E11"/>
    <w:rsid w:val="00B24DB9"/>
    <w:rsid w:val="00B26B5D"/>
    <w:rsid w:val="00B26F70"/>
    <w:rsid w:val="00B31C74"/>
    <w:rsid w:val="00B343DC"/>
    <w:rsid w:val="00B372EF"/>
    <w:rsid w:val="00B4185B"/>
    <w:rsid w:val="00B456C5"/>
    <w:rsid w:val="00B45822"/>
    <w:rsid w:val="00B45E8B"/>
    <w:rsid w:val="00B54859"/>
    <w:rsid w:val="00B553E2"/>
    <w:rsid w:val="00B56DED"/>
    <w:rsid w:val="00B61F42"/>
    <w:rsid w:val="00B623B7"/>
    <w:rsid w:val="00B7550C"/>
    <w:rsid w:val="00B80D56"/>
    <w:rsid w:val="00B8316D"/>
    <w:rsid w:val="00B86013"/>
    <w:rsid w:val="00B92299"/>
    <w:rsid w:val="00BA5A75"/>
    <w:rsid w:val="00BB22E0"/>
    <w:rsid w:val="00BB4907"/>
    <w:rsid w:val="00BC5171"/>
    <w:rsid w:val="00BC7333"/>
    <w:rsid w:val="00BD5C3D"/>
    <w:rsid w:val="00BD6CCE"/>
    <w:rsid w:val="00BD7856"/>
    <w:rsid w:val="00BE2866"/>
    <w:rsid w:val="00BE643E"/>
    <w:rsid w:val="00BF27D6"/>
    <w:rsid w:val="00BF4E28"/>
    <w:rsid w:val="00BF7CBA"/>
    <w:rsid w:val="00C01DF1"/>
    <w:rsid w:val="00C1114F"/>
    <w:rsid w:val="00C22772"/>
    <w:rsid w:val="00C25A80"/>
    <w:rsid w:val="00C341EB"/>
    <w:rsid w:val="00C35A73"/>
    <w:rsid w:val="00C45A7B"/>
    <w:rsid w:val="00C466D9"/>
    <w:rsid w:val="00C51BFF"/>
    <w:rsid w:val="00C53898"/>
    <w:rsid w:val="00C554A5"/>
    <w:rsid w:val="00C62904"/>
    <w:rsid w:val="00C63120"/>
    <w:rsid w:val="00C675CA"/>
    <w:rsid w:val="00C745EA"/>
    <w:rsid w:val="00C7772C"/>
    <w:rsid w:val="00C77AD3"/>
    <w:rsid w:val="00C80249"/>
    <w:rsid w:val="00C972FC"/>
    <w:rsid w:val="00CA107A"/>
    <w:rsid w:val="00CB74AD"/>
    <w:rsid w:val="00CC093C"/>
    <w:rsid w:val="00CC2B98"/>
    <w:rsid w:val="00CC571B"/>
    <w:rsid w:val="00CD3BFA"/>
    <w:rsid w:val="00CE01A5"/>
    <w:rsid w:val="00CE2D37"/>
    <w:rsid w:val="00CE4F59"/>
    <w:rsid w:val="00CE5DF6"/>
    <w:rsid w:val="00CE7F3E"/>
    <w:rsid w:val="00CF6A82"/>
    <w:rsid w:val="00D0196E"/>
    <w:rsid w:val="00D104F2"/>
    <w:rsid w:val="00D113DD"/>
    <w:rsid w:val="00D1201B"/>
    <w:rsid w:val="00D125D5"/>
    <w:rsid w:val="00D13085"/>
    <w:rsid w:val="00D254E6"/>
    <w:rsid w:val="00D273C9"/>
    <w:rsid w:val="00D2777D"/>
    <w:rsid w:val="00D3099A"/>
    <w:rsid w:val="00D30FD1"/>
    <w:rsid w:val="00D46AF0"/>
    <w:rsid w:val="00D600E6"/>
    <w:rsid w:val="00D655B1"/>
    <w:rsid w:val="00D706C9"/>
    <w:rsid w:val="00D760A5"/>
    <w:rsid w:val="00D80968"/>
    <w:rsid w:val="00D82C0E"/>
    <w:rsid w:val="00D83C8D"/>
    <w:rsid w:val="00D8698D"/>
    <w:rsid w:val="00DA028E"/>
    <w:rsid w:val="00DA2AE8"/>
    <w:rsid w:val="00DA6FA1"/>
    <w:rsid w:val="00DB0FE3"/>
    <w:rsid w:val="00DB238D"/>
    <w:rsid w:val="00DB3C96"/>
    <w:rsid w:val="00DB4C26"/>
    <w:rsid w:val="00DB75A6"/>
    <w:rsid w:val="00DC1E26"/>
    <w:rsid w:val="00DC23C8"/>
    <w:rsid w:val="00DC5547"/>
    <w:rsid w:val="00DC71D4"/>
    <w:rsid w:val="00DD5023"/>
    <w:rsid w:val="00DD7FD0"/>
    <w:rsid w:val="00DE2EA3"/>
    <w:rsid w:val="00E01256"/>
    <w:rsid w:val="00E035B5"/>
    <w:rsid w:val="00E03831"/>
    <w:rsid w:val="00E0662C"/>
    <w:rsid w:val="00E116BC"/>
    <w:rsid w:val="00E153D5"/>
    <w:rsid w:val="00E2091C"/>
    <w:rsid w:val="00E442C6"/>
    <w:rsid w:val="00E47854"/>
    <w:rsid w:val="00E5056B"/>
    <w:rsid w:val="00E527DE"/>
    <w:rsid w:val="00E760D2"/>
    <w:rsid w:val="00E76801"/>
    <w:rsid w:val="00E82388"/>
    <w:rsid w:val="00E875D3"/>
    <w:rsid w:val="00E93E17"/>
    <w:rsid w:val="00E97AC1"/>
    <w:rsid w:val="00EA0309"/>
    <w:rsid w:val="00EA5F4D"/>
    <w:rsid w:val="00EA6975"/>
    <w:rsid w:val="00EB211A"/>
    <w:rsid w:val="00EB2942"/>
    <w:rsid w:val="00EB3FA4"/>
    <w:rsid w:val="00EB5A42"/>
    <w:rsid w:val="00EB5BC0"/>
    <w:rsid w:val="00EB6156"/>
    <w:rsid w:val="00EC2BDA"/>
    <w:rsid w:val="00ED24FE"/>
    <w:rsid w:val="00ED4E55"/>
    <w:rsid w:val="00EE3D7A"/>
    <w:rsid w:val="00EE7BF1"/>
    <w:rsid w:val="00EF0883"/>
    <w:rsid w:val="00EF0D05"/>
    <w:rsid w:val="00EF4F7D"/>
    <w:rsid w:val="00EF5AE7"/>
    <w:rsid w:val="00F0041D"/>
    <w:rsid w:val="00F07A4B"/>
    <w:rsid w:val="00F10BC7"/>
    <w:rsid w:val="00F10D76"/>
    <w:rsid w:val="00F14EA6"/>
    <w:rsid w:val="00F15552"/>
    <w:rsid w:val="00F22A42"/>
    <w:rsid w:val="00F23D27"/>
    <w:rsid w:val="00F27B11"/>
    <w:rsid w:val="00F3010F"/>
    <w:rsid w:val="00F35B7A"/>
    <w:rsid w:val="00F424B9"/>
    <w:rsid w:val="00F430E8"/>
    <w:rsid w:val="00F45B38"/>
    <w:rsid w:val="00F50B7F"/>
    <w:rsid w:val="00F54B0F"/>
    <w:rsid w:val="00F5554C"/>
    <w:rsid w:val="00F55CE9"/>
    <w:rsid w:val="00F628B3"/>
    <w:rsid w:val="00F77C9A"/>
    <w:rsid w:val="00F817E8"/>
    <w:rsid w:val="00F8354D"/>
    <w:rsid w:val="00F84A73"/>
    <w:rsid w:val="00F92AA6"/>
    <w:rsid w:val="00F93A24"/>
    <w:rsid w:val="00F94436"/>
    <w:rsid w:val="00F95675"/>
    <w:rsid w:val="00F97325"/>
    <w:rsid w:val="00F97B35"/>
    <w:rsid w:val="00FA1E24"/>
    <w:rsid w:val="00FA43FE"/>
    <w:rsid w:val="00FA7DA2"/>
    <w:rsid w:val="00FB5453"/>
    <w:rsid w:val="00FB5713"/>
    <w:rsid w:val="00FC45CE"/>
    <w:rsid w:val="00FD236D"/>
    <w:rsid w:val="00FD2536"/>
    <w:rsid w:val="00FD6739"/>
    <w:rsid w:val="00FE0BF0"/>
    <w:rsid w:val="00FF337A"/>
    <w:rsid w:val="00FF6FFB"/>
    <w:rsid w:val="00FF747C"/>
    <w:rsid w:val="00FF7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93A3B"/>
  <w15:chartTrackingRefBased/>
  <w15:docId w15:val="{784E8AE8-D97C-4471-8552-8FF0896E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4CD"/>
    <w:pPr>
      <w:widowControl w:val="0"/>
      <w:spacing w:after="0" w:line="240" w:lineRule="auto"/>
      <w:jc w:val="both"/>
    </w:pPr>
    <w:rPr>
      <w:rFonts w:ascii="Times New Roman" w:eastAsia="宋体" w:hAnsi="Times New Roman" w:cs="Times New Roman"/>
      <w:sz w:val="21"/>
      <w:szCs w:val="24"/>
      <w14:ligatures w14:val="none"/>
    </w:rPr>
  </w:style>
  <w:style w:type="paragraph" w:styleId="Heading1">
    <w:name w:val="heading 1"/>
    <w:basedOn w:val="Normal"/>
    <w:next w:val="Normal"/>
    <w:link w:val="Heading1Char"/>
    <w:qFormat/>
    <w:rsid w:val="001F1E82"/>
    <w:pPr>
      <w:keepNext/>
      <w:keepLines/>
      <w:spacing w:beforeLines="200" w:before="200" w:afterLines="150" w:after="150" w:line="400" w:lineRule="exact"/>
      <w:jc w:val="center"/>
      <w:outlineLvl w:val="0"/>
    </w:pPr>
    <w:rPr>
      <w:rFonts w:eastAsia="黑体"/>
      <w:b/>
      <w:bCs/>
      <w:kern w:val="44"/>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76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95276A"/>
    <w:rPr>
      <w:sz w:val="18"/>
      <w:szCs w:val="18"/>
      <w14:ligatures w14:val="none"/>
    </w:rPr>
  </w:style>
  <w:style w:type="paragraph" w:styleId="Footer">
    <w:name w:val="footer"/>
    <w:basedOn w:val="Normal"/>
    <w:link w:val="FooterChar"/>
    <w:uiPriority w:val="99"/>
    <w:unhideWhenUsed/>
    <w:qFormat/>
    <w:rsid w:val="0095276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qFormat/>
    <w:rsid w:val="0095276A"/>
    <w:rPr>
      <w:sz w:val="18"/>
      <w:szCs w:val="18"/>
      <w14:ligatures w14:val="none"/>
    </w:rPr>
  </w:style>
  <w:style w:type="paragraph" w:styleId="Date">
    <w:name w:val="Date"/>
    <w:basedOn w:val="Normal"/>
    <w:next w:val="Normal"/>
    <w:link w:val="DateChar"/>
    <w:uiPriority w:val="99"/>
    <w:semiHidden/>
    <w:unhideWhenUsed/>
    <w:rsid w:val="0095276A"/>
    <w:pPr>
      <w:ind w:leftChars="2500" w:left="100"/>
    </w:pPr>
  </w:style>
  <w:style w:type="character" w:customStyle="1" w:styleId="DateChar">
    <w:name w:val="Date Char"/>
    <w:basedOn w:val="DefaultParagraphFont"/>
    <w:link w:val="Date"/>
    <w:uiPriority w:val="99"/>
    <w:semiHidden/>
    <w:rsid w:val="0095276A"/>
    <w:rPr>
      <w:rFonts w:ascii="Times New Roman" w:eastAsia="宋体" w:hAnsi="Times New Roman" w:cs="Times New Roman"/>
      <w:sz w:val="21"/>
      <w:szCs w:val="24"/>
      <w14:ligatures w14:val="none"/>
    </w:rPr>
  </w:style>
  <w:style w:type="paragraph" w:styleId="BalloonText">
    <w:name w:val="Balloon Text"/>
    <w:basedOn w:val="Normal"/>
    <w:link w:val="BalloonTextChar"/>
    <w:uiPriority w:val="99"/>
    <w:semiHidden/>
    <w:unhideWhenUsed/>
    <w:rsid w:val="0095276A"/>
    <w:rPr>
      <w:sz w:val="18"/>
      <w:szCs w:val="18"/>
    </w:rPr>
  </w:style>
  <w:style w:type="character" w:customStyle="1" w:styleId="BalloonTextChar">
    <w:name w:val="Balloon Text Char"/>
    <w:basedOn w:val="DefaultParagraphFont"/>
    <w:link w:val="BalloonText"/>
    <w:uiPriority w:val="99"/>
    <w:semiHidden/>
    <w:rsid w:val="0095276A"/>
    <w:rPr>
      <w:rFonts w:ascii="Times New Roman" w:eastAsia="宋体" w:hAnsi="Times New Roman" w:cs="Times New Roman"/>
      <w:sz w:val="18"/>
      <w:szCs w:val="18"/>
      <w14:ligatures w14:val="none"/>
    </w:rPr>
  </w:style>
  <w:style w:type="paragraph" w:styleId="ListParagraph">
    <w:name w:val="List Paragraph"/>
    <w:basedOn w:val="Normal"/>
    <w:uiPriority w:val="34"/>
    <w:qFormat/>
    <w:rsid w:val="0095276A"/>
    <w:pPr>
      <w:ind w:firstLineChars="200" w:firstLine="420"/>
    </w:pPr>
  </w:style>
  <w:style w:type="paragraph" w:customStyle="1" w:styleId="Char">
    <w:name w:val="Char"/>
    <w:basedOn w:val="Normal"/>
    <w:rsid w:val="0095276A"/>
  </w:style>
  <w:style w:type="character" w:styleId="Hyperlink">
    <w:name w:val="Hyperlink"/>
    <w:basedOn w:val="DefaultParagraphFont"/>
    <w:uiPriority w:val="99"/>
    <w:unhideWhenUsed/>
    <w:rsid w:val="0095276A"/>
    <w:rPr>
      <w:color w:val="0000FF"/>
      <w:u w:val="single"/>
    </w:rPr>
  </w:style>
  <w:style w:type="table" w:styleId="TableGrid">
    <w:name w:val="Table Grid"/>
    <w:basedOn w:val="TableNormal"/>
    <w:uiPriority w:val="39"/>
    <w:rsid w:val="0095276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276A"/>
    <w:pPr>
      <w:widowControl/>
      <w:spacing w:after="200"/>
      <w:jc w:val="left"/>
    </w:pPr>
    <w:rPr>
      <w:rFonts w:asciiTheme="minorHAnsi" w:eastAsiaTheme="minorEastAsia" w:hAnsiTheme="minorHAnsi" w:cstheme="minorBidi"/>
      <w:i/>
      <w:iCs/>
      <w:color w:val="44546A" w:themeColor="text2"/>
      <w:kern w:val="0"/>
      <w:sz w:val="18"/>
      <w:szCs w:val="18"/>
    </w:rPr>
  </w:style>
  <w:style w:type="character" w:styleId="PlaceholderText">
    <w:name w:val="Placeholder Text"/>
    <w:basedOn w:val="DefaultParagraphFont"/>
    <w:uiPriority w:val="99"/>
    <w:semiHidden/>
    <w:rsid w:val="0095276A"/>
    <w:rPr>
      <w:color w:val="808080"/>
    </w:rPr>
  </w:style>
  <w:style w:type="character" w:customStyle="1" w:styleId="mjxassistivemathml">
    <w:name w:val="mjx_assistive_mathml"/>
    <w:basedOn w:val="DefaultParagraphFont"/>
    <w:rsid w:val="0095276A"/>
  </w:style>
  <w:style w:type="paragraph" w:styleId="Revision">
    <w:name w:val="Revision"/>
    <w:hidden/>
    <w:uiPriority w:val="99"/>
    <w:semiHidden/>
    <w:rsid w:val="0095276A"/>
    <w:pPr>
      <w:spacing w:after="0" w:line="240" w:lineRule="auto"/>
    </w:pPr>
    <w:rPr>
      <w:rFonts w:ascii="Times New Roman" w:eastAsia="宋体" w:hAnsi="Times New Roman" w:cs="Times New Roman"/>
      <w:sz w:val="21"/>
      <w:szCs w:val="24"/>
      <w14:ligatures w14:val="none"/>
    </w:rPr>
  </w:style>
  <w:style w:type="character" w:styleId="CommentReference">
    <w:name w:val="annotation reference"/>
    <w:basedOn w:val="DefaultParagraphFont"/>
    <w:uiPriority w:val="99"/>
    <w:semiHidden/>
    <w:unhideWhenUsed/>
    <w:rsid w:val="0095276A"/>
    <w:rPr>
      <w:sz w:val="21"/>
      <w:szCs w:val="21"/>
    </w:rPr>
  </w:style>
  <w:style w:type="paragraph" w:styleId="CommentText">
    <w:name w:val="annotation text"/>
    <w:basedOn w:val="Normal"/>
    <w:link w:val="CommentTextChar"/>
    <w:uiPriority w:val="99"/>
    <w:semiHidden/>
    <w:unhideWhenUsed/>
    <w:rsid w:val="0095276A"/>
    <w:pPr>
      <w:jc w:val="left"/>
    </w:pPr>
  </w:style>
  <w:style w:type="character" w:customStyle="1" w:styleId="CommentTextChar">
    <w:name w:val="Comment Text Char"/>
    <w:basedOn w:val="DefaultParagraphFont"/>
    <w:link w:val="CommentText"/>
    <w:uiPriority w:val="99"/>
    <w:semiHidden/>
    <w:rsid w:val="0095276A"/>
    <w:rPr>
      <w:rFonts w:ascii="Times New Roman" w:eastAsia="宋体" w:hAnsi="Times New Roman" w:cs="Times New Roman"/>
      <w:sz w:val="21"/>
      <w:szCs w:val="24"/>
      <w14:ligatures w14:val="none"/>
    </w:rPr>
  </w:style>
  <w:style w:type="paragraph" w:styleId="CommentSubject">
    <w:name w:val="annotation subject"/>
    <w:basedOn w:val="CommentText"/>
    <w:next w:val="CommentText"/>
    <w:link w:val="CommentSubjectChar"/>
    <w:uiPriority w:val="99"/>
    <w:semiHidden/>
    <w:unhideWhenUsed/>
    <w:rsid w:val="0095276A"/>
    <w:rPr>
      <w:b/>
      <w:bCs/>
    </w:rPr>
  </w:style>
  <w:style w:type="character" w:customStyle="1" w:styleId="CommentSubjectChar">
    <w:name w:val="Comment Subject Char"/>
    <w:basedOn w:val="CommentTextChar"/>
    <w:link w:val="CommentSubject"/>
    <w:uiPriority w:val="99"/>
    <w:semiHidden/>
    <w:rsid w:val="0095276A"/>
    <w:rPr>
      <w:rFonts w:ascii="Times New Roman" w:eastAsia="宋体" w:hAnsi="Times New Roman" w:cs="Times New Roman"/>
      <w:b/>
      <w:bCs/>
      <w:sz w:val="21"/>
      <w:szCs w:val="24"/>
      <w14:ligatures w14:val="none"/>
    </w:rPr>
  </w:style>
  <w:style w:type="table" w:styleId="PlainTable2">
    <w:name w:val="Plain Table 2"/>
    <w:basedOn w:val="TableNormal"/>
    <w:uiPriority w:val="42"/>
    <w:rsid w:val="00F93A2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8">
    <w:name w:val="font8"/>
    <w:basedOn w:val="DefaultParagraphFont"/>
    <w:rsid w:val="00B92299"/>
  </w:style>
  <w:style w:type="character" w:customStyle="1" w:styleId="font0">
    <w:name w:val="font0"/>
    <w:basedOn w:val="DefaultParagraphFont"/>
    <w:rsid w:val="00B92299"/>
  </w:style>
  <w:style w:type="character" w:customStyle="1" w:styleId="font1">
    <w:name w:val="font1"/>
    <w:basedOn w:val="DefaultParagraphFont"/>
    <w:rsid w:val="00B92299"/>
  </w:style>
  <w:style w:type="character" w:customStyle="1" w:styleId="font6">
    <w:name w:val="font6"/>
    <w:basedOn w:val="DefaultParagraphFont"/>
    <w:rsid w:val="00B92299"/>
  </w:style>
  <w:style w:type="character" w:customStyle="1" w:styleId="font11">
    <w:name w:val="font11"/>
    <w:basedOn w:val="DefaultParagraphFont"/>
    <w:rsid w:val="00B92299"/>
  </w:style>
  <w:style w:type="character" w:customStyle="1" w:styleId="font4">
    <w:name w:val="font4"/>
    <w:basedOn w:val="DefaultParagraphFont"/>
    <w:rsid w:val="00B92299"/>
  </w:style>
  <w:style w:type="character" w:customStyle="1" w:styleId="font7">
    <w:name w:val="font7"/>
    <w:basedOn w:val="DefaultParagraphFont"/>
    <w:rsid w:val="00B92299"/>
  </w:style>
  <w:style w:type="character" w:customStyle="1" w:styleId="font5">
    <w:name w:val="font5"/>
    <w:basedOn w:val="DefaultParagraphFont"/>
    <w:rsid w:val="00B92299"/>
  </w:style>
  <w:style w:type="character" w:customStyle="1" w:styleId="font3">
    <w:name w:val="font3"/>
    <w:basedOn w:val="DefaultParagraphFont"/>
    <w:rsid w:val="00B92299"/>
  </w:style>
  <w:style w:type="character" w:customStyle="1" w:styleId="font2">
    <w:name w:val="font2"/>
    <w:basedOn w:val="DefaultParagraphFont"/>
    <w:rsid w:val="00B92299"/>
  </w:style>
  <w:style w:type="paragraph" w:styleId="BodyTextIndent2">
    <w:name w:val="Body Text Indent 2"/>
    <w:basedOn w:val="Normal"/>
    <w:link w:val="BodyTextIndent2Char"/>
    <w:qFormat/>
    <w:rsid w:val="00CE01A5"/>
    <w:pPr>
      <w:spacing w:line="360" w:lineRule="auto"/>
      <w:ind w:firstLine="435"/>
    </w:pPr>
    <w:rPr>
      <w:sz w:val="24"/>
    </w:rPr>
  </w:style>
  <w:style w:type="character" w:customStyle="1" w:styleId="BodyTextIndent2Char">
    <w:name w:val="Body Text Indent 2 Char"/>
    <w:basedOn w:val="DefaultParagraphFont"/>
    <w:link w:val="BodyTextIndent2"/>
    <w:rsid w:val="00CE01A5"/>
    <w:rPr>
      <w:rFonts w:ascii="Times New Roman" w:eastAsia="宋体" w:hAnsi="Times New Roman" w:cs="Times New Roman"/>
      <w:sz w:val="24"/>
      <w:szCs w:val="24"/>
      <w14:ligatures w14:val="none"/>
    </w:rPr>
  </w:style>
  <w:style w:type="character" w:styleId="PageNumber">
    <w:name w:val="page number"/>
    <w:basedOn w:val="DefaultParagraphFont"/>
    <w:qFormat/>
    <w:rsid w:val="00CE01A5"/>
  </w:style>
  <w:style w:type="character" w:customStyle="1" w:styleId="Heading1Char">
    <w:name w:val="Heading 1 Char"/>
    <w:basedOn w:val="DefaultParagraphFont"/>
    <w:link w:val="Heading1"/>
    <w:qFormat/>
    <w:rsid w:val="001F1E82"/>
    <w:rPr>
      <w:rFonts w:ascii="Times New Roman" w:eastAsia="黑体" w:hAnsi="Times New Roman" w:cs="Times New Roman"/>
      <w:b/>
      <w:bCs/>
      <w:kern w:val="44"/>
      <w:sz w:val="32"/>
      <w:szCs w:val="28"/>
      <w14:ligatures w14:val="none"/>
    </w:rPr>
  </w:style>
  <w:style w:type="paragraph" w:customStyle="1" w:styleId="3">
    <w:name w:val="标题3"/>
    <w:basedOn w:val="Normal"/>
    <w:next w:val="Normal"/>
    <w:qFormat/>
    <w:rsid w:val="005B51F1"/>
    <w:pPr>
      <w:spacing w:beforeLines="50" w:before="50" w:afterLines="50" w:after="50" w:line="400" w:lineRule="exact"/>
      <w:jc w:val="left"/>
      <w:outlineLvl w:val="2"/>
    </w:pPr>
    <w:rPr>
      <w:rFonts w:eastAsia="黑体"/>
      <w:sz w:val="28"/>
      <w:szCs w:val="28"/>
    </w:rPr>
  </w:style>
  <w:style w:type="paragraph" w:styleId="Title">
    <w:name w:val="Title"/>
    <w:basedOn w:val="Normal"/>
    <w:next w:val="Normal"/>
    <w:link w:val="TitleChar"/>
    <w:qFormat/>
    <w:rsid w:val="00C63120"/>
    <w:pPr>
      <w:spacing w:beforeLines="200" w:before="200" w:afterLines="150" w:after="150" w:line="400" w:lineRule="exact"/>
      <w:jc w:val="center"/>
    </w:pPr>
    <w:rPr>
      <w:rFonts w:eastAsia="黑体" w:cstheme="majorBidi"/>
      <w:b/>
      <w:bCs/>
      <w:sz w:val="36"/>
      <w:szCs w:val="32"/>
    </w:rPr>
  </w:style>
  <w:style w:type="character" w:customStyle="1" w:styleId="TitleChar">
    <w:name w:val="Title Char"/>
    <w:basedOn w:val="DefaultParagraphFont"/>
    <w:link w:val="Title"/>
    <w:qFormat/>
    <w:rsid w:val="00C63120"/>
    <w:rPr>
      <w:rFonts w:ascii="Times New Roman" w:eastAsia="黑体" w:hAnsi="Times New Roman" w:cstheme="majorBidi"/>
      <w:b/>
      <w:bCs/>
      <w:sz w:val="36"/>
      <w:szCs w:val="32"/>
      <w14:ligatures w14:val="none"/>
    </w:rPr>
  </w:style>
  <w:style w:type="paragraph" w:styleId="TOCHeading">
    <w:name w:val="TOC Heading"/>
    <w:basedOn w:val="Heading1"/>
    <w:next w:val="Normal"/>
    <w:uiPriority w:val="39"/>
    <w:unhideWhenUsed/>
    <w:qFormat/>
    <w:rsid w:val="004C6202"/>
    <w:pPr>
      <w:widowControl/>
      <w:spacing w:before="240" w:after="0" w:line="259" w:lineRule="auto"/>
      <w:jc w:val="left"/>
      <w:outlineLvl w:val="9"/>
    </w:pPr>
    <w:rPr>
      <w:rFonts w:ascii="等线 Light" w:eastAsia="等线 Light" w:hAnsi="等线 Light"/>
      <w:b w:val="0"/>
      <w:bCs w:val="0"/>
      <w:color w:val="2E74B5"/>
      <w:kern w:val="0"/>
      <w:szCs w:val="32"/>
    </w:rPr>
  </w:style>
  <w:style w:type="paragraph" w:styleId="TOC1">
    <w:name w:val="toc 1"/>
    <w:basedOn w:val="Normal"/>
    <w:next w:val="Normal"/>
    <w:autoRedefine/>
    <w:uiPriority w:val="39"/>
    <w:rsid w:val="004C6202"/>
    <w:pPr>
      <w:tabs>
        <w:tab w:val="right" w:leader="dot" w:pos="8789"/>
      </w:tabs>
      <w:spacing w:line="400" w:lineRule="exact"/>
    </w:pPr>
    <w:rPr>
      <w:b/>
      <w:noProof/>
      <w:sz w:val="24"/>
    </w:rPr>
  </w:style>
  <w:style w:type="paragraph" w:styleId="TOC2">
    <w:name w:val="toc 2"/>
    <w:basedOn w:val="Normal"/>
    <w:next w:val="Normal"/>
    <w:autoRedefine/>
    <w:uiPriority w:val="39"/>
    <w:rsid w:val="004C6202"/>
    <w:pPr>
      <w:tabs>
        <w:tab w:val="right" w:leader="dot" w:pos="8789"/>
      </w:tabs>
      <w:spacing w:line="400" w:lineRule="exact"/>
      <w:ind w:leftChars="200" w:left="480"/>
    </w:pPr>
    <w:rPr>
      <w:sz w:val="24"/>
    </w:rPr>
  </w:style>
  <w:style w:type="paragraph" w:styleId="TOC3">
    <w:name w:val="toc 3"/>
    <w:basedOn w:val="Normal"/>
    <w:next w:val="Normal"/>
    <w:autoRedefine/>
    <w:uiPriority w:val="39"/>
    <w:rsid w:val="004C6202"/>
    <w:pPr>
      <w:tabs>
        <w:tab w:val="right" w:leader="dot" w:pos="8789"/>
      </w:tabs>
      <w:spacing w:line="400" w:lineRule="exact"/>
      <w:ind w:leftChars="338" w:left="960" w:hangingChars="62" w:hanging="149"/>
    </w:pPr>
    <w:rPr>
      <w:sz w:val="24"/>
    </w:rPr>
  </w:style>
  <w:style w:type="paragraph" w:customStyle="1" w:styleId="2">
    <w:name w:val="标题2"/>
    <w:basedOn w:val="Normal"/>
    <w:next w:val="Normal"/>
    <w:link w:val="20"/>
    <w:qFormat/>
    <w:rsid w:val="00E97AC1"/>
    <w:pPr>
      <w:spacing w:beforeLines="50" w:before="50" w:afterLines="50" w:after="50" w:line="400" w:lineRule="exact"/>
      <w:outlineLvl w:val="1"/>
    </w:pPr>
    <w:rPr>
      <w:rFonts w:eastAsia="黑体"/>
      <w:sz w:val="30"/>
    </w:rPr>
  </w:style>
  <w:style w:type="character" w:customStyle="1" w:styleId="20">
    <w:name w:val="标题2 字符"/>
    <w:link w:val="2"/>
    <w:qFormat/>
    <w:rsid w:val="00E97AC1"/>
    <w:rPr>
      <w:rFonts w:ascii="Times New Roman" w:eastAsia="黑体" w:hAnsi="Times New Roman" w:cs="Times New Roman"/>
      <w:sz w:val="30"/>
      <w:szCs w:val="24"/>
      <w14:ligatures w14:val="none"/>
    </w:rPr>
  </w:style>
  <w:style w:type="paragraph" w:styleId="NormalWeb">
    <w:name w:val="Normal (Web)"/>
    <w:basedOn w:val="Normal"/>
    <w:uiPriority w:val="99"/>
    <w:semiHidden/>
    <w:unhideWhenUsed/>
    <w:rsid w:val="002D474D"/>
    <w:pPr>
      <w:widowControl/>
      <w:spacing w:before="100" w:beforeAutospacing="1" w:after="100" w:afterAutospacing="1"/>
      <w:jc w:val="left"/>
    </w:pPr>
    <w:rPr>
      <w:rFonts w:eastAsia="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7712">
      <w:bodyDiv w:val="1"/>
      <w:marLeft w:val="0"/>
      <w:marRight w:val="0"/>
      <w:marTop w:val="0"/>
      <w:marBottom w:val="0"/>
      <w:divBdr>
        <w:top w:val="none" w:sz="0" w:space="0" w:color="auto"/>
        <w:left w:val="none" w:sz="0" w:space="0" w:color="auto"/>
        <w:bottom w:val="none" w:sz="0" w:space="0" w:color="auto"/>
        <w:right w:val="none" w:sz="0" w:space="0" w:color="auto"/>
      </w:divBdr>
    </w:div>
    <w:div w:id="146634830">
      <w:bodyDiv w:val="1"/>
      <w:marLeft w:val="0"/>
      <w:marRight w:val="0"/>
      <w:marTop w:val="0"/>
      <w:marBottom w:val="0"/>
      <w:divBdr>
        <w:top w:val="none" w:sz="0" w:space="0" w:color="auto"/>
        <w:left w:val="none" w:sz="0" w:space="0" w:color="auto"/>
        <w:bottom w:val="none" w:sz="0" w:space="0" w:color="auto"/>
        <w:right w:val="none" w:sz="0" w:space="0" w:color="auto"/>
      </w:divBdr>
    </w:div>
    <w:div w:id="172111844">
      <w:bodyDiv w:val="1"/>
      <w:marLeft w:val="0"/>
      <w:marRight w:val="0"/>
      <w:marTop w:val="0"/>
      <w:marBottom w:val="0"/>
      <w:divBdr>
        <w:top w:val="none" w:sz="0" w:space="0" w:color="auto"/>
        <w:left w:val="none" w:sz="0" w:space="0" w:color="auto"/>
        <w:bottom w:val="none" w:sz="0" w:space="0" w:color="auto"/>
        <w:right w:val="none" w:sz="0" w:space="0" w:color="auto"/>
      </w:divBdr>
    </w:div>
    <w:div w:id="244656074">
      <w:bodyDiv w:val="1"/>
      <w:marLeft w:val="0"/>
      <w:marRight w:val="0"/>
      <w:marTop w:val="0"/>
      <w:marBottom w:val="0"/>
      <w:divBdr>
        <w:top w:val="none" w:sz="0" w:space="0" w:color="auto"/>
        <w:left w:val="none" w:sz="0" w:space="0" w:color="auto"/>
        <w:bottom w:val="none" w:sz="0" w:space="0" w:color="auto"/>
        <w:right w:val="none" w:sz="0" w:space="0" w:color="auto"/>
      </w:divBdr>
    </w:div>
    <w:div w:id="285937310">
      <w:bodyDiv w:val="1"/>
      <w:marLeft w:val="0"/>
      <w:marRight w:val="0"/>
      <w:marTop w:val="0"/>
      <w:marBottom w:val="0"/>
      <w:divBdr>
        <w:top w:val="none" w:sz="0" w:space="0" w:color="auto"/>
        <w:left w:val="none" w:sz="0" w:space="0" w:color="auto"/>
        <w:bottom w:val="none" w:sz="0" w:space="0" w:color="auto"/>
        <w:right w:val="none" w:sz="0" w:space="0" w:color="auto"/>
      </w:divBdr>
    </w:div>
    <w:div w:id="329799841">
      <w:bodyDiv w:val="1"/>
      <w:marLeft w:val="0"/>
      <w:marRight w:val="0"/>
      <w:marTop w:val="0"/>
      <w:marBottom w:val="0"/>
      <w:divBdr>
        <w:top w:val="none" w:sz="0" w:space="0" w:color="auto"/>
        <w:left w:val="none" w:sz="0" w:space="0" w:color="auto"/>
        <w:bottom w:val="none" w:sz="0" w:space="0" w:color="auto"/>
        <w:right w:val="none" w:sz="0" w:space="0" w:color="auto"/>
      </w:divBdr>
    </w:div>
    <w:div w:id="335351702">
      <w:bodyDiv w:val="1"/>
      <w:marLeft w:val="0"/>
      <w:marRight w:val="0"/>
      <w:marTop w:val="0"/>
      <w:marBottom w:val="0"/>
      <w:divBdr>
        <w:top w:val="none" w:sz="0" w:space="0" w:color="auto"/>
        <w:left w:val="none" w:sz="0" w:space="0" w:color="auto"/>
        <w:bottom w:val="none" w:sz="0" w:space="0" w:color="auto"/>
        <w:right w:val="none" w:sz="0" w:space="0" w:color="auto"/>
      </w:divBdr>
    </w:div>
    <w:div w:id="339967933">
      <w:bodyDiv w:val="1"/>
      <w:marLeft w:val="0"/>
      <w:marRight w:val="0"/>
      <w:marTop w:val="0"/>
      <w:marBottom w:val="0"/>
      <w:divBdr>
        <w:top w:val="none" w:sz="0" w:space="0" w:color="auto"/>
        <w:left w:val="none" w:sz="0" w:space="0" w:color="auto"/>
        <w:bottom w:val="none" w:sz="0" w:space="0" w:color="auto"/>
        <w:right w:val="none" w:sz="0" w:space="0" w:color="auto"/>
      </w:divBdr>
    </w:div>
    <w:div w:id="350644105">
      <w:bodyDiv w:val="1"/>
      <w:marLeft w:val="0"/>
      <w:marRight w:val="0"/>
      <w:marTop w:val="0"/>
      <w:marBottom w:val="0"/>
      <w:divBdr>
        <w:top w:val="none" w:sz="0" w:space="0" w:color="auto"/>
        <w:left w:val="none" w:sz="0" w:space="0" w:color="auto"/>
        <w:bottom w:val="none" w:sz="0" w:space="0" w:color="auto"/>
        <w:right w:val="none" w:sz="0" w:space="0" w:color="auto"/>
      </w:divBdr>
    </w:div>
    <w:div w:id="354625232">
      <w:bodyDiv w:val="1"/>
      <w:marLeft w:val="0"/>
      <w:marRight w:val="0"/>
      <w:marTop w:val="0"/>
      <w:marBottom w:val="0"/>
      <w:divBdr>
        <w:top w:val="none" w:sz="0" w:space="0" w:color="auto"/>
        <w:left w:val="none" w:sz="0" w:space="0" w:color="auto"/>
        <w:bottom w:val="none" w:sz="0" w:space="0" w:color="auto"/>
        <w:right w:val="none" w:sz="0" w:space="0" w:color="auto"/>
      </w:divBdr>
    </w:div>
    <w:div w:id="365642469">
      <w:bodyDiv w:val="1"/>
      <w:marLeft w:val="0"/>
      <w:marRight w:val="0"/>
      <w:marTop w:val="0"/>
      <w:marBottom w:val="0"/>
      <w:divBdr>
        <w:top w:val="none" w:sz="0" w:space="0" w:color="auto"/>
        <w:left w:val="none" w:sz="0" w:space="0" w:color="auto"/>
        <w:bottom w:val="none" w:sz="0" w:space="0" w:color="auto"/>
        <w:right w:val="none" w:sz="0" w:space="0" w:color="auto"/>
      </w:divBdr>
    </w:div>
    <w:div w:id="382024255">
      <w:bodyDiv w:val="1"/>
      <w:marLeft w:val="0"/>
      <w:marRight w:val="0"/>
      <w:marTop w:val="0"/>
      <w:marBottom w:val="0"/>
      <w:divBdr>
        <w:top w:val="none" w:sz="0" w:space="0" w:color="auto"/>
        <w:left w:val="none" w:sz="0" w:space="0" w:color="auto"/>
        <w:bottom w:val="none" w:sz="0" w:space="0" w:color="auto"/>
        <w:right w:val="none" w:sz="0" w:space="0" w:color="auto"/>
      </w:divBdr>
    </w:div>
    <w:div w:id="409618568">
      <w:bodyDiv w:val="1"/>
      <w:marLeft w:val="0"/>
      <w:marRight w:val="0"/>
      <w:marTop w:val="0"/>
      <w:marBottom w:val="0"/>
      <w:divBdr>
        <w:top w:val="none" w:sz="0" w:space="0" w:color="auto"/>
        <w:left w:val="none" w:sz="0" w:space="0" w:color="auto"/>
        <w:bottom w:val="none" w:sz="0" w:space="0" w:color="auto"/>
        <w:right w:val="none" w:sz="0" w:space="0" w:color="auto"/>
      </w:divBdr>
    </w:div>
    <w:div w:id="513111263">
      <w:bodyDiv w:val="1"/>
      <w:marLeft w:val="0"/>
      <w:marRight w:val="0"/>
      <w:marTop w:val="0"/>
      <w:marBottom w:val="0"/>
      <w:divBdr>
        <w:top w:val="none" w:sz="0" w:space="0" w:color="auto"/>
        <w:left w:val="none" w:sz="0" w:space="0" w:color="auto"/>
        <w:bottom w:val="none" w:sz="0" w:space="0" w:color="auto"/>
        <w:right w:val="none" w:sz="0" w:space="0" w:color="auto"/>
      </w:divBdr>
    </w:div>
    <w:div w:id="549193954">
      <w:bodyDiv w:val="1"/>
      <w:marLeft w:val="0"/>
      <w:marRight w:val="0"/>
      <w:marTop w:val="0"/>
      <w:marBottom w:val="0"/>
      <w:divBdr>
        <w:top w:val="none" w:sz="0" w:space="0" w:color="auto"/>
        <w:left w:val="none" w:sz="0" w:space="0" w:color="auto"/>
        <w:bottom w:val="none" w:sz="0" w:space="0" w:color="auto"/>
        <w:right w:val="none" w:sz="0" w:space="0" w:color="auto"/>
      </w:divBdr>
    </w:div>
    <w:div w:id="564878799">
      <w:bodyDiv w:val="1"/>
      <w:marLeft w:val="0"/>
      <w:marRight w:val="0"/>
      <w:marTop w:val="0"/>
      <w:marBottom w:val="0"/>
      <w:divBdr>
        <w:top w:val="none" w:sz="0" w:space="0" w:color="auto"/>
        <w:left w:val="none" w:sz="0" w:space="0" w:color="auto"/>
        <w:bottom w:val="none" w:sz="0" w:space="0" w:color="auto"/>
        <w:right w:val="none" w:sz="0" w:space="0" w:color="auto"/>
      </w:divBdr>
    </w:div>
    <w:div w:id="588076802">
      <w:bodyDiv w:val="1"/>
      <w:marLeft w:val="0"/>
      <w:marRight w:val="0"/>
      <w:marTop w:val="0"/>
      <w:marBottom w:val="0"/>
      <w:divBdr>
        <w:top w:val="none" w:sz="0" w:space="0" w:color="auto"/>
        <w:left w:val="none" w:sz="0" w:space="0" w:color="auto"/>
        <w:bottom w:val="none" w:sz="0" w:space="0" w:color="auto"/>
        <w:right w:val="none" w:sz="0" w:space="0" w:color="auto"/>
      </w:divBdr>
      <w:divsChild>
        <w:div w:id="486822927">
          <w:marLeft w:val="0"/>
          <w:marRight w:val="0"/>
          <w:marTop w:val="0"/>
          <w:marBottom w:val="0"/>
          <w:divBdr>
            <w:top w:val="none" w:sz="0" w:space="0" w:color="auto"/>
            <w:left w:val="none" w:sz="0" w:space="0" w:color="auto"/>
            <w:bottom w:val="none" w:sz="0" w:space="0" w:color="auto"/>
            <w:right w:val="none" w:sz="0" w:space="0" w:color="auto"/>
          </w:divBdr>
        </w:div>
      </w:divsChild>
    </w:div>
    <w:div w:id="590162608">
      <w:bodyDiv w:val="1"/>
      <w:marLeft w:val="0"/>
      <w:marRight w:val="0"/>
      <w:marTop w:val="0"/>
      <w:marBottom w:val="0"/>
      <w:divBdr>
        <w:top w:val="none" w:sz="0" w:space="0" w:color="auto"/>
        <w:left w:val="none" w:sz="0" w:space="0" w:color="auto"/>
        <w:bottom w:val="none" w:sz="0" w:space="0" w:color="auto"/>
        <w:right w:val="none" w:sz="0" w:space="0" w:color="auto"/>
      </w:divBdr>
    </w:div>
    <w:div w:id="724792437">
      <w:bodyDiv w:val="1"/>
      <w:marLeft w:val="0"/>
      <w:marRight w:val="0"/>
      <w:marTop w:val="0"/>
      <w:marBottom w:val="0"/>
      <w:divBdr>
        <w:top w:val="none" w:sz="0" w:space="0" w:color="auto"/>
        <w:left w:val="none" w:sz="0" w:space="0" w:color="auto"/>
        <w:bottom w:val="none" w:sz="0" w:space="0" w:color="auto"/>
        <w:right w:val="none" w:sz="0" w:space="0" w:color="auto"/>
      </w:divBdr>
    </w:div>
    <w:div w:id="726804322">
      <w:bodyDiv w:val="1"/>
      <w:marLeft w:val="0"/>
      <w:marRight w:val="0"/>
      <w:marTop w:val="0"/>
      <w:marBottom w:val="0"/>
      <w:divBdr>
        <w:top w:val="none" w:sz="0" w:space="0" w:color="auto"/>
        <w:left w:val="none" w:sz="0" w:space="0" w:color="auto"/>
        <w:bottom w:val="none" w:sz="0" w:space="0" w:color="auto"/>
        <w:right w:val="none" w:sz="0" w:space="0" w:color="auto"/>
      </w:divBdr>
    </w:div>
    <w:div w:id="820929320">
      <w:bodyDiv w:val="1"/>
      <w:marLeft w:val="0"/>
      <w:marRight w:val="0"/>
      <w:marTop w:val="0"/>
      <w:marBottom w:val="0"/>
      <w:divBdr>
        <w:top w:val="none" w:sz="0" w:space="0" w:color="auto"/>
        <w:left w:val="none" w:sz="0" w:space="0" w:color="auto"/>
        <w:bottom w:val="none" w:sz="0" w:space="0" w:color="auto"/>
        <w:right w:val="none" w:sz="0" w:space="0" w:color="auto"/>
      </w:divBdr>
    </w:div>
    <w:div w:id="943732412">
      <w:bodyDiv w:val="1"/>
      <w:marLeft w:val="0"/>
      <w:marRight w:val="0"/>
      <w:marTop w:val="0"/>
      <w:marBottom w:val="0"/>
      <w:divBdr>
        <w:top w:val="none" w:sz="0" w:space="0" w:color="auto"/>
        <w:left w:val="none" w:sz="0" w:space="0" w:color="auto"/>
        <w:bottom w:val="none" w:sz="0" w:space="0" w:color="auto"/>
        <w:right w:val="none" w:sz="0" w:space="0" w:color="auto"/>
      </w:divBdr>
    </w:div>
    <w:div w:id="951479879">
      <w:bodyDiv w:val="1"/>
      <w:marLeft w:val="0"/>
      <w:marRight w:val="0"/>
      <w:marTop w:val="0"/>
      <w:marBottom w:val="0"/>
      <w:divBdr>
        <w:top w:val="none" w:sz="0" w:space="0" w:color="auto"/>
        <w:left w:val="none" w:sz="0" w:space="0" w:color="auto"/>
        <w:bottom w:val="none" w:sz="0" w:space="0" w:color="auto"/>
        <w:right w:val="none" w:sz="0" w:space="0" w:color="auto"/>
      </w:divBdr>
    </w:div>
    <w:div w:id="956571157">
      <w:bodyDiv w:val="1"/>
      <w:marLeft w:val="0"/>
      <w:marRight w:val="0"/>
      <w:marTop w:val="0"/>
      <w:marBottom w:val="0"/>
      <w:divBdr>
        <w:top w:val="none" w:sz="0" w:space="0" w:color="auto"/>
        <w:left w:val="none" w:sz="0" w:space="0" w:color="auto"/>
        <w:bottom w:val="none" w:sz="0" w:space="0" w:color="auto"/>
        <w:right w:val="none" w:sz="0" w:space="0" w:color="auto"/>
      </w:divBdr>
    </w:div>
    <w:div w:id="965697775">
      <w:bodyDiv w:val="1"/>
      <w:marLeft w:val="0"/>
      <w:marRight w:val="0"/>
      <w:marTop w:val="0"/>
      <w:marBottom w:val="0"/>
      <w:divBdr>
        <w:top w:val="none" w:sz="0" w:space="0" w:color="auto"/>
        <w:left w:val="none" w:sz="0" w:space="0" w:color="auto"/>
        <w:bottom w:val="none" w:sz="0" w:space="0" w:color="auto"/>
        <w:right w:val="none" w:sz="0" w:space="0" w:color="auto"/>
      </w:divBdr>
    </w:div>
    <w:div w:id="1140609005">
      <w:bodyDiv w:val="1"/>
      <w:marLeft w:val="0"/>
      <w:marRight w:val="0"/>
      <w:marTop w:val="0"/>
      <w:marBottom w:val="0"/>
      <w:divBdr>
        <w:top w:val="none" w:sz="0" w:space="0" w:color="auto"/>
        <w:left w:val="none" w:sz="0" w:space="0" w:color="auto"/>
        <w:bottom w:val="none" w:sz="0" w:space="0" w:color="auto"/>
        <w:right w:val="none" w:sz="0" w:space="0" w:color="auto"/>
      </w:divBdr>
    </w:div>
    <w:div w:id="1356618553">
      <w:bodyDiv w:val="1"/>
      <w:marLeft w:val="0"/>
      <w:marRight w:val="0"/>
      <w:marTop w:val="0"/>
      <w:marBottom w:val="0"/>
      <w:divBdr>
        <w:top w:val="none" w:sz="0" w:space="0" w:color="auto"/>
        <w:left w:val="none" w:sz="0" w:space="0" w:color="auto"/>
        <w:bottom w:val="none" w:sz="0" w:space="0" w:color="auto"/>
        <w:right w:val="none" w:sz="0" w:space="0" w:color="auto"/>
      </w:divBdr>
    </w:div>
    <w:div w:id="1361080054">
      <w:bodyDiv w:val="1"/>
      <w:marLeft w:val="0"/>
      <w:marRight w:val="0"/>
      <w:marTop w:val="0"/>
      <w:marBottom w:val="0"/>
      <w:divBdr>
        <w:top w:val="none" w:sz="0" w:space="0" w:color="auto"/>
        <w:left w:val="none" w:sz="0" w:space="0" w:color="auto"/>
        <w:bottom w:val="none" w:sz="0" w:space="0" w:color="auto"/>
        <w:right w:val="none" w:sz="0" w:space="0" w:color="auto"/>
      </w:divBdr>
    </w:div>
    <w:div w:id="1400901808">
      <w:bodyDiv w:val="1"/>
      <w:marLeft w:val="0"/>
      <w:marRight w:val="0"/>
      <w:marTop w:val="0"/>
      <w:marBottom w:val="0"/>
      <w:divBdr>
        <w:top w:val="none" w:sz="0" w:space="0" w:color="auto"/>
        <w:left w:val="none" w:sz="0" w:space="0" w:color="auto"/>
        <w:bottom w:val="none" w:sz="0" w:space="0" w:color="auto"/>
        <w:right w:val="none" w:sz="0" w:space="0" w:color="auto"/>
      </w:divBdr>
    </w:div>
    <w:div w:id="1427922724">
      <w:bodyDiv w:val="1"/>
      <w:marLeft w:val="0"/>
      <w:marRight w:val="0"/>
      <w:marTop w:val="0"/>
      <w:marBottom w:val="0"/>
      <w:divBdr>
        <w:top w:val="none" w:sz="0" w:space="0" w:color="auto"/>
        <w:left w:val="none" w:sz="0" w:space="0" w:color="auto"/>
        <w:bottom w:val="none" w:sz="0" w:space="0" w:color="auto"/>
        <w:right w:val="none" w:sz="0" w:space="0" w:color="auto"/>
      </w:divBdr>
    </w:div>
    <w:div w:id="1464689278">
      <w:bodyDiv w:val="1"/>
      <w:marLeft w:val="0"/>
      <w:marRight w:val="0"/>
      <w:marTop w:val="0"/>
      <w:marBottom w:val="0"/>
      <w:divBdr>
        <w:top w:val="none" w:sz="0" w:space="0" w:color="auto"/>
        <w:left w:val="none" w:sz="0" w:space="0" w:color="auto"/>
        <w:bottom w:val="none" w:sz="0" w:space="0" w:color="auto"/>
        <w:right w:val="none" w:sz="0" w:space="0" w:color="auto"/>
      </w:divBdr>
    </w:div>
    <w:div w:id="1593007254">
      <w:bodyDiv w:val="1"/>
      <w:marLeft w:val="0"/>
      <w:marRight w:val="0"/>
      <w:marTop w:val="0"/>
      <w:marBottom w:val="0"/>
      <w:divBdr>
        <w:top w:val="none" w:sz="0" w:space="0" w:color="auto"/>
        <w:left w:val="none" w:sz="0" w:space="0" w:color="auto"/>
        <w:bottom w:val="none" w:sz="0" w:space="0" w:color="auto"/>
        <w:right w:val="none" w:sz="0" w:space="0" w:color="auto"/>
      </w:divBdr>
    </w:div>
    <w:div w:id="1678851503">
      <w:bodyDiv w:val="1"/>
      <w:marLeft w:val="0"/>
      <w:marRight w:val="0"/>
      <w:marTop w:val="0"/>
      <w:marBottom w:val="0"/>
      <w:divBdr>
        <w:top w:val="none" w:sz="0" w:space="0" w:color="auto"/>
        <w:left w:val="none" w:sz="0" w:space="0" w:color="auto"/>
        <w:bottom w:val="none" w:sz="0" w:space="0" w:color="auto"/>
        <w:right w:val="none" w:sz="0" w:space="0" w:color="auto"/>
      </w:divBdr>
    </w:div>
    <w:div w:id="1949657674">
      <w:bodyDiv w:val="1"/>
      <w:marLeft w:val="0"/>
      <w:marRight w:val="0"/>
      <w:marTop w:val="0"/>
      <w:marBottom w:val="0"/>
      <w:divBdr>
        <w:top w:val="none" w:sz="0" w:space="0" w:color="auto"/>
        <w:left w:val="none" w:sz="0" w:space="0" w:color="auto"/>
        <w:bottom w:val="none" w:sz="0" w:space="0" w:color="auto"/>
        <w:right w:val="none" w:sz="0" w:space="0" w:color="auto"/>
      </w:divBdr>
    </w:div>
    <w:div w:id="1958027168">
      <w:bodyDiv w:val="1"/>
      <w:marLeft w:val="0"/>
      <w:marRight w:val="0"/>
      <w:marTop w:val="0"/>
      <w:marBottom w:val="0"/>
      <w:divBdr>
        <w:top w:val="none" w:sz="0" w:space="0" w:color="auto"/>
        <w:left w:val="none" w:sz="0" w:space="0" w:color="auto"/>
        <w:bottom w:val="none" w:sz="0" w:space="0" w:color="auto"/>
        <w:right w:val="none" w:sz="0" w:space="0" w:color="auto"/>
      </w:divBdr>
    </w:div>
    <w:div w:id="2004428666">
      <w:bodyDiv w:val="1"/>
      <w:marLeft w:val="0"/>
      <w:marRight w:val="0"/>
      <w:marTop w:val="0"/>
      <w:marBottom w:val="0"/>
      <w:divBdr>
        <w:top w:val="none" w:sz="0" w:space="0" w:color="auto"/>
        <w:left w:val="none" w:sz="0" w:space="0" w:color="auto"/>
        <w:bottom w:val="none" w:sz="0" w:space="0" w:color="auto"/>
        <w:right w:val="none" w:sz="0" w:space="0" w:color="auto"/>
      </w:divBdr>
      <w:divsChild>
        <w:div w:id="1557427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6.emf"/><Relationship Id="rId26" Type="http://schemas.openxmlformats.org/officeDocument/2006/relationships/hyperlink" Target="https://www.emerald.com/insight/publication/issn/1746-8809"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emerald.com/insight/search?q=Ning%20Hu"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emerald.com/insight/search?q=Wanyi%20Che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merald.com/insight/search?q=Liguang%20Zhang" TargetMode="External"/><Relationship Id="rId28" Type="http://schemas.openxmlformats.org/officeDocument/2006/relationships/theme" Target="theme/theme1.xml"/><Relationship Id="rId10" Type="http://schemas.openxmlformats.org/officeDocument/2006/relationships/hyperlink" Target="http://bylw.njau.edu.cn/bylw2023/ProcessManagement/View/ProjectDeclaration.aspx?ReportID=9056"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ylw.njau.edu.cn/bylw2023/ProcessManagement/View/ProjectDeclaration.aspx?ReportID=9056" TargetMode="External"/><Relationship Id="rId22" Type="http://schemas.openxmlformats.org/officeDocument/2006/relationships/hyperlink" Target="https://schlr.cnki.net/Detail/index/GARJ2016/NSTL3AB1F678039836180AD1E68F0FA11BC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252A4-EFE2-4099-A741-9871B2D50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12266</TotalTime>
  <Pages>35</Pages>
  <Words>4568</Words>
  <Characters>26044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RQ7</dc:creator>
  <cp:keywords/>
  <dc:description/>
  <cp:lastModifiedBy>RQ7</cp:lastModifiedBy>
  <cp:revision>925</cp:revision>
  <dcterms:created xsi:type="dcterms:W3CDTF">2023-05-11T12:09:00Z</dcterms:created>
  <dcterms:modified xsi:type="dcterms:W3CDTF">2023-05-24T01:45:00Z</dcterms:modified>
</cp:coreProperties>
</file>