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NeuroMorph Assessment (NMA)</w:t>
      </w:r>
    </w:p>
    <w:p>
      <w:pPr>
        <w:jc w:val="center"/>
      </w:pPr>
      <w:r>
        <w:rPr>
          <w:sz w:val="32"/>
        </w:rPr>
        <w:t>智能脑结构定量分析与报告系统</w:t>
      </w:r>
    </w:p>
    <w:p>
      <w:r>
        <w:rPr>
          <w:b/>
          <w:sz w:val="28"/>
        </w:rPr>
        <w:t>基本信息</w:t>
      </w:r>
    </w:p>
    <w:p>
      <w:r>
        <w:rPr>
          <w:b/>
          <w:sz w:val="28"/>
        </w:rPr>
        <w:t>量表评估</w:t>
      </w:r>
    </w:p>
    <w:p>
      <w:r>
        <w:rPr>
          <w:b/>
          <w:sz w:val="28"/>
        </w:rPr>
        <w:t>MRI 三切面</w:t>
      </w:r>
    </w:p>
    <w:p>
      <w:r>
        <w:rPr>
          <w:b/>
          <w:sz w:val="28"/>
        </w:rPr>
        <w:t>体积结果</w:t>
      </w:r>
    </w:p>
    <w:p>
      <w:r>
        <w:rPr>
          <w:b/>
          <w:sz w:val="28"/>
        </w:rPr>
        <w:t>报告日期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