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43932" w14:textId="77777777" w:rsidR="00662A35" w:rsidRDefault="00000000">
      <w:pPr>
        <w:jc w:val="center"/>
      </w:pPr>
      <w:r>
        <w:rPr>
          <w:b/>
          <w:color w:val="000000"/>
          <w:sz w:val="28"/>
        </w:rPr>
        <w:t>RUPA GUHA, Ph.D.</w:t>
      </w:r>
    </w:p>
    <w:p w14:paraId="36C3225C" w14:textId="77777777" w:rsidR="00662A35" w:rsidRDefault="00000000">
      <w:pPr>
        <w:jc w:val="center"/>
      </w:pPr>
      <w:r>
        <w:rPr>
          <w:b/>
          <w:color w:val="003366"/>
        </w:rPr>
        <w:t>Translational Oncology Scientist | Preclinical Drug Discovery &amp; Biomarker Strategy</w:t>
      </w:r>
    </w:p>
    <w:p w14:paraId="52B6627F" w14:textId="0175C1F2" w:rsidR="00662A35" w:rsidRDefault="00000000" w:rsidP="00893A61">
      <w:pPr>
        <w:jc w:val="center"/>
      </w:pPr>
      <w:r>
        <w:rPr>
          <w:color w:val="505050"/>
          <w:sz w:val="19"/>
        </w:rPr>
        <w:t xml:space="preserve">San Mateo, CA | rupa.guha.umb@gmail.com | 616-920-4212 | linkedin.com/in/rupa-guha-phd-cancerresearcher | </w:t>
      </w:r>
      <w:r w:rsidRPr="00893A61">
        <w:rPr>
          <w:b/>
          <w:bCs/>
          <w:color w:val="505050"/>
          <w:sz w:val="19"/>
        </w:rPr>
        <w:t>U.S. Work Authorized — No Sponsorship Required</w:t>
      </w:r>
    </w:p>
    <w:p w14:paraId="39ED8E69" w14:textId="6F9B4171" w:rsidR="00662A35" w:rsidRPr="005A3C0C" w:rsidRDefault="005A3C0C">
      <w:pPr>
        <w:pBdr>
          <w:bottom w:val="single" w:sz="4" w:space="1" w:color="003366"/>
        </w:pBdr>
        <w:spacing w:before="120"/>
        <w:rPr>
          <w:rFonts w:cs="Calibri"/>
          <w:b/>
          <w:bCs/>
        </w:rPr>
      </w:pPr>
      <w:r w:rsidRPr="005A3C0C">
        <w:rPr>
          <w:rFonts w:cs="Calibri"/>
          <w:b/>
          <w:bCs/>
          <w:color w:val="003366"/>
          <w:sz w:val="22"/>
        </w:rPr>
        <w:t>Professional Summary</w:t>
      </w:r>
    </w:p>
    <w:p w14:paraId="6DAE9318" w14:textId="47A7F8A0" w:rsidR="000C3DE0" w:rsidRDefault="00000000" w:rsidP="000C3DE0">
      <w:pPr>
        <w:jc w:val="both"/>
      </w:pPr>
      <w:r>
        <w:rPr>
          <w:color w:val="000000"/>
        </w:rPr>
        <w:t>Translational oncology scientist with 10+ years of combined industry and academic experience driving antibody and small molecule programs from target validation through IND clearance. PhD research generated the preclinical efficacy and mechanistic data package that enabled FDA IND clearance for AG01, a first-in-class anti-progranulin antibody now in Phase I for advanced solid tumors (NCT05627960). Industry track record includes leading biomarker strategy and in vivo pharmacology for bispecific antibody programs, managing CRO partnerships, and contributing regulatory-aligned documentation to multiple IND submissions. Co-inventor on U.S. Patent 9,498,507 B2.</w:t>
      </w:r>
    </w:p>
    <w:p w14:paraId="56724A66" w14:textId="77777777" w:rsidR="000C3DE0" w:rsidRPr="000C3DE0" w:rsidRDefault="000C3DE0" w:rsidP="000C3DE0">
      <w:pPr>
        <w:jc w:val="both"/>
        <w:rPr>
          <w:sz w:val="10"/>
          <w:szCs w:val="10"/>
        </w:rPr>
      </w:pPr>
    </w:p>
    <w:p w14:paraId="130F095E" w14:textId="7B9DBED3" w:rsidR="00662A35" w:rsidRPr="005A3C0C" w:rsidRDefault="005A3C0C">
      <w:pPr>
        <w:pBdr>
          <w:bottom w:val="single" w:sz="4" w:space="1" w:color="003366"/>
        </w:pBdr>
        <w:spacing w:before="120"/>
        <w:rPr>
          <w:rFonts w:cs="Calibri"/>
          <w:b/>
          <w:bCs/>
          <w:color w:val="003366"/>
          <w:sz w:val="22"/>
        </w:rPr>
      </w:pPr>
      <w:r>
        <w:rPr>
          <w:rFonts w:cs="Calibri"/>
          <w:b/>
          <w:bCs/>
          <w:color w:val="003366"/>
          <w:sz w:val="22"/>
        </w:rPr>
        <w:t>Core Competencies</w:t>
      </w:r>
    </w:p>
    <w:p w14:paraId="42E71093" w14:textId="51342B6E" w:rsidR="00662A35" w:rsidRDefault="00000000" w:rsidP="00A5015D">
      <w:pPr>
        <w:jc w:val="both"/>
      </w:pPr>
      <w:r>
        <w:t xml:space="preserve">Drug Discovery &amp; Translational Science: Target Identification &amp; Validation | IND-Enabling Preclinical Studies | Translational Biomarker Strategy | Pharmacodynamic (PD) Biomarker Development | PK/PD Modeling | Dose-Response Analysis (IC50/EC50) | Mechanism of Action (MOA) Characterization | Drug Resistance &amp; Combination Strategy | Synthetic Lethality &amp; Combination Strategy | </w:t>
      </w:r>
      <w:r w:rsidR="00B33E23" w:rsidRPr="00BD3C1C">
        <w:t>Preclinical-to-Clinical Biomarker Translation</w:t>
      </w:r>
    </w:p>
    <w:p w14:paraId="35739E6F" w14:textId="77777777" w:rsidR="00662A35" w:rsidRPr="00B33E23" w:rsidRDefault="00662A35" w:rsidP="00A5015D">
      <w:pPr>
        <w:jc w:val="both"/>
        <w:rPr>
          <w:sz w:val="6"/>
          <w:szCs w:val="6"/>
        </w:rPr>
      </w:pPr>
    </w:p>
    <w:p w14:paraId="2F91E9A8" w14:textId="0CCAC3DC" w:rsidR="00662A35" w:rsidRDefault="00000000" w:rsidP="00A5015D">
      <w:pPr>
        <w:jc w:val="both"/>
      </w:pPr>
      <w:r w:rsidRPr="00A5015D">
        <w:rPr>
          <w:b/>
          <w:bCs/>
          <w:color w:val="000000"/>
          <w:sz w:val="20"/>
        </w:rPr>
        <w:t xml:space="preserve">Therapeutic Modalities: </w:t>
      </w:r>
      <w:r w:rsidR="001A2A9F">
        <w:rPr>
          <w:color w:val="000000"/>
          <w:sz w:val="20"/>
        </w:rPr>
        <w:t>Monoclonal Antibodies | Bispecific</w:t>
      </w:r>
      <w:r>
        <w:rPr>
          <w:color w:val="000000"/>
          <w:sz w:val="20"/>
        </w:rPr>
        <w:t xml:space="preserve"> Antibodies | </w:t>
      </w:r>
      <w:r w:rsidR="00DC7CB8">
        <w:rPr>
          <w:color w:val="000000"/>
          <w:sz w:val="20"/>
        </w:rPr>
        <w:t>Immuno-oncology</w:t>
      </w:r>
      <w:r>
        <w:rPr>
          <w:color w:val="000000"/>
          <w:sz w:val="20"/>
        </w:rPr>
        <w:t xml:space="preserve"> | PROTACs/Targeted Protein Degraders | Small Molecule Inhibitor Characterization</w:t>
      </w:r>
    </w:p>
    <w:p w14:paraId="0BBDAA00" w14:textId="77777777" w:rsidR="00662A35" w:rsidRPr="00B33E23" w:rsidRDefault="00662A35">
      <w:pPr>
        <w:rPr>
          <w:sz w:val="6"/>
          <w:szCs w:val="6"/>
        </w:rPr>
      </w:pPr>
    </w:p>
    <w:p w14:paraId="062F7EEC" w14:textId="77777777" w:rsidR="00662A35" w:rsidRDefault="00000000" w:rsidP="00A5015D">
      <w:pPr>
        <w:jc w:val="both"/>
      </w:pPr>
      <w:r w:rsidRPr="00A5015D">
        <w:rPr>
          <w:b/>
          <w:bCs/>
          <w:color w:val="000000"/>
          <w:sz w:val="20"/>
        </w:rPr>
        <w:t>In Vivo Pharmacology:</w:t>
      </w:r>
      <w:r>
        <w:rPr>
          <w:color w:val="000000"/>
          <w:sz w:val="20"/>
        </w:rPr>
        <w:t xml:space="preserve"> Subcutaneous Xenograft (CDX) | Humanized Mouse Models | Tail Vein Metastasis Models | IVIS Bioluminescence Imaging | GLP Toxicology Studies | Tumor Measurement &amp; Growth Kinetics</w:t>
      </w:r>
    </w:p>
    <w:p w14:paraId="6724CAB2" w14:textId="77777777" w:rsidR="00662A35" w:rsidRPr="00B33E23" w:rsidRDefault="00662A35">
      <w:pPr>
        <w:rPr>
          <w:sz w:val="6"/>
          <w:szCs w:val="6"/>
        </w:rPr>
      </w:pPr>
    </w:p>
    <w:p w14:paraId="0980F9E4" w14:textId="5E65D94E" w:rsidR="00662A35" w:rsidRDefault="00000000" w:rsidP="00A5015D">
      <w:pPr>
        <w:jc w:val="both"/>
      </w:pPr>
      <w:r w:rsidRPr="00A5015D">
        <w:rPr>
          <w:b/>
          <w:bCs/>
          <w:color w:val="000000"/>
          <w:sz w:val="20"/>
        </w:rPr>
        <w:t>In Vitro &amp; Molecular Biology:</w:t>
      </w:r>
      <w:r>
        <w:rPr>
          <w:color w:val="000000"/>
          <w:sz w:val="20"/>
        </w:rPr>
        <w:t xml:space="preserve"> Cell Proliferation/Cytotoxicity Assays | Migration &amp; Invasion Assays (Transwell/Boyden Chamber) | Flow Cytometry (Multi-parameter, Intracellular Staining) | ELISA/Sandwich ELISA | ELISpot/</w:t>
      </w:r>
      <w:proofErr w:type="spellStart"/>
      <w:r>
        <w:rPr>
          <w:color w:val="000000"/>
          <w:sz w:val="20"/>
        </w:rPr>
        <w:t>FluoroSpot</w:t>
      </w:r>
      <w:proofErr w:type="spellEnd"/>
      <w:r>
        <w:rPr>
          <w:color w:val="000000"/>
          <w:sz w:val="20"/>
        </w:rPr>
        <w:t xml:space="preserve"> | Western Blot &amp; Densitometry | Oncology Protein Arrays | IHC/Ki67 Quantification | siRNA/Gene Knockdown | qRT-PCR | Primary Cell Culture | Reporter Assays</w:t>
      </w:r>
    </w:p>
    <w:p w14:paraId="33FF5088" w14:textId="77777777" w:rsidR="00662A35" w:rsidRPr="00B33E23" w:rsidRDefault="00662A35">
      <w:pPr>
        <w:rPr>
          <w:sz w:val="6"/>
          <w:szCs w:val="6"/>
        </w:rPr>
      </w:pPr>
    </w:p>
    <w:p w14:paraId="15C4227D" w14:textId="1B99D8E3" w:rsidR="0064625F" w:rsidRPr="00D27486" w:rsidRDefault="00000000" w:rsidP="00A5015D">
      <w:pPr>
        <w:jc w:val="both"/>
        <w:rPr>
          <w:color w:val="000000"/>
          <w:sz w:val="20"/>
        </w:rPr>
      </w:pPr>
      <w:r w:rsidRPr="00B33E23">
        <w:rPr>
          <w:b/>
          <w:bCs/>
        </w:rPr>
        <w:t>Data Analysis &amp; Bioinformatics:</w:t>
      </w:r>
      <w:r>
        <w:t xml:space="preserve"> R Programming | GraphPad Prism | FlowJo | Statistical Analysis (ANOVA, t-test, Kaplan-Meier) | Dose-Response Modeling | RNA-seq Data Analysis | ImageJ | Human Tissue Database Mining (TCGA, GEO)</w:t>
      </w:r>
    </w:p>
    <w:p w14:paraId="66D23D29" w14:textId="77777777" w:rsidR="00662A35" w:rsidRPr="00B33E23" w:rsidRDefault="00662A35">
      <w:pPr>
        <w:rPr>
          <w:sz w:val="6"/>
          <w:szCs w:val="6"/>
        </w:rPr>
      </w:pPr>
    </w:p>
    <w:p w14:paraId="460C089F" w14:textId="36B612EA" w:rsidR="000C3DE0" w:rsidRDefault="00000000" w:rsidP="000C3DE0">
      <w:pPr>
        <w:jc w:val="both"/>
        <w:rPr>
          <w:color w:val="000000"/>
          <w:sz w:val="20"/>
        </w:rPr>
      </w:pPr>
      <w:r w:rsidRPr="00A5015D">
        <w:rPr>
          <w:b/>
          <w:bCs/>
          <w:color w:val="000000"/>
          <w:sz w:val="20"/>
        </w:rPr>
        <w:t>Regulatory &amp; Operations:</w:t>
      </w:r>
      <w:r>
        <w:rPr>
          <w:color w:val="000000"/>
          <w:sz w:val="20"/>
        </w:rPr>
        <w:t xml:space="preserve"> FDA Regulatory Documentation (IND) | GLP Compliance | CRO Selection, Management &amp; Oversight | Cross-Functional Team Leadership | Clinical-Preclinical Data Integration | Study Report Authoring</w:t>
      </w:r>
    </w:p>
    <w:p w14:paraId="56708277" w14:textId="77777777" w:rsidR="000C3DE0" w:rsidRPr="000C3DE0" w:rsidRDefault="000C3DE0" w:rsidP="000C3DE0">
      <w:pPr>
        <w:jc w:val="both"/>
        <w:rPr>
          <w:color w:val="000000"/>
          <w:sz w:val="10"/>
          <w:szCs w:val="10"/>
        </w:rPr>
      </w:pPr>
    </w:p>
    <w:p w14:paraId="7825B0AD" w14:textId="4F27D465" w:rsidR="00662A35" w:rsidRDefault="005A3C0C">
      <w:pPr>
        <w:pBdr>
          <w:bottom w:val="single" w:sz="4" w:space="1" w:color="003366"/>
        </w:pBdr>
        <w:spacing w:before="120"/>
      </w:pPr>
      <w:r>
        <w:rPr>
          <w:b/>
          <w:color w:val="003366"/>
          <w:sz w:val="22"/>
        </w:rPr>
        <w:t>Professional Experience</w:t>
      </w:r>
    </w:p>
    <w:p w14:paraId="58F7C526" w14:textId="77777777" w:rsidR="00662A35" w:rsidRDefault="00000000">
      <w:pPr>
        <w:spacing w:before="80"/>
      </w:pPr>
      <w:r>
        <w:rPr>
          <w:b/>
        </w:rPr>
        <w:t>Research Scientist (Postdoctoral) — UCSF, Department of Radiation Oncology</w:t>
      </w:r>
    </w:p>
    <w:p w14:paraId="345316A7" w14:textId="67ADCE82" w:rsidR="00662A35" w:rsidRDefault="00000000">
      <w:r>
        <w:rPr>
          <w:i/>
          <w:color w:val="505050"/>
          <w:sz w:val="20"/>
        </w:rPr>
        <w:t>San Francisco, CA | 2023 – Present</w:t>
      </w:r>
    </w:p>
    <w:p w14:paraId="7298C1F5" w14:textId="02EBA89B" w:rsidR="00662A35" w:rsidRDefault="00000000" w:rsidP="00A5015D">
      <w:pPr>
        <w:jc w:val="both"/>
      </w:pPr>
      <w:r>
        <w:t>•  Investigating mechanisms of therapeutic resistance in TNBC using 14 engineered cell line models, focusing on MAP3K8-driven stress-adaptive signaling within the RAS-RAF-MEK-ERK axis, in combination studies with radiation and chemotherapy, identifying clinically actionable resistance nodes and combination strategies.</w:t>
      </w:r>
    </w:p>
    <w:p w14:paraId="6955C42B" w14:textId="31C221AE" w:rsidR="00662A35" w:rsidRDefault="00000000" w:rsidP="00A5015D">
      <w:pPr>
        <w:jc w:val="both"/>
      </w:pPr>
      <w:r>
        <w:t xml:space="preserve">•  Characterizing small molecule inhibitors and PROTAC/targeted protein degraders against stress-response signaling pathways (MAP3K8), including gene regulation analysis of MAP3K8 transcriptional control via </w:t>
      </w:r>
      <w:r w:rsidR="00051099">
        <w:t>IL-1</w:t>
      </w:r>
      <w:r w:rsidR="00051099">
        <w:sym w:font="Symbol" w:char="F062"/>
      </w:r>
      <w:r>
        <w:t xml:space="preserve"> signaling, to identify translational PD biomarkers for patient stratification.</w:t>
      </w:r>
    </w:p>
    <w:p w14:paraId="5D85D4C1" w14:textId="164735E0" w:rsidR="007975A6" w:rsidRDefault="00000000" w:rsidP="007975A6">
      <w:pPr>
        <w:jc w:val="both"/>
      </w:pPr>
      <w:r>
        <w:t>•  Analyzing clinical significance using clinical datasets from drug-resistant tumors, integrating bioinformatics (R programming) with functional in vitro validation.</w:t>
      </w:r>
    </w:p>
    <w:p w14:paraId="1DE84E9E" w14:textId="400BB981" w:rsidR="007975A6" w:rsidRDefault="007975A6" w:rsidP="007975A6">
      <w:pPr>
        <w:jc w:val="both"/>
      </w:pPr>
      <w:r>
        <w:t>•  Screened drug combinations targeting parallel signaling pathways in BRAFV600E and KRAS G12C colorectal cancer models, evaluating synergy and resistance mechanisms to guide translational combination strategies.</w:t>
      </w:r>
    </w:p>
    <w:p w14:paraId="7BDC1C12" w14:textId="77777777" w:rsidR="001A56BD" w:rsidRPr="000C3DE0" w:rsidRDefault="001A56BD" w:rsidP="001A56BD">
      <w:pPr>
        <w:jc w:val="both"/>
        <w:rPr>
          <w:sz w:val="10"/>
          <w:szCs w:val="10"/>
        </w:rPr>
      </w:pPr>
    </w:p>
    <w:p w14:paraId="51639BA9" w14:textId="00B35BF9" w:rsidR="00662A35" w:rsidRDefault="00000000" w:rsidP="001A56BD">
      <w:pPr>
        <w:jc w:val="both"/>
      </w:pPr>
      <w:r>
        <w:rPr>
          <w:b/>
        </w:rPr>
        <w:t xml:space="preserve">Senior Scientist I — </w:t>
      </w:r>
      <w:proofErr w:type="spellStart"/>
      <w:r>
        <w:rPr>
          <w:b/>
        </w:rPr>
        <w:t>Hengenix</w:t>
      </w:r>
      <w:proofErr w:type="spellEnd"/>
      <w:r>
        <w:rPr>
          <w:b/>
        </w:rPr>
        <w:t xml:space="preserve"> (</w:t>
      </w:r>
      <w:proofErr w:type="spellStart"/>
      <w:r>
        <w:rPr>
          <w:b/>
        </w:rPr>
        <w:t>Henlius</w:t>
      </w:r>
      <w:proofErr w:type="spellEnd"/>
      <w:r>
        <w:rPr>
          <w:b/>
        </w:rPr>
        <w:t xml:space="preserve"> US)</w:t>
      </w:r>
    </w:p>
    <w:p w14:paraId="75578260" w14:textId="765FB940" w:rsidR="00662A35" w:rsidRDefault="00000000">
      <w:r>
        <w:rPr>
          <w:i/>
          <w:color w:val="505050"/>
          <w:sz w:val="20"/>
        </w:rPr>
        <w:t xml:space="preserve">Milpitas, CA | </w:t>
      </w:r>
      <w:r w:rsidR="000C3DE0">
        <w:rPr>
          <w:i/>
          <w:color w:val="505050"/>
          <w:sz w:val="20"/>
        </w:rPr>
        <w:t>2022</w:t>
      </w:r>
    </w:p>
    <w:p w14:paraId="155344F2" w14:textId="3688B535" w:rsidR="001A2A9F" w:rsidRDefault="00000000" w:rsidP="00A5015D">
      <w:pPr>
        <w:jc w:val="both"/>
      </w:pPr>
      <w:r>
        <w:t>•  Directed translational biomarker strategy for 2 bispecific antibody candidates in a Phase I immuno-oncology program, designing pharmacodynamic endpoints integrated into the clinical protocol.</w:t>
      </w:r>
    </w:p>
    <w:p w14:paraId="3D8F4F05" w14:textId="07DBBB75" w:rsidR="00662A35" w:rsidRDefault="00000000" w:rsidP="00A5015D">
      <w:pPr>
        <w:jc w:val="both"/>
      </w:pPr>
      <w:r>
        <w:t>•</w:t>
      </w:r>
      <w:r w:rsidR="001A2A9F">
        <w:t xml:space="preserve">  </w:t>
      </w:r>
      <w:r>
        <w:t>Designed and executed humanized tumor model efficacy studies, generating dose-response and PK/PD data that informed lead candidate prioritization and go/no-go decisions.</w:t>
      </w:r>
    </w:p>
    <w:p w14:paraId="04C1DBF2" w14:textId="19BA7736" w:rsidR="00662A35" w:rsidRDefault="00000000" w:rsidP="00417EC4">
      <w:pPr>
        <w:jc w:val="both"/>
      </w:pPr>
      <w:r>
        <w:t>•  Collaborated cross-functionally with clinical</w:t>
      </w:r>
      <w:r w:rsidR="00CC353F">
        <w:t xml:space="preserve"> </w:t>
      </w:r>
      <w:r>
        <w:t xml:space="preserve">and </w:t>
      </w:r>
      <w:r w:rsidR="00CC353F">
        <w:t>discovery</w:t>
      </w:r>
      <w:r>
        <w:t xml:space="preserve"> teams to align preclinical data with IND filing strategy and clinical development timelines.</w:t>
      </w:r>
    </w:p>
    <w:p w14:paraId="13ED99B7" w14:textId="76C7CC5E" w:rsidR="001A2A9F" w:rsidRDefault="001A2A9F" w:rsidP="00417EC4">
      <w:pPr>
        <w:jc w:val="both"/>
      </w:pPr>
      <w:r>
        <w:lastRenderedPageBreak/>
        <w:t>• Authored regulatory-aligned preclinical study summaries for IND.</w:t>
      </w:r>
    </w:p>
    <w:p w14:paraId="573706FC" w14:textId="77777777" w:rsidR="000C3DE0" w:rsidRPr="000C3DE0" w:rsidRDefault="000C3DE0" w:rsidP="00417EC4">
      <w:pPr>
        <w:jc w:val="both"/>
        <w:rPr>
          <w:sz w:val="10"/>
          <w:szCs w:val="10"/>
        </w:rPr>
      </w:pPr>
    </w:p>
    <w:p w14:paraId="1C1F76E2" w14:textId="4CAAC398" w:rsidR="00662A35" w:rsidRPr="001A2A9F" w:rsidRDefault="00000000">
      <w:pPr>
        <w:spacing w:before="80"/>
        <w:rPr>
          <w:b/>
          <w:bCs/>
        </w:rPr>
      </w:pPr>
      <w:r w:rsidRPr="001A2A9F">
        <w:rPr>
          <w:b/>
          <w:bCs/>
        </w:rPr>
        <w:t>Staff Scientist — ABL, Inc.</w:t>
      </w:r>
      <w:r w:rsidR="00C20287" w:rsidRPr="001A2A9F">
        <w:rPr>
          <w:b/>
          <w:bCs/>
        </w:rPr>
        <w:t xml:space="preserve"> (CRO)</w:t>
      </w:r>
    </w:p>
    <w:p w14:paraId="7E2076C4" w14:textId="48A32B86" w:rsidR="00662A35" w:rsidRDefault="00000000">
      <w:r>
        <w:rPr>
          <w:i/>
          <w:color w:val="505050"/>
          <w:sz w:val="20"/>
        </w:rPr>
        <w:t>Rockville, MD | 2020 – 2021</w:t>
      </w:r>
    </w:p>
    <w:p w14:paraId="3E794606" w14:textId="050585EF" w:rsidR="00662A35" w:rsidRDefault="00000000" w:rsidP="00A5015D">
      <w:pPr>
        <w:jc w:val="both"/>
      </w:pPr>
      <w:r>
        <w:t xml:space="preserve">•  Led development, optimization, and qualification of immunogenicity and functional immune assays (immune cell co-culture, cytokine release, ELISpot, FluoroSpot, multi-parameter flow cytometry) supporting IND submissions across oncology and </w:t>
      </w:r>
      <w:r w:rsidR="004B6F57">
        <w:t>viral vaccine</w:t>
      </w:r>
      <w:r>
        <w:t xml:space="preserve"> programs.</w:t>
      </w:r>
    </w:p>
    <w:p w14:paraId="4D802195" w14:textId="77777777" w:rsidR="00662A35" w:rsidRDefault="00000000" w:rsidP="00A5015D">
      <w:pPr>
        <w:jc w:val="both"/>
      </w:pPr>
      <w:r>
        <w:t>•  Served as scientific liaison between ABL and 4+ sponsor companies, aligning bioanalytical assay design and validation strategy with FDA regulatory expectations and GLP requirements.</w:t>
      </w:r>
    </w:p>
    <w:p w14:paraId="47951CF5" w14:textId="54936F96" w:rsidR="00662A35" w:rsidRDefault="00000000" w:rsidP="00A5015D">
      <w:pPr>
        <w:jc w:val="both"/>
      </w:pPr>
      <w:r>
        <w:t xml:space="preserve">•  </w:t>
      </w:r>
      <w:r w:rsidR="001D4204" w:rsidRPr="001D4204">
        <w:t>Contributed to successful NIH grant proposal for vaccine development study</w:t>
      </w:r>
      <w:r w:rsidR="001D4204">
        <w:t>.</w:t>
      </w:r>
    </w:p>
    <w:p w14:paraId="3B3EA64C" w14:textId="78F47EDD" w:rsidR="000C3DE0" w:rsidRPr="00B40122" w:rsidRDefault="00000000" w:rsidP="00B40122">
      <w:pPr>
        <w:jc w:val="both"/>
      </w:pPr>
      <w:r>
        <w:t>•  Achieved 98% on-time study completion rate, managing concurrent timelines for multiple sponsors.</w:t>
      </w:r>
    </w:p>
    <w:p w14:paraId="67523C86" w14:textId="329C8F9F" w:rsidR="00662A35" w:rsidRDefault="00000000">
      <w:pPr>
        <w:spacing w:before="80"/>
      </w:pPr>
      <w:r>
        <w:rPr>
          <w:b/>
        </w:rPr>
        <w:t>Industry Scientist — Piramal Life Sciences</w:t>
      </w:r>
      <w:r w:rsidR="00E85D61">
        <w:rPr>
          <w:b/>
        </w:rPr>
        <w:t xml:space="preserve"> Ltd</w:t>
      </w:r>
      <w:r>
        <w:rPr>
          <w:b/>
        </w:rPr>
        <w:t xml:space="preserve"> &amp; Sun Pharma Advanced Research Center</w:t>
      </w:r>
    </w:p>
    <w:p w14:paraId="58E8D92A" w14:textId="48D11482" w:rsidR="00662A35" w:rsidRDefault="00000000">
      <w:r>
        <w:rPr>
          <w:i/>
          <w:color w:val="505050"/>
          <w:sz w:val="20"/>
        </w:rPr>
        <w:t>India | 2005 – 2011</w:t>
      </w:r>
    </w:p>
    <w:p w14:paraId="77DFFD17" w14:textId="69088610" w:rsidR="00662A35" w:rsidRDefault="00000000" w:rsidP="00A5015D">
      <w:pPr>
        <w:jc w:val="both"/>
      </w:pPr>
      <w:r>
        <w:t xml:space="preserve">•  Conducted IND-enabling in vivo pharmacology, GLP </w:t>
      </w:r>
      <w:proofErr w:type="gramStart"/>
      <w:r>
        <w:t>toxicology  and</w:t>
      </w:r>
      <w:proofErr w:type="gramEnd"/>
      <w:r>
        <w:t xml:space="preserve"> genotoxicity studies across rodent and non-rodent models </w:t>
      </w:r>
      <w:r w:rsidR="00B40122">
        <w:t>spanning</w:t>
      </w:r>
      <w:r>
        <w:t xml:space="preserve"> </w:t>
      </w:r>
      <w:r w:rsidR="00B40122" w:rsidRPr="00B40122">
        <w:t>multiple small molecule drug discovery and development programs</w:t>
      </w:r>
      <w:r>
        <w:t>, contributing data to 2 U.S. IND submissions.</w:t>
      </w:r>
    </w:p>
    <w:p w14:paraId="66FD5D94" w14:textId="52ACC26C" w:rsidR="00662A35" w:rsidRDefault="00000000" w:rsidP="00A5015D">
      <w:pPr>
        <w:jc w:val="both"/>
      </w:pPr>
      <w:r>
        <w:t>•  D</w:t>
      </w:r>
      <w:r w:rsidR="0022545F">
        <w:t>eveloped</w:t>
      </w:r>
      <w:r>
        <w:t xml:space="preserve"> and </w:t>
      </w:r>
      <w:r w:rsidR="000B1B0F">
        <w:t>implemented</w:t>
      </w:r>
      <w:r>
        <w:t xml:space="preserve"> efficacy studies for small molecule candidates, generating dose-response, tolerability, and preliminary PK data for 5+ preclinical programs.</w:t>
      </w:r>
    </w:p>
    <w:p w14:paraId="20FBEB22" w14:textId="2E116C0B" w:rsidR="00662A35" w:rsidRDefault="00000000" w:rsidP="00A5015D">
      <w:pPr>
        <w:jc w:val="both"/>
      </w:pPr>
      <w:r>
        <w:t xml:space="preserve">•  Co-inventor on </w:t>
      </w:r>
      <w:r w:rsidR="006B56EB" w:rsidRPr="006B56EB">
        <w:t xml:space="preserve">U.S. Patent 9,498,507 B2 for </w:t>
      </w:r>
      <w:proofErr w:type="spellStart"/>
      <w:r w:rsidR="006B56EB" w:rsidRPr="006B56EB">
        <w:t>Viracure</w:t>
      </w:r>
      <w:proofErr w:type="spellEnd"/>
      <w:r w:rsidR="006B56EB" w:rsidRPr="006B56EB">
        <w:t xml:space="preserve"> (PP-9706642), an antiviral therapeutic that completed a Phase II clinical trial (CTRI/2011/05/001706)</w:t>
      </w:r>
      <w:r>
        <w:t>. The research resulted in peer-reviewed publications and international conference presentations (ICAAC 2010, 2012).</w:t>
      </w:r>
    </w:p>
    <w:p w14:paraId="7B782E32" w14:textId="1DBDB155" w:rsidR="00662A35" w:rsidRDefault="00000000" w:rsidP="00A5015D">
      <w:pPr>
        <w:jc w:val="both"/>
      </w:pPr>
      <w:r>
        <w:t>•  Collaborated with medicinal chemistry, DMPK</w:t>
      </w:r>
      <w:r w:rsidR="003473B4">
        <w:t xml:space="preserve"> &amp;</w:t>
      </w:r>
      <w:r>
        <w:t xml:space="preserve"> formulation teams to optimize lead compounds for IND-enabling</w:t>
      </w:r>
      <w:r w:rsidR="003473B4">
        <w:t>.</w:t>
      </w:r>
    </w:p>
    <w:p w14:paraId="793564C6" w14:textId="740EDB00" w:rsidR="000C3DE0" w:rsidRPr="00B40122" w:rsidRDefault="00000000" w:rsidP="00417EC4">
      <w:pPr>
        <w:jc w:val="both"/>
      </w:pPr>
      <w:r>
        <w:t xml:space="preserve">•  </w:t>
      </w:r>
      <w:r w:rsidR="00855933">
        <w:t>Collaborated with</w:t>
      </w:r>
      <w:r w:rsidR="00513F32">
        <w:t xml:space="preserve"> 3 cross functional teams to support</w:t>
      </w:r>
      <w:r>
        <w:t xml:space="preserve"> FDA regulatory communications</w:t>
      </w:r>
      <w:r w:rsidR="00513F32">
        <w:t xml:space="preserve">, </w:t>
      </w:r>
      <w:r>
        <w:t xml:space="preserve">contributed </w:t>
      </w:r>
      <w:r w:rsidR="00513F32">
        <w:t xml:space="preserve">crucial </w:t>
      </w:r>
      <w:r>
        <w:t>preclinical pharmacology</w:t>
      </w:r>
      <w:r w:rsidR="00513F32">
        <w:t>/ toxicology</w:t>
      </w:r>
      <w:r>
        <w:t xml:space="preserve"> data to U.S. IND submission packages.</w:t>
      </w:r>
    </w:p>
    <w:p w14:paraId="7224AABC" w14:textId="06A07559" w:rsidR="00662A35" w:rsidRDefault="005A3C0C">
      <w:pPr>
        <w:pBdr>
          <w:bottom w:val="single" w:sz="4" w:space="1" w:color="003366"/>
        </w:pBdr>
        <w:spacing w:before="120"/>
      </w:pPr>
      <w:r>
        <w:rPr>
          <w:b/>
          <w:color w:val="003366"/>
          <w:sz w:val="22"/>
        </w:rPr>
        <w:t>Education</w:t>
      </w:r>
    </w:p>
    <w:p w14:paraId="03B6D747" w14:textId="793CD072" w:rsidR="00662A35" w:rsidRDefault="00000000">
      <w:r>
        <w:rPr>
          <w:b/>
          <w:color w:val="000000"/>
        </w:rPr>
        <w:t>Ph.D., Toxicology (Cancer Biology) – University of Maryland, Baltimore (</w:t>
      </w:r>
      <w:r w:rsidR="000B557A">
        <w:rPr>
          <w:b/>
          <w:color w:val="000000"/>
        </w:rPr>
        <w:t xml:space="preserve">Aug 2013 -  Jan </w:t>
      </w:r>
      <w:r>
        <w:rPr>
          <w:b/>
          <w:color w:val="000000"/>
        </w:rPr>
        <w:t>2020)</w:t>
      </w:r>
    </w:p>
    <w:p w14:paraId="186D5E57" w14:textId="0DF0667B" w:rsidR="00662A35" w:rsidRDefault="00000000" w:rsidP="00A5015D">
      <w:pPr>
        <w:jc w:val="both"/>
      </w:pPr>
      <w:r>
        <w:rPr>
          <w:sz w:val="20"/>
        </w:rPr>
        <w:t>•  Validated GP88/progranulin as a therapeutic target in TNBC; characterized multi-pathway</w:t>
      </w:r>
      <w:r w:rsidR="00B8642D">
        <w:rPr>
          <w:sz w:val="20"/>
        </w:rPr>
        <w:t xml:space="preserve"> </w:t>
      </w:r>
      <w:r>
        <w:rPr>
          <w:sz w:val="20"/>
        </w:rPr>
        <w:t>mechanism of action for the anti-progranulin antibody AG01 using in vivo models (xenograft, metastasis), protein arrays, and molecular profiling.</w:t>
      </w:r>
    </w:p>
    <w:p w14:paraId="36C8F524" w14:textId="77777777" w:rsidR="00662A35" w:rsidRDefault="00000000" w:rsidP="00A5015D">
      <w:pPr>
        <w:jc w:val="both"/>
      </w:pPr>
      <w:r>
        <w:rPr>
          <w:sz w:val="20"/>
        </w:rPr>
        <w:t>•  Generated the preclinical data package that directly supported FDA IND clearance for AG01, now in Phase I for advanced solid tumors (NCT05627960).</w:t>
      </w:r>
    </w:p>
    <w:p w14:paraId="56712F22" w14:textId="77777777" w:rsidR="00662A35" w:rsidRDefault="00000000" w:rsidP="00A5015D">
      <w:pPr>
        <w:jc w:val="both"/>
      </w:pPr>
      <w:r>
        <w:rPr>
          <w:sz w:val="20"/>
        </w:rPr>
        <w:t>•  Demonstrated AG01 resensitized endocrine-resistant ER+ breast cancer cells to aromatase inhibitor therapy, expanding therapeutic potential beyond TNBC.</w:t>
      </w:r>
    </w:p>
    <w:p w14:paraId="4A8A672F" w14:textId="546DF1E3" w:rsidR="000C3DE0" w:rsidRPr="00B40122" w:rsidRDefault="00000000" w:rsidP="00A5015D">
      <w:pPr>
        <w:jc w:val="both"/>
        <w:rPr>
          <w:sz w:val="20"/>
        </w:rPr>
      </w:pPr>
      <w:r>
        <w:rPr>
          <w:sz w:val="20"/>
        </w:rPr>
        <w:t>•  First-author publication in Breast Cancer Research and Treatment (2021); presented findings at AACR, SABCS, and UMGCCC conferences.</w:t>
      </w:r>
    </w:p>
    <w:p w14:paraId="503DE5C5" w14:textId="3E6D51C0" w:rsidR="00662A35" w:rsidRDefault="005A3C0C">
      <w:pPr>
        <w:pBdr>
          <w:bottom w:val="single" w:sz="4" w:space="1" w:color="003366"/>
        </w:pBdr>
        <w:spacing w:before="120"/>
      </w:pPr>
      <w:r>
        <w:rPr>
          <w:b/>
          <w:color w:val="003366"/>
          <w:sz w:val="22"/>
        </w:rPr>
        <w:t>Selected Publications</w:t>
      </w:r>
    </w:p>
    <w:p w14:paraId="71A497E5" w14:textId="77777777" w:rsidR="00662A35" w:rsidRDefault="00000000">
      <w:r>
        <w:rPr>
          <w:color w:val="000000"/>
          <w:sz w:val="20"/>
        </w:rPr>
        <w:t>Guha R., et al. "Anti-progranulin (GP88) antibody inhibits TNBC proliferation and migration." Breast Cancer Research and Treatment (2021). — Preclinical rationale supporting IND clearance and Phase I initiation.</w:t>
      </w:r>
    </w:p>
    <w:p w14:paraId="3AA496DC" w14:textId="573C4C50" w:rsidR="00417EC4" w:rsidRPr="00417EC4" w:rsidRDefault="00000000">
      <w:pPr>
        <w:rPr>
          <w:color w:val="000000"/>
          <w:sz w:val="20"/>
        </w:rPr>
      </w:pPr>
      <w:r>
        <w:rPr>
          <w:color w:val="000000"/>
          <w:sz w:val="20"/>
        </w:rPr>
        <w:t>Guha R., et al. "Antiviral mechanism of Indigofera heterantha against HSV-2." Antiviral Therapy (2017). — Translational pharmacology contributing to U.S. Patent 9,498,507 B2.</w:t>
      </w:r>
    </w:p>
    <w:p w14:paraId="14E21D6D" w14:textId="136FA392" w:rsidR="00417EC4" w:rsidRPr="00417EC4" w:rsidRDefault="00417EC4" w:rsidP="00417EC4">
      <w:pPr>
        <w:rPr>
          <w:color w:val="000000"/>
          <w:sz w:val="20"/>
        </w:rPr>
      </w:pPr>
      <w:r w:rsidRPr="00417EC4">
        <w:rPr>
          <w:color w:val="000000"/>
          <w:sz w:val="20"/>
        </w:rPr>
        <w:t>Guha R., et al. MAP3K8 as a prognostic biomarker linked to therapy resistance in TNBC. Manuscript in preparation. → Identifies stress-response signaling nodes with therapeutic combination potential.</w:t>
      </w:r>
    </w:p>
    <w:p w14:paraId="2BBDF682" w14:textId="53AD9A62" w:rsidR="00417EC4" w:rsidRPr="00417EC4" w:rsidRDefault="00417EC4">
      <w:pPr>
        <w:rPr>
          <w:color w:val="000000"/>
          <w:sz w:val="20"/>
        </w:rPr>
      </w:pPr>
      <w:r w:rsidRPr="00417EC4">
        <w:rPr>
          <w:color w:val="000000"/>
          <w:sz w:val="20"/>
        </w:rPr>
        <w:t xml:space="preserve">Posa M., Guha R., Banerjee A., et al. VNPP433-3β suppresses medulloblastoma growth via apoptosis, cell-cycle arrest, and oxidative stress. Manuscript under </w:t>
      </w:r>
      <w:r w:rsidR="00D27486">
        <w:rPr>
          <w:color w:val="000000"/>
          <w:sz w:val="20"/>
        </w:rPr>
        <w:t xml:space="preserve">editorial </w:t>
      </w:r>
      <w:r w:rsidRPr="00417EC4">
        <w:rPr>
          <w:color w:val="000000"/>
          <w:sz w:val="20"/>
        </w:rPr>
        <w:t xml:space="preserve">review. → </w:t>
      </w:r>
      <w:r w:rsidRPr="00417EC4">
        <w:rPr>
          <w:color w:val="000000"/>
        </w:rPr>
        <w:t xml:space="preserve">Pediatric brain tumor therapeutic with biomarker-guided </w:t>
      </w:r>
      <w:r w:rsidR="00D27486">
        <w:rPr>
          <w:color w:val="000000"/>
        </w:rPr>
        <w:t>MoA</w:t>
      </w:r>
      <w:r w:rsidRPr="00417EC4">
        <w:rPr>
          <w:color w:val="000000"/>
        </w:rPr>
        <w:t>.</w:t>
      </w:r>
    </w:p>
    <w:p w14:paraId="2CE5B315" w14:textId="18E572B9" w:rsidR="000C3DE0" w:rsidRPr="00B40122" w:rsidRDefault="00000000">
      <w:pPr>
        <w:rPr>
          <w:color w:val="000000"/>
          <w:sz w:val="20"/>
        </w:rPr>
      </w:pPr>
      <w:r>
        <w:rPr>
          <w:color w:val="000000"/>
          <w:sz w:val="20"/>
        </w:rPr>
        <w:t>8 conference abstracts at AACR, SABCS, UMGCCC, ICAAC (2010–2024): TNBC resistance biology, biomarker discovery, translational pharmacology.</w:t>
      </w:r>
    </w:p>
    <w:p w14:paraId="436427EE" w14:textId="0291981C" w:rsidR="00662A35" w:rsidRDefault="005A3C0C">
      <w:pPr>
        <w:pBdr>
          <w:bottom w:val="single" w:sz="4" w:space="1" w:color="003366"/>
        </w:pBdr>
        <w:spacing w:before="120"/>
      </w:pPr>
      <w:r>
        <w:rPr>
          <w:b/>
          <w:color w:val="003366"/>
          <w:sz w:val="22"/>
        </w:rPr>
        <w:t>Patent</w:t>
      </w:r>
    </w:p>
    <w:p w14:paraId="68183303" w14:textId="17856426" w:rsidR="00E85D61" w:rsidRPr="00E85D61" w:rsidRDefault="00000000" w:rsidP="00E85D61">
      <w:pPr>
        <w:rPr>
          <w:color w:val="000000"/>
          <w:sz w:val="20"/>
        </w:rPr>
      </w:pPr>
      <w:r>
        <w:rPr>
          <w:color w:val="000000"/>
          <w:sz w:val="20"/>
        </w:rPr>
        <w:t>U.S. Patent 9,498,507 B2 — Co-inventor. Antiviral therapeutic composition and method; supported compound development through Phase II clinical trial.</w:t>
      </w:r>
    </w:p>
    <w:p w14:paraId="25A29720" w14:textId="77777777" w:rsidR="00E85D61" w:rsidRDefault="00E85D61" w:rsidP="00E85D61">
      <w:pPr>
        <w:pBdr>
          <w:bottom w:val="single" w:sz="4" w:space="1" w:color="003366"/>
        </w:pBdr>
        <w:spacing w:before="120"/>
      </w:pPr>
      <w:r>
        <w:rPr>
          <w:b/>
          <w:color w:val="003366"/>
          <w:sz w:val="22"/>
        </w:rPr>
        <w:t>Peer Review</w:t>
      </w:r>
    </w:p>
    <w:p w14:paraId="22959603" w14:textId="799CFFA5" w:rsidR="004B6F57" w:rsidRPr="004B6F57" w:rsidRDefault="00E85D61">
      <w:pPr>
        <w:rPr>
          <w:color w:val="000000"/>
          <w:sz w:val="20"/>
        </w:rPr>
      </w:pPr>
      <w:r w:rsidRPr="004B6F57">
        <w:rPr>
          <w:bCs/>
          <w:color w:val="003366"/>
          <w:sz w:val="22"/>
        </w:rPr>
        <w:t>In</w:t>
      </w:r>
      <w:r w:rsidRPr="004B6F57">
        <w:rPr>
          <w:color w:val="000000"/>
          <w:sz w:val="20"/>
        </w:rPr>
        <w:t xml:space="preserve">vited reviewer for </w:t>
      </w:r>
      <w:r>
        <w:rPr>
          <w:color w:val="000000"/>
          <w:sz w:val="20"/>
        </w:rPr>
        <w:t>NPJ’s</w:t>
      </w:r>
      <w:r w:rsidRPr="004B6F57">
        <w:rPr>
          <w:color w:val="000000"/>
          <w:sz w:val="20"/>
        </w:rPr>
        <w:t xml:space="preserve"> Women's Health (Nature Portfolio), BMC Cancer, Discovery Oncology, Experimental Hematology &amp; Oncology, and European Journal of Medical Research</w:t>
      </w:r>
      <w:r>
        <w:rPr>
          <w:color w:val="000000"/>
          <w:sz w:val="20"/>
        </w:rPr>
        <w:t>.</w:t>
      </w:r>
    </w:p>
    <w:sectPr w:rsidR="004B6F57" w:rsidRPr="004B6F57" w:rsidSect="007975A6">
      <w:pgSz w:w="12240" w:h="15840"/>
      <w:pgMar w:top="720" w:right="936" w:bottom="720" w:left="936"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12440" w14:textId="77777777" w:rsidR="00653DCA" w:rsidRDefault="00653DCA" w:rsidP="007975A6">
      <w:pPr>
        <w:spacing w:after="0"/>
      </w:pPr>
      <w:r>
        <w:separator/>
      </w:r>
    </w:p>
  </w:endnote>
  <w:endnote w:type="continuationSeparator" w:id="0">
    <w:p w14:paraId="0FF9FBAF" w14:textId="77777777" w:rsidR="00653DCA" w:rsidRDefault="00653DCA" w:rsidP="007975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E74E8" w14:textId="77777777" w:rsidR="00653DCA" w:rsidRDefault="00653DCA" w:rsidP="007975A6">
      <w:pPr>
        <w:spacing w:after="0"/>
      </w:pPr>
      <w:r>
        <w:separator/>
      </w:r>
    </w:p>
  </w:footnote>
  <w:footnote w:type="continuationSeparator" w:id="0">
    <w:p w14:paraId="4C2F017D" w14:textId="77777777" w:rsidR="00653DCA" w:rsidRDefault="00653DCA" w:rsidP="007975A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1E507F"/>
    <w:multiLevelType w:val="hybridMultilevel"/>
    <w:tmpl w:val="DEB2D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7020BF"/>
    <w:multiLevelType w:val="multilevel"/>
    <w:tmpl w:val="E062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563446">
    <w:abstractNumId w:val="8"/>
  </w:num>
  <w:num w:numId="2" w16cid:durableId="523249407">
    <w:abstractNumId w:val="6"/>
  </w:num>
  <w:num w:numId="3" w16cid:durableId="905606739">
    <w:abstractNumId w:val="5"/>
  </w:num>
  <w:num w:numId="4" w16cid:durableId="1693528699">
    <w:abstractNumId w:val="4"/>
  </w:num>
  <w:num w:numId="5" w16cid:durableId="19167131">
    <w:abstractNumId w:val="7"/>
  </w:num>
  <w:num w:numId="6" w16cid:durableId="1042947463">
    <w:abstractNumId w:val="3"/>
  </w:num>
  <w:num w:numId="7" w16cid:durableId="671420137">
    <w:abstractNumId w:val="2"/>
  </w:num>
  <w:num w:numId="8" w16cid:durableId="811946774">
    <w:abstractNumId w:val="1"/>
  </w:num>
  <w:num w:numId="9" w16cid:durableId="215967887">
    <w:abstractNumId w:val="0"/>
  </w:num>
  <w:num w:numId="10" w16cid:durableId="1064838830">
    <w:abstractNumId w:val="10"/>
  </w:num>
  <w:num w:numId="11" w16cid:durableId="4530604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BBD"/>
    <w:rsid w:val="00034616"/>
    <w:rsid w:val="00051099"/>
    <w:rsid w:val="0006063C"/>
    <w:rsid w:val="00062FAC"/>
    <w:rsid w:val="000B1B0F"/>
    <w:rsid w:val="000B557A"/>
    <w:rsid w:val="000C3DE0"/>
    <w:rsid w:val="0015074B"/>
    <w:rsid w:val="00165D9E"/>
    <w:rsid w:val="001A2A9F"/>
    <w:rsid w:val="001A56BD"/>
    <w:rsid w:val="001B1000"/>
    <w:rsid w:val="001D4204"/>
    <w:rsid w:val="001E37DF"/>
    <w:rsid w:val="0022545F"/>
    <w:rsid w:val="0027237A"/>
    <w:rsid w:val="0029639D"/>
    <w:rsid w:val="003153EC"/>
    <w:rsid w:val="00326F90"/>
    <w:rsid w:val="003473B4"/>
    <w:rsid w:val="003753A4"/>
    <w:rsid w:val="003C2F6C"/>
    <w:rsid w:val="00417EC4"/>
    <w:rsid w:val="00447BC1"/>
    <w:rsid w:val="004B6F57"/>
    <w:rsid w:val="004F1F0E"/>
    <w:rsid w:val="00513F32"/>
    <w:rsid w:val="00585BC6"/>
    <w:rsid w:val="005A3C0C"/>
    <w:rsid w:val="0064625F"/>
    <w:rsid w:val="00653D42"/>
    <w:rsid w:val="00653DCA"/>
    <w:rsid w:val="00662A35"/>
    <w:rsid w:val="006B56EB"/>
    <w:rsid w:val="00710AD2"/>
    <w:rsid w:val="00716C29"/>
    <w:rsid w:val="0078460E"/>
    <w:rsid w:val="007975A6"/>
    <w:rsid w:val="007E0E3D"/>
    <w:rsid w:val="007F634C"/>
    <w:rsid w:val="00855933"/>
    <w:rsid w:val="00860D7B"/>
    <w:rsid w:val="00870F6F"/>
    <w:rsid w:val="00893A61"/>
    <w:rsid w:val="00973634"/>
    <w:rsid w:val="009C0AA2"/>
    <w:rsid w:val="00A5015D"/>
    <w:rsid w:val="00AA1D8D"/>
    <w:rsid w:val="00AC5AA5"/>
    <w:rsid w:val="00B03999"/>
    <w:rsid w:val="00B33E23"/>
    <w:rsid w:val="00B40122"/>
    <w:rsid w:val="00B47730"/>
    <w:rsid w:val="00B74416"/>
    <w:rsid w:val="00B8642D"/>
    <w:rsid w:val="00BD5F98"/>
    <w:rsid w:val="00C20287"/>
    <w:rsid w:val="00CA6EB6"/>
    <w:rsid w:val="00CB0664"/>
    <w:rsid w:val="00CC353F"/>
    <w:rsid w:val="00CD6B3A"/>
    <w:rsid w:val="00D27486"/>
    <w:rsid w:val="00DC7CB8"/>
    <w:rsid w:val="00E31C3A"/>
    <w:rsid w:val="00E55722"/>
    <w:rsid w:val="00E64AD1"/>
    <w:rsid w:val="00E85D61"/>
    <w:rsid w:val="00F1737A"/>
    <w:rsid w:val="00F17EEC"/>
    <w:rsid w:val="00F362F9"/>
    <w:rsid w:val="00FC1AD1"/>
    <w:rsid w:val="00FC693F"/>
    <w:rsid w:val="00FD24E0"/>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04021C"/>
  <w14:defaultImageDpi w14:val="300"/>
  <w15:docId w15:val="{A0C0FDAF-7F3E-9A4C-981F-B473334FB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line="240"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8d5be5b1">
    <w:name w:val="_8d5be5b1"/>
    <w:basedOn w:val="Normal"/>
    <w:rsid w:val="00417EC4"/>
    <w:pPr>
      <w:spacing w:before="100" w:beforeAutospacing="1" w:after="100" w:afterAutospacing="1"/>
    </w:pPr>
    <w:rPr>
      <w:rFonts w:ascii="Times New Roman" w:eastAsia="Times New Roman" w:hAnsi="Times New Roman" w:cs="Times New Roman"/>
      <w:sz w:val="24"/>
      <w:szCs w:val="24"/>
      <w:lang w:bidi="hi-IN"/>
    </w:rPr>
  </w:style>
  <w:style w:type="paragraph" w:styleId="NormalWeb">
    <w:name w:val="Normal (Web)"/>
    <w:basedOn w:val="Normal"/>
    <w:uiPriority w:val="99"/>
    <w:semiHidden/>
    <w:unhideWhenUsed/>
    <w:rsid w:val="00E85D61"/>
    <w:pPr>
      <w:spacing w:before="100" w:beforeAutospacing="1" w:after="100" w:afterAutospacing="1"/>
    </w:pPr>
    <w:rPr>
      <w:rFonts w:ascii="Times New Roman" w:eastAsia="Times New Roman" w:hAnsi="Times New Roman" w:cs="Times New Roman"/>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1036</Words>
  <Characters>7218</Characters>
  <Application>Microsoft Office Word</Application>
  <DocSecurity>0</DocSecurity>
  <Lines>112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Rupa Guha</cp:lastModifiedBy>
  <cp:revision>3</cp:revision>
  <dcterms:created xsi:type="dcterms:W3CDTF">2026-04-23T18:56:00Z</dcterms:created>
  <dcterms:modified xsi:type="dcterms:W3CDTF">2026-04-23T19:01:00Z</dcterms:modified>
  <cp:category/>
</cp:coreProperties>
</file>