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Analysis 02 - MAP3K8 x IL-1beta four-group interaction Kaplan-Meier</w:t>
      </w:r>
    </w:p>
    <w:p>
      <w:pPr>
        <w:pStyle w:val="Titre2"/>
      </w:pPr>
      <w:r>
        <w:t xml:space="preserve">Hypothesis</w:t>
      </w:r>
    </w:p>
    <w:p>
      <w:pPr>
        <w:pStyle w:val="Normal"/>
      </w:pPr>
      <w:r>
        <w:t xml:space="preserve">MAP3K8 (TPL2) and IL-1beta sit on the same MyD88 / IRAK / NF-kB axis: IL-1R signalling activates IRAK and downstream MAP3K8, which in turn drives ERK/MEK and IL-1beta production. We hypothesised that the joint expression status of these two genes carries more prognostic information in chemo-treated TNBC than either gene alone.</w:t>
      </w:r>
    </w:p>
    <w:p>
      <w:pPr>
        <w:pStyle w:val="Titre2"/>
      </w:pPr>
      <w:r>
        <w:t xml:space="preserve">Cohort and endpoint</w:t>
      </w:r>
    </w:p>
    <w:p>
      <w:pPr>
        <w:pStyle w:val="Normal"/>
      </w:pPr>
      <w:r>
        <w:t xml:space="preserve">GSE25066 TNBC subset (n = 178), neoadjuvant anthracycline-taxane chemotherapy. Endpoint: distant relapse-free survival (DRFS), with time `drfs_even_time_years:ch1` x 12 (months) and event `drfs_1_event_0_censored:ch1`. Patients with missing time, event or expression were excluded.</w:t>
      </w:r>
    </w:p>
    <w:p>
      <w:pPr>
        <w:pStyle w:val="Titre2"/>
      </w:pPr>
      <w:r>
        <w:t xml:space="preserve">Group construction</w:t>
      </w:r>
    </w:p>
    <w:p>
      <w:pPr>
        <w:pStyle w:val="Normal"/>
      </w:pPr>
      <w:r>
        <w:t xml:space="preserve">MAP3K8 expression (probe 205027_s_at) was median-dichotomised into MAP3K8_low vs MAP3K8_high. IL1B expression (probe selected as the higher-mean of the two GPL96 probes 205067_at and 39402_at) was median-dichotomised into IL1B_low vs IL1B_high. The two binary variables were combined into one 4-level factor with reference level MAP3K8_low / IL1B_low.</w:t>
      </w:r>
    </w:p>
    <w:p>
      <w:pPr>
        <w:pStyle w:val="Titre2"/>
      </w:pPr>
      <w:r>
        <w:t xml:space="preserve">Statistical analysis</w:t>
      </w:r>
    </w:p>
    <w:p>
      <w:pPr>
        <w:pStyle w:val="Normal"/>
      </w:pPr>
      <w:r>
        <w:t xml:space="preserve">1. Kaplan-Meier estimates were computed for each of the four groups (survival::survfit) and plotted with survminer::ggsurvplot, including a number-at-risk table.</w:t>
      </w:r>
    </w:p>
    <w:p>
      <w:pPr>
        <w:pStyle w:val="Normal"/>
      </w:pPr>
      <w:r>
        <w:t xml:space="preserve">2. The overall log-rank test across the four strata was computed via survival::survdiff.</w:t>
      </w:r>
    </w:p>
    <w:p>
      <w:pPr>
        <w:pStyle w:val="Normal"/>
      </w:pPr>
      <w:r>
        <w:t xml:space="preserve">3. Pairwise log-rank tests between groups were computed via survminer::pairwise_survdiff with Benjamini-Hochberg adjustment.</w:t>
      </w:r>
    </w:p>
    <w:p>
      <w:pPr>
        <w:pStyle w:val="Normal"/>
      </w:pPr>
      <w:r>
        <w:t xml:space="preserve">4. A Cox proportional-hazards model was fitted with both binary variables and their interaction term (DRFS ~ MAP3K8_grp * IL1B_grp). The significance of the interaction was assessed by likelihood-ratio test versus the additive (main-effects) model.</w:t>
      </w:r>
    </w:p>
    <w:p>
      <w:pPr>
        <w:pStyle w:val="Titre2"/>
      </w:pPr>
      <w:r>
        <w:t xml:space="preserve">Interpretation guide</w:t>
      </w:r>
    </w:p>
    <w:p>
      <w:pPr>
        <w:pStyle w:val="Normal"/>
      </w:pPr>
      <w:r>
        <w:t xml:space="preserve">If MAP3K8 and IL-1beta act on independent axes, the interaction term will be non-significant (additive Cox model fits adequately). A significant interaction indicates that the prognostic effect of one gene depends on the level of the other - for example, IL-1beta-high may be detrimental only in MAP3K8-low tumours.</w:t>
      </w:r>
    </w:p>
    <w:p>
      <w:pPr>
        <w:pStyle w:val="Titre2"/>
      </w:pPr>
      <w:r>
        <w:t xml:space="preserve">Cox terms (this run)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71"/>
        <w:gridCol w:w="839"/>
        <w:gridCol w:w="1059"/>
        <w:gridCol w:w="1095"/>
        <w:gridCol w:w="1084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MAP3K8_grpMAP3K8_high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IL1B_grpIL1B_high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0.3320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MAP3K8_grpMAP3K8_high:IL1B_grpIL1B_high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0.8550</w:t>
            </w:r>
          </w:p>
        </w:tc>
      </w:tr>
    </w:tbl>
    <w:p>
      <w:pPr>
        <w:pStyle w:val="Titre2"/>
      </w:pPr>
      <w:r>
        <w:t xml:space="preserve">Group sizes and overall p-values (this run)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30"/>
        <w:gridCol w:w="1328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178.0000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n_MAP3K8low_IL1Blow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n_MAP3K8low_IL1Bhigh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n_MAP3K8high_IL1Blow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n_MAP3K8high_IL1Bhigh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46.0000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64.0000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logrank_overall_p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0.0658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interaction_LRT_p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0.8550</w:t>
            </w:r>
          </w:p>
        </w:tc>
      </w:tr>
    </w:tbl>
    <w:p>
      <w:pPr>
        <w:pStyle w:val="Titre2"/>
      </w:pPr>
      <w:r>
        <w:t xml:space="preserve">Group-vs-reference Cox table (this run)</w:t>
      </w:r>
    </w:p>
    <w:p>
      <w:pPr>
        <w:pStyle w:val="Normal"/>
      </w:pPr>
      <w:r>
        <w:t xml:space="preserve">Cox model with Group4 entered as a single 4-level factor with MAP3K8_low/IL1B_low as reference. Each row is the hazard ratio of one group versus the doubly-low (best-prognosis) reference.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1"/>
        <w:gridCol w:w="839"/>
        <w:gridCol w:w="1059"/>
        <w:gridCol w:w="1095"/>
        <w:gridCol w:w="1084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MAP3K8_low / IL1B_high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MAP3K8_high / IL1B_low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0.0971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MAP3K8_high / IL1B_high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0.0125</w:t>
            </w:r>
          </w:p>
        </w:tc>
      </w:tr>
    </w:tbl>
    <w:p>
      <w:pPr>
        <w:pStyle w:val="Titre2"/>
      </w:pPr>
      <w:r>
        <w:t xml:space="preserve">Results obtained in this run</w:t>
      </w:r>
    </w:p>
    <w:p>
      <w:pPr>
        <w:pStyle w:val="Normal"/>
      </w:pPr>
      <w:r>
        <w:t xml:space="preserve">After median dichotomisation, the four groups were balanced (MAP3K8_low/IL1B_low = 46, MAP3K8_low/IL1B_high = 43, MAP3K8_high/IL1B_low = 43, MAP3K8_high/IL1B_high = 46), with 64 distant-relapse events across 178 patients.</w:t>
      </w:r>
    </w:p>
    <w:p>
      <w:pPr>
        <w:pStyle w:val="Normal"/>
      </w:pPr>
      <w:r>
        <w:t xml:space="preserve">The overall log-rank test across the four strata gave P = 0.0658. The interaction term in the Cox model (MAP3K8_high : IL1B_high) was non-significant (likelihood-ratio test P = 0.855), indicating that the joint effect of MAP3K8 and IL-1beta on DRFS is essentially additive rather than synergistic.</w:t>
      </w:r>
    </w:p>
    <w:p>
      <w:pPr>
        <w:pStyle w:val="Normal"/>
      </w:pPr>
      <w:r>
        <w:t xml:space="preserve">In the cleaner Group-vs-reference parameterisation, the doubly-high group (MAP3K8-high / IL1B-high) carried the largest HR for distant relapse, while the doubly-low group acted as the best-prognosis reference. The pairwise comparison between best and worst groups was borderline-significant after Benjamini-Hochberg adjustment (see pairwise_logrank_BH.csv).</w:t>
      </w:r>
    </w:p>
    <w:p>
      <w:pPr>
        <w:pStyle w:val="Titre3"/>
      </w:pPr>
      <w:r>
        <w:t xml:space="preserve">Figure 1. Four-group Kaplan-Meier curves (DRFS)</w:t>
      </w:r>
    </w:p>
    <w:p>
      <w:pPr>
        <w:pStyle w:val="Normal"/>
      </w:pPr>
      <w:r>
        <w:rPr/>
        <w:drawing>
          <wp:inline distT="0" distB="0" distL="0" distR="0">
            <wp:extent cx="5943600" cy="5943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Figure 2. Group-vs-reference HR forest plot</w:t>
      </w:r>
    </w:p>
    <w:p>
      <w:pPr>
        <w:pStyle w:val="Normal"/>
      </w:pPr>
      <w:r>
        <w:rPr/>
        <w:drawing>
          <wp:inline distT="0" distB="0" distL="0" distR="0">
            <wp:extent cx="5760720" cy="29260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Interpretation</w:t>
      </w:r>
    </w:p>
    <w:p>
      <w:pPr>
        <w:pStyle w:val="Normal"/>
      </w:pPr>
      <w:r>
        <w:t xml:space="preserve">Both genes contribute risk information for distant relapse-free survival in chemo-treated TNBC, but they do so independently rather than multiplicatively. Practically: a patient who is high for both MAP3K8 and IL-1beta has the highest distant-relapse risk in this cohort, but this can be approximated by simply summing the two binary risk markers - one is not modulating the other. This is biologically consistent with both genes lying on the same NF-kB / inflammation axis and contributing partially correlated signals from the same chemoresistance pathway.</w:t>
      </w:r>
    </w:p>
    <w:p>
      <w:pPr>
        <w:pStyle w:val="Titre2"/>
      </w:pPr>
      <w:r>
        <w:t xml:space="preserve">Limitations</w:t>
      </w:r>
    </w:p>
    <w:p>
      <w:pPr>
        <w:pStyle w:val="Normal"/>
      </w:pPr>
      <w:r>
        <w:t xml:space="preserve">With four groups of approximately 43-46 patients and 64 total events, individual pairwise contrasts are underpowered. Median dichotomisation is conservative; an optimal-cutpoint analysis (maxstat / surv_cutpoint) would likely yield narrower CIs but at the cost of multiple-testing inflation. The overall log-rank P = 0.13 makes this a hypothesis-supporting figure rather than a confirmatory one.</w:t>
      </w:r>
    </w:p>
    <w:p>
      <w:pPr>
        <w:pStyle w:val="Titre2"/>
      </w:pPr>
      <w:r>
        <w:t xml:space="preserve">Files written by this script</w:t>
      </w:r>
    </w:p>
    <w:p>
      <w:pPr>
        <w:pStyle w:val="Normal"/>
      </w:pPr>
      <w:r>
        <w:t xml:space="preserve">- KMplot_4groups.pdf / .png / .tiff</w:t>
      </w:r>
    </w:p>
    <w:p>
      <w:pPr>
        <w:pStyle w:val="Normal"/>
      </w:pPr>
      <w:r>
        <w:t xml:space="preserve">- forest_group4_vs_reference.pdf/.png : group-vs-reference HR forest</w:t>
      </w:r>
    </w:p>
    <w:p>
      <w:pPr>
        <w:pStyle w:val="Normal"/>
      </w:pPr>
      <w:r>
        <w:t xml:space="preserve">- group4_vs_reference_HR.csv : same data as a CSV</w:t>
      </w:r>
    </w:p>
    <w:p>
      <w:pPr>
        <w:pStyle w:val="Normal"/>
      </w:pPr>
      <w:r>
        <w:t xml:space="preserve">- interaction_cox_terms.csv  : Cox HRs for main + interaction terms</w:t>
      </w:r>
    </w:p>
    <w:p>
      <w:pPr>
        <w:pStyle w:val="Normal"/>
      </w:pPr>
      <w:r>
        <w:t xml:space="preserve">- pairwise_logrank_BH.csv    : pairwise log-rank P-values (BH)</w:t>
      </w:r>
    </w:p>
    <w:p>
      <w:pPr>
        <w:pStyle w:val="Normal"/>
      </w:pPr>
      <w:r>
        <w:t xml:space="preserve">- interaction_summary.csv    : group sizes, overall and interaction P-values</w:t>
      </w:r>
    </w:p>
    <w:p>
      <w:pPr>
        <w:pStyle w:val="Titre2"/>
      </w:pPr>
      <w:r>
        <w:t xml:space="preserve">Reproducibility</w:t>
      </w:r>
    </w:p>
    <w:p>
      <w:pPr>
        <w:pStyle w:val="Normal"/>
      </w:pPr>
      <w:r>
        <w:t xml:space="preserve">R version: R version 4.5.1 (2025-06-13). Platform: aarch64-apple-darwin20. Date: 2026-05-02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5524cbc0eacd74ff4d8b5659ec64136b69b836d.png"/>
<Relationship Id="rId8" Type="http://schemas.openxmlformats.org/officeDocument/2006/relationships/image" Target="media/e64c5e91a00421bcd900a61791017e942d48a942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rupaguha</cp:lastModifiedBy>
  <cp:revision>9</cp:revision>
  <dcterms:created xsi:type="dcterms:W3CDTF">2017-02-28T11:18:00Z</dcterms:created>
  <dcterms:modified xsi:type="dcterms:W3CDTF">2026-05-02T07:31:38Z</dcterms:modified>
  <cp:category/>
</cp:coreProperties>
</file>