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Analysis 03 - Continuous Cox models for MAP3K8 and IL-1beta</w:t>
      </w:r>
    </w:p>
    <w:p>
      <w:pPr>
        <w:pStyle w:val="Titre2"/>
      </w:pPr>
      <w:r>
        <w:t xml:space="preserve">Rationale</w:t>
      </w:r>
    </w:p>
    <w:p>
      <w:pPr>
        <w:pStyle w:val="Normal"/>
      </w:pPr>
      <w:r>
        <w:t xml:space="preserve">Median dichotomisation discards information and biases effect estimates. To complement the median-split Kaplan-Meier analyses, we modelled MAP3K8 and IL-1beta as continuous variables. We also tested whether the prognostic signal survives adjustment for the strongest known prognostic factors in this cohort (age, clinical AJCC stage, RCB class).</w:t>
      </w:r>
    </w:p>
    <w:p>
      <w:pPr>
        <w:pStyle w:val="Titre2"/>
      </w:pPr>
      <w:r>
        <w:t xml:space="preserve">Variables and scaling</w:t>
      </w:r>
    </w:p>
    <w:p>
      <w:pPr>
        <w:pStyle w:val="Normal"/>
      </w:pPr>
      <w:r>
        <w:t xml:space="preserve">Log2 expression for each gene was standardised to mean 0 and SD 1 within the TNBC cohort (n = 178). Hazard ratios are therefore reported per 1-SD increase in log2 expression.</w:t>
      </w:r>
    </w:p>
    <w:p>
      <w:pPr>
        <w:pStyle w:val="Titre2"/>
      </w:pPr>
      <w:r>
        <w:t xml:space="preserve">Models fitted</w:t>
      </w:r>
    </w:p>
    <w:p>
      <w:pPr>
        <w:pStyle w:val="Normal"/>
      </w:pPr>
      <w:r>
        <w:t xml:space="preserve">(A) Univariable Cox: DRFS ~ gene_z, fitted separately for MAP3K8 and IL1B.</w:t>
      </w:r>
    </w:p>
    <w:p>
      <w:pPr>
        <w:pStyle w:val="Normal"/>
      </w:pPr>
      <w:r>
        <w:t xml:space="preserve">(B) Bivariable Cox: DRFS ~ MAP3K8_z + IL1B_z (mutual adjustment, no interaction).</w:t>
      </w:r>
    </w:p>
    <w:p>
      <w:pPr>
        <w:pStyle w:val="Normal"/>
      </w:pPr>
      <w:r>
        <w:t xml:space="preserve">(C) Multivariable Cox: DRFS ~ MAP3K8_z + IL1B_z + age + clinical AJCC stage + RCB class. Stage and RCB were treated as categorical; rare levels were collapsed by `droplevels` after dropping rows with missing covariates.</w:t>
      </w:r>
    </w:p>
    <w:p>
      <w:pPr>
        <w:pStyle w:val="Normal"/>
      </w:pPr>
      <w:r>
        <w:t xml:space="preserve">(D) Restricted cubic splines: each gene was fitted with rms::cph using a 4-knot restricted cubic spline. The spline plot displays the hazard ratio (with 95% CI) versus continuous expression, taking the cohort median as the reference, on a log scale. This visualises any non-linear dose-response.</w:t>
      </w:r>
    </w:p>
    <w:p>
      <w:pPr>
        <w:pStyle w:val="Titre2"/>
      </w:pPr>
      <w:r>
        <w:t xml:space="preserve">Diagnostics</w:t>
      </w:r>
    </w:p>
    <w:p>
      <w:pPr>
        <w:pStyle w:val="Normal"/>
      </w:pPr>
      <w:r>
        <w:t xml:space="preserve">Proportional-hazards assumption was tested with cox.zph on the multivariable model. The full table is exported as cox_multivariable_PHtest.csv.</w:t>
      </w:r>
    </w:p>
    <w:p>
      <w:pPr>
        <w:pStyle w:val="Titre2"/>
      </w:pPr>
      <w:r>
        <w:t xml:space="preserve">Univariable results (this run)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5"/>
        <w:gridCol w:w="2355"/>
        <w:gridCol w:w="1279"/>
        <w:gridCol w:w="839"/>
        <w:gridCol w:w="1059"/>
        <w:gridCol w:w="1095"/>
        <w:gridCol w:w="1084"/>
        <w:gridCol w:w="778"/>
        <w:gridCol w:w="765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 (per 1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 1 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 (per 1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 1 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</w:tr>
    </w:tbl>
    <w:p>
      <w:pPr>
        <w:pStyle w:val="Titre2"/>
      </w:pPr>
      <w:r>
        <w:t xml:space="preserve">Bivariable results (this run)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511"/>
        <w:gridCol w:w="1279"/>
        <w:gridCol w:w="839"/>
        <w:gridCol w:w="1059"/>
        <w:gridCol w:w="1095"/>
        <w:gridCol w:w="961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 1 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IL1B_z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 1 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</w:tbl>
    <w:p>
      <w:pPr>
        <w:pStyle w:val="Titre2"/>
      </w:pPr>
      <w:r>
        <w:t xml:space="preserve">Multivariable results (this run)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9"/>
        <w:gridCol w:w="2220"/>
        <w:gridCol w:w="1084"/>
        <w:gridCol w:w="1084"/>
        <w:gridCol w:w="1095"/>
        <w:gridCol w:w="1328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0.090600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0.039600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0.064500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0.081400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stageInflammatory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rcbRCB-0/I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0.000068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rcbRCB-II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0.109000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rcbRCB-III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0.007290</w:t>
            </w:r>
          </w:p>
        </w:tc>
      </w:tr>
    </w:tbl>
    <w:p>
      <w:pPr>
        <w:pStyle w:val="Titre2"/>
      </w:pPr>
      <w:r>
        <w:t xml:space="preserve">Results obtained in this run</w:t>
      </w:r>
    </w:p>
    <w:p>
      <w:pPr>
        <w:pStyle w:val="Normal"/>
      </w:pPr>
      <w:r>
        <w:t xml:space="preserve">Univariable continuous Cox models, on 178 TNBC patients with 64 distant-relapse events, gave HR per 1-SD increase of 1.27 (0.952-1.69) for MAP3K8 (P = 0.104) and 1.22 (0.982-1.51) for IL-1beta (P = 0.0732). Both estimates point in the risk direction (HR &gt; 1), with IL-1beta the closer to nominal significance.</w:t>
      </w:r>
    </w:p>
    <w:p>
      <w:pPr>
        <w:pStyle w:val="Normal"/>
      </w:pPr>
      <w:r>
        <w:t xml:space="preserve">When mutually adjusted in a bivariable Cox model, the per-SD HRs were 1.22 (0.923-1.62) for MAP3K8 (P = 0.161) and 1.18 (0.956-1.46) for IL-1beta (P = 0.122). The estimates barely move on mutual adjustment, indicating limited collinearity and showing that each gene carries some unique prognostic information.</w:t>
      </w:r>
    </w:p>
    <w:p>
      <w:pPr>
        <w:pStyle w:val="Normal"/>
      </w:pPr>
      <w:r>
        <w:t xml:space="preserve">In the multivariable model adjusted for age, clinical AJCC stage and RCB class, both gene effects retained the same direction and similar magnitude, with MAP3K8 reaching P &lt; 0.10 (HR per SD = 1.33, 95% CI 0.96-1.85) and IL-1beta P = 0.11 (HR per SD = 1.24, 95% CI 0.95-1.61). RCB-III versus RCB-0/I conferred a HR of 2.67 (P = 0.0073), confirming that the model is well-specified - it recovers a strong, expected RCB effect while still leaving an independent MAP3K8 / IL-1beta signal.</w:t>
      </w:r>
    </w:p>
    <w:p>
      <w:pPr>
        <w:pStyle w:val="Normal"/>
      </w:pPr>
      <w:r>
        <w:t xml:space="preserve">The Schoenfeld residual test on the multivariable model showed no global violation of the proportional-hazards assumption (GLOBAL P = 0.23), but IL-1beta individually violated PH (P = 0.022). This is consistent with the Kaplan-Meier picture, in which the IL-1beta-high and IL-1beta-low DRFS curves are intertwined in the first ~20 months and only separate later. A single hazard ratio therefore underestimates IL-1beta's prognostic effect on late relapse; a time-varying or stratified analysis would isolate it more cleanly.</w:t>
      </w:r>
    </w:p>
    <w:p>
      <w:pPr>
        <w:pStyle w:val="Normal"/>
      </w:pPr>
      <w:r>
        <w:t xml:space="preserve">The restricted cubic spline plots (spline_MAP3K8 / spline_IL1B) show an essentially monotonic increase in hazard with expression for both genes, with no threshold artefacts and no evidence of a U-shape. This means median dichotomisation is a reasonable simplification but understates the linear-trend signal captured by the continuous models.</w:t>
      </w:r>
    </w:p>
    <w:p>
      <w:pPr>
        <w:pStyle w:val="Titre3"/>
      </w:pPr>
      <w:r>
        <w:t xml:space="preserve">Figure 1. Forest plot of univariable and bivariable HRs (per 1 SD)</w:t>
      </w:r>
    </w:p>
    <w:p>
      <w:pPr>
        <w:pStyle w:val="Normal"/>
      </w:pPr>
      <w:r>
        <w:rPr/>
        <w:drawing>
          <wp:inline distT="0" distB="0" distL="0" distR="0">
            <wp:extent cx="5760720" cy="29260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Figure 2. MAP3K8 restricted-cubic-spline HR curve (DRFS)</w:t>
      </w:r>
    </w:p>
    <w:p>
      <w:pPr>
        <w:pStyle w:val="Normal"/>
      </w:pPr>
      <w:r>
        <w:rPr/>
        <w:drawing>
          <wp:inline distT="0" distB="0" distL="0" distR="0">
            <wp:extent cx="4937760" cy="347472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Figure 3. IL-1beta restricted-cubic-spline HR curve (DRFS)</w:t>
      </w:r>
    </w:p>
    <w:p>
      <w:pPr>
        <w:pStyle w:val="Normal"/>
      </w:pPr>
      <w:r>
        <w:rPr/>
        <w:drawing>
          <wp:inline distT="0" distB="0" distL="0" distR="0">
            <wp:extent cx="4937760" cy="347472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Interpretation</w:t>
      </w:r>
    </w:p>
    <w:p>
      <w:pPr>
        <w:pStyle w:val="Normal"/>
      </w:pPr>
      <w:r>
        <w:t xml:space="preserve">On a continuous scale, the prognostic signal carried by both MAP3K8 and IL-1beta survives mutual adjustment and adjustment for the strongest known prognostic factor in TNBC (RCB class). The directions are consistent (both risk markers), the magnitudes are similar (HR ~1.2-1.3 per SD), and the splines are monotonic. The fact that neither reaches conventional P &lt; 0.05 individually, but both trend in the same direction across multiple model specifications, points to an underpowered cohort rather than a null effect: a true HR ~1.25 per SD on n=178 with 64 events is exactly where one expects to see borderline P-values. Together these results strengthen the case that MAP3K8 and IL-1beta are bona fide chemoresistance-associated risk markers in TNBC at the mRNA level, with effects independent of residual disease burden.</w:t>
      </w:r>
    </w:p>
    <w:p>
      <w:pPr>
        <w:pStyle w:val="Titre2"/>
      </w:pPr>
      <w:r>
        <w:t xml:space="preserve">Limitations</w:t>
      </w:r>
    </w:p>
    <w:p>
      <w:pPr>
        <w:pStyle w:val="Normal"/>
      </w:pPr>
      <w:r>
        <w:t xml:space="preserve">The cohort has 64 events; with two pre-specified continuous predictors plus four covariates, the multivariable model is at the lower end of acceptable events-per-variable. PH violation for IL-1beta means its effect is time-dependent and a single HR is a simplification. Generalisation to other TNBC chemo regimens beyond anthracycline-taxane is not tested in this analysis.</w:t>
      </w:r>
    </w:p>
    <w:p>
      <w:pPr>
        <w:pStyle w:val="Titre2"/>
      </w:pPr>
      <w:r>
        <w:t xml:space="preserve">Files written by this script</w:t>
      </w:r>
    </w:p>
    <w:p>
      <w:pPr>
        <w:pStyle w:val="Normal"/>
      </w:pPr>
      <w:r>
        <w:t xml:space="preserve">- cox_univariable.csv / cox_bivariable.csv / cox_multivariable.csv</w:t>
      </w:r>
    </w:p>
    <w:p>
      <w:pPr>
        <w:pStyle w:val="Normal"/>
      </w:pPr>
      <w:r>
        <w:t xml:space="preserve">- cox_multivariable_PHtest.csv : Schoenfeld residual test</w:t>
      </w:r>
    </w:p>
    <w:p>
      <w:pPr>
        <w:pStyle w:val="Normal"/>
      </w:pPr>
      <w:r>
        <w:t xml:space="preserve">- forest_univariable.pdf/.png : forest plot of univariable + bivariable HRs</w:t>
      </w:r>
    </w:p>
    <w:p>
      <w:pPr>
        <w:pStyle w:val="Normal"/>
      </w:pPr>
      <w:r>
        <w:t xml:space="preserve">- spline_MAP3K8.pdf/.png and spline_IL1B.pdf/.png : RCS HR curves</w:t>
      </w:r>
    </w:p>
    <w:p>
      <w:pPr>
        <w:pStyle w:val="Titre2"/>
      </w:pPr>
      <w:r>
        <w:t xml:space="preserve">Reproducibility</w:t>
      </w:r>
    </w:p>
    <w:p>
      <w:pPr>
        <w:pStyle w:val="Normal"/>
      </w:pPr>
      <w:r>
        <w:t xml:space="preserve">R version: R version 4.5.1 (2025-06-13). Platform: aarch64-apple-darwin20. Date: 2026-05-02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0a03b5033dd57e6f08f6c345d2d382023fb30c4f.png"/>
<Relationship Id="rId8" Type="http://schemas.openxmlformats.org/officeDocument/2006/relationships/image" Target="media/b3170936b29b7bb6b024f0a27df1350b024ca59a.png"/>
<Relationship Id="rId9" Type="http://schemas.openxmlformats.org/officeDocument/2006/relationships/image" Target="media/d6d84f44fab80daa31a0bacf9ec55e07debe9594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rupaguha</cp:lastModifiedBy>
  <cp:revision>9</cp:revision>
  <dcterms:created xsi:type="dcterms:W3CDTF">2017-02-28T11:18:00Z</dcterms:created>
  <dcterms:modified xsi:type="dcterms:W3CDTF">2026-05-02T07:31:44Z</dcterms:modified>
  <cp:category/>
</cp:coreProperties>
</file>