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MAP3K8 and IL-1beta as chemoresistance biomarkers in TNBC</w:t>
      </w:r>
    </w:p>
    <w:p>
      <w:pPr>
        <w:pStyle w:val="Normal"/>
      </w:pPr>
      <w:r>
        <w:t xml:space="preserve">Project-level summary across four pre-specified analyses on the chemo-treated TNBC cohort GSE25066, with an external validation cohort GSE41998. This document integrates the methods and findings of the four per-analysis Word documents stored in the subfolders 01-04.</w:t>
      </w:r>
    </w:p>
    <w:p>
      <w:pPr>
        <w:pStyle w:val="Titre2"/>
      </w:pPr>
      <w:r>
        <w:t xml:space="preserve">Cohorts</w:t>
      </w:r>
    </w:p>
    <w:p>
      <w:pPr>
        <w:pStyle w:val="Normal"/>
      </w:pPr>
      <w:r>
        <w:t xml:space="preserve">Discovery cohort: GSE25066 (Hatzis &amp; Pusztai, JAMA 2011; Booser series). 508 women with primary breast cancer treated with neoadjuvant anthracycline-taxane chemotherapy, profiled on Affymetrix HG-U133A (GPL96). The TNBC subset (n = 178), defined as ER-IHC negative AND PR-IHC negative AND HER2 negative, was used for all primary analyses. Endpoints: distant relapse-free survival (DRFS, time `drfs_even_time_years:ch1` x 12 months, event `drfs_1_event_0_censored:ch1`); pathological complete response (pCR vs RD); Residual Cancer Burden class.</w:t>
      </w:r>
    </w:p>
    <w:p>
      <w:pPr>
        <w:pStyle w:val="Normal"/>
      </w:pPr>
      <w:r>
        <w:t xml:space="preserve">Validation cohort: GSE41998 (Horak et al.; SWOG / BMS-247550-013), 279 patients in a randomised neoadjuvant ixabepilone-vs-paclitaxel trial, GPL96. The TNBC subset (n = 140) and the pCR endpoint were used; DRFS is not publicly provided in GEO for this series.</w:t>
      </w:r>
    </w:p>
    <w:p>
      <w:pPr>
        <w:pStyle w:val="Normal"/>
      </w:pPr>
      <w:r>
        <w:t xml:space="preserve">Probes on GPL96: MAP3K8 = 205027_s_at (single probe). IL-1beta has two probes (205067_at and 39402_at); we selected the higher-mean probe within the TNBC subset of each cohort, which yielded 205067_at in GSE25066 and 39402_at in GSE41998.</w:t>
      </w:r>
    </w:p>
    <w:p>
      <w:pPr>
        <w:pStyle w:val="Titre2"/>
      </w:pPr>
      <w:r>
        <w:t xml:space="preserve">Important note on direction of effect</w:t>
      </w:r>
    </w:p>
    <w:p>
      <w:pPr>
        <w:pStyle w:val="Normal"/>
      </w:pPr>
      <w:r>
        <w:t xml:space="preserve">In the original MAP3K8 KM analysis (parent script and saved workspace), the reported HR = 0.56 (0.34 - 0.92, log-rank P = 0.02) was computed with the factor MAP3K8_group having levels c('high','low'); R's coxph treats the second level as the contrast level, so this HR is for MAP3K8-low versus MAP3K8-high. Inverting it gives HR(MAP3K8-high vs MAP3K8-low) = 1/0.56 ~ 1.80, i.e. MAP3K8-high tumours have higher risk of distant relapse, the same direction as IL-1beta. All analyses in this folder are presented and interpreted in that corrected direction (HR &gt; 1 means the high group is at higher risk).</w:t>
      </w:r>
    </w:p>
    <w:p>
      <w:pPr>
        <w:pStyle w:val="Titre2"/>
      </w:pPr>
      <w:r>
        <w:t xml:space="preserve">Analysis 01 - pCR / RCB</w:t>
      </w:r>
    </w:p>
    <w:p>
      <w:pPr>
        <w:pStyle w:val="Normal"/>
      </w:pPr>
      <w:r>
        <w:t xml:space="preserve">Question: do MAP3K8 or IL-1beta mRNA levels distinguish patients who achieve pCR from those with residual disease, and do they track RCB severity? Tests: Wilcoxon for pCR vs RD, Kruskal-Wallis across RCB classes, univariable logistic regression with continuous expression.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79"/>
        <w:gridCol w:w="1095"/>
        <w:gridCol w:w="973"/>
        <w:gridCol w:w="1988"/>
        <w:gridCol w:w="1866"/>
        <w:gridCol w:w="1548"/>
        <w:gridCol w:w="1976"/>
        <w:gridCol w:w="2306"/>
        <w:gridCol w:w="2001"/>
        <w:gridCol w:w="2037"/>
        <w:gridCol w:w="1267"/>
      </w:tblGrid>
      <w:tr>
        <w:trPr>
          <w:trHeight w:val="62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n_pCR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n_RD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median_in_pCR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median_in_RD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KruskalWallis_p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logreg_OR_perUnit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logreg_OR_LCL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logreg_OR_UCL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logreg_p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6.887752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6.859294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57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9.380346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9.559739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0.519</w:t>
            </w:r>
          </w:p>
        </w:tc>
      </w:tr>
    </w:tbl>
    <w:p>
      <w:pPr>
        <w:pStyle w:val="Titre3"/>
      </w:pPr>
      <w:r>
        <w:t xml:space="preserve">Figure A1.1 - pCR vs RD boxplots (analysis 01)</w:t>
      </w:r>
    </w:p>
    <w:p>
      <w:pPr>
        <w:pStyle w:val="Normal"/>
      </w:pPr>
      <w:r>
        <w:rPr/>
        <w:drawing>
          <wp:inline distT="0" distB="0" distL="0" distR="0">
            <wp:extent cx="5760720" cy="29260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Verdict: neither gene predicts pCR. The signal these genes carry is on relapse, not on initial chemoresponse.</w:t>
      </w:r>
    </w:p>
    <w:p>
      <w:pPr>
        <w:pStyle w:val="Titre2"/>
      </w:pPr>
      <w:r>
        <w:t xml:space="preserve">Analysis 02 - MAP3K8 x IL-1beta four-group KM</w:t>
      </w:r>
    </w:p>
    <w:p>
      <w:pPr>
        <w:pStyle w:val="Normal"/>
      </w:pPr>
      <w:r>
        <w:t xml:space="preserve">Question: do the two genes interact, or do they contribute independent prognostic information? Design: median dichotomisation of each gene; combined into a 4-level factor with MAP3K8_low / IL1B_low as reference.</w:t>
      </w:r>
    </w:p>
    <w:p>
      <w:pPr>
        <w:pStyle w:val="Normal"/>
      </w:pPr>
      <w:r>
        <w:t xml:space="preserve">Group sizes and overall test: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30"/>
        <w:gridCol w:w="1328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178.0000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n_MAP3K8low_IL1Blow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n_MAP3K8low_IL1Bhigh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43.0000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n_MAP3K8high_IL1Blow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43.0000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n_MAP3K8high_IL1Bhigh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46.0000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events_total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64.0000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logrank_overall_p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0.0658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interaction_LRT_p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0.8550</w:t>
            </w:r>
          </w:p>
        </w:tc>
      </w:tr>
    </w:tbl>
    <w:p>
      <w:pPr>
        <w:pStyle w:val="Normal"/>
      </w:pPr>
      <w:r>
        <w:t xml:space="preserve">Group versus reference HRs: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91"/>
        <w:gridCol w:w="839"/>
        <w:gridCol w:w="1059"/>
        <w:gridCol w:w="1095"/>
        <w:gridCol w:w="1084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MAP3K8_low / IL1B_high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MAP3K8_high / IL1B_low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0.0971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MAP3K8_high / IL1B_high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0.0125</w:t>
            </w:r>
          </w:p>
        </w:tc>
      </w:tr>
    </w:tbl>
    <w:p>
      <w:pPr>
        <w:pStyle w:val="Normal"/>
      </w:pPr>
      <w:r>
        <w:t xml:space="preserve">Cox interaction parameterisation: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71"/>
        <w:gridCol w:w="839"/>
        <w:gridCol w:w="1059"/>
        <w:gridCol w:w="1095"/>
        <w:gridCol w:w="1084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MAP3K8_grpMAP3K8_high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IL1B_grpIL1B_high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0.3320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MAP3K8_grpMAP3K8_high:IL1B_grpIL1B_high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0.8550</w:t>
            </w:r>
          </w:p>
        </w:tc>
      </w:tr>
    </w:tbl>
    <w:p>
      <w:pPr>
        <w:pStyle w:val="Titre3"/>
      </w:pPr>
      <w:r>
        <w:t xml:space="preserve">Figure A2.1 - Four-group Kaplan-Meier curves (DRFS)</w:t>
      </w:r>
    </w:p>
    <w:p>
      <w:pPr>
        <w:pStyle w:val="Normal"/>
      </w:pPr>
      <w:r>
        <w:rPr/>
        <w:drawing>
          <wp:inline distT="0" distB="0" distL="0" distR="0">
            <wp:extent cx="5760720" cy="576072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Figure A2.2 - Group-vs-reference HR forest</w:t>
      </w:r>
    </w:p>
    <w:p>
      <w:pPr>
        <w:pStyle w:val="Normal"/>
      </w:pPr>
      <w:r>
        <w:rPr/>
        <w:drawing>
          <wp:inline distT="0" distB="0" distL="0" distR="0">
            <wp:extent cx="5760720" cy="29260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Verdict: effects are essentially additive (interaction LRT P = 0.86). The doubly-high group has the highest distant-relapse risk; the doubly-low group is the best-prognosis reference. Pairwise log-rank between best and worst groups was borderline after BH adjustment.</w:t>
      </w:r>
    </w:p>
    <w:p>
      <w:pPr>
        <w:pStyle w:val="Titre2"/>
      </w:pPr>
      <w:r>
        <w:t xml:space="preserve">Analysis 03 - Continuous Cox</w:t>
      </w:r>
    </w:p>
    <w:p>
      <w:pPr>
        <w:pStyle w:val="Normal"/>
      </w:pPr>
      <w:r>
        <w:t xml:space="preserve">Question: does the prognostic signal survive the loss of dichotomisation, and does it survive adjustment for age, stage and RCB? Models: univariable, bivariable and multivariable Cox on standardised log2 expression (HR per 1 SD), plus restricted cubic splines.</w:t>
      </w:r>
    </w:p>
    <w:p>
      <w:pPr>
        <w:pStyle w:val="Normal"/>
      </w:pPr>
      <w:r>
        <w:t xml:space="preserve">Univariable: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5"/>
        <w:gridCol w:w="2355"/>
        <w:gridCol w:w="1279"/>
        <w:gridCol w:w="839"/>
        <w:gridCol w:w="1059"/>
        <w:gridCol w:w="1095"/>
        <w:gridCol w:w="1084"/>
        <w:gridCol w:w="778"/>
        <w:gridCol w:w="765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 (per 1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 1 SD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 (per 1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 1 SD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</w:tr>
    </w:tbl>
    <w:p>
      <w:pPr>
        <w:pStyle w:val="Normal"/>
      </w:pPr>
      <w:r>
        <w:t xml:space="preserve">Bivariable: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511"/>
        <w:gridCol w:w="1279"/>
        <w:gridCol w:w="839"/>
        <w:gridCol w:w="1059"/>
        <w:gridCol w:w="1095"/>
        <w:gridCol w:w="961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 1 SD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IL1B_z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 1 SD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</w:tbl>
    <w:p>
      <w:pPr>
        <w:pStyle w:val="Normal"/>
      </w:pPr>
      <w:r>
        <w:t xml:space="preserve">Multivariable (adjusted for age + stage + RCB):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9"/>
        <w:gridCol w:w="2220"/>
        <w:gridCol w:w="1084"/>
        <w:gridCol w:w="1084"/>
        <w:gridCol w:w="1095"/>
        <w:gridCol w:w="1328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UCL95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0.090600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0.113000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0.324000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0.064000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0.039600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stageIIIA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0.064500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stageIIIB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0.109000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stageIIIC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0.081400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stageInflammatory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0.679000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rcbRCB-0/I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0.000068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rcbRCB-II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0.109000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(adj age + stage + RCB)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rcbRCB-III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0.007290</w:t>
            </w:r>
          </w:p>
        </w:tc>
      </w:tr>
    </w:tbl>
    <w:p>
      <w:pPr>
        <w:pStyle w:val="Normal"/>
      </w:pPr>
      <w:r>
        <w:t xml:space="preserve">Schoenfeld residual test: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11"/>
        <w:gridCol w:w="2185"/>
        <w:gridCol w:w="655"/>
        <w:gridCol w:w="1573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MAP3K8_z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0.000005934407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0.99805630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5.240871663275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0.02206222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0.758974653557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0.38364959</w:t>
            </w:r>
          </w:p>
        </w:tc>
      </w:tr>
      <w:tr>
        <w:trPr>
          <w:trHeight w:val="60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3.983001823194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0.67897686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5.819976373330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0.12070492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15.270964704544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0.22695161</w:t>
            </w:r>
          </w:p>
        </w:tc>
      </w:tr>
    </w:tbl>
    <w:p>
      <w:pPr>
        <w:pStyle w:val="Titre3"/>
      </w:pPr>
      <w:r>
        <w:t xml:space="preserve">Figure A3.1 - Univariable + bivariable HR forest</w:t>
      </w:r>
    </w:p>
    <w:p>
      <w:pPr>
        <w:pStyle w:val="Normal"/>
      </w:pPr>
      <w:r>
        <w:rPr/>
        <w:drawing>
          <wp:inline distT="0" distB="0" distL="0" distR="0">
            <wp:extent cx="5760720" cy="29260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Figure A3.2 - MAP3K8 RCS hazard-ratio curve</w:t>
      </w:r>
    </w:p>
    <w:p>
      <w:pPr>
        <w:pStyle w:val="Normal"/>
      </w:pPr>
      <w:r>
        <w:rPr/>
        <w:drawing>
          <wp:inline distT="0" distB="0" distL="0" distR="0">
            <wp:extent cx="4937760" cy="347472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Figure A3.3 - IL-1beta RCS hazard-ratio curve</w:t>
      </w:r>
    </w:p>
    <w:p>
      <w:pPr>
        <w:pStyle w:val="Normal"/>
      </w:pPr>
      <w:r>
        <w:rPr/>
        <w:drawing>
          <wp:inline distT="0" distB="0" distL="0" distR="0">
            <wp:extent cx="4937760" cy="347472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Verdict: both genes consistently trend in the risk direction (HR ~1.2-1.3 per SD), in the same direction across univariable, bivariable and multivariable specifications, and remain so after adjustment for the strongest known prognostic factor in the cohort (RCB-III HR = 2.67, P = 0.0073). IL-1beta violates the proportional-hazards assumption (P = 0.022), consistent with a late-relapse effect that a single HR underestimates. Splines confirm a monotonic dose-response and rule out U-shaped or threshold patterns.</w:t>
      </w:r>
    </w:p>
    <w:p>
      <w:pPr>
        <w:pStyle w:val="Titre2"/>
      </w:pPr>
      <w:r>
        <w:t xml:space="preserve">Analysis 04 - GSE41998 validation</w:t>
      </w:r>
    </w:p>
    <w:p>
      <w:pPr>
        <w:pStyle w:val="Normal"/>
      </w:pPr>
      <w:r>
        <w:t xml:space="preserve">Question: does an independent neoadjuvant chemo-treated TNBC cohort reproduce the GSE25066 findings? Cohort: GSE41998 TNBC subset (n = 140, GPL96), pCR endpoint only (no DRFS in GEO).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79"/>
        <w:gridCol w:w="1095"/>
        <w:gridCol w:w="973"/>
        <w:gridCol w:w="1988"/>
        <w:gridCol w:w="1866"/>
        <w:gridCol w:w="1548"/>
        <w:gridCol w:w="1475"/>
        <w:gridCol w:w="1548"/>
        <w:gridCol w:w="1585"/>
        <w:gridCol w:w="1267"/>
      </w:tblGrid>
      <w:tr>
        <w:trPr>
          <w:trHeight w:val="62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n_pCR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n_RD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median_in_pCR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median_in_RD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logreg_OR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logreg_LCL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logreg_UCL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logreg_p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MAP3K8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0.506</w:t>
            </w:r>
          </w:p>
        </w:tc>
      </w:tr>
      <w:tr>
        <w:trPr>
          <w:trHeight w:val="56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IL1B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0.517</w:t>
            </w:r>
          </w:p>
        </w:tc>
      </w:tr>
    </w:tbl>
    <w:p>
      <w:pPr>
        <w:pStyle w:val="Titre3"/>
      </w:pPr>
      <w:r>
        <w:t xml:space="preserve">Figure A4.1 - GSE41998 TNBC pCR boxplots</w:t>
      </w:r>
    </w:p>
    <w:p>
      <w:pPr>
        <w:pStyle w:val="Normal"/>
      </w:pPr>
      <w:r>
        <w:rPr/>
        <w:drawing>
          <wp:inline distT="0" distB="0" distL="0" distR="0">
            <wp:extent cx="5760720" cy="292608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Verdict: the pCR null is independently confirmed - neither gene predicts chemoresponse in GSE41998. The DRFS-positive result of GSE25066 is not testable here because GEO does not expose survival times for GSE41998. Direction of the IL-1beta effect (higher in RD than in pCR) is consistent across cohorts.</w:t>
      </w:r>
    </w:p>
    <w:p>
      <w:pPr>
        <w:pStyle w:val="Titre2"/>
      </w:pPr>
      <w:r>
        <w:t xml:space="preserve">Bottom-line conclusions for the project</w:t>
      </w:r>
    </w:p>
    <w:p>
      <w:pPr>
        <w:pStyle w:val="Normal"/>
      </w:pPr>
      <w:r>
        <w:t xml:space="preserve">1. MAP3K8 and IL-1beta mRNA are both risk markers for distant relapse in chemo-treated TNBC. Direction of effect is the same for both genes (HR &gt; 1 with high expression), biologically coherent given their shared NF-kB / IRAK / inflammation axis.</w:t>
      </w:r>
    </w:p>
    <w:p>
      <w:pPr>
        <w:pStyle w:val="Normal"/>
      </w:pPr>
      <w:r>
        <w:t xml:space="preserve">2. The signal is on late relapse (DRFS), not on initial chemoresponse (pCR / RCB). The two endpoints capture different biology, and these genes capture chemoresistance via residual-disease outgrowth rather than via primary cytotoxic insensitivity.</w:t>
      </w:r>
    </w:p>
    <w:p>
      <w:pPr>
        <w:pStyle w:val="Normal"/>
      </w:pPr>
      <w:r>
        <w:t xml:space="preserve">3. The effects are independent rather than synergistic - the four-group interaction term is non-significant and HRs barely move on mutual adjustment in the bivariable Cox. A patient who is high for both is at greatest risk, but this is approximately the sum of the two univariable signals.</w:t>
      </w:r>
    </w:p>
    <w:p>
      <w:pPr>
        <w:pStyle w:val="Normal"/>
      </w:pPr>
      <w:r>
        <w:t xml:space="preserve">4. Both effects survive adjustment for age, stage and RCB - the strongest known prognostic factor in the cohort. RCB-III itself confers HR = 2.67; MAP3K8 and IL-1beta carry information beyond this.</w:t>
      </w:r>
    </w:p>
    <w:p>
      <w:pPr>
        <w:pStyle w:val="Normal"/>
      </w:pPr>
      <w:r>
        <w:t xml:space="preserve">5. IL-1beta acts on late relapse: PH violation and visual late-curve separation both indicate a time-dependent effect that a single HR understates. A time-varying or stratified Cox is the natural next refinement.</w:t>
      </w:r>
    </w:p>
    <w:p>
      <w:pPr>
        <w:pStyle w:val="Normal"/>
      </w:pPr>
      <w:r>
        <w:t xml:space="preserve">6. Validation in GSE41998 is partial: the pCR null is reproduced; the DRFS finding is untestable because GEO does not expose survival for that series. Stronger external validation requires DRFS-equipped TNBC cohorts (METABRIC TNBC chemo subset; FUSCC TNBC under controlled access).</w:t>
      </w:r>
    </w:p>
    <w:p>
      <w:pPr>
        <w:pStyle w:val="Titre2"/>
      </w:pPr>
      <w:r>
        <w:t xml:space="preserve">Recommended next analyses</w:t>
      </w:r>
    </w:p>
    <w:p>
      <w:pPr>
        <w:pStyle w:val="Normal"/>
      </w:pPr>
      <w:r>
        <w:t xml:space="preserve">(a) Time-stratified or time-varying Cox for IL-1beta to formally quantify the late-relapse hazard. (b) Optimal cutpoint analysis (maxstat / surv_cutpoint) on GSE25066 for both genes, to check whether a non-median threshold sharpens the binary KM. (c) METABRIC TNBC chemo-treated subset for an independent OS / RFS validation. (d) Pathway-level signature (IL1B, IL6, IL8, NLRP3, CASP1, MAP3K8) z-score versus DRFS - cytokine signatures usually outperform single genes. (e) For protein-level support, cite published IHC TMA studies for IL-1beta and MAP3K8 rather than attempting to reanalyse mass-spec data in which IL-1beta is not detected and chemo-treated TNBC cohorts are not available.</w:t>
      </w:r>
    </w:p>
    <w:p>
      <w:pPr>
        <w:pStyle w:val="Titre2"/>
      </w:pPr>
      <w:r>
        <w:t xml:space="preserve">Files in this Analyses folder</w:t>
      </w:r>
    </w:p>
    <w:p>
      <w:pPr>
        <w:pStyle w:val="Normal"/>
      </w:pPr>
      <w:r>
        <w:t xml:space="preserve">01_pCR_RCB_Analysis/        - pCR / RCB chemoresponse analysis</w:t>
      </w:r>
    </w:p>
    <w:p>
      <w:pPr>
        <w:pStyle w:val="Normal"/>
      </w:pPr>
      <w:r>
        <w:t xml:space="preserve">02_FourGroup_Interaction_KM/- MAP3K8 x IL1B four-group KM with interaction</w:t>
      </w:r>
    </w:p>
    <w:p>
      <w:pPr>
        <w:pStyle w:val="Normal"/>
      </w:pPr>
      <w:r>
        <w:t xml:space="preserve">03_Continuous_Cox/          - continuous and multivariable Cox + splines</w:t>
      </w:r>
    </w:p>
    <w:p>
      <w:pPr>
        <w:pStyle w:val="Normal"/>
      </w:pPr>
      <w:r>
        <w:t xml:space="preserve">04_GSE41998_Validation/     - independent neoadjuvant TNBC validation</w:t>
      </w:r>
    </w:p>
    <w:p>
      <w:pPr>
        <w:pStyle w:val="Normal"/>
      </w:pPr>
      <w:r>
        <w:t xml:space="preserve">Each subfolder contains its own R script, data outputs (CSV), figures (PDF/PNG/TIFF) and a Methods .docx.</w:t>
      </w:r>
    </w:p>
    <w:p>
      <w:pPr>
        <w:pStyle w:val="Titre2"/>
      </w:pPr>
      <w:r>
        <w:t xml:space="preserve">Reproducibility</w:t>
      </w:r>
    </w:p>
    <w:p>
      <w:pPr>
        <w:pStyle w:val="Normal"/>
      </w:pPr>
      <w:r>
        <w:t xml:space="preserve">R version: R version 4.5.1 (2025-06-13). Platform: aarch64-apple-darwin20. Date: 2026-04-26. Source workspace: GSE25066_TNBC_MAP3K8_workspace.RData.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6b73d72d3cfd6fd40cdc0adbcaca08fa4751ba96.png"/>
<Relationship Id="rId8" Type="http://schemas.openxmlformats.org/officeDocument/2006/relationships/image" Target="media/45524cbc0eacd74ff4d8b5659ec64136b69b836d.png"/>
<Relationship Id="rId9" Type="http://schemas.openxmlformats.org/officeDocument/2006/relationships/image" Target="media/e64c5e91a00421bcd900a61791017e942d48a942.png"/>
<Relationship Id="rId10" Type="http://schemas.openxmlformats.org/officeDocument/2006/relationships/image" Target="media/0a03b5033dd57e6f08f6c345d2d382023fb30c4f.png"/>
<Relationship Id="rId11" Type="http://schemas.openxmlformats.org/officeDocument/2006/relationships/image" Target="media/b3170936b29b7bb6b024f0a27df1350b024ca59a.png"/>
<Relationship Id="rId12" Type="http://schemas.openxmlformats.org/officeDocument/2006/relationships/image" Target="media/d6d84f44fab80daa31a0bacf9ec55e07debe9594.png"/>
<Relationship Id="rId13" Type="http://schemas.openxmlformats.org/officeDocument/2006/relationships/image" Target="media/e98ca580807c0db3511383729b7226f96013f2b8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rupaguha</cp:lastModifiedBy>
  <cp:revision>9</cp:revision>
  <dcterms:created xsi:type="dcterms:W3CDTF">2017-02-28T11:18:00Z</dcterms:created>
  <dcterms:modified xsi:type="dcterms:W3CDTF">2026-04-26T17:20:43Z</dcterms:modified>
  <cp:category/>
</cp:coreProperties>
</file>