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2E75B6"/>
          <w:spacing w:val="40"/>
          <w:sz w:val="26"/>
          <w:szCs w:val="26"/>
        </w:rPr>
        <w:t xml:space="preserve">PACIFIC CREST BANK</w:t>
      </w:r>
    </w:p>
    <w:p>
      <w:pPr>
        <w:spacing w:after="600"/>
        <w:jc w:val="center"/>
      </w:pPr>
      <w:r>
        <w:rPr>
          <w:color w:val="595959"/>
          <w:spacing w:val="30"/>
          <w:sz w:val="18"/>
          <w:szCs w:val="18"/>
        </w:rPr>
        <w:t xml:space="preserve">HONG KONG  ·  GROUP RISK &amp; ANALYTICS</w:t>
      </w:r>
    </w:p>
    <w:p>
      <w:pPr>
        <w:pBdr>
          <w:top w:val="single" w:color="1F3864" w:sz="12" w:space="1"/>
        </w:pBdr>
        <w:spacing w:after="0" w:before="400"/>
        <w:jc w:val="center"/>
      </w:pPr>
      <w:r>
        <w:rPr>
          <w:sz w:val="2"/>
          <w:szCs w:val="2"/>
        </w:rPr>
        <w:t xml:space="preserve"/>
      </w:r>
    </w:p>
    <w:p>
      <w:pPr>
        <w:spacing w:after="120" w:before="360"/>
        <w:jc w:val="center"/>
      </w:pPr>
      <w:r>
        <w:rPr>
          <w:b/>
          <w:bCs/>
          <w:color w:val="1F3864"/>
          <w:sz w:val="56"/>
          <w:szCs w:val="56"/>
        </w:rPr>
        <w:t xml:space="preserve">Credit Risk Assessment</w:t>
      </w:r>
    </w:p>
    <w:p>
      <w:pPr>
        <w:spacing w:after="360"/>
        <w:jc w:val="center"/>
      </w:pPr>
      <w:r>
        <w:rPr>
          <w:color w:val="2E75B6"/>
          <w:sz w:val="32"/>
          <w:szCs w:val="32"/>
        </w:rPr>
        <w:t xml:space="preserve">Retail &amp; SME Lending Portfolio</w:t>
      </w:r>
    </w:p>
    <w:p>
      <w:pPr>
        <w:pBdr>
          <w:bottom w:val="single" w:color="1F3864" w:sz="12" w:space="1"/>
        </w:pBdr>
        <w:spacing w:after="0" w:before="120"/>
        <w:jc w:val="center"/>
      </w:pPr>
      <w:r>
        <w:rPr>
          <w:sz w:val="2"/>
          <w:szCs w:val="2"/>
        </w:rPr>
        <w:t xml:space="preserve"/>
      </w:r>
    </w:p>
    <w:p>
      <w:pPr>
        <w:spacing w:before="1200"/>
        <w:jc w:val="center"/>
      </w:pPr>
      <w:r>
        <w:rPr>
          <w:color w:val="595959"/>
          <w:sz w:val="22"/>
          <w:szCs w:val="22"/>
        </w:rPr>
        <w:t xml:space="preserve">Prepared by Group Risk &amp; Analytics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June 2026  ·  Confidential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presents an end-to-end credit risk assessment of a 12,000-facility sample of Pacific Crest Bank's Hong Kong retail and SME lending book. The portfolio carries a 12-month default rate of 13.6%, concentrated in small-business facilities and unsecured revolving credit.</w:t>
      </w:r>
    </w:p>
    <w:p>
      <w:pPr>
        <w:spacing w:after="120"/>
      </w:pPr>
      <w:r>
        <w:t xml:space="preserve">We built and benchmarked three predictive models and a regulatory-style credit scorecard. The governed WOE scorecard achieves a Gini of 0.65 (AUC 0.826, KS 0.51) — matching the black-box challengers while remaining fully transparent and auditable, the right trade-off for a regulated origination decision under HKMA model-risk expectations.</w:t>
      </w:r>
    </w:p>
    <w:p>
      <w:pPr>
        <w:spacing w:after="120"/>
      </w:pPr>
      <w:r>
        <w:t xml:space="preserve">The scorecard produces well-calibrated probabilities of default and rank-orders cleanly into five risk grades, with realised default rates ranging from 1.6% (Grade A) to 46.6% (Grade E). We recommend a hard 50% DSR cap, adoption of the five-grade scorecard for origination, risk-based pricing, and portfolio steering toward the secured book.</w:t>
      </w:r>
    </w:p>
    <w:p>
      <w:pPr>
        <w:spacing w:after="80" w:before="120"/>
      </w:pPr>
      <w:r>
        <w:rPr>
          <w:b/>
          <w:bCs/>
          <w:color w:val="1F3864"/>
          <w:sz w:val="22"/>
          <w:szCs w:val="22"/>
        </w:rPr>
        <w:t xml:space="preserve">Headline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Portfolio default rate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Scorecard AUC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Scorecard Gini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Scorecard KS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13.6%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0.826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</w:t>
            </w:r>
          </w:p>
        </w:tc>
      </w:tr>
    </w:tbl>
    <w:p>
      <w:pPr>
        <w:pStyle w:val="Heading1"/>
      </w:pPr>
      <w:r>
        <w:t xml:space="preserve">1. Portfolio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Facilities analysed</w:t>
            </w:r>
          </w:p>
        </w:tc>
        <w:tc>
          <w:tcPr>
            <w:tcW w:type="dxa" w:w="6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12,000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12-month default rate (90+ DPD)</w:t>
            </w:r>
          </w:p>
        </w:tc>
        <w:tc>
          <w:tcPr>
            <w:tcW w:type="dxa" w:w="6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13.6%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Products</w:t>
            </w:r>
          </w:p>
        </w:tc>
        <w:tc>
          <w:tcPr>
            <w:tcW w:type="dxa" w:w="6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Loan, Credit Card, Mortgage, SME Facility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6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HKD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definition</w:t>
            </w:r>
          </w:p>
        </w:tc>
        <w:tc>
          <w:tcPr>
            <w:tcW w:type="dxa" w:w="6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90+ days past due within 12 months</w:t>
            </w:r>
          </w:p>
        </w:tc>
      </w:tr>
    </w:tbl>
    <w:p>
      <w:pPr>
        <w:pStyle w:val="Heading2"/>
      </w:pPr>
      <w:r>
        <w:t xml:space="preserve">Default rate by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rate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SME Facility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26.5%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Credit Card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14.7%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Loan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11.6%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Mortgage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8.5%</w:t>
            </w:r>
          </w:p>
        </w:tc>
      </w:tr>
    </w:tbl>
    <w:p>
      <w:pPr>
        <w:spacing w:after="120"/>
      </w:pPr>
      <w:r>
        <w:t xml:space="preserve">Small-business facilities and unsecured revolving credit run materially hotter than the secured mortgage book, consistent with their risk profile and the HKMA's LTV discipline on residential lending.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01_target_and_product.png" descr="01_target_and_product.png" title="01_target_and_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Target distribution and default rate by product.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02_segment_default_rates.png" descr="02_segment_default_rates.png" title="02_segment_default_r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Default rate by employment sector, residential status and district.</w:t>
      </w:r>
    </w:p>
    <w:p>
      <w:pPr>
        <w:pStyle w:val="Heading1"/>
      </w:pPr>
      <w:r>
        <w:t xml:space="preserve">2. Key Risk Drivers</w:t>
      </w:r>
    </w:p>
    <w:p>
      <w:pPr>
        <w:spacing w:after="120"/>
      </w:pPr>
      <w:r>
        <w:t xml:space="preserve">Drivers were identified consistently across three independent lenses — Information Value (univariate), machine-learning feature importance, and scorecard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2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Information Value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TU credit score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1.24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Very strong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Recent delinquencies (24m)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Very strong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prior delinquency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DSR headroom vs 50% guide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Debt Servicing Ratio (DSR)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type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>Bureau behaviour and affordability dominate. The TU score and recent delinquency history are the strongest signals, followed closely by the DSR family of affordability measures — direct empirical support for the HKMA's emphasis on debt-servicing capacity.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03_risk_drivers.png" descr="03_risk_drivers.png" title="03_risk_driv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DSR and TU score by outcome; default rate by delinquency count.</w:t>
      </w:r>
    </w:p>
    <w:p>
      <w:pPr>
        <w:spacing w:after="60" w:before="120"/>
        <w:jc w:val="center"/>
      </w:pPr>
      <w:r>
        <w:drawing>
          <wp:inline distT="0" distB="0" distL="0" distR="0">
            <wp:extent cx="4857750" cy="3209925"/>
            <wp:effectExtent t="0" r="0" b="0" l="0"/>
            <wp:docPr id="1" name="05_information_value.png" descr="05_information_value.png" title="05_information_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4. Information Value ranking of candidate features.</w:t>
      </w:r>
    </w:p>
    <w:p>
      <w:pPr>
        <w:pStyle w:val="Heading1"/>
      </w:pPr>
      <w:r>
        <w:t xml:space="preserve">3. Model Performance</w:t>
      </w:r>
    </w:p>
    <w:p>
      <w:pPr>
        <w:spacing w:after="120"/>
      </w:pPr>
      <w:r>
        <w:t xml:space="preserve">Performance on a stratified 25% hold-out sample. All preprocessing is fit on the training split only to prevent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Gini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Avg. Precision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0.842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0.684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0.516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0.532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Random Forest (challenger)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0.670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0.502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0.512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Gradient Boosting (challenger)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0.826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0.652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0.486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0.499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WOE Scorecard (deployed)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0.826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0.651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0.510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>The non-linear challengers offer no meaningful uplift over the transparent logistic / scorecard approach. For a regulated lending decision the scorecard is the clear choice: interpretable, monotonic, governable, and statistically on par with the best challenger.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581400"/>
            <wp:effectExtent t="0" r="0" b="0" l="0"/>
            <wp:docPr id="1" name="06_roc_curves.png" descr="06_roc_curves.png" title="06_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5. ROC curves on the test set.</w:t>
      </w:r>
    </w:p>
    <w:p>
      <w:pPr>
        <w:pStyle w:val="Heading1"/>
      </w:pPr>
      <w:r>
        <w:t xml:space="preserve">4. Risk Grades, Calibration &amp; Expected Loss</w:t>
      </w:r>
    </w:p>
    <w:p>
      <w:pPr>
        <w:spacing w:after="120"/>
      </w:pPr>
      <w:r>
        <w:t xml:space="preserve">The scorecard PD bands into five grades. Realised default rates track model PDs closely — evidence of good calibration — and expected-loss rates rank-order monotonically (EL = PD × LGD × EAD, LGD = 45%):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60"/>
        <w:gridCol w:w="1500"/>
        <w:gridCol w:w="1140"/>
        <w:gridCol w:w="1320"/>
        <w:gridCol w:w="164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Facilities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Actual Default</w:t>
            </w:r>
          </w:p>
        </w:tc>
        <w:tc>
          <w:tcPr>
            <w:tcW w:type="dxa" w:w="1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PD</w:t>
            </w:r>
          </w:p>
        </w:tc>
        <w:tc>
          <w:tcPr>
            <w:tcW w:type="dxa" w:w="1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EAD (HK$)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Loss (HK$)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Rate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(Prime)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1.6%</w:t>
            </w:r>
          </w:p>
        </w:tc>
        <w:tc>
          <w:tcPr>
            <w:tcW w:type="dxa" w:w="1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2.1%</w:t>
            </w:r>
          </w:p>
        </w:tc>
        <w:tc>
          <w:tcPr>
            <w:tcW w:type="dxa" w:w="1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391.2M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3.4M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0.87%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(Low)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1,117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5.7%</w:t>
            </w:r>
          </w:p>
        </w:tc>
        <w:tc>
          <w:tcPr>
            <w:tcW w:type="dxa" w:w="1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5.0%</w:t>
            </w:r>
          </w:p>
        </w:tc>
        <w:tc>
          <w:tcPr>
            <w:tcW w:type="dxa" w:w="1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723.9M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16.2M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2.24%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 (Medium)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477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10.1%</w:t>
            </w:r>
          </w:p>
        </w:tc>
        <w:tc>
          <w:tcPr>
            <w:tcW w:type="dxa" w:w="1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10.8%</w:t>
            </w:r>
          </w:p>
        </w:tc>
        <w:tc>
          <w:tcPr>
            <w:tcW w:type="dxa" w:w="1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318.6M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16.0M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5.03%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 (High)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22.8%</w:t>
            </w:r>
          </w:p>
        </w:tc>
        <w:tc>
          <w:tcPr>
            <w:tcW w:type="dxa" w:w="1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21.4%</w:t>
            </w:r>
          </w:p>
        </w:tc>
        <w:tc>
          <w:tcPr>
            <w:tcW w:type="dxa" w:w="1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299.6M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29.2M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9.75%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 (Decline)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438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46.6%</w:t>
            </w:r>
          </w:p>
        </w:tc>
        <w:tc>
          <w:tcPr>
            <w:tcW w:type="dxa" w:w="11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49.5%</w:t>
            </w:r>
          </w:p>
        </w:tc>
        <w:tc>
          <w:tcPr>
            <w:tcW w:type="dxa" w:w="1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379.7M</w:t>
            </w:r>
          </w:p>
        </w:tc>
        <w:tc>
          <w:tcPr>
            <w:tcW w:type="dxa" w:w="1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82.7M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21.77%</w:t>
            </w:r>
          </w:p>
        </w:tc>
      </w:tr>
    </w:tbl>
    <w:p>
      <w:pPr>
        <w:spacing w:after="120"/>
      </w:pPr>
      <w:r>
        <w:t xml:space="preserve">Grade E holds roughly 15% of facilities but a disproportionate share of expected loss (HK$82.7M, about 54% of total modelled EL). The EL-rate spread (0.87% to 21.77%) is the basis for both risk-based pricing and IFRS 9 provisioning.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09_risk_grades.png" descr="09_risk_grades.png" title="09_risk_gra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6. Actual default rate and total expected loss by risk grade.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524125"/>
            <wp:effectExtent t="0" r="0" b="0" l="0"/>
            <wp:docPr id="1" name="08_score_distribution.png" descr="08_score_distribution.png" title="08_scor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7. Scorecard distribution — performing vs default.</w:t>
      </w:r>
    </w:p>
    <w:p>
      <w:pPr>
        <w:pStyle w:val="Heading1"/>
      </w:pPr>
      <w:r>
        <w:t xml:space="preserve">5. Illustrative Origination Policy</w:t>
      </w:r>
    </w:p>
    <w:p>
      <w:pPr>
        <w:spacing w:after="120"/>
      </w:pPr>
      <w:r>
        <w:t xml:space="preserve">A policy that auto-declines Grade E yields, on the hold-out sample: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rate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85.4%</w:t>
            </w:r>
          </w:p>
        </w:tc>
      </w:tr>
      <w:tr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Bad-capture (defaults avoided)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3F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50.0%</w:t>
            </w:r>
          </w:p>
        </w:tc>
      </w:tr>
    </w:tbl>
    <w:p>
      <w:pPr>
        <w:spacing w:after="120"/>
      </w:pPr>
      <w:r>
        <w:t xml:space="preserve">Declining the worst ~15% of applications removes roughly half of all future defaults. Grade D (next ~12%) should route to manual underwriting rather than auto-approval, capturing further loss with human oversight.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2962275"/>
            <wp:effectExtent t="0" r="0" b="0" l="0"/>
            <wp:docPr id="1" name="10_decision_matrix.png" descr="10_decision_matrix.png" title="10_deci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8. Decision matrix at a Grade-E decline cut-off.</w:t>
      </w:r>
    </w:p>
    <w:p>
      <w:pPr>
        <w:pStyle w:val="Heading1"/>
      </w:pPr>
      <w:r>
        <w:t xml:space="preserve">6. Recommendations</w:t>
      </w:r>
    </w:p>
    <w:p>
      <w:pPr>
        <w:pStyle w:val="Heading2"/>
      </w:pPr>
      <w:r>
        <w:t xml:space="preserve">Lending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50% DSR cap with a stressed-rate overlay; second-line sign-off for 50–65% exceptions; auto-decline above 65%.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 the five-grade scorecard (A–E) for origination — auto-decline Grade E, manual underwrite Grade D, auto-approve A–C within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Risk-based pricing aligned to grade-level EL rates so margin covers provisioning, especially on the SME and card books.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steering — sub-limits on high-EL unsecured / SME segments; grow the secured mortgage book where EL rates are lowest.</w:t>
      </w:r>
    </w:p>
    <w:p>
      <w:pPr>
        <w:pStyle w:val="Heading2"/>
      </w:pPr>
      <w:r>
        <w:t xml:space="preserve">Provisioning &amp; capital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grade-level expected loss as the input to IFRS 9 ECL staging and management overlays.</w:t>
      </w:r>
    </w:p>
    <w:p>
      <w:pPr>
        <w:pStyle w:val="Heading2"/>
      </w:pPr>
      <w:r>
        <w:t xml:space="preserve">Model governance (HKMA-aligned)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stability with PSI on out-of-time samples; recalibrate at least annually.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macroeconomic overlays (unemployment, HIBOR, residential price index) for forward-looking ECL.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fair-lending / disparate-impact testing before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monitoring: monthly score distribution, override rates, early-arrears tracking.</w:t>
      </w:r>
    </w:p>
    <w:p>
      <w:pPr>
        <w:pStyle w:val="Heading1"/>
      </w:pPr>
      <w:r>
        <w:t xml:space="preserve">7. Methodology &amp; Reproducibility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Data: </w:t>
      </w:r>
      <w:r>
        <w:t xml:space="preserve">synthetic HKD retail credit portfolio generated with an economically grounded data-generating process (leverage, bureau history, affordability, product mix). No real customer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Pipeline: </w:t>
      </w:r>
      <w:r>
        <w:t xml:space="preserve">loading → QA &amp; cleaning → EDA → feature engineering → WOE/IV screening → ML benchmarking → WOE scorecard → calibration, risk grading &amp; expected loss.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Leakage control: </w:t>
      </w:r>
      <w:r>
        <w:t xml:space="preserve">all imputation, scaling and WOE binning are learned on the training split only and applied to the hold-out.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Full analysis: </w:t>
      </w:r>
      <w:r>
        <w:t xml:space="preserve">HK_Credit_Risk_Analysis.ipynb (executed, with inline charts). All figures and tables are saved under outputs/.</w:t>
      </w:r>
    </w:p>
    <w:p>
      <w:pPr>
        <w:pBdr>
          <w:top w:val="single" w:color="BFBFBF" w:sz="4" w:space="4"/>
        </w:pBdr>
        <w:spacing w:before="360"/>
      </w:pPr>
      <w:r>
        <w:rPr>
          <w:i/>
          <w:iCs/>
          <w:color w:val="595959"/>
          <w:sz w:val="16"/>
          <w:szCs w:val="16"/>
        </w:rPr>
        <w:t xml:space="preserve">Prepared by Group Risk &amp; Analytics, Pacific Crest Bank (Hong Kong). Synthetic data for demonstration of credit-risk methodology only; not a real customer portfolio and not investment or lending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2"/>
      </w:pBdr>
      <w:jc w:val="center"/>
    </w:pPr>
    <w:r>
      <w:rPr>
        <w:color w:val="595959"/>
        <w:sz w:val="16"/>
        <w:szCs w:val="16"/>
      </w:rPr>
      <w:t xml:space="preserve">Confidential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595959"/>
        <w:sz w:val="16"/>
        <w:szCs w:val="16"/>
      </w:rPr>
      <w:t xml:space="preserve">Pacific Crest Bank (HK) — Credit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7bcdceb68b5208273167e9189b85200ace553b.png"/><Relationship Id="rId10" Type="http://schemas.openxmlformats.org/officeDocument/2006/relationships/image" Target="media/7d87311e184d37c441e5670aa8f63195b18476b2.png"/><Relationship Id="rId11" Type="http://schemas.openxmlformats.org/officeDocument/2006/relationships/image" Target="media/49a95d7acd2a9c7f8665086c4ea372d55bc5e6b8.png"/><Relationship Id="rId12" Type="http://schemas.openxmlformats.org/officeDocument/2006/relationships/image" Target="media/d884e6799b6621f3c73f77173a8d09dc9cb1e2b6.png"/><Relationship Id="rId13" Type="http://schemas.openxmlformats.org/officeDocument/2006/relationships/image" Target="media/a1728f8a86b07d0dfa8d27239abdaf25e72af171.png"/><Relationship Id="rId14" Type="http://schemas.openxmlformats.org/officeDocument/2006/relationships/image" Target="media/de894837d7315f39a1e302c78858adc2aca14566.png"/><Relationship Id="rId15" Type="http://schemas.openxmlformats.org/officeDocument/2006/relationships/image" Target="media/10cb4e4a93399758124633ea09faf53909f302ce.png"/><Relationship Id="rId16" Type="http://schemas.openxmlformats.org/officeDocument/2006/relationships/image" Target="media/034b60a973899fb2b6a9ae220f309c2440cd92b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Assessment — Pacific Crest Bank (HK)</dc:title>
  <dc:creator>Group Risk &amp; Analytics</dc:creator>
  <cp:lastModifiedBy>Un-named</cp:lastModifiedBy>
  <cp:revision>1</cp:revision>
  <dcterms:created xsi:type="dcterms:W3CDTF">2026-06-20T01:15:26.351Z</dcterms:created>
  <dcterms:modified xsi:type="dcterms:W3CDTF">2026-06-20T01:15:26.358Z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