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A2F0" w14:textId="77777777" w:rsidR="001C23D3" w:rsidRPr="001C23D3" w:rsidRDefault="001C23D3" w:rsidP="001C23D3">
      <w:pPr>
        <w:rPr>
          <w:b/>
          <w:bCs/>
        </w:rPr>
      </w:pPr>
      <w:r w:rsidRPr="001C23D3">
        <w:rPr>
          <w:b/>
          <w:bCs/>
        </w:rPr>
        <w:t>Case Studies: Successful Trade Finance Strategies</w:t>
      </w:r>
    </w:p>
    <w:p w14:paraId="33859DE0" w14:textId="77777777" w:rsidR="001C23D3" w:rsidRPr="001C23D3" w:rsidRDefault="001C23D3" w:rsidP="001C23D3">
      <w:pPr>
        <w:rPr>
          <w:b/>
          <w:bCs/>
        </w:rPr>
      </w:pPr>
      <w:r w:rsidRPr="001C23D3">
        <w:rPr>
          <w:b/>
          <w:bCs/>
        </w:rPr>
        <w:t>Introduction</w:t>
      </w:r>
    </w:p>
    <w:p w14:paraId="28065E7D" w14:textId="77777777" w:rsidR="001C23D3" w:rsidRPr="001C23D3" w:rsidRDefault="001C23D3" w:rsidP="001C23D3">
      <w:r w:rsidRPr="001C23D3">
        <w:t xml:space="preserve">In today’s global economy, effective trade finance strategies are crucial for businesses looking to expand their international reach and improve cash flow. This article explores several case studies that illustrate successful trade finance strategies employed by companies across various industries. By </w:t>
      </w:r>
      <w:proofErr w:type="spellStart"/>
      <w:r w:rsidRPr="001C23D3">
        <w:t>analyzing</w:t>
      </w:r>
      <w:proofErr w:type="spellEnd"/>
      <w:r w:rsidRPr="001C23D3">
        <w:t xml:space="preserve"> these examples, businesses can glean valuable insights into best practices and innovative solutions for optimizing their trade finance operations.</w:t>
      </w:r>
    </w:p>
    <w:p w14:paraId="17639929" w14:textId="77777777" w:rsidR="001C23D3" w:rsidRPr="001C23D3" w:rsidRDefault="001C23D3" w:rsidP="001C23D3">
      <w:pPr>
        <w:rPr>
          <w:b/>
          <w:bCs/>
        </w:rPr>
      </w:pPr>
      <w:r w:rsidRPr="001C23D3">
        <w:rPr>
          <w:b/>
          <w:bCs/>
        </w:rPr>
        <w:t>The Importance of Trade Finance</w:t>
      </w:r>
    </w:p>
    <w:p w14:paraId="62F772C3" w14:textId="77777777" w:rsidR="001C23D3" w:rsidRPr="001C23D3" w:rsidRDefault="001C23D3" w:rsidP="001C23D3">
      <w:r w:rsidRPr="001C23D3">
        <w:t>Trade finance refers to the financial products and services that facilitate international trade transactions. It helps businesses manage risks associated with cross-border trade, such as payment delays, currency fluctuations, and geopolitical instability. Implementing effective trade finance strategies can enhance liquidity, improve supplier relationships, and foster growth in new markets.</w:t>
      </w:r>
    </w:p>
    <w:p w14:paraId="49FA9DDF" w14:textId="77777777" w:rsidR="001C23D3" w:rsidRPr="001C23D3" w:rsidRDefault="001C23D3" w:rsidP="001C23D3">
      <w:pPr>
        <w:rPr>
          <w:b/>
          <w:bCs/>
        </w:rPr>
      </w:pPr>
      <w:r w:rsidRPr="001C23D3">
        <w:rPr>
          <w:b/>
          <w:bCs/>
        </w:rPr>
        <w:t>Case Study 1: Maersk Line – Leveraging Digital Solutions</w:t>
      </w:r>
    </w:p>
    <w:p w14:paraId="2E875798" w14:textId="77777777" w:rsidR="001C23D3" w:rsidRPr="001C23D3" w:rsidRDefault="001C23D3" w:rsidP="001C23D3">
      <w:pPr>
        <w:rPr>
          <w:b/>
          <w:bCs/>
        </w:rPr>
      </w:pPr>
      <w:r w:rsidRPr="001C23D3">
        <w:rPr>
          <w:b/>
          <w:bCs/>
        </w:rPr>
        <w:t>Background</w:t>
      </w:r>
    </w:p>
    <w:p w14:paraId="1938250F" w14:textId="77777777" w:rsidR="001C23D3" w:rsidRPr="001C23D3" w:rsidRDefault="001C23D3" w:rsidP="001C23D3">
      <w:r w:rsidRPr="001C23D3">
        <w:t>Maersk Line, one of the world’s largest shipping companies, faced challenges in managing complex trade finance processes while dealing with various international regulations and payment structures. To streamline operations and enhance efficiency, Maersk decided to implement digital solutions.</w:t>
      </w:r>
    </w:p>
    <w:p w14:paraId="19F264D4" w14:textId="77777777" w:rsidR="001C23D3" w:rsidRPr="001C23D3" w:rsidRDefault="001C23D3" w:rsidP="001C23D3">
      <w:pPr>
        <w:rPr>
          <w:b/>
          <w:bCs/>
        </w:rPr>
      </w:pPr>
      <w:r w:rsidRPr="001C23D3">
        <w:rPr>
          <w:b/>
          <w:bCs/>
        </w:rPr>
        <w:t>Strategy</w:t>
      </w:r>
    </w:p>
    <w:p w14:paraId="0312CB39" w14:textId="77777777" w:rsidR="001C23D3" w:rsidRPr="001C23D3" w:rsidRDefault="001C23D3" w:rsidP="001C23D3">
      <w:r w:rsidRPr="001C23D3">
        <w:t xml:space="preserve">Maersk adopted blockchain technology to create a more transparent and secure environment for trade finance transactions. They partnered with IBM to develop </w:t>
      </w:r>
      <w:proofErr w:type="spellStart"/>
      <w:r w:rsidRPr="001C23D3">
        <w:t>TradeLens</w:t>
      </w:r>
      <w:proofErr w:type="spellEnd"/>
      <w:r w:rsidRPr="001C23D3">
        <w:t>, a blockchain-based platform that enables real-time tracking of shipments, documentation, and payments.</w:t>
      </w:r>
    </w:p>
    <w:p w14:paraId="030AF1A6" w14:textId="77777777" w:rsidR="001C23D3" w:rsidRPr="001C23D3" w:rsidRDefault="001C23D3" w:rsidP="001C23D3">
      <w:pPr>
        <w:rPr>
          <w:b/>
          <w:bCs/>
        </w:rPr>
      </w:pPr>
      <w:r w:rsidRPr="001C23D3">
        <w:rPr>
          <w:b/>
          <w:bCs/>
        </w:rPr>
        <w:t>Outcomes</w:t>
      </w:r>
    </w:p>
    <w:p w14:paraId="55E519AA" w14:textId="77777777" w:rsidR="001C23D3" w:rsidRPr="001C23D3" w:rsidRDefault="001C23D3" w:rsidP="001C23D3">
      <w:pPr>
        <w:numPr>
          <w:ilvl w:val="0"/>
          <w:numId w:val="1"/>
        </w:numPr>
      </w:pPr>
      <w:r w:rsidRPr="001C23D3">
        <w:rPr>
          <w:b/>
          <w:bCs/>
        </w:rPr>
        <w:t>Increased Efficiency</w:t>
      </w:r>
      <w:r w:rsidRPr="001C23D3">
        <w:t>: By digitizing documentation and automating payment processes, Maersk reduced processing times significantly, allowing for faster transactions and improved cash flow.</w:t>
      </w:r>
    </w:p>
    <w:p w14:paraId="51166D9D" w14:textId="77777777" w:rsidR="001C23D3" w:rsidRPr="001C23D3" w:rsidRDefault="001C23D3" w:rsidP="001C23D3">
      <w:pPr>
        <w:numPr>
          <w:ilvl w:val="0"/>
          <w:numId w:val="1"/>
        </w:numPr>
      </w:pPr>
      <w:r w:rsidRPr="001C23D3">
        <w:rPr>
          <w:b/>
          <w:bCs/>
        </w:rPr>
        <w:t>Enhanced Transparency</w:t>
      </w:r>
      <w:r w:rsidRPr="001C23D3">
        <w:t>: The blockchain platform provided all parties with access to real-time data, reducing disputes and enhancing trust among stakeholders.</w:t>
      </w:r>
    </w:p>
    <w:p w14:paraId="6477F095" w14:textId="77777777" w:rsidR="001C23D3" w:rsidRPr="001C23D3" w:rsidRDefault="001C23D3" w:rsidP="001C23D3">
      <w:pPr>
        <w:numPr>
          <w:ilvl w:val="0"/>
          <w:numId w:val="1"/>
        </w:numPr>
      </w:pPr>
      <w:r w:rsidRPr="001C23D3">
        <w:rPr>
          <w:b/>
          <w:bCs/>
        </w:rPr>
        <w:t>Cost Savings</w:t>
      </w:r>
      <w:r w:rsidRPr="001C23D3">
        <w:t>: Maersk achieved considerable cost reductions in administrative expenses related to documentation and payment processing.</w:t>
      </w:r>
    </w:p>
    <w:p w14:paraId="68556815" w14:textId="77777777" w:rsidR="001C23D3" w:rsidRPr="001C23D3" w:rsidRDefault="001C23D3" w:rsidP="001C23D3">
      <w:r w:rsidRPr="001C23D3">
        <w:lastRenderedPageBreak/>
        <w:t>This case demonstrates the power of digital solutions in transforming trade finance operations, paving the way for increased efficiency and transparency.</w:t>
      </w:r>
    </w:p>
    <w:p w14:paraId="2F86D34F" w14:textId="77777777" w:rsidR="001C23D3" w:rsidRPr="001C23D3" w:rsidRDefault="001C23D3" w:rsidP="001C23D3">
      <w:pPr>
        <w:rPr>
          <w:b/>
          <w:bCs/>
        </w:rPr>
      </w:pPr>
      <w:r w:rsidRPr="001C23D3">
        <w:rPr>
          <w:b/>
          <w:bCs/>
        </w:rPr>
        <w:t>Case Study 2: Unilever – Financing Supply Chains</w:t>
      </w:r>
    </w:p>
    <w:p w14:paraId="626543D5" w14:textId="77777777" w:rsidR="001C23D3" w:rsidRPr="001C23D3" w:rsidRDefault="001C23D3" w:rsidP="001C23D3">
      <w:pPr>
        <w:rPr>
          <w:b/>
          <w:bCs/>
        </w:rPr>
      </w:pPr>
      <w:r w:rsidRPr="001C23D3">
        <w:rPr>
          <w:b/>
          <w:bCs/>
        </w:rPr>
        <w:t>Background</w:t>
      </w:r>
    </w:p>
    <w:p w14:paraId="61E81CD1" w14:textId="77777777" w:rsidR="001C23D3" w:rsidRPr="001C23D3" w:rsidRDefault="001C23D3" w:rsidP="001C23D3">
      <w:r w:rsidRPr="001C23D3">
        <w:t>Unilever, a multinational consumer goods company, recognized the need for innovative trade finance solutions to support its extensive supply chain operations. The company sought to improve cash flow while ensuring timely payments to suppliers.</w:t>
      </w:r>
    </w:p>
    <w:p w14:paraId="20A660FC" w14:textId="77777777" w:rsidR="001C23D3" w:rsidRPr="001C23D3" w:rsidRDefault="001C23D3" w:rsidP="001C23D3">
      <w:pPr>
        <w:rPr>
          <w:b/>
          <w:bCs/>
        </w:rPr>
      </w:pPr>
      <w:r w:rsidRPr="001C23D3">
        <w:rPr>
          <w:b/>
          <w:bCs/>
        </w:rPr>
        <w:t>Strategy</w:t>
      </w:r>
    </w:p>
    <w:p w14:paraId="29E35BF8" w14:textId="77777777" w:rsidR="001C23D3" w:rsidRPr="001C23D3" w:rsidRDefault="001C23D3" w:rsidP="001C23D3">
      <w:r w:rsidRPr="001C23D3">
        <w:t>Unilever implemented a supply chain finance program that allowed its suppliers to access early payment options. This program was facilitated through a partnership with a financial institution that provided financing based on Unilever’s creditworthiness.</w:t>
      </w:r>
    </w:p>
    <w:p w14:paraId="124C0A52" w14:textId="77777777" w:rsidR="001C23D3" w:rsidRPr="001C23D3" w:rsidRDefault="001C23D3" w:rsidP="001C23D3">
      <w:pPr>
        <w:rPr>
          <w:b/>
          <w:bCs/>
        </w:rPr>
      </w:pPr>
      <w:r w:rsidRPr="001C23D3">
        <w:rPr>
          <w:b/>
          <w:bCs/>
        </w:rPr>
        <w:t>Outcomes</w:t>
      </w:r>
    </w:p>
    <w:p w14:paraId="0A349B5F" w14:textId="77777777" w:rsidR="001C23D3" w:rsidRPr="001C23D3" w:rsidRDefault="001C23D3" w:rsidP="001C23D3">
      <w:pPr>
        <w:numPr>
          <w:ilvl w:val="0"/>
          <w:numId w:val="2"/>
        </w:numPr>
      </w:pPr>
      <w:r w:rsidRPr="001C23D3">
        <w:rPr>
          <w:b/>
          <w:bCs/>
        </w:rPr>
        <w:t>Strengthened Supplier Relationships</w:t>
      </w:r>
      <w:r w:rsidRPr="001C23D3">
        <w:t>: By offering early payment options, Unilever improved its relationships with suppliers, fostering loyalty and collaboration.</w:t>
      </w:r>
    </w:p>
    <w:p w14:paraId="1F394C1A" w14:textId="77777777" w:rsidR="001C23D3" w:rsidRPr="001C23D3" w:rsidRDefault="001C23D3" w:rsidP="001C23D3">
      <w:pPr>
        <w:numPr>
          <w:ilvl w:val="0"/>
          <w:numId w:val="2"/>
        </w:numPr>
      </w:pPr>
      <w:r w:rsidRPr="001C23D3">
        <w:rPr>
          <w:b/>
          <w:bCs/>
        </w:rPr>
        <w:t>Improved Cash Flow</w:t>
      </w:r>
      <w:r w:rsidRPr="001C23D3">
        <w:t>: The program enabled Unilever to optimize working capital while providing suppliers with access to funds when they needed it most.</w:t>
      </w:r>
    </w:p>
    <w:p w14:paraId="74294AF2" w14:textId="77777777" w:rsidR="001C23D3" w:rsidRPr="001C23D3" w:rsidRDefault="001C23D3" w:rsidP="001C23D3">
      <w:pPr>
        <w:numPr>
          <w:ilvl w:val="0"/>
          <w:numId w:val="2"/>
        </w:numPr>
      </w:pPr>
      <w:r w:rsidRPr="001C23D3">
        <w:rPr>
          <w:b/>
          <w:bCs/>
        </w:rPr>
        <w:t>Sustainability Initiatives</w:t>
      </w:r>
      <w:r w:rsidRPr="001C23D3">
        <w:t>: Unilever’s commitment to sustainability was enhanced, as the early payment program allowed suppliers to invest in more sustainable practices.</w:t>
      </w:r>
    </w:p>
    <w:p w14:paraId="6F2D2D62" w14:textId="77777777" w:rsidR="001C23D3" w:rsidRPr="001C23D3" w:rsidRDefault="001C23D3" w:rsidP="001C23D3">
      <w:r w:rsidRPr="001C23D3">
        <w:t>This case highlights how supply chain finance can enhance cash flow and strengthen relationships while promoting sustainability.</w:t>
      </w:r>
    </w:p>
    <w:p w14:paraId="3332F207" w14:textId="77777777" w:rsidR="001C23D3" w:rsidRPr="001C23D3" w:rsidRDefault="001C23D3" w:rsidP="001C23D3">
      <w:pPr>
        <w:rPr>
          <w:b/>
          <w:bCs/>
        </w:rPr>
      </w:pPr>
      <w:r w:rsidRPr="001C23D3">
        <w:rPr>
          <w:b/>
          <w:bCs/>
        </w:rPr>
        <w:t>Case Study 3: Alibaba – Trade Facilitation for SMEs</w:t>
      </w:r>
    </w:p>
    <w:p w14:paraId="447BBFE6" w14:textId="77777777" w:rsidR="001C23D3" w:rsidRPr="001C23D3" w:rsidRDefault="001C23D3" w:rsidP="001C23D3">
      <w:pPr>
        <w:rPr>
          <w:b/>
          <w:bCs/>
        </w:rPr>
      </w:pPr>
      <w:r w:rsidRPr="001C23D3">
        <w:rPr>
          <w:b/>
          <w:bCs/>
        </w:rPr>
        <w:t>Background</w:t>
      </w:r>
    </w:p>
    <w:p w14:paraId="5A7DADB9" w14:textId="77777777" w:rsidR="001C23D3" w:rsidRPr="001C23D3" w:rsidRDefault="001C23D3" w:rsidP="001C23D3">
      <w:r w:rsidRPr="001C23D3">
        <w:t>Alibaba, a leading e-commerce platform, recognized that small and medium-sized enterprises (SMEs) often face challenges in accessing trade finance. To address this gap, Alibaba developed trade finance solutions tailored to the needs of SMEs.</w:t>
      </w:r>
    </w:p>
    <w:p w14:paraId="227E83E0" w14:textId="77777777" w:rsidR="001C23D3" w:rsidRPr="001C23D3" w:rsidRDefault="001C23D3" w:rsidP="001C23D3">
      <w:pPr>
        <w:rPr>
          <w:b/>
          <w:bCs/>
        </w:rPr>
      </w:pPr>
      <w:r w:rsidRPr="001C23D3">
        <w:rPr>
          <w:b/>
          <w:bCs/>
        </w:rPr>
        <w:t>Strategy</w:t>
      </w:r>
    </w:p>
    <w:p w14:paraId="6A95F0E7" w14:textId="77777777" w:rsidR="001C23D3" w:rsidRPr="001C23D3" w:rsidRDefault="001C23D3" w:rsidP="001C23D3">
      <w:r w:rsidRPr="001C23D3">
        <w:t>Through its platform, Alibaba introduced the “Alipay” service, which includes trade finance products specifically designed for SMEs. This service offers invoice financing, payment guarantees, and access to credit lines based on transaction history.</w:t>
      </w:r>
    </w:p>
    <w:p w14:paraId="1547C788" w14:textId="77777777" w:rsidR="001C23D3" w:rsidRPr="001C23D3" w:rsidRDefault="001C23D3" w:rsidP="001C23D3">
      <w:pPr>
        <w:rPr>
          <w:b/>
          <w:bCs/>
        </w:rPr>
      </w:pPr>
      <w:r w:rsidRPr="001C23D3">
        <w:rPr>
          <w:b/>
          <w:bCs/>
        </w:rPr>
        <w:t>Outcomes</w:t>
      </w:r>
    </w:p>
    <w:p w14:paraId="7DBE5850" w14:textId="77777777" w:rsidR="001C23D3" w:rsidRPr="001C23D3" w:rsidRDefault="001C23D3" w:rsidP="001C23D3">
      <w:pPr>
        <w:numPr>
          <w:ilvl w:val="0"/>
          <w:numId w:val="3"/>
        </w:numPr>
      </w:pPr>
      <w:r w:rsidRPr="001C23D3">
        <w:rPr>
          <w:b/>
          <w:bCs/>
        </w:rPr>
        <w:t>Increased Access to Finance</w:t>
      </w:r>
      <w:r w:rsidRPr="001C23D3">
        <w:t>: By providing tailored financial solutions, Alibaba enabled SMEs to engage in international trade with greater confidence and financial backing.</w:t>
      </w:r>
    </w:p>
    <w:p w14:paraId="0A4EDFD7" w14:textId="77777777" w:rsidR="001C23D3" w:rsidRPr="001C23D3" w:rsidRDefault="001C23D3" w:rsidP="001C23D3">
      <w:pPr>
        <w:numPr>
          <w:ilvl w:val="0"/>
          <w:numId w:val="3"/>
        </w:numPr>
      </w:pPr>
      <w:r w:rsidRPr="001C23D3">
        <w:rPr>
          <w:b/>
          <w:bCs/>
        </w:rPr>
        <w:lastRenderedPageBreak/>
        <w:t>Boosted Trade Volume</w:t>
      </w:r>
      <w:r w:rsidRPr="001C23D3">
        <w:t>: The availability of trade finance options led to an increase in cross-border transactions among SMEs on the platform.</w:t>
      </w:r>
    </w:p>
    <w:p w14:paraId="0EEDE871" w14:textId="77777777" w:rsidR="001C23D3" w:rsidRPr="001C23D3" w:rsidRDefault="001C23D3" w:rsidP="001C23D3">
      <w:pPr>
        <w:numPr>
          <w:ilvl w:val="0"/>
          <w:numId w:val="3"/>
        </w:numPr>
      </w:pPr>
      <w:r w:rsidRPr="001C23D3">
        <w:rPr>
          <w:b/>
          <w:bCs/>
        </w:rPr>
        <w:t>Financial Inclusion</w:t>
      </w:r>
      <w:r w:rsidRPr="001C23D3">
        <w:t>: Alibaba’s approach contributed to the financial inclusion of SMEs, empowering them to grow and compete in global markets.</w:t>
      </w:r>
    </w:p>
    <w:p w14:paraId="57FAE668" w14:textId="77777777" w:rsidR="001C23D3" w:rsidRPr="001C23D3" w:rsidRDefault="001C23D3" w:rsidP="001C23D3">
      <w:r w:rsidRPr="001C23D3">
        <w:t>This case demonstrates the importance of providing accessible trade finance solutions for SMEs, enabling them to thrive in the international marketplace.</w:t>
      </w:r>
    </w:p>
    <w:p w14:paraId="4F65F5D4" w14:textId="77777777" w:rsidR="001C23D3" w:rsidRPr="001C23D3" w:rsidRDefault="001C23D3" w:rsidP="001C23D3">
      <w:pPr>
        <w:rPr>
          <w:b/>
          <w:bCs/>
        </w:rPr>
      </w:pPr>
      <w:r w:rsidRPr="001C23D3">
        <w:rPr>
          <w:b/>
          <w:bCs/>
        </w:rPr>
        <w:t>Case Study 4: General Electric (GE) – Risk Mitigation Strategies</w:t>
      </w:r>
    </w:p>
    <w:p w14:paraId="15949BE3" w14:textId="77777777" w:rsidR="001C23D3" w:rsidRPr="001C23D3" w:rsidRDefault="001C23D3" w:rsidP="001C23D3">
      <w:pPr>
        <w:rPr>
          <w:b/>
          <w:bCs/>
        </w:rPr>
      </w:pPr>
      <w:r w:rsidRPr="001C23D3">
        <w:rPr>
          <w:b/>
          <w:bCs/>
        </w:rPr>
        <w:t>Background</w:t>
      </w:r>
    </w:p>
    <w:p w14:paraId="012D0D17" w14:textId="77777777" w:rsidR="001C23D3" w:rsidRPr="001C23D3" w:rsidRDefault="001C23D3" w:rsidP="001C23D3">
      <w:r w:rsidRPr="001C23D3">
        <w:t>General Electric (GE), a multinational conglomerate, faced significant risks associated with its international projects, particularly in emerging markets. To mitigate these risks, GE implemented a robust trade finance strategy.</w:t>
      </w:r>
    </w:p>
    <w:p w14:paraId="385BD29E" w14:textId="77777777" w:rsidR="001C23D3" w:rsidRPr="001C23D3" w:rsidRDefault="001C23D3" w:rsidP="001C23D3">
      <w:pPr>
        <w:rPr>
          <w:b/>
          <w:bCs/>
        </w:rPr>
      </w:pPr>
      <w:r w:rsidRPr="001C23D3">
        <w:rPr>
          <w:b/>
          <w:bCs/>
        </w:rPr>
        <w:t>Strategy</w:t>
      </w:r>
    </w:p>
    <w:p w14:paraId="35ABD822" w14:textId="77777777" w:rsidR="001C23D3" w:rsidRPr="001C23D3" w:rsidRDefault="001C23D3" w:rsidP="001C23D3">
      <w:r w:rsidRPr="001C23D3">
        <w:t>GE established a dedicated trade finance team to assess and manage risks associated with its projects. The team utilized various instruments, including letters of credit, trade credit insurance, and hedging strategies, to protect against payment defaults and currency fluctuations.</w:t>
      </w:r>
    </w:p>
    <w:p w14:paraId="1C8F6267" w14:textId="77777777" w:rsidR="001C23D3" w:rsidRPr="001C23D3" w:rsidRDefault="001C23D3" w:rsidP="001C23D3">
      <w:pPr>
        <w:rPr>
          <w:b/>
          <w:bCs/>
        </w:rPr>
      </w:pPr>
      <w:r w:rsidRPr="001C23D3">
        <w:rPr>
          <w:b/>
          <w:bCs/>
        </w:rPr>
        <w:t>Outcomes</w:t>
      </w:r>
    </w:p>
    <w:p w14:paraId="43BEB8EC" w14:textId="77777777" w:rsidR="001C23D3" w:rsidRPr="001C23D3" w:rsidRDefault="001C23D3" w:rsidP="001C23D3">
      <w:pPr>
        <w:numPr>
          <w:ilvl w:val="0"/>
          <w:numId w:val="4"/>
        </w:numPr>
      </w:pPr>
      <w:r w:rsidRPr="001C23D3">
        <w:rPr>
          <w:b/>
          <w:bCs/>
        </w:rPr>
        <w:t>Enhanced Risk Management</w:t>
      </w:r>
      <w:r w:rsidRPr="001C23D3">
        <w:t>: GE’s proactive approach to risk management allowed the company to navigate complex international markets with greater confidence.</w:t>
      </w:r>
    </w:p>
    <w:p w14:paraId="06C915B9" w14:textId="77777777" w:rsidR="001C23D3" w:rsidRPr="001C23D3" w:rsidRDefault="001C23D3" w:rsidP="001C23D3">
      <w:pPr>
        <w:numPr>
          <w:ilvl w:val="0"/>
          <w:numId w:val="4"/>
        </w:numPr>
      </w:pPr>
      <w:r w:rsidRPr="001C23D3">
        <w:rPr>
          <w:b/>
          <w:bCs/>
        </w:rPr>
        <w:t>Successful Project Financing</w:t>
      </w:r>
      <w:r w:rsidRPr="001C23D3">
        <w:t>: By securing financing through trade finance instruments, GE was able to execute large-scale projects in challenging environments.</w:t>
      </w:r>
    </w:p>
    <w:p w14:paraId="6B530178" w14:textId="77777777" w:rsidR="001C23D3" w:rsidRPr="001C23D3" w:rsidRDefault="001C23D3" w:rsidP="001C23D3">
      <w:pPr>
        <w:numPr>
          <w:ilvl w:val="0"/>
          <w:numId w:val="4"/>
        </w:numPr>
      </w:pPr>
      <w:r w:rsidRPr="001C23D3">
        <w:rPr>
          <w:b/>
          <w:bCs/>
        </w:rPr>
        <w:t>Increased Investor Confidence</w:t>
      </w:r>
      <w:r w:rsidRPr="001C23D3">
        <w:t>: The company’s comprehensive risk management strategies boosted investor confidence, leading to increased funding opportunities.</w:t>
      </w:r>
    </w:p>
    <w:p w14:paraId="6A6C3953" w14:textId="77777777" w:rsidR="001C23D3" w:rsidRPr="001C23D3" w:rsidRDefault="001C23D3" w:rsidP="001C23D3">
      <w:r w:rsidRPr="001C23D3">
        <w:t>This case illustrates the critical role of risk management in trade finance, enabling companies to undertake ambitious international projects successfully.</w:t>
      </w:r>
    </w:p>
    <w:p w14:paraId="54E0122C" w14:textId="77777777" w:rsidR="001C23D3" w:rsidRPr="001C23D3" w:rsidRDefault="001C23D3" w:rsidP="001C23D3">
      <w:pPr>
        <w:rPr>
          <w:b/>
          <w:bCs/>
        </w:rPr>
      </w:pPr>
      <w:r w:rsidRPr="001C23D3">
        <w:rPr>
          <w:b/>
          <w:bCs/>
        </w:rPr>
        <w:t>Conclusion</w:t>
      </w:r>
    </w:p>
    <w:p w14:paraId="332606D7" w14:textId="77777777" w:rsidR="001C23D3" w:rsidRPr="001C23D3" w:rsidRDefault="001C23D3" w:rsidP="001C23D3">
      <w:r w:rsidRPr="001C23D3">
        <w:t>Successful trade finance strategies are essential for businesses looking to thrive in the global marketplace. The case studies of Maersk, Unilever, Alibaba, and General Electric demonstrate various approaches to optimizing trade finance operations, from leveraging digital solutions to enhancing supplier relationships and mitigating risks. By learning from these examples, businesses can implement effective trade finance strategies that foster growth, enhance efficiency, and ensure compliance in an ever-evolving global landscape.</w:t>
      </w:r>
    </w:p>
    <w:p w14:paraId="54E12C50" w14:textId="77777777" w:rsidR="001C23D3" w:rsidRPr="001C23D3" w:rsidRDefault="001C23D3" w:rsidP="001C23D3">
      <w:pPr>
        <w:rPr>
          <w:b/>
          <w:bCs/>
        </w:rPr>
      </w:pPr>
      <w:r w:rsidRPr="001C23D3">
        <w:rPr>
          <w:b/>
          <w:bCs/>
        </w:rPr>
        <w:t>References</w:t>
      </w:r>
    </w:p>
    <w:p w14:paraId="5D6DDA78" w14:textId="77777777" w:rsidR="001C23D3" w:rsidRPr="001C23D3" w:rsidRDefault="001C23D3" w:rsidP="001C23D3">
      <w:pPr>
        <w:numPr>
          <w:ilvl w:val="0"/>
          <w:numId w:val="5"/>
        </w:numPr>
      </w:pPr>
      <w:r w:rsidRPr="001C23D3">
        <w:lastRenderedPageBreak/>
        <w:t>Maersk. (2022). </w:t>
      </w:r>
      <w:r w:rsidRPr="001C23D3">
        <w:rPr>
          <w:i/>
          <w:iCs/>
        </w:rPr>
        <w:t>Blockchain in Trade: A New Era of Shipping Efficiency</w:t>
      </w:r>
      <w:r w:rsidRPr="001C23D3">
        <w:t>.</w:t>
      </w:r>
    </w:p>
    <w:p w14:paraId="5A630C87" w14:textId="77777777" w:rsidR="001C23D3" w:rsidRPr="001C23D3" w:rsidRDefault="001C23D3" w:rsidP="001C23D3">
      <w:pPr>
        <w:numPr>
          <w:ilvl w:val="0"/>
          <w:numId w:val="5"/>
        </w:numPr>
      </w:pPr>
      <w:r w:rsidRPr="001C23D3">
        <w:t>Unilever. (2021). </w:t>
      </w:r>
      <w:r w:rsidRPr="001C23D3">
        <w:rPr>
          <w:i/>
          <w:iCs/>
        </w:rPr>
        <w:t>Sustainable Supply Chain Finance: A Case Study</w:t>
      </w:r>
      <w:r w:rsidRPr="001C23D3">
        <w:t>.</w:t>
      </w:r>
    </w:p>
    <w:p w14:paraId="24E47634" w14:textId="77777777" w:rsidR="001C23D3" w:rsidRPr="001C23D3" w:rsidRDefault="001C23D3" w:rsidP="001C23D3">
      <w:pPr>
        <w:numPr>
          <w:ilvl w:val="0"/>
          <w:numId w:val="5"/>
        </w:numPr>
      </w:pPr>
      <w:r w:rsidRPr="001C23D3">
        <w:t>Alibaba Group. (2023). </w:t>
      </w:r>
      <w:r w:rsidRPr="001C23D3">
        <w:rPr>
          <w:i/>
          <w:iCs/>
        </w:rPr>
        <w:t>Empowering SMEs through Trade Finance Solutions</w:t>
      </w:r>
      <w:r w:rsidRPr="001C23D3">
        <w:t>.</w:t>
      </w:r>
    </w:p>
    <w:p w14:paraId="6B977697" w14:textId="77777777" w:rsidR="001C23D3" w:rsidRPr="001C23D3" w:rsidRDefault="001C23D3" w:rsidP="001C23D3">
      <w:pPr>
        <w:numPr>
          <w:ilvl w:val="0"/>
          <w:numId w:val="5"/>
        </w:numPr>
      </w:pPr>
      <w:r w:rsidRPr="001C23D3">
        <w:t>General Electric. (2022). </w:t>
      </w:r>
      <w:r w:rsidRPr="001C23D3">
        <w:rPr>
          <w:i/>
          <w:iCs/>
        </w:rPr>
        <w:t>Managing Risk in International Projects: A Trade Finance Perspective</w:t>
      </w:r>
      <w:r w:rsidRPr="001C23D3">
        <w:t>.</w:t>
      </w:r>
    </w:p>
    <w:p w14:paraId="2CAD668F" w14:textId="77777777" w:rsidR="001C23D3" w:rsidRPr="001C23D3" w:rsidRDefault="001C23D3" w:rsidP="001C23D3">
      <w:pPr>
        <w:numPr>
          <w:ilvl w:val="0"/>
          <w:numId w:val="5"/>
        </w:numPr>
      </w:pPr>
      <w:r w:rsidRPr="001C23D3">
        <w:t>International Chamber of Commerce. (2023). </w:t>
      </w:r>
      <w:r w:rsidRPr="001C23D3">
        <w:rPr>
          <w:i/>
          <w:iCs/>
        </w:rPr>
        <w:t>Trade Finance: Best Practices for Businesses</w:t>
      </w:r>
      <w:r w:rsidRPr="001C23D3">
        <w:t>.</w:t>
      </w:r>
    </w:p>
    <w:p w14:paraId="13443E6A" w14:textId="684A9EB0" w:rsidR="001C23D3" w:rsidRPr="001C23D3" w:rsidRDefault="001C23D3" w:rsidP="001C23D3">
      <w:pPr>
        <w:rPr>
          <w:b/>
          <w:bCs/>
        </w:rPr>
      </w:pPr>
    </w:p>
    <w:p w14:paraId="26E727E1" w14:textId="77777777" w:rsidR="001C23D3" w:rsidRDefault="001C23D3"/>
    <w:sectPr w:rsidR="001C2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674"/>
    <w:multiLevelType w:val="multilevel"/>
    <w:tmpl w:val="2A8A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2385B"/>
    <w:multiLevelType w:val="multilevel"/>
    <w:tmpl w:val="5A3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D11FD"/>
    <w:multiLevelType w:val="multilevel"/>
    <w:tmpl w:val="BA7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A2DD4"/>
    <w:multiLevelType w:val="multilevel"/>
    <w:tmpl w:val="C9B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2081"/>
    <w:multiLevelType w:val="multilevel"/>
    <w:tmpl w:val="7A3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678033">
    <w:abstractNumId w:val="3"/>
  </w:num>
  <w:num w:numId="2" w16cid:durableId="53895135">
    <w:abstractNumId w:val="4"/>
  </w:num>
  <w:num w:numId="3" w16cid:durableId="1828352280">
    <w:abstractNumId w:val="2"/>
  </w:num>
  <w:num w:numId="4" w16cid:durableId="905602778">
    <w:abstractNumId w:val="1"/>
  </w:num>
  <w:num w:numId="5" w16cid:durableId="68609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D3"/>
    <w:rsid w:val="001C23D3"/>
    <w:rsid w:val="00336D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EEEB"/>
  <w15:chartTrackingRefBased/>
  <w15:docId w15:val="{DEFA7D94-EF20-4B87-AB2B-A036509D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3D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1C23D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C23D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C2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3D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1C23D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C23D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C2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3D3"/>
    <w:rPr>
      <w:rFonts w:eastAsiaTheme="majorEastAsia" w:cstheme="majorBidi"/>
      <w:color w:val="272727" w:themeColor="text1" w:themeTint="D8"/>
    </w:rPr>
  </w:style>
  <w:style w:type="paragraph" w:styleId="Title">
    <w:name w:val="Title"/>
    <w:basedOn w:val="Normal"/>
    <w:next w:val="Normal"/>
    <w:link w:val="TitleChar"/>
    <w:uiPriority w:val="10"/>
    <w:qFormat/>
    <w:rsid w:val="001C23D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23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23D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23D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23D3"/>
    <w:pPr>
      <w:spacing w:before="160"/>
      <w:jc w:val="center"/>
    </w:pPr>
    <w:rPr>
      <w:i/>
      <w:iCs/>
      <w:color w:val="404040" w:themeColor="text1" w:themeTint="BF"/>
    </w:rPr>
  </w:style>
  <w:style w:type="character" w:customStyle="1" w:styleId="QuoteChar">
    <w:name w:val="Quote Char"/>
    <w:basedOn w:val="DefaultParagraphFont"/>
    <w:link w:val="Quote"/>
    <w:uiPriority w:val="29"/>
    <w:rsid w:val="001C23D3"/>
    <w:rPr>
      <w:i/>
      <w:iCs/>
      <w:color w:val="404040" w:themeColor="text1" w:themeTint="BF"/>
    </w:rPr>
  </w:style>
  <w:style w:type="paragraph" w:styleId="ListParagraph">
    <w:name w:val="List Paragraph"/>
    <w:basedOn w:val="Normal"/>
    <w:uiPriority w:val="34"/>
    <w:qFormat/>
    <w:rsid w:val="001C23D3"/>
    <w:pPr>
      <w:ind w:left="720"/>
      <w:contextualSpacing/>
    </w:pPr>
  </w:style>
  <w:style w:type="character" w:styleId="IntenseEmphasis">
    <w:name w:val="Intense Emphasis"/>
    <w:basedOn w:val="DefaultParagraphFont"/>
    <w:uiPriority w:val="21"/>
    <w:qFormat/>
    <w:rsid w:val="001C23D3"/>
    <w:rPr>
      <w:i/>
      <w:iCs/>
      <w:color w:val="2F5496" w:themeColor="accent1" w:themeShade="BF"/>
    </w:rPr>
  </w:style>
  <w:style w:type="paragraph" w:styleId="IntenseQuote">
    <w:name w:val="Intense Quote"/>
    <w:basedOn w:val="Normal"/>
    <w:next w:val="Normal"/>
    <w:link w:val="IntenseQuoteChar"/>
    <w:uiPriority w:val="30"/>
    <w:qFormat/>
    <w:rsid w:val="001C2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3D3"/>
    <w:rPr>
      <w:i/>
      <w:iCs/>
      <w:color w:val="2F5496" w:themeColor="accent1" w:themeShade="BF"/>
    </w:rPr>
  </w:style>
  <w:style w:type="character" w:styleId="IntenseReference">
    <w:name w:val="Intense Reference"/>
    <w:basedOn w:val="DefaultParagraphFont"/>
    <w:uiPriority w:val="32"/>
    <w:qFormat/>
    <w:rsid w:val="001C2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arunmisra2022@gmail.com</dc:creator>
  <cp:keywords/>
  <dc:description/>
  <cp:lastModifiedBy>arunmisra2022@gmail.com</cp:lastModifiedBy>
  <cp:revision>1</cp:revision>
  <dcterms:created xsi:type="dcterms:W3CDTF">2025-09-18T19:11:00Z</dcterms:created>
  <dcterms:modified xsi:type="dcterms:W3CDTF">2025-09-18T19:12:00Z</dcterms:modified>
</cp:coreProperties>
</file>