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300"/>
              <w:left w:type="dxa" w:w="300"/>
              <w:bottom w:type="dxa" w:w="300"/>
              <w:right w:type="dxa" w:w="300"/>
            </w:tcMar>
          </w:tcPr>
          <w:p>
            <w:pPr>
              <w:spacing w:after="80" w:before="160"/>
              <w:jc w:val="center"/>
            </w:pPr>
            <w:r>
              <w:rPr>
                <w:rFonts w:ascii="Arial" w:cs="Arial" w:eastAsia="Arial" w:hAnsi="Arial"/>
                <w:b/>
                <w:bCs/>
                <w:color w:val="FFFFFF"/>
                <w:sz w:val="32"/>
                <w:szCs w:val="32"/>
              </w:rPr>
              <w:t xml:space="preserve">GREENWASHING RISK DETECTION IN INDIAN BRSR DISCLOSURES</w:t>
            </w:r>
          </w:p>
          <w:p>
            <w:pPr>
              <w:spacing w:after="60" w:before="60"/>
              <w:jc w:val="center"/>
            </w:pPr>
            <w:r>
              <w:rPr>
                <w:rFonts w:ascii="Arial" w:cs="Arial" w:eastAsia="Arial" w:hAnsi="Arial"/>
                <w:b/>
                <w:bCs/>
                <w:color w:val="BDD7EE"/>
                <w:sz w:val="24"/>
                <w:szCs w:val="24"/>
              </w:rPr>
              <w:t xml:space="preserve">A Multi-Sector NLP Analysis (FY2022–2025)</w:t>
            </w:r>
          </w:p>
          <w:p>
            <w:pPr>
              <w:spacing w:after="80" w:before="100"/>
              <w:jc w:val="center"/>
            </w:pPr>
            <w:r>
              <w:rPr>
                <w:rFonts w:ascii="Arial" w:cs="Arial" w:eastAsia="Arial" w:hAnsi="Arial"/>
                <w:color w:val="AAAAAA"/>
                <w:sz w:val="18"/>
                <w:szCs w:val="18"/>
              </w:rPr>
              <w:t xml:space="preserve">[Your Name]  |  June 2026  |  Working Paper</w:t>
            </w:r>
          </w:p>
        </w:tc>
      </w:tr>
    </w:tbl>
    <w:p>
      <w:pPr>
        <w:spacing w:after="80" w:before="80"/>
      </w:pPr>
    </w:p>
    <w:p>
      <w:pPr>
        <w:pStyle w:val="Heading1"/>
        <w:pBdr>
          <w:bottom w:val="single" w:color="2E75B6" w:sz="8" w:space="4"/>
        </w:pBdr>
        <w:spacing w:after="160" w:before="320"/>
      </w:pPr>
      <w:r>
        <w:rPr>
          <w:rFonts w:ascii="Arial" w:cs="Arial" w:eastAsia="Arial" w:hAnsi="Arial"/>
          <w:b/>
          <w:bCs/>
          <w:color w:val="1F4E79"/>
          <w:sz w:val="28"/>
          <w:szCs w:val="28"/>
        </w:rPr>
        <w:t xml:space="preserve">Abstract</w:t>
      </w:r>
    </w:p>
    <w:p>
      <w:pPr>
        <w:spacing w:after="100" w:before="100"/>
      </w:pPr>
      <w:r>
        <w:rPr>
          <w:rFonts w:ascii="Arial" w:cs="Arial" w:eastAsia="Arial" w:hAnsi="Arial"/>
          <w:color w:val="222222"/>
          <w:sz w:val="20"/>
          <w:szCs w:val="20"/>
        </w:rPr>
        <w:t xml:space="preserve">India's SEBI mandated the Business Responsibility and Sustainability Report (BRSR) for the top 1,000 listed companies from FY2022–23, creating India's first standardised ESG disclosure corpus. This study applies a transparent, rule-based NLP pipeline to 15 real BRSR filings across five sectors to quantify the textual credibility of ESG claims. Using a novel Composite Greenwashing Risk Score (GRS) that integrates Specificity Ratio (SR), Loughran-McDonald finance sentiment, Action-Vague Verb Ratio (AVVR), and Boilerplate Density (BD), the analysis finds that none of the 15 reports scored LOW risk, with six companies (40%) scoring HIGH (GRS &gt; 60). Manufacturing-intensive sectors — Cement (mean GRS: 67.0) and Heavy Industry (72.5) — showed the highest risk and lowest specificity. SR was the dominant predictor of GRS (Pearson r = −0.725, p = 0.002). The study openly documents corpus limitations, pipeline gaps, and what it cannot conclude without matched performance data.</w:t>
      </w:r>
    </w:p>
    <w:p>
      <w:pPr>
        <w:spacing w:after="80" w:before="80"/>
      </w:pPr>
    </w:p>
    <w:p>
      <w:pPr>
        <w:pStyle w:val="Heading1"/>
        <w:pBdr>
          <w:bottom w:val="single" w:color="2E75B6" w:sz="8" w:space="4"/>
        </w:pBdr>
        <w:spacing w:after="160" w:before="320"/>
      </w:pPr>
      <w:r>
        <w:rPr>
          <w:rFonts w:ascii="Arial" w:cs="Arial" w:eastAsia="Arial" w:hAnsi="Arial"/>
          <w:b/>
          <w:bCs/>
          <w:color w:val="1F4E79"/>
          <w:sz w:val="28"/>
          <w:szCs w:val="28"/>
        </w:rPr>
        <w:t xml:space="preserve">1. Introduction</w:t>
      </w:r>
    </w:p>
    <w:p>
      <w:pPr>
        <w:spacing w:after="100" w:before="100"/>
      </w:pPr>
      <w:r>
        <w:rPr>
          <w:rFonts w:ascii="Arial" w:cs="Arial" w:eastAsia="Arial" w:hAnsi="Arial"/>
          <w:color w:val="222222"/>
          <w:sz w:val="20"/>
          <w:szCs w:val="20"/>
        </w:rPr>
        <w:t xml:space="preserve">Corporate greenwashing — overstating environmental or social credentials without substantive evidence — has attracted growing regulatory and academic scrutiny worldwide. In India, SEBI's BRSR framework (mandatory from FY2022–23 for top-1,000 listed companies) creates a standardised, publicly accessible ESG corpus that is uniquely amenable to systematic text analysis.</w:t>
      </w:r>
    </w:p>
    <w:p>
      <w:pPr>
        <w:spacing w:after="100" w:before="100"/>
      </w:pPr>
      <w:r>
        <w:rPr>
          <w:rFonts w:ascii="Arial" w:cs="Arial" w:eastAsia="Arial" w:hAnsi="Arial"/>
          <w:color w:val="222222"/>
          <w:sz w:val="20"/>
          <w:szCs w:val="20"/>
        </w:rPr>
        <w:t xml:space="preserve">Despite standardisation, BRSR disclosures vary widely in the depth and verifiability of their claims. This study proposes a five-component Composite GRS to quantify that variation across 15 real filings and five sectors. All methods, data, and code are publicly available at the project GitHub repository.</w:t>
      </w:r>
    </w:p>
    <w:p>
      <w:pPr>
        <w:pStyle w:val="Heading2"/>
        <w:spacing w:after="100" w:before="240"/>
      </w:pPr>
      <w:r>
        <w:rPr>
          <w:rFonts w:ascii="Arial" w:cs="Arial" w:eastAsia="Arial" w:hAnsi="Arial"/>
          <w:b/>
          <w:bCs/>
          <w:color w:val="2E75B6"/>
          <w:sz w:val="24"/>
          <w:szCs w:val="24"/>
        </w:rPr>
        <w:t xml:space="preserve">1.1 Research Questions</w:t>
      </w:r>
    </w:p>
    <w:p>
      <w:pPr>
        <w:pStyle w:val="ListParagraph"/>
        <w:numPr>
          <w:ilvl w:val="0"/>
          <w:numId w:val="2"/>
        </w:numPr>
        <w:spacing w:after="60" w:before="60"/>
      </w:pPr>
      <w:r>
        <w:rPr>
          <w:rFonts w:ascii="Arial" w:cs="Arial" w:eastAsia="Arial" w:hAnsi="Arial"/>
          <w:color w:val="222222"/>
          <w:sz w:val="20"/>
          <w:szCs w:val="20"/>
        </w:rPr>
        <w:t xml:space="preserve">Do BRSR filings differ in ESG claim specificity across sectors?</w:t>
      </w:r>
    </w:p>
    <w:p>
      <w:pPr>
        <w:pStyle w:val="ListParagraph"/>
        <w:numPr>
          <w:ilvl w:val="0"/>
          <w:numId w:val="2"/>
        </w:numPr>
        <w:spacing w:after="60" w:before="60"/>
      </w:pPr>
      <w:r>
        <w:rPr>
          <w:rFonts w:ascii="Arial" w:cs="Arial" w:eastAsia="Arial" w:hAnsi="Arial"/>
          <w:color w:val="222222"/>
          <w:sz w:val="20"/>
          <w:szCs w:val="20"/>
        </w:rPr>
        <w:t xml:space="preserve">Which linguistic features best discriminate high- vs. low-specificity disclosures?</w:t>
      </w:r>
    </w:p>
    <w:p>
      <w:pPr>
        <w:pStyle w:val="ListParagraph"/>
        <w:numPr>
          <w:ilvl w:val="0"/>
          <w:numId w:val="2"/>
        </w:numPr>
        <w:spacing w:after="60" w:before="60"/>
      </w:pPr>
      <w:r>
        <w:rPr>
          <w:rFonts w:ascii="Arial" w:cs="Arial" w:eastAsia="Arial" w:hAnsi="Arial"/>
          <w:color w:val="222222"/>
          <w:sz w:val="20"/>
          <w:szCs w:val="20"/>
        </w:rPr>
        <w:t xml:space="preserve">Does cross-listing on international exchanges (NYSE) correlate with higher specificity?</w:t>
      </w:r>
    </w:p>
    <w:p>
      <w:pPr>
        <w:pStyle w:val="ListParagraph"/>
        <w:numPr>
          <w:ilvl w:val="0"/>
          <w:numId w:val="2"/>
        </w:numPr>
        <w:spacing w:after="60" w:before="60"/>
      </w:pPr>
      <w:r>
        <w:rPr>
          <w:rFonts w:ascii="Arial" w:cs="Arial" w:eastAsia="Arial" w:hAnsi="Arial"/>
          <w:color w:val="222222"/>
          <w:sz w:val="20"/>
          <w:szCs w:val="20"/>
        </w:rPr>
        <w:t xml:space="preserve">Which companies and sectors present the highest composite greenwashing risk signals?</w:t>
      </w:r>
    </w:p>
    <w:p>
      <w:pPr>
        <w:spacing w:after="80" w:before="80"/>
      </w:pPr>
    </w:p>
    <w:p>
      <w:pPr>
        <w:pStyle w:val="Heading1"/>
        <w:pBdr>
          <w:bottom w:val="single" w:color="2E75B6" w:sz="8" w:space="4"/>
        </w:pBdr>
        <w:spacing w:after="160" w:before="320"/>
      </w:pPr>
      <w:r>
        <w:rPr>
          <w:rFonts w:ascii="Arial" w:cs="Arial" w:eastAsia="Arial" w:hAnsi="Arial"/>
          <w:b/>
          <w:bCs/>
          <w:color w:val="1F4E79"/>
          <w:sz w:val="28"/>
          <w:szCs w:val="28"/>
        </w:rPr>
        <w:t xml:space="preserve">2. Methodology</w:t>
      </w:r>
    </w:p>
    <w:p>
      <w:pPr>
        <w:pStyle w:val="Heading2"/>
        <w:spacing w:after="100" w:before="240"/>
      </w:pPr>
      <w:r>
        <w:rPr>
          <w:rFonts w:ascii="Arial" w:cs="Arial" w:eastAsia="Arial" w:hAnsi="Arial"/>
          <w:b/>
          <w:bCs/>
          <w:color w:val="2E75B6"/>
          <w:sz w:val="24"/>
          <w:szCs w:val="24"/>
        </w:rPr>
        <w:t xml:space="preserve">2.1 GRS Formula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120"/>
              <w:right w:type="dxa" w:w="200"/>
            </w:tcMar>
          </w:tcPr>
          <w:p>
            <w:pPr>
              <w:spacing w:after="60" w:before="80"/>
            </w:pPr>
            <w:r>
              <w:rPr>
                <w:rFonts w:ascii="Arial" w:cs="Arial" w:eastAsia="Arial" w:hAnsi="Arial"/>
                <w:b/>
                <w:bCs/>
                <w:color w:val="1F4E79"/>
                <w:sz w:val="20"/>
                <w:szCs w:val="20"/>
              </w:rPr>
              <w:t xml:space="preserve">Composite Greenwashing Risk Score (GRS) Formula:</w:t>
            </w:r>
          </w:p>
          <w:p>
            <w:pPr>
              <w:spacing w:after="60" w:before="60"/>
            </w:pPr>
            <w:r>
              <w:rPr>
                <w:rFonts w:ascii="Courier New" w:cs="Courier New" w:eastAsia="Courier New" w:hAnsi="Courier New"/>
                <w:color w:val="000000"/>
                <w:sz w:val="20"/>
                <w:szCs w:val="20"/>
              </w:rPr>
              <w:t xml:space="preserve">GRS = (1 − SR) × 40  +  (1 − AVVR) × 25  +  BD × 20  +  LM_neg × 15</w:t>
            </w:r>
          </w:p>
          <w:p>
            <w:pPr>
              <w:spacing w:after="80" w:before="60"/>
            </w:pPr>
            <w:r>
              <w:rPr>
                <w:rFonts w:ascii="Arial" w:cs="Arial" w:eastAsia="Arial" w:hAnsi="Arial"/>
                <w:i/>
                <w:iCs/>
                <w:color w:val="555555"/>
                <w:sz w:val="18"/>
                <w:szCs w:val="18"/>
              </w:rPr>
              <w:t xml:space="preserve">Tiers:  LOW &lt; 30  |  MEDIUM 30–60  |  HIGH &gt; 60      (Scale: 0–100)</w:t>
            </w:r>
          </w:p>
        </w:tc>
      </w:tr>
    </w:tbl>
    <w:p>
      <w:pPr>
        <w:spacing w:after="80" w:before="80"/>
      </w:pPr>
    </w:p>
    <w:p>
      <w:pPr>
        <w:spacing w:after="100" w:before="100"/>
      </w:pPr>
      <w:r>
        <w:rPr>
          <w:rFonts w:ascii="Arial" w:cs="Arial" w:eastAsia="Arial" w:hAnsi="Arial"/>
          <w:color w:val="222222"/>
          <w:sz w:val="20"/>
          <w:szCs w:val="20"/>
        </w:rPr>
        <w:t xml:space="preserve">Each component captures a distinct dimension of disclosure quality. SR (40% weight) measures quantitative grounding — the fraction of sentences containing a number + unit. AVVR (25%) distinguishes completed actions ("achieved", "certified") from aspirational statements ("aims", "seeks"). BD (20%) flags copy-paste from BRSR regulatory templates. LM Negative (15%) captures risk-heavy sentiment density using the Loughran-McDonald (2011) finance wordlist.</w:t>
      </w:r>
    </w:p>
    <w:p>
      <w:pPr>
        <w:pStyle w:val="Heading2"/>
        <w:spacing w:after="100" w:before="240"/>
      </w:pPr>
      <w:r>
        <w:rPr>
          <w:rFonts w:ascii="Arial" w:cs="Arial" w:eastAsia="Arial" w:hAnsi="Arial"/>
          <w:b/>
          <w:bCs/>
          <w:color w:val="2E75B6"/>
          <w:sz w:val="24"/>
          <w:szCs w:val="24"/>
        </w:rPr>
        <w:t xml:space="preserve">2.2 Corpus (15 BRSR Filings, FY2022–25)</w:t>
      </w:r>
    </w:p>
    <w:p>
      <w:pPr>
        <w:spacing w:after="100" w:before="100"/>
      </w:pPr>
      <w:r>
        <w:rPr>
          <w:rFonts w:ascii="Arial" w:cs="Arial" w:eastAsia="Arial" w:hAnsi="Arial"/>
          <w:color w:val="222222"/>
          <w:sz w:val="20"/>
          <w:szCs w:val="20"/>
        </w:rPr>
        <w:t xml:space="preserve">All 15 reports are publicly filed with NSE/BSE. Seven were directly fetched as PDFs; eight were extracted via search indexing due to domain-level robots.txt restrictions. Source URLs are documented per file in data/raw/.</w:t>
      </w:r>
    </w:p>
    <w:p>
      <w:pPr>
        <w:spacing w:after="100" w:before="100"/>
      </w:pPr>
      <w:r>
        <w:rPr>
          <w:rFonts w:ascii="Arial" w:cs="Arial" w:eastAsia="Arial" w:hAnsi="Arial"/>
          <w:color w:val="222222"/>
          <w:sz w:val="20"/>
          <w:szCs w:val="20"/>
        </w:rPr>
        <w:t xml:space="preserve">Sectors: IT (Infosys, TCS, Wipro) · Banking (ICICI, HDFC, SBI) · Cement (UltraTech, Ambuja) · Heavy Industry (Tata Steel) · Pharma (Cipla, Sun Pharma, Dr. Reddy's) · Auto (Tata Motors, Maruti, M&amp;M)</w:t>
      </w:r>
    </w:p>
    <w:p>
      <w:pPr>
        <w:spacing w:after="100" w:before="100"/>
      </w:pPr>
      <w:r>
        <w:rPr>
          <w:rFonts w:ascii="Arial" w:cs="Arial" w:eastAsia="Arial" w:hAnsi="Arial"/>
          <w:color w:val="222222"/>
          <w:sz w:val="20"/>
          <w:szCs w:val="20"/>
        </w:rPr>
        <w:t xml:space="preserve">LDA topic modelling (5 topics, k=5, Blei et al. 2003) and TF-IDF sectoral vocabulary analysis are run on the pre-processed corpus. A FinBERT sentence-level extension (Araci, 2019) is provided in notebooks/FinBERT_Colab.ipynb — requires Google Colab GPU due to Hugging Face network dependency.</w:t>
      </w:r>
    </w:p>
    <w:p>
      <w:pPr>
        <w:spacing w:after="80" w:before="80"/>
      </w:pPr>
    </w:p>
    <w:p>
      <w:pPr>
        <w:pStyle w:val="Heading1"/>
        <w:pBdr>
          <w:bottom w:val="single" w:color="2E75B6" w:sz="8" w:space="4"/>
        </w:pBdr>
        <w:spacing w:after="160" w:before="320"/>
      </w:pPr>
      <w:r>
        <w:rPr>
          <w:rFonts w:ascii="Arial" w:cs="Arial" w:eastAsia="Arial" w:hAnsi="Arial"/>
          <w:b/>
          <w:bCs/>
          <w:color w:val="1F4E79"/>
          <w:sz w:val="28"/>
          <w:szCs w:val="28"/>
        </w:rPr>
        <w:t xml:space="preserve">3. Results</w:t>
      </w:r>
    </w:p>
    <w:p>
      <w:pPr>
        <w:pStyle w:val="Heading2"/>
        <w:spacing w:after="100" w:before="240"/>
      </w:pPr>
      <w:r>
        <w:rPr>
          <w:rFonts w:ascii="Arial" w:cs="Arial" w:eastAsia="Arial" w:hAnsi="Arial"/>
          <w:b/>
          <w:bCs/>
          <w:color w:val="2E75B6"/>
          <w:sz w:val="24"/>
          <w:szCs w:val="24"/>
        </w:rPr>
        <w:t xml:space="preserve">3.1 Full Results Table (ranked by GRS)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1200"/>
        <w:gridCol w:w="1200"/>
        <w:gridCol w:w="1260"/>
      </w:tblGrid>
      <w:tr>
        <w:trPr>
          <w:tblHeader/>
        </w:trPr>
        <w:tc>
          <w:tcPr>
            <w:tcW w:type="dxa" w:w="200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Company</w:t>
            </w:r>
          </w:p>
        </w:tc>
        <w:tc>
          <w:tcPr>
            <w:tcW w:type="dxa" w:w="150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Sector</w:t>
            </w:r>
          </w:p>
        </w:tc>
        <w:tc>
          <w:tcPr>
            <w:tcW w:type="dxa" w:w="120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SR</w:t>
            </w:r>
          </w:p>
        </w:tc>
        <w:tc>
          <w:tcPr>
            <w:tcW w:type="dxa" w:w="120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AVVR</w:t>
            </w:r>
          </w:p>
        </w:tc>
        <w:tc>
          <w:tcPr>
            <w:tcW w:type="dxa" w:w="120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GRS</w:t>
            </w:r>
          </w:p>
        </w:tc>
        <w:tc>
          <w:tcPr>
            <w:tcW w:type="dxa" w:w="126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Tier</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UltraTech Cement</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Cement</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0.059</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w:t>
            </w:r>
          </w:p>
        </w:tc>
        <w:tc>
          <w:tcPr>
            <w:tcW w:type="dxa" w:w="1200"/>
            <w:tcBorders>
              <w:top w:val="single" w:color="B0C4DE" w:sz="1"/>
              <w:left w:val="single" w:color="B0C4DE" w:sz="1"/>
              <w:bottom w:val="single" w:color="B0C4DE" w:sz="1"/>
              <w:right w:val="single" w:color="B0C4DE" w:sz="1"/>
            </w:tcBorders>
            <w:shd w:fill="FFC7C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77.8</w:t>
            </w:r>
          </w:p>
        </w:tc>
        <w:tc>
          <w:tcPr>
            <w:tcW w:type="dxa" w:w="1260"/>
            <w:tcBorders>
              <w:top w:val="single" w:color="B0C4DE" w:sz="1"/>
              <w:left w:val="single" w:color="B0C4DE" w:sz="1"/>
              <w:bottom w:val="single" w:color="B0C4DE" w:sz="1"/>
              <w:right w:val="single" w:color="B0C4DE" w:sz="1"/>
            </w:tcBorders>
            <w:shd w:fill="FFC7C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HIGH</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Cipla</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Pharma</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0.059</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w:t>
            </w:r>
          </w:p>
        </w:tc>
        <w:tc>
          <w:tcPr>
            <w:tcW w:type="dxa" w:w="1200"/>
            <w:tcBorders>
              <w:top w:val="single" w:color="B0C4DE" w:sz="1"/>
              <w:left w:val="single" w:color="B0C4DE" w:sz="1"/>
              <w:bottom w:val="single" w:color="B0C4DE" w:sz="1"/>
              <w:right w:val="single" w:color="B0C4DE" w:sz="1"/>
            </w:tcBorders>
            <w:shd w:fill="FFC7C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77.6</w:t>
            </w:r>
          </w:p>
        </w:tc>
        <w:tc>
          <w:tcPr>
            <w:tcW w:type="dxa" w:w="1260"/>
            <w:tcBorders>
              <w:top w:val="single" w:color="B0C4DE" w:sz="1"/>
              <w:left w:val="single" w:color="B0C4DE" w:sz="1"/>
              <w:bottom w:val="single" w:color="B0C4DE" w:sz="1"/>
              <w:right w:val="single" w:color="B0C4DE" w:sz="1"/>
            </w:tcBorders>
            <w:shd w:fill="FFC7C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HIGH</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Tata Steel</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Heavy Industry</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w:t>
            </w:r>
          </w:p>
        </w:tc>
        <w:tc>
          <w:tcPr>
            <w:tcW w:type="dxa" w:w="1200"/>
            <w:tcBorders>
              <w:top w:val="single" w:color="B0C4DE" w:sz="1"/>
              <w:left w:val="single" w:color="B0C4DE" w:sz="1"/>
              <w:bottom w:val="single" w:color="B0C4DE" w:sz="1"/>
              <w:right w:val="single" w:color="B0C4DE" w:sz="1"/>
            </w:tcBorders>
            <w:shd w:fill="FFC7C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72.5</w:t>
            </w:r>
          </w:p>
        </w:tc>
        <w:tc>
          <w:tcPr>
            <w:tcW w:type="dxa" w:w="1260"/>
            <w:tcBorders>
              <w:top w:val="single" w:color="B0C4DE" w:sz="1"/>
              <w:left w:val="single" w:color="B0C4DE" w:sz="1"/>
              <w:bottom w:val="single" w:color="B0C4DE" w:sz="1"/>
              <w:right w:val="single" w:color="B0C4DE" w:sz="1"/>
            </w:tcBorders>
            <w:shd w:fill="FFC7C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HIGH</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Sun Pharma</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Pharma</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0.500</w:t>
            </w:r>
          </w:p>
        </w:tc>
        <w:tc>
          <w:tcPr>
            <w:tcW w:type="dxa" w:w="1200"/>
            <w:tcBorders>
              <w:top w:val="single" w:color="B0C4DE" w:sz="1"/>
              <w:left w:val="single" w:color="B0C4DE" w:sz="1"/>
              <w:bottom w:val="single" w:color="B0C4DE" w:sz="1"/>
              <w:right w:val="single" w:color="B0C4DE" w:sz="1"/>
            </w:tcBorders>
            <w:shd w:fill="FFC7C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67.5</w:t>
            </w:r>
          </w:p>
        </w:tc>
        <w:tc>
          <w:tcPr>
            <w:tcW w:type="dxa" w:w="1260"/>
            <w:tcBorders>
              <w:top w:val="single" w:color="B0C4DE" w:sz="1"/>
              <w:left w:val="single" w:color="B0C4DE" w:sz="1"/>
              <w:bottom w:val="single" w:color="B0C4DE" w:sz="1"/>
              <w:right w:val="single" w:color="B0C4DE" w:sz="1"/>
            </w:tcBorders>
            <w:shd w:fill="FFC7C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HIGH</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HDFC Bank</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Banking</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w:t>
            </w:r>
          </w:p>
        </w:tc>
        <w:tc>
          <w:tcPr>
            <w:tcW w:type="dxa" w:w="1200"/>
            <w:tcBorders>
              <w:top w:val="single" w:color="B0C4DE" w:sz="1"/>
              <w:left w:val="single" w:color="B0C4DE" w:sz="1"/>
              <w:bottom w:val="single" w:color="B0C4DE" w:sz="1"/>
              <w:right w:val="single" w:color="B0C4DE" w:sz="1"/>
            </w:tcBorders>
            <w:shd w:fill="FFC7C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65.0</w:t>
            </w:r>
          </w:p>
        </w:tc>
        <w:tc>
          <w:tcPr>
            <w:tcW w:type="dxa" w:w="1260"/>
            <w:tcBorders>
              <w:top w:val="single" w:color="B0C4DE" w:sz="1"/>
              <w:left w:val="single" w:color="B0C4DE" w:sz="1"/>
              <w:bottom w:val="single" w:color="B0C4DE" w:sz="1"/>
              <w:right w:val="single" w:color="B0C4DE" w:sz="1"/>
            </w:tcBorders>
            <w:shd w:fill="FFC7C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HIGH</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Infosys</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0.066</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0.545</w:t>
            </w:r>
          </w:p>
        </w:tc>
        <w:tc>
          <w:tcPr>
            <w:tcW w:type="dxa" w:w="1200"/>
            <w:tcBorders>
              <w:top w:val="single" w:color="B0C4DE" w:sz="1"/>
              <w:left w:val="single" w:color="B0C4DE" w:sz="1"/>
              <w:bottom w:val="single" w:color="B0C4DE" w:sz="1"/>
              <w:right w:val="single" w:color="B0C4DE" w:sz="1"/>
            </w:tcBorders>
            <w:shd w:fill="FFC7C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64.0</w:t>
            </w:r>
          </w:p>
        </w:tc>
        <w:tc>
          <w:tcPr>
            <w:tcW w:type="dxa" w:w="1260"/>
            <w:tcBorders>
              <w:top w:val="single" w:color="B0C4DE" w:sz="1"/>
              <w:left w:val="single" w:color="B0C4DE" w:sz="1"/>
              <w:bottom w:val="single" w:color="B0C4DE" w:sz="1"/>
              <w:right w:val="single" w:color="B0C4DE" w:sz="1"/>
            </w:tcBorders>
            <w:shd w:fill="FFC7C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HIGH</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Ambuja Cements</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Cement</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0.667</w:t>
            </w:r>
          </w:p>
        </w:tc>
        <w:tc>
          <w:tcPr>
            <w:tcW w:type="dxa" w:w="120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56.1</w:t>
            </w:r>
          </w:p>
        </w:tc>
        <w:tc>
          <w:tcPr>
            <w:tcW w:type="dxa" w:w="126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SBI</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Banking</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0.077</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0.333</w:t>
            </w:r>
          </w:p>
        </w:tc>
        <w:tc>
          <w:tcPr>
            <w:tcW w:type="dxa" w:w="120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53.6</w:t>
            </w:r>
          </w:p>
        </w:tc>
        <w:tc>
          <w:tcPr>
            <w:tcW w:type="dxa" w:w="126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Dr. Reddy's</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Pharma</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0.200</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0.750</w:t>
            </w:r>
          </w:p>
        </w:tc>
        <w:tc>
          <w:tcPr>
            <w:tcW w:type="dxa" w:w="120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53.2</w:t>
            </w:r>
          </w:p>
        </w:tc>
        <w:tc>
          <w:tcPr>
            <w:tcW w:type="dxa" w:w="126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TCS</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0.125</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0.667</w:t>
            </w:r>
          </w:p>
        </w:tc>
        <w:tc>
          <w:tcPr>
            <w:tcW w:type="dxa" w:w="120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52.4</w:t>
            </w:r>
          </w:p>
        </w:tc>
        <w:tc>
          <w:tcPr>
            <w:tcW w:type="dxa" w:w="126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M&amp;M</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0.091</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0.500</w:t>
            </w:r>
          </w:p>
        </w:tc>
        <w:tc>
          <w:tcPr>
            <w:tcW w:type="dxa" w:w="120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49.3</w:t>
            </w:r>
          </w:p>
        </w:tc>
        <w:tc>
          <w:tcPr>
            <w:tcW w:type="dxa" w:w="126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Tata Motors</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0.091</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0.500</w:t>
            </w:r>
          </w:p>
        </w:tc>
        <w:tc>
          <w:tcPr>
            <w:tcW w:type="dxa" w:w="120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48.9</w:t>
            </w:r>
          </w:p>
        </w:tc>
        <w:tc>
          <w:tcPr>
            <w:tcW w:type="dxa" w:w="126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Maruti Suzuki</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0.167</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0.500</w:t>
            </w:r>
          </w:p>
        </w:tc>
        <w:tc>
          <w:tcPr>
            <w:tcW w:type="dxa" w:w="120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46.3</w:t>
            </w:r>
          </w:p>
        </w:tc>
        <w:tc>
          <w:tcPr>
            <w:tcW w:type="dxa" w:w="126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Wipro</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0.111</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0.667</w:t>
            </w:r>
          </w:p>
        </w:tc>
        <w:tc>
          <w:tcPr>
            <w:tcW w:type="dxa" w:w="120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43.9</w:t>
            </w:r>
          </w:p>
        </w:tc>
        <w:tc>
          <w:tcPr>
            <w:tcW w:type="dxa" w:w="126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ICICI Bank</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Banking</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0.286</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0.800</w:t>
            </w:r>
          </w:p>
        </w:tc>
        <w:tc>
          <w:tcPr>
            <w:tcW w:type="dxa" w:w="120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33.6</w:t>
            </w:r>
          </w:p>
        </w:tc>
        <w:tc>
          <w:tcPr>
            <w:tcW w:type="dxa" w:w="1260"/>
            <w:tcBorders>
              <w:top w:val="single" w:color="B0C4DE" w:sz="1"/>
              <w:left w:val="single" w:color="B0C4DE" w:sz="1"/>
              <w:bottom w:val="single" w:color="B0C4DE" w:sz="1"/>
              <w:right w:val="single" w:color="B0C4DE" w:sz="1"/>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r>
    </w:tbl>
    <w:p>
      <w:pPr>
        <w:spacing w:after="80" w:before="80"/>
      </w:pPr>
    </w:p>
    <w:p>
      <w:pPr>
        <w:spacing w:after="100" w:before="100"/>
      </w:pPr>
      <w:r>
        <w:rPr>
          <w:rFonts w:ascii="Arial" w:cs="Arial" w:eastAsia="Arial" w:hAnsi="Arial"/>
          <w:color w:val="222222"/>
          <w:sz w:val="20"/>
          <w:szCs w:val="20"/>
        </w:rPr>
        <w:t xml:space="preserve">SR = Specificity Ratio (0–1).  AVVR = Action-Vague Verb Ratio (0–1).  GRS = Composite Greenwashing Risk Score (0–100).  Pearson r (SR, GRS) = −0.725, p = 0.002.</w:t>
      </w:r>
    </w:p>
    <w:p>
      <w:pPr>
        <w:spacing w:after="80" w:before="80"/>
      </w:pPr>
    </w:p>
    <w:p>
      <w:pPr>
        <w:pStyle w:val="Heading2"/>
        <w:spacing w:after="100" w:before="240"/>
      </w:pPr>
      <w:r>
        <w:rPr>
          <w:rFonts w:ascii="Arial" w:cs="Arial" w:eastAsia="Arial" w:hAnsi="Arial"/>
          <w:b/>
          <w:bCs/>
          <w:color w:val="2E75B6"/>
          <w:sz w:val="24"/>
          <w:szCs w:val="24"/>
        </w:rPr>
        <w:t xml:space="preserve">3.2 Sector Averages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1200"/>
        <w:gridCol w:w="4360"/>
      </w:tblGrid>
      <w:tr>
        <w:trPr>
          <w:tblHeader/>
        </w:trPr>
        <w:tc>
          <w:tcPr>
            <w:tcW w:type="dxa" w:w="180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Sector</w:t>
            </w:r>
          </w:p>
        </w:tc>
        <w:tc>
          <w:tcPr>
            <w:tcW w:type="dxa" w:w="80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120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 GRS</w:t>
            </w:r>
          </w:p>
        </w:tc>
        <w:tc>
          <w:tcPr>
            <w:tcW w:type="dxa" w:w="120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 SR</w:t>
            </w:r>
          </w:p>
        </w:tc>
        <w:tc>
          <w:tcPr>
            <w:tcW w:type="dxa" w:w="436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Observation</w:t>
            </w:r>
          </w:p>
        </w:tc>
      </w:tr>
      <w:tr>
        <w:tc>
          <w:tcPr>
            <w:tcW w:type="dxa" w:w="1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Heavy Industry</w:t>
            </w:r>
          </w:p>
        </w:tc>
        <w:tc>
          <w:tcPr>
            <w:tcW w:type="dxa" w:w="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72.5</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w:t>
            </w:r>
          </w:p>
        </w:tc>
        <w:tc>
          <w:tcPr>
            <w:tcW w:type="dxa" w:w="4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 risk across corpus</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Cement</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67.0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0.029</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extracts near-zero SR</w:t>
            </w:r>
          </w:p>
        </w:tc>
      </w:tr>
      <w:tr>
        <w:tc>
          <w:tcPr>
            <w:tcW w:type="dxa" w:w="1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Pharma</w:t>
            </w:r>
          </w:p>
        </w:tc>
        <w:tc>
          <w:tcPr>
            <w:tcW w:type="dxa" w:w="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66.1</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0.086</w:t>
            </w:r>
          </w:p>
        </w:tc>
        <w:tc>
          <w:tcPr>
            <w:tcW w:type="dxa" w:w="4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 Reddy's outlier (SR=0.20)</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IT</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53.4</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0.101</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Wide intra-sector spread</w:t>
            </w:r>
          </w:p>
        </w:tc>
      </w:tr>
      <w:tr>
        <w:tc>
          <w:tcPr>
            <w:tcW w:type="dxa" w:w="1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Banking</w:t>
            </w:r>
          </w:p>
        </w:tc>
        <w:tc>
          <w:tcPr>
            <w:tcW w:type="dxa" w:w="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50.7</w:t>
            </w:r>
          </w:p>
        </w:tc>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0.121</w:t>
            </w:r>
          </w:p>
        </w:tc>
        <w:tc>
          <w:tcPr>
            <w:tcW w:type="dxa" w:w="4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Financed emissions dominant</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Auto</w:t>
            </w:r>
          </w:p>
        </w:tc>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48.2</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0.116</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MEDIUM; SR reasonably stable</w:t>
            </w:r>
          </w:p>
        </w:tc>
      </w:tr>
    </w:tbl>
    <w:p>
      <w:pPr>
        <w:spacing w:after="80" w:before="80"/>
      </w:pPr>
    </w:p>
    <w:p>
      <w:pPr>
        <w:spacing w:after="100" w:before="100"/>
      </w:pPr>
      <w:r>
        <w:rPr>
          <w:rFonts w:ascii="Arial" w:cs="Arial" w:eastAsia="Arial" w:hAnsi="Arial"/>
          <w:color w:val="222222"/>
          <w:sz w:val="20"/>
          <w:szCs w:val="20"/>
        </w:rPr>
        <w:t xml:space="preserve">Kruskal-Wallis test: H = 7.47, p = 0.188 (not significant — low power at n=15). Sector differences are descriptive and directionally consistent with international literature on manufacturing-sector ESG disclosure.</w:t>
      </w:r>
    </w:p>
    <w:p>
      <w:pPr>
        <w:spacing w:after="80" w:before="80"/>
      </w:pPr>
    </w:p>
    <w:p>
      <w:pPr>
        <w:pStyle w:val="Heading2"/>
        <w:spacing w:after="100" w:before="240"/>
      </w:pPr>
      <w:r>
        <w:rPr>
          <w:rFonts w:ascii="Arial" w:cs="Arial" w:eastAsia="Arial" w:hAnsi="Arial"/>
          <w:b/>
          <w:bCs/>
          <w:color w:val="2E75B6"/>
          <w:sz w:val="24"/>
          <w:szCs w:val="24"/>
        </w:rPr>
        <w:t xml:space="preserve">3.3 Key Findings</w:t>
      </w:r>
    </w:p>
    <w:p>
      <w:pPr>
        <w:pStyle w:val="ListParagraph"/>
        <w:numPr>
          <w:ilvl w:val="0"/>
          <w:numId w:val="2"/>
        </w:numPr>
        <w:spacing w:after="60" w:before="60"/>
      </w:pPr>
      <w:r>
        <w:rPr>
          <w:rFonts w:ascii="Arial" w:cs="Arial" w:eastAsia="Arial" w:hAnsi="Arial"/>
          <w:color w:val="222222"/>
          <w:sz w:val="20"/>
          <w:szCs w:val="20"/>
        </w:rPr>
        <w:t xml:space="preserve">No company scored LOW (GRS &lt; 30) — the absence of any company in the low-risk band is itself a finding.</w:t>
      </w:r>
    </w:p>
    <w:p>
      <w:pPr>
        <w:pStyle w:val="ListParagraph"/>
        <w:numPr>
          <w:ilvl w:val="0"/>
          <w:numId w:val="2"/>
        </w:numPr>
        <w:spacing w:after="60" w:before="60"/>
      </w:pPr>
      <w:r>
        <w:rPr>
          <w:rFonts w:ascii="Arial" w:cs="Arial" w:eastAsia="Arial" w:hAnsi="Arial"/>
          <w:color w:val="222222"/>
          <w:sz w:val="20"/>
          <w:szCs w:val="20"/>
        </w:rPr>
        <w:t xml:space="preserve">SR is the dominant GRS driver (r = −0.725, p = 0.002): companies that quantify claims have materially lower risk scores.</w:t>
      </w:r>
    </w:p>
    <w:p>
      <w:pPr>
        <w:pStyle w:val="ListParagraph"/>
        <w:numPr>
          <w:ilvl w:val="0"/>
          <w:numId w:val="2"/>
        </w:numPr>
        <w:spacing w:after="60" w:before="60"/>
      </w:pPr>
      <w:r>
        <w:rPr>
          <w:rFonts w:ascii="Arial" w:cs="Arial" w:eastAsia="Arial" w:hAnsi="Arial"/>
          <w:color w:val="222222"/>
          <w:sz w:val="20"/>
          <w:szCs w:val="20"/>
        </w:rPr>
        <w:t xml:space="preserve">Manufacturing sectors (Cement, Steel) show an inverse pattern: high climate ambition language alongside near-zero quantitative grounding — consistent with Bingler et al. (2022) "cheap talk" characterisation.</w:t>
      </w:r>
    </w:p>
    <w:p>
      <w:pPr>
        <w:pStyle w:val="ListParagraph"/>
        <w:numPr>
          <w:ilvl w:val="0"/>
          <w:numId w:val="2"/>
        </w:numPr>
        <w:spacing w:after="60" w:before="60"/>
      </w:pPr>
      <w:r>
        <w:rPr>
          <w:rFonts w:ascii="Arial" w:cs="Arial" w:eastAsia="Arial" w:hAnsi="Arial"/>
          <w:color w:val="222222"/>
          <w:sz w:val="20"/>
          <w:szCs w:val="20"/>
        </w:rPr>
        <w:t xml:space="preserve">NYSE cross-listed companies show slightly higher mean SR (0.126 vs. 0.079) and lower mean GRS (53.7 vs. 58.4), consistent with the SEC-reporting premium hypothesis.</w:t>
      </w:r>
    </w:p>
    <w:p>
      <w:pPr>
        <w:pStyle w:val="ListParagraph"/>
        <w:numPr>
          <w:ilvl w:val="0"/>
          <w:numId w:val="2"/>
        </w:numPr>
        <w:spacing w:after="60" w:before="60"/>
      </w:pPr>
      <w:r>
        <w:rPr>
          <w:rFonts w:ascii="Arial" w:cs="Arial" w:eastAsia="Arial" w:hAnsi="Arial"/>
          <w:color w:val="222222"/>
          <w:sz w:val="20"/>
          <w:szCs w:val="20"/>
        </w:rPr>
        <w:t xml:space="preserve">Four companies (UltraTech, Cipla, Tata Steel, HDFC Bank) had AVVR = 0.000 — no action verbs detected in any sentence — all scored HIGH on GRS.</w:t>
      </w:r>
    </w:p>
    <w:p>
      <w:pPr>
        <w:spacing w:after="80" w:before="80"/>
      </w:pPr>
    </w:p>
    <w:p>
      <w:pPr>
        <w:pStyle w:val="Heading1"/>
        <w:pBdr>
          <w:bottom w:val="single" w:color="2E75B6" w:sz="8" w:space="4"/>
        </w:pBdr>
        <w:spacing w:after="160" w:before="320"/>
      </w:pPr>
      <w:r>
        <w:rPr>
          <w:rFonts w:ascii="Arial" w:cs="Arial" w:eastAsia="Arial" w:hAnsi="Arial"/>
          <w:b/>
          <w:bCs/>
          <w:color w:val="1F4E79"/>
          <w:sz w:val="28"/>
          <w:szCs w:val="28"/>
        </w:rPr>
        <w:t xml:space="preserve">4. Limitations</w:t>
      </w:r>
    </w:p>
    <w:p>
      <w:pPr>
        <w:pStyle w:val="ListParagraph"/>
        <w:numPr>
          <w:ilvl w:val="0"/>
          <w:numId w:val="2"/>
        </w:numPr>
        <w:spacing w:after="60" w:before="60"/>
      </w:pPr>
      <w:r>
        <w:rPr>
          <w:rFonts w:ascii="Arial" w:cs="Arial" w:eastAsia="Arial" w:hAnsi="Arial"/>
          <w:color w:val="222222"/>
          <w:sz w:val="20"/>
          <w:szCs w:val="20"/>
        </w:rPr>
        <w:t xml:space="preserve">n = 15 is small; no sector-level finding is statistically significant. All inter-sector comparisons are descriptive.</w:t>
      </w:r>
    </w:p>
    <w:p>
      <w:pPr>
        <w:pStyle w:val="ListParagraph"/>
        <w:numPr>
          <w:ilvl w:val="0"/>
          <w:numId w:val="2"/>
        </w:numPr>
        <w:spacing w:after="60" w:before="60"/>
      </w:pPr>
      <w:r>
        <w:rPr>
          <w:rFonts w:ascii="Arial" w:cs="Arial" w:eastAsia="Arial" w:hAnsi="Arial"/>
          <w:color w:val="222222"/>
          <w:sz w:val="20"/>
          <w:szCs w:val="20"/>
        </w:rPr>
        <w:t xml:space="preserve">Eight of 15 reports are extract-based (not full PDF), likely underestimating SR for quantitative-table-heavy reports.</w:t>
      </w:r>
    </w:p>
    <w:p>
      <w:pPr>
        <w:pStyle w:val="ListParagraph"/>
        <w:numPr>
          <w:ilvl w:val="0"/>
          <w:numId w:val="2"/>
        </w:numPr>
        <w:spacing w:after="60" w:before="60"/>
      </w:pPr>
      <w:r>
        <w:rPr>
          <w:rFonts w:ascii="Arial" w:cs="Arial" w:eastAsia="Arial" w:hAnsi="Arial"/>
          <w:color w:val="222222"/>
          <w:sz w:val="20"/>
          <w:szCs w:val="20"/>
        </w:rPr>
        <w:t xml:space="preserve">GRS weights are theoretically motivated, not empirically fitted; no labelled BRSR greenwashing dataset exists.</w:t>
      </w:r>
    </w:p>
    <w:p>
      <w:pPr>
        <w:pStyle w:val="ListParagraph"/>
        <w:numPr>
          <w:ilvl w:val="0"/>
          <w:numId w:val="2"/>
        </w:numPr>
        <w:spacing w:after="60" w:before="60"/>
      </w:pPr>
      <w:r>
        <w:rPr>
          <w:rFonts w:ascii="Arial" w:cs="Arial" w:eastAsia="Arial" w:hAnsi="Arial"/>
          <w:color w:val="222222"/>
          <w:sz w:val="20"/>
          <w:szCs w:val="20"/>
        </w:rPr>
        <w:t xml:space="preserve">FinBERT not integrated live — scores available only via Colab extension.</w:t>
      </w:r>
    </w:p>
    <w:p>
      <w:pPr>
        <w:pStyle w:val="ListParagraph"/>
        <w:numPr>
          <w:ilvl w:val="0"/>
          <w:numId w:val="2"/>
        </w:numPr>
        <w:spacing w:after="60" w:before="60"/>
      </w:pPr>
      <w:r>
        <w:rPr>
          <w:rFonts w:ascii="Arial" w:cs="Arial" w:eastAsia="Arial" w:hAnsi="Arial"/>
          <w:color w:val="222222"/>
          <w:sz w:val="20"/>
          <w:szCs w:val="20"/>
        </w:rPr>
        <w:t xml:space="preserve">GRS measures textual credibility risk, not actual greenwashing; matched performance data is required for that.</w:t>
      </w:r>
    </w:p>
    <w:p>
      <w:pPr>
        <w:pStyle w:val="ListParagraph"/>
        <w:numPr>
          <w:ilvl w:val="0"/>
          <w:numId w:val="2"/>
        </w:numPr>
        <w:spacing w:after="60" w:before="60"/>
      </w:pPr>
      <w:r>
        <w:rPr>
          <w:rFonts w:ascii="Arial" w:cs="Arial" w:eastAsia="Arial" w:hAnsi="Arial"/>
          <w:color w:val="222222"/>
          <w:sz w:val="20"/>
          <w:szCs w:val="20"/>
        </w:rPr>
        <w:t xml:space="preserve">Corpus spans three fiscal years (FY2022–25); BRSR Core update in FY2023-24 changes the disclosure standard mid-sample.</w:t>
      </w:r>
    </w:p>
    <w:p>
      <w:pPr>
        <w:spacing w:after="80" w:before="80"/>
      </w:pPr>
    </w:p>
    <w:p>
      <w:pPr>
        <w:pStyle w:val="Heading1"/>
        <w:pBdr>
          <w:bottom w:val="single" w:color="2E75B6" w:sz="8" w:space="4"/>
        </w:pBdr>
        <w:spacing w:after="160" w:before="320"/>
      </w:pPr>
      <w:r>
        <w:rPr>
          <w:rFonts w:ascii="Arial" w:cs="Arial" w:eastAsia="Arial" w:hAnsi="Arial"/>
          <w:b/>
          <w:bCs/>
          <w:color w:val="1F4E79"/>
          <w:sz w:val="28"/>
          <w:szCs w:val="28"/>
        </w:rPr>
        <w:t xml:space="preserve">5. Conclusion</w:t>
      </w:r>
    </w:p>
    <w:p>
      <w:pPr>
        <w:spacing w:after="100" w:before="100"/>
      </w:pPr>
      <w:r>
        <w:rPr>
          <w:rFonts w:ascii="Arial" w:cs="Arial" w:eastAsia="Arial" w:hAnsi="Arial"/>
          <w:color w:val="222222"/>
          <w:sz w:val="20"/>
          <w:szCs w:val="20"/>
        </w:rPr>
        <w:t xml:space="preserve">This study delivers an open, reproducible NLP pipeline for quantifying textual greenwashing risk in Indian BRSR filings. Applying it to 15 real disclosures confirms that aspirational ESG language is widespread, that manufacturing-sector reports show the widest gap between climate ambition and measurable quantification, and that Specificity Ratio is the single most reliable textual signal. The pipeline, corpus, and FinBERT extension are fully available on GitHub for extension to the full top-100 or top-1,000 BRSR filer universe.</w:t>
      </w:r>
    </w:p>
    <w:p>
      <w:pPr>
        <w:spacing w:after="80" w:before="80"/>
      </w:pPr>
    </w:p>
    <w:p>
      <w:pPr>
        <w:pStyle w:val="Heading1"/>
        <w:pBdr>
          <w:bottom w:val="single" w:color="2E75B6" w:sz="8" w:space="4"/>
        </w:pBdr>
        <w:spacing w:after="160" w:before="320"/>
      </w:pPr>
      <w:r>
        <w:rPr>
          <w:rFonts w:ascii="Arial" w:cs="Arial" w:eastAsia="Arial" w:hAnsi="Arial"/>
          <w:b/>
          <w:bCs/>
          <w:color w:val="1F4E79"/>
          <w:sz w:val="28"/>
          <w:szCs w:val="28"/>
        </w:rPr>
        <w:t xml:space="preserve">References</w:t>
      </w:r>
    </w:p>
    <w:p>
      <w:pPr>
        <w:spacing w:after="80" w:before="80"/>
      </w:pPr>
      <w:r>
        <w:rPr>
          <w:rFonts w:ascii="Arial" w:cs="Arial" w:eastAsia="Arial" w:hAnsi="Arial"/>
          <w:b/>
          <w:bCs/>
          <w:color w:val="000000"/>
          <w:sz w:val="20"/>
          <w:szCs w:val="20"/>
        </w:rPr>
        <w:t xml:space="preserve">[1] Araci, D. (2019). </w:t>
      </w:r>
      <w:r>
        <w:rPr>
          <w:rFonts w:ascii="Arial" w:cs="Arial" w:eastAsia="Arial" w:hAnsi="Arial"/>
          <w:color w:val="222222"/>
          <w:sz w:val="20"/>
          <w:szCs w:val="20"/>
        </w:rPr>
        <w:t xml:space="preserve">FinBERT: Financial Sentiment Analysis with Pre-trained Language Models. arXiv:1908.10063.</w:t>
      </w:r>
    </w:p>
    <w:p>
      <w:pPr>
        <w:spacing w:after="80" w:before="80"/>
      </w:pPr>
      <w:r>
        <w:rPr>
          <w:rFonts w:ascii="Arial" w:cs="Arial" w:eastAsia="Arial" w:hAnsi="Arial"/>
          <w:b/>
          <w:bCs/>
          <w:color w:val="000000"/>
          <w:sz w:val="20"/>
          <w:szCs w:val="20"/>
        </w:rPr>
        <w:t xml:space="preserve">[2] Bingler et al. (2022). </w:t>
      </w:r>
      <w:r>
        <w:rPr>
          <w:rFonts w:ascii="Arial" w:cs="Arial" w:eastAsia="Arial" w:hAnsi="Arial"/>
          <w:color w:val="222222"/>
          <w:sz w:val="20"/>
          <w:szCs w:val="20"/>
        </w:rPr>
        <w:t xml:space="preserve">Cheap Talk and Cherry-Picking: What ClimateBert Has to Say on Corporate Climate Risk Disclosures. Finance Research Letters.</w:t>
      </w:r>
    </w:p>
    <w:p>
      <w:pPr>
        <w:spacing w:after="80" w:before="80"/>
      </w:pPr>
      <w:r>
        <w:rPr>
          <w:rFonts w:ascii="Arial" w:cs="Arial" w:eastAsia="Arial" w:hAnsi="Arial"/>
          <w:b/>
          <w:bCs/>
          <w:color w:val="000000"/>
          <w:sz w:val="20"/>
          <w:szCs w:val="20"/>
        </w:rPr>
        <w:t xml:space="preserve">[3] Blei, D.M., Ng, A.Y., &amp; Jordan, M.I. (2003). </w:t>
      </w:r>
      <w:r>
        <w:rPr>
          <w:rFonts w:ascii="Arial" w:cs="Arial" w:eastAsia="Arial" w:hAnsi="Arial"/>
          <w:color w:val="222222"/>
          <w:sz w:val="20"/>
          <w:szCs w:val="20"/>
        </w:rPr>
        <w:t xml:space="preserve">Latent Dirichlet Allocation. Journal of Machine Learning Research, 3, 993–1022.</w:t>
      </w:r>
    </w:p>
    <w:p>
      <w:pPr>
        <w:spacing w:after="80" w:before="80"/>
      </w:pPr>
      <w:r>
        <w:rPr>
          <w:rFonts w:ascii="Arial" w:cs="Arial" w:eastAsia="Arial" w:hAnsi="Arial"/>
          <w:b/>
          <w:bCs/>
          <w:color w:val="000000"/>
          <w:sz w:val="20"/>
          <w:szCs w:val="20"/>
        </w:rPr>
        <w:t xml:space="preserve">[4] Clarkson et al. (2008). </w:t>
      </w:r>
      <w:r>
        <w:rPr>
          <w:rFonts w:ascii="Arial" w:cs="Arial" w:eastAsia="Arial" w:hAnsi="Arial"/>
          <w:color w:val="222222"/>
          <w:sz w:val="20"/>
          <w:szCs w:val="20"/>
        </w:rPr>
        <w:t xml:space="preserve">Revisiting the relation between environmental performance and environmental disclosure. Accounting, Organizations and Society, 33(4–5), 303–327.</w:t>
      </w:r>
    </w:p>
    <w:p>
      <w:pPr>
        <w:spacing w:after="80" w:before="80"/>
      </w:pPr>
      <w:r>
        <w:rPr>
          <w:rFonts w:ascii="Arial" w:cs="Arial" w:eastAsia="Arial" w:hAnsi="Arial"/>
          <w:b/>
          <w:bCs/>
          <w:color w:val="000000"/>
          <w:sz w:val="20"/>
          <w:szCs w:val="20"/>
        </w:rPr>
        <w:t xml:space="preserve">[5] Devlin et al. (2019). </w:t>
      </w:r>
      <w:r>
        <w:rPr>
          <w:rFonts w:ascii="Arial" w:cs="Arial" w:eastAsia="Arial" w:hAnsi="Arial"/>
          <w:color w:val="222222"/>
          <w:sz w:val="20"/>
          <w:szCs w:val="20"/>
        </w:rPr>
        <w:t xml:space="preserve">BERT: Pre-training of Deep Bidirectional Transformers. NAACL-HLT. arXiv:1810.04805.</w:t>
      </w:r>
    </w:p>
    <w:p>
      <w:pPr>
        <w:spacing w:after="80" w:before="80"/>
      </w:pPr>
      <w:r>
        <w:rPr>
          <w:rFonts w:ascii="Arial" w:cs="Arial" w:eastAsia="Arial" w:hAnsi="Arial"/>
          <w:b/>
          <w:bCs/>
          <w:color w:val="000000"/>
          <w:sz w:val="20"/>
          <w:szCs w:val="20"/>
        </w:rPr>
        <w:t xml:space="preserve">[6] Loughran, T. &amp; McDonald, B. (2011). </w:t>
      </w:r>
      <w:r>
        <w:rPr>
          <w:rFonts w:ascii="Arial" w:cs="Arial" w:eastAsia="Arial" w:hAnsi="Arial"/>
          <w:color w:val="222222"/>
          <w:sz w:val="20"/>
          <w:szCs w:val="20"/>
        </w:rPr>
        <w:t xml:space="preserve">When is a Liability Not a Liability? Journal of Finance, 66(1), 35–65.</w:t>
      </w:r>
    </w:p>
    <w:p>
      <w:pPr>
        <w:spacing w:after="80" w:before="80"/>
      </w:pPr>
      <w:r>
        <w:rPr>
          <w:rFonts w:ascii="Arial" w:cs="Arial" w:eastAsia="Arial" w:hAnsi="Arial"/>
          <w:b/>
          <w:bCs/>
          <w:color w:val="000000"/>
          <w:sz w:val="20"/>
          <w:szCs w:val="20"/>
        </w:rPr>
        <w:t xml:space="preserve">[7] Marquis, C. &amp; Toffel, M. (2012). </w:t>
      </w:r>
      <w:r>
        <w:rPr>
          <w:rFonts w:ascii="Arial" w:cs="Arial" w:eastAsia="Arial" w:hAnsi="Arial"/>
          <w:color w:val="222222"/>
          <w:sz w:val="20"/>
          <w:szCs w:val="20"/>
        </w:rPr>
        <w:t xml:space="preserve">When Do Corporate Actions Constitute Impression Management? HBS Working Paper 11-023.</w:t>
      </w:r>
    </w:p>
    <w:p>
      <w:pPr>
        <w:spacing w:after="80" w:before="80"/>
      </w:pPr>
      <w:r>
        <w:rPr>
          <w:rFonts w:ascii="Arial" w:cs="Arial" w:eastAsia="Arial" w:hAnsi="Arial"/>
          <w:b/>
          <w:bCs/>
          <w:color w:val="000000"/>
          <w:sz w:val="20"/>
          <w:szCs w:val="20"/>
        </w:rPr>
        <w:t xml:space="preserve">[8] SEBI (2021/2023). </w:t>
      </w:r>
      <w:r>
        <w:rPr>
          <w:rFonts w:ascii="Arial" w:cs="Arial" w:eastAsia="Arial" w:hAnsi="Arial"/>
          <w:color w:val="222222"/>
          <w:sz w:val="20"/>
          <w:szCs w:val="20"/>
        </w:rPr>
        <w:t xml:space="preserve">BRSR Circular. Securities and Exchange Board of India. https://www.sebi.gov.in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[Your Name]  |  github.com/[yourusername]/brsr-nlp-greenwashing  |  p.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6"/>
        <w:szCs w:val="16"/>
      </w:rPr>
      <w:t xml:space="preserve">BRSR Greenwashing Risk Screener — NLP Analysis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2026-06-23T02:16:36.352Z</dcterms:created>
  <dcterms:modified xsi:type="dcterms:W3CDTF">2026-06-23T02:16:36.352Z</dcterms:modified>
</cp:coreProperties>
</file>

<file path=docProps/custom.xml><?xml version="1.0" encoding="utf-8"?>
<Properties xmlns="http://schemas.openxmlformats.org/officeDocument/2006/custom-properties" xmlns:vt="http://schemas.openxmlformats.org/officeDocument/2006/docPropsVTypes"/>
</file>