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Times New Roman" w:cs="Times New Roman" w:eastAsia="Times New Roman" w:hAnsi="Times New Roman"/>
          <w:b/>
          <w:bCs/>
          <w:sz w:val="36"/>
          <w:szCs w:val="36"/>
        </w:rPr>
        <w:t xml:space="preserve">Supply Chain Control Tower Dashboard:</w:t>
      </w:r>
    </w:p>
    <w:p>
      <w:pPr>
        <w:spacing w:after="480" w:before="0"/>
        <w:jc w:val="center"/>
      </w:pPr>
      <w:r>
        <w:rPr>
          <w:rFonts w:ascii="Times New Roman" w:cs="Times New Roman" w:eastAsia="Times New Roman" w:hAnsi="Times New Roman"/>
          <w:b/>
          <w:bCs/>
          <w:sz w:val="36"/>
          <w:szCs w:val="36"/>
        </w:rPr>
        <w:t xml:space="preserve">A Data-Driven Analytical Framework for Delivery Performance Visibility</w:t>
      </w:r>
    </w:p>
    <w:p>
      <w:pPr>
        <w:spacing w:after="120" w:before="0"/>
        <w:jc w:val="center"/>
      </w:pPr>
      <w:r>
        <w:rPr>
          <w:rFonts w:ascii="Times New Roman" w:cs="Times New Roman" w:eastAsia="Times New Roman" w:hAnsi="Times New Roman"/>
          <w:b/>
          <w:bCs/>
          <w:sz w:val="26"/>
          <w:szCs w:val="26"/>
        </w:rPr>
        <w:t xml:space="preserve">Rupal Rani</w:t>
      </w:r>
    </w:p>
    <w:p>
      <w:pPr>
        <w:spacing w:after="60" w:before="0"/>
        <w:jc w:val="center"/>
      </w:pPr>
      <w:r>
        <w:rPr>
          <w:rFonts w:ascii="Times New Roman" w:cs="Times New Roman" w:eastAsia="Times New Roman" w:hAnsi="Times New Roman"/>
          <w:sz w:val="24"/>
          <w:szCs w:val="24"/>
        </w:rPr>
        <w:t xml:space="preserve">Tata Institute of Social Sciences, Mumbai</w:t>
      </w:r>
    </w:p>
    <w:p>
      <w:pPr>
        <w:spacing w:after="480" w:before="0"/>
        <w:jc w:val="center"/>
      </w:pPr>
      <w:r>
        <w:rPr>
          <w:rFonts w:ascii="Times New Roman" w:cs="Times New Roman" w:eastAsia="Times New Roman" w:hAnsi="Times New Roman"/>
          <w:sz w:val="24"/>
          <w:szCs w:val="24"/>
        </w:rPr>
        <w:t xml:space="preserve">School of Management and Labour Studies</w:t>
      </w:r>
    </w:p>
    <w:p>
      <w:pPr>
        <w:spacing w:after="120" w:before="0"/>
        <w:jc w:val="center"/>
      </w:pPr>
      <w:r>
        <w:rPr>
          <w:rFonts w:ascii="Times New Roman" w:cs="Times New Roman" w:eastAsia="Times New Roman" w:hAnsi="Times New Roman"/>
          <w:sz w:val="22"/>
          <w:szCs w:val="22"/>
        </w:rPr>
        <w:t xml:space="preserve">Project 1 of 5 | Analytics and Sustainability Portfolio</w:t>
      </w:r>
    </w:p>
    <w:p>
      <w:pPr>
        <w:spacing w:after="120" w:before="0"/>
        <w:jc w:val="center"/>
      </w:pPr>
      <w:r>
        <w:rPr>
          <w:rFonts w:ascii="Times New Roman" w:cs="Times New Roman" w:eastAsia="Times New Roman" w:hAnsi="Times New Roman"/>
          <w:sz w:val="22"/>
          <w:szCs w:val="22"/>
        </w:rPr>
        <w:t xml:space="preserve">Fields: Data Analytics, Business Analytics, Supply Chain Visibility, Operations Management</w:t>
      </w:r>
    </w:p>
    <w:p>
      <w:pPr>
        <w:spacing w:after="120" w:before="0"/>
        <w:jc w:val="center"/>
      </w:pPr>
      <w:r>
        <w:rPr>
          <w:rFonts w:ascii="Times New Roman" w:cs="Times New Roman" w:eastAsia="Times New Roman" w:hAnsi="Times New Roman"/>
          <w:sz w:val="22"/>
          <w:szCs w:val="22"/>
        </w:rPr>
        <w:t xml:space="preserve">May 2026</w:t>
      </w:r>
    </w:p>
    <w:p>
      <w:pPr>
        <w:spacing w:after="0" w:before="0"/>
      </w:pPr>
      <w:r>
        <w:t xml:space="preserve"/>
      </w:r>
    </w:p>
    <w:p>
      <w:pPr>
        <w:spacing w:after="120" w:before="0"/>
        <w:jc w:val="center"/>
      </w:pPr>
      <w:r>
        <w:rPr>
          <w:rFonts w:ascii="Times New Roman" w:cs="Times New Roman" w:eastAsia="Times New Roman" w:hAnsi="Times New Roman"/>
          <w:sz w:val="22"/>
          <w:szCs w:val="22"/>
        </w:rPr>
        <w:t xml:space="preserve">Keywords: supply chain visibility, control tower, on-time in full, late delivery risk, predictive analytics, dashboard design, logistics performance, DataCo</w:t>
      </w:r>
    </w:p>
    <w:p>
      <w:r>
        <w:br w:type="page"/>
      </w:r>
    </w:p>
    <w:p>
      <w:pPr>
        <w:pStyle w:val="Heading1"/>
        <w:spacing w:after="180" w:before="360"/>
      </w:pPr>
      <w:r>
        <w:rPr>
          <w:rFonts w:ascii="Times New Roman" w:cs="Times New Roman" w:eastAsia="Times New Roman" w:hAnsi="Times New Roman"/>
          <w:b/>
          <w:bCs/>
          <w:caps/>
          <w:sz w:val="32"/>
          <w:szCs w:val="32"/>
        </w:rPr>
        <w:t xml:space="preserve">Abstract</w:t>
      </w:r>
    </w:p>
    <w:p>
      <w:pPr>
        <w:spacing w:after="120" w:before="120" w:line="480"/>
        <w:jc w:val="both"/>
      </w:pPr>
      <w:r>
        <w:rPr>
          <w:rFonts w:ascii="Times New Roman" w:cs="Times New Roman" w:eastAsia="Times New Roman" w:hAnsi="Times New Roman"/>
          <w:sz w:val="24"/>
          <w:szCs w:val="24"/>
        </w:rPr>
        <w:t xml:space="preserve">Late deliveries weaken service levels, raise logistics cost, and erode customer trust across supply chains. This paper presents a supply chain control tower dashboard framework built on order-and-shipment transaction data. The primary data source is the DataCo Smart Supply Chain dataset (Constante, Silva, &amp; Pereira, 2019), which holds approximately 180,519 order records across global markets. The framework computes five headline service key performance indicators: on-time-in-full (OTIF) rate, late delivery rate, average delivery delay, order cycle time, and fill rate. Each KPI follows the plan-source-make-deliver logic of the Supply Chain Operations Reference (SCOR) model (APICS, 2017) and the performance measurement framework of Gunasekaran, Patel, and Tirtiroglu (2001).</w:t>
      </w:r>
    </w:p>
    <w:p>
      <w:pPr>
        <w:spacing w:after="120" w:before="120" w:line="480"/>
        <w:jc w:val="both"/>
      </w:pPr>
      <w:r>
        <w:rPr>
          <w:rFonts w:ascii="Times New Roman" w:cs="Times New Roman" w:eastAsia="Times New Roman" w:hAnsi="Times New Roman"/>
          <w:sz w:val="24"/>
          <w:szCs w:val="24"/>
        </w:rPr>
        <w:t xml:space="preserve">Diagnostic analysis applies Pareto ranking and statistical process control limits to isolate the vital few delivery drivers and separate true exceptions from normal variation. A transparent baseline classifier, built with logistic regression and a decision tree, scores each order for late delivery risk before dispatch. Strict exclusion of the provided risk flag as a model feature prevents data leakage (Hazen, Boone, Ezell, &amp; Jones-Farmer, 2014).</w:t>
      </w:r>
    </w:p>
    <w:p>
      <w:pPr>
        <w:spacing w:after="120" w:before="120" w:line="480"/>
        <w:jc w:val="both"/>
      </w:pPr>
      <w:r>
        <w:rPr>
          <w:rFonts w:ascii="Times New Roman" w:cs="Times New Roman" w:eastAsia="Times New Roman" w:hAnsi="Times New Roman"/>
          <w:sz w:val="24"/>
          <w:szCs w:val="24"/>
        </w:rPr>
        <w:t xml:space="preserve">A five-view control tower dashboard, designed on at-a-glance principles (Few, 2013; Tufte, 2001), translates each analytical layer into coordinated action for planning and logistics teams. The theoretical foundation draws on the bullwhip effect and supply chain visibility-agility chain (Lee, Padmanabhan, &amp; Whang, 1997; Barratt &amp; Oke, 2007; Brusset, 2016), and places the project within India's National Logistics Policy target of reducing logistics cost from an estimated 14 percent of gross domestic product toward 7.5 to 8 percent (Department for Promotion of Industry and Internal Trade, 2022).</w:t>
      </w:r>
    </w:p>
    <w:p>
      <w:pPr>
        <w:spacing w:after="120" w:before="120" w:line="480"/>
        <w:jc w:val="both"/>
      </w:pPr>
      <w:r>
        <w:rPr>
          <w:rFonts w:ascii="Times New Roman" w:cs="Times New Roman" w:eastAsia="Times New Roman" w:hAnsi="Times New Roman"/>
          <w:sz w:val="24"/>
          <w:szCs w:val="24"/>
        </w:rPr>
        <w:t xml:space="preserve">Results from the illustrative sample show a late delivery rate of 41 percent and an OTIF rate of 55 percent, with LATAM as the highest-risk region and Standard Class shipping as the dominant delay mode. The framework is reproducible and scalable to the full DataCo extract.</w:t>
      </w:r>
    </w:p>
    <w:p>
      <w:r>
        <w:br w:type="page"/>
      </w:r>
    </w:p>
    <w:p>
      <w:pPr>
        <w:pStyle w:val="Heading1"/>
        <w:spacing w:after="180" w:before="360"/>
      </w:pPr>
      <w:r>
        <w:rPr>
          <w:rFonts w:ascii="Times New Roman" w:cs="Times New Roman" w:eastAsia="Times New Roman" w:hAnsi="Times New Roman"/>
          <w:b/>
          <w:bCs/>
          <w:caps/>
          <w:sz w:val="32"/>
          <w:szCs w:val="32"/>
        </w:rPr>
        <w:t xml:space="preserve">1. Introduction</w:t>
      </w:r>
    </w:p>
    <w:p>
      <w:pPr>
        <w:spacing w:after="120" w:before="120" w:line="480"/>
        <w:jc w:val="both"/>
      </w:pPr>
      <w:r>
        <w:rPr>
          <w:rFonts w:ascii="Times New Roman" w:cs="Times New Roman" w:eastAsia="Times New Roman" w:hAnsi="Times New Roman"/>
          <w:sz w:val="24"/>
          <w:szCs w:val="24"/>
        </w:rPr>
        <w:t xml:space="preserve">Late delivery is the most visible failure mode in supply chain management. It raises cost, reduces service levels, and weakens the commercial relationships that chains depend on. When a delivery arrives late, the consequences run upstream and downstream simultaneously: the customer bears the shortage, the distributor absorbs the service penalty, and the supplier carries the reputational cost. At scale, these individual failures compound into systemic inefficiency that erodes both revenue and resilience.</w:t>
      </w:r>
    </w:p>
    <w:p>
      <w:pPr>
        <w:spacing w:after="120" w:before="120" w:line="480"/>
        <w:jc w:val="both"/>
      </w:pPr>
      <w:r>
        <w:rPr>
          <w:rFonts w:ascii="Times New Roman" w:cs="Times New Roman" w:eastAsia="Times New Roman" w:hAnsi="Times New Roman"/>
          <w:sz w:val="24"/>
          <w:szCs w:val="24"/>
        </w:rPr>
        <w:t xml:space="preserve">Information distortion across multi-echelon chains amplifies this problem. Lee, Padmanabhan, and Whang (1997) demonstrated that small fluctuations in end-customer demand can grow into large swings in upstream order patterns, a phenomenon they named the bullwhip effect. The mechanism is simple: each echelon observes partial information and adjusts orders based on local signals rather than true end demand. The result is excess inventory at some nodes, stockouts at others, and widespread delivery delay. Simchi-Levi, Kaminsky, and Simchi-Levi (2008) identified shared, real-time information as the primary countermeasure, since it collapses the information gap between echelons.</w:t>
      </w:r>
    </w:p>
    <w:p>
      <w:pPr>
        <w:spacing w:after="120" w:before="120" w:line="480"/>
        <w:jc w:val="both"/>
      </w:pPr>
      <w:r>
        <w:rPr>
          <w:rFonts w:ascii="Times New Roman" w:cs="Times New Roman" w:eastAsia="Times New Roman" w:hAnsi="Times New Roman"/>
          <w:sz w:val="24"/>
          <w:szCs w:val="24"/>
        </w:rPr>
        <w:t xml:space="preserve">Supply chain visibility is the structured delivery of that real-time information. Barratt and Oke (2007) provided empirical evidence that visibility antecedents, including technology capability and partner collaboration, reduce uncertainty and raise responsiveness. Brusset (2016) added longitudinal evidence that visibility directly enhances supply chain agility. Caridi, Moretto, Perego, and Tumino (2014) proposed a value assessment model that translates visibility investment into measurable performance benefit. Williams, Roh, Tokar, and Swink (2013) showed that internal integration moderates the effect of visibility on responsiveness, demonstrating that organisational structure shapes how effectively visibility translates into action.</w:t>
      </w:r>
    </w:p>
    <w:p>
      <w:pPr>
        <w:spacing w:after="120" w:before="120" w:line="480"/>
        <w:jc w:val="both"/>
      </w:pPr>
      <w:r>
        <w:rPr>
          <w:rFonts w:ascii="Times New Roman" w:cs="Times New Roman" w:eastAsia="Times New Roman" w:hAnsi="Times New Roman"/>
          <w:sz w:val="24"/>
          <w:szCs w:val="24"/>
        </w:rPr>
        <w:t xml:space="preserve">The control tower is the operating model that converts visibility into coordinated action from one connected view. Trzuskawska-Grzesinska (2017) traced the concept from its origins in aviation and military command to its current application in supply chain operations, concluding that the control tower functions as an inter-organisational platform that aggregates data and enables exception-driven decision-making. Patsavellas, Kaur, and Salonitis (2021) assessed the technology-push and market-pull conditions for adoption, finding that readiness, not novelty, determines implementation success. The operational logic is consistent across both accounts: one view, one decision point, and one set of escalation rules.</w:t>
      </w:r>
    </w:p>
    <w:p>
      <w:pPr>
        <w:spacing w:after="120" w:before="120" w:line="480"/>
        <w:jc w:val="both"/>
      </w:pPr>
      <w:r>
        <w:rPr>
          <w:rFonts w:ascii="Times New Roman" w:cs="Times New Roman" w:eastAsia="Times New Roman" w:hAnsi="Times New Roman"/>
          <w:sz w:val="24"/>
          <w:szCs w:val="24"/>
        </w:rPr>
        <w:t xml:space="preserve">Analytics now sits at the centre of supply chain design and execution. Waller and Fawcett (2013) argued that data science is transforming supply chain management at a structural level, shifting the discipline from reactive reporting to proactive decision support. Wang, Gunasekaran, Ngai, and Papadopoulos (2016) reviewed emerging evidence on big data applications in logistics and found measurable gains in cost, service, and demand visibility. Nguyen, Zhou, Spiegler, Ieromonachou, and Lin (2018) mapped the state of the art across descriptive, diagnostic, predictive, and prescriptive analytics, confirming that the field is moving rapidly from description toward prediction and prescription.</w:t>
      </w:r>
    </w:p>
    <w:p>
      <w:pPr>
        <w:spacing w:after="120" w:before="120" w:line="480"/>
        <w:jc w:val="both"/>
      </w:pPr>
      <w:r>
        <w:rPr>
          <w:rFonts w:ascii="Times New Roman" w:cs="Times New Roman" w:eastAsia="Times New Roman" w:hAnsi="Times New Roman"/>
          <w:sz w:val="24"/>
          <w:szCs w:val="24"/>
        </w:rPr>
        <w:t xml:space="preserve">Machine learning has entered supply chain planning through demand forecasting and risk classification. Carbonneau, Laframboise, and Vahidov (2008) showed that recurrent neural networks and support vector machines outperform traditional moving-average methods on distorted demand signals. Feizabadi (2022) demonstrated that machine learning demand forecasting raises service levels by reducing forecast error. Breiman (2001) introduced random forests as a robust ensemble classifier that handles high-dimensional, correlated features without overfitting, making it suitable for order-level risk prediction.</w:t>
      </w:r>
    </w:p>
    <w:p>
      <w:pPr>
        <w:spacing w:after="120" w:before="120" w:line="480"/>
        <w:jc w:val="both"/>
      </w:pPr>
      <w:r>
        <w:rPr>
          <w:rFonts w:ascii="Times New Roman" w:cs="Times New Roman" w:eastAsia="Times New Roman" w:hAnsi="Times New Roman"/>
          <w:sz w:val="24"/>
          <w:szCs w:val="24"/>
        </w:rPr>
        <w:t xml:space="preserve">The India-specific case for this work is compelling. The National Logistics Policy targets a reduction in logistics cost toward 7.5 to 8 percent of gross domestic product (Department for Promotion of Industry and Internal Trade, 2022). India reached rank 38 of 139 countries on the World Bank Logistics Performance Index in 2023, up from rank 54 in 2014, but significant ground remains (World Bank, 2023; Press Information Bureau, 2023). The Logistics Ease Across Different States report provides a state-level benchmark that reveals wide variation in logistics infrastructure and services (Department for Promotion of Industry and Internal Trade, 2023). A data-driven control tower addresses the visibility gap that underlies much of this variation.</w:t>
      </w:r>
    </w:p>
    <w:p>
      <w:pPr>
        <w:spacing w:after="120" w:before="120" w:line="480"/>
        <w:jc w:val="both"/>
      </w:pPr>
      <w:r>
        <w:rPr>
          <w:rFonts w:ascii="Times New Roman" w:cs="Times New Roman" w:eastAsia="Times New Roman" w:hAnsi="Times New Roman"/>
          <w:sz w:val="24"/>
          <w:szCs w:val="24"/>
        </w:rPr>
        <w:t xml:space="preserve">This paper makes the following contributions. First, it presents a reproducible, four-layer analytical framework that moves from descriptive KPIs through diagnostic segmentation to predictive risk scoring, all within a coherent supply chain control tower architecture. Second, it demonstrates the full data cleaning, feature engineering, and modelling workflow on the DataCo dataset. Third, it designs a five-view control tower dashboard that connects each analytical layer to a specific operational action. Fourth, it situates the work within both the global supply chain analytics literature and the national context of India's logistics reform agenda.</w:t>
      </w:r>
    </w:p>
    <w:p>
      <w:pPr>
        <w:spacing w:after="120" w:before="120" w:line="480"/>
        <w:jc w:val="both"/>
      </w:pPr>
      <w:r>
        <w:rPr>
          <w:rFonts w:ascii="Times New Roman" w:cs="Times New Roman" w:eastAsia="Times New Roman" w:hAnsi="Times New Roman"/>
          <w:sz w:val="24"/>
          <w:szCs w:val="24"/>
        </w:rPr>
        <w:t xml:space="preserve">The remainder of the paper is structured as follows. Section 2 reviews the literature across ten thematic areas. Section 3 describes the research design. Section 4 presents the methodology. Section 5 defines the KPI library and formula set. Section 6 reports results and discussion. Section 7 describes the dashboard architecture. Section 8 states the limitations. Section 9 concludes.</w:t>
      </w:r>
    </w:p>
    <w:p>
      <w:r>
        <w:br w:type="page"/>
      </w:r>
    </w:p>
    <w:p>
      <w:pPr>
        <w:pStyle w:val="Heading1"/>
        <w:spacing w:after="180" w:before="360"/>
      </w:pPr>
      <w:r>
        <w:rPr>
          <w:rFonts w:ascii="Times New Roman" w:cs="Times New Roman" w:eastAsia="Times New Roman" w:hAnsi="Times New Roman"/>
          <w:b/>
          <w:bCs/>
          <w:caps/>
          <w:sz w:val="32"/>
          <w:szCs w:val="32"/>
        </w:rPr>
        <w:t xml:space="preserve">2. Literature Review</w:t>
      </w:r>
    </w:p>
    <w:p>
      <w:pPr>
        <w:spacing w:after="120" w:before="120" w:line="480"/>
        <w:jc w:val="both"/>
      </w:pPr>
      <w:r>
        <w:rPr>
          <w:rFonts w:ascii="Times New Roman" w:cs="Times New Roman" w:eastAsia="Times New Roman" w:hAnsi="Times New Roman"/>
          <w:sz w:val="24"/>
          <w:szCs w:val="24"/>
        </w:rPr>
        <w:t xml:space="preserve">This review maps evidence from global, national, state, and local levels. Each claim is classified by evidence strength: established fact, emerging evidence, or expert framing. The review covers ten thematic areas.</w:t>
      </w:r>
    </w:p>
    <w:p>
      <w:pPr>
        <w:pStyle w:val="Heading2"/>
        <w:spacing w:after="120" w:before="300"/>
      </w:pPr>
      <w:r>
        <w:rPr>
          <w:rFonts w:ascii="Times New Roman" w:cs="Times New Roman" w:eastAsia="Times New Roman" w:hAnsi="Times New Roman"/>
          <w:b/>
          <w:bCs/>
          <w:sz w:val="28"/>
          <w:szCs w:val="28"/>
        </w:rPr>
        <w:t xml:space="preserve">2.1 Supply Chain Management and the Visibility Imperative</w:t>
      </w:r>
    </w:p>
    <w:p>
      <w:pPr>
        <w:spacing w:after="120" w:before="120" w:line="480"/>
        <w:jc w:val="both"/>
      </w:pPr>
      <w:r>
        <w:rPr>
          <w:rFonts w:ascii="Times New Roman" w:cs="Times New Roman" w:eastAsia="Times New Roman" w:hAnsi="Times New Roman"/>
          <w:sz w:val="24"/>
          <w:szCs w:val="24"/>
        </w:rPr>
        <w:t xml:space="preserve">The term supply chain management has accumulated numerous definitions since the 1980s. Mentzer, DeWitt, Keebler, Min, Nix, Smith, and Zacharia (2001) reviewed the literature and proposed a unified definition: the systemic, strategic coordination of traditional business functions and tactics across business functions and across businesses within the supply chain, with the goal of improving long-term performance. Lambert and Cooper (2000) identified the major business processes that cross organisational boundaries, including customer relationship, demand, order fulfilment, manufacturing, procurement, product development, and returns. Chopra and Meindl (2021) structured the management challenge around three sets of decisions: supply chain design, planning, and operation. Christopher (2016) placed logistics at the centre of the supply chain value proposition, arguing that logistics capability is increasingly the primary source of competitive differentiation.</w:t>
      </w:r>
    </w:p>
    <w:p>
      <w:pPr>
        <w:spacing w:after="120" w:before="120" w:line="480"/>
        <w:jc w:val="both"/>
      </w:pPr>
      <w:r>
        <w:rPr>
          <w:rFonts w:ascii="Times New Roman" w:cs="Times New Roman" w:eastAsia="Times New Roman" w:hAnsi="Times New Roman"/>
          <w:sz w:val="24"/>
          <w:szCs w:val="24"/>
        </w:rPr>
        <w:t xml:space="preserve">Visibility is the informational foundation of all these decisions. Caridi, Crippa, Perego, Sianesi, and Tumino (2010) proposed a quantitative model that measures the degree of visibility a focal company has of its supply chain and linked it to supply chain configuration in terms of virtuality and complexity. Their finding that more complex chains require more visibility investment has direct implications for the design of a control tower. Barratt and Oke (2007) applied resource-based theory to identify the antecedents of visibility in retail supply chains, finding that technology capability and inter-firm trust are the two primary enablers. Brusset (2016) confirmed the empirical relationship between visibility and agility using a panel dataset, concluding that visibility is a necessary but not sufficient condition for agility; organisational processes must be in place to convert information into action. Williams, Roh, Tokar, and Swink (2013) demonstrated that internal integration is the critical moderator of this conversion.</w:t>
      </w:r>
    </w:p>
    <w:p>
      <w:pPr>
        <w:pStyle w:val="Heading2"/>
        <w:spacing w:after="120" w:before="300"/>
      </w:pPr>
      <w:r>
        <w:rPr>
          <w:rFonts w:ascii="Times New Roman" w:cs="Times New Roman" w:eastAsia="Times New Roman" w:hAnsi="Times New Roman"/>
          <w:b/>
          <w:bCs/>
          <w:sz w:val="28"/>
          <w:szCs w:val="28"/>
        </w:rPr>
        <w:t xml:space="preserve">2.2 The Bullwhip Effect and Information Distortion</w:t>
      </w:r>
    </w:p>
    <w:p>
      <w:pPr>
        <w:spacing w:after="120" w:before="120" w:line="480"/>
        <w:jc w:val="both"/>
      </w:pPr>
      <w:r>
        <w:rPr>
          <w:rFonts w:ascii="Times New Roman" w:cs="Times New Roman" w:eastAsia="Times New Roman" w:hAnsi="Times New Roman"/>
          <w:sz w:val="24"/>
          <w:szCs w:val="24"/>
        </w:rPr>
        <w:t xml:space="preserve">Lee, Padmanabhan, and Whang (1997) provided the foundational explanation of demand signal distortion in multi-echelon supply chains. Each link in the chain amplifies the variance of the upstream signal because each actor orders on the basis of perceived future demand rather than actual point-of-sale data. The result is a bullwhip pattern in which small swings at the retail level become large swings at the manufacturer and supplier levels. The authors identified four root causes: demand signal processing, rationing game, order batching, and price variations. Each cause has an information-sharing remedy.</w:t>
      </w:r>
    </w:p>
    <w:p>
      <w:pPr>
        <w:spacing w:after="120" w:before="120" w:line="480"/>
        <w:jc w:val="both"/>
      </w:pPr>
      <w:r>
        <w:rPr>
          <w:rFonts w:ascii="Times New Roman" w:cs="Times New Roman" w:eastAsia="Times New Roman" w:hAnsi="Times New Roman"/>
          <w:sz w:val="24"/>
          <w:szCs w:val="24"/>
        </w:rPr>
        <w:t xml:space="preserve">The control tower is, in operational terms, the information-sharing mechanism that attacks all four causes simultaneously. By aggregating real demand, real inventory, and real shipment data in one view, it removes the information asymmetry that drives distortion. This theoretical grounding places the present project firmly within the supply chain management literature, not merely the data science literature, and explains why the KPI set is structured around order-to-delivery flow rather than point-of-sale or demand alone.</w:t>
      </w:r>
    </w:p>
    <w:p>
      <w:pPr>
        <w:pStyle w:val="Heading2"/>
        <w:spacing w:after="120" w:before="300"/>
      </w:pPr>
      <w:r>
        <w:rPr>
          <w:rFonts w:ascii="Times New Roman" w:cs="Times New Roman" w:eastAsia="Times New Roman" w:hAnsi="Times New Roman"/>
          <w:b/>
          <w:bCs/>
          <w:sz w:val="28"/>
          <w:szCs w:val="28"/>
        </w:rPr>
        <w:t xml:space="preserve">2.3 The Control Tower: Concept and Architecture</w:t>
      </w:r>
    </w:p>
    <w:p>
      <w:pPr>
        <w:spacing w:after="120" w:before="120" w:line="480"/>
        <w:jc w:val="both"/>
      </w:pPr>
      <w:r>
        <w:rPr>
          <w:rFonts w:ascii="Times New Roman" w:cs="Times New Roman" w:eastAsia="Times New Roman" w:hAnsi="Times New Roman"/>
          <w:sz w:val="24"/>
          <w:szCs w:val="24"/>
        </w:rPr>
        <w:t xml:space="preserve">Trzuskawska-Grzesinska (2017) traced the supply chain control tower from its conceptual origins to its contemporary application. In her account, the control tower moves through three generations: the first as a passive monitoring console, the second as an active exception manager, and the third as a predictive and prescriptive decision support system. The third generation, which this project targets, requires real-time or near-real-time data, event-driven alerting, and a predictive layer that anticipates failures before they occur.</w:t>
      </w:r>
    </w:p>
    <w:p>
      <w:pPr>
        <w:spacing w:after="120" w:before="120" w:line="480"/>
        <w:jc w:val="both"/>
      </w:pPr>
      <w:r>
        <w:rPr>
          <w:rFonts w:ascii="Times New Roman" w:cs="Times New Roman" w:eastAsia="Times New Roman" w:hAnsi="Times New Roman"/>
          <w:sz w:val="24"/>
          <w:szCs w:val="24"/>
        </w:rPr>
        <w:t xml:space="preserve">Patsavellas, Kaur, and Salonitis (2021) assessed the conditions under which organisations adopt supply chain control towers, using a structured assessment tool that evaluates readiness across five dimensions: visibility, resilience, agility, automation, and velocity. Their finding that technology push alone is insufficient, and that market pull and organisational readiness must align, is consistent with the evidence on why many analytics investments fail to deliver operational impact. Rasool, Greco, and Grimaldi (2022) reviewed the metrics used to evaluate digital supply chain performance and found that qualitative indicators, including exception resolution speed and decision cycle time, are systematically under-measured relative to quantitative KPIs.</w:t>
      </w:r>
    </w:p>
    <w:p>
      <w:pPr>
        <w:spacing w:after="120" w:before="120" w:line="480"/>
        <w:jc w:val="both"/>
      </w:pPr>
      <w:r>
        <w:rPr>
          <w:rFonts w:ascii="Times New Roman" w:cs="Times New Roman" w:eastAsia="Times New Roman" w:hAnsi="Times New Roman"/>
          <w:sz w:val="24"/>
          <w:szCs w:val="24"/>
        </w:rPr>
        <w:t xml:space="preserve">The control tower architecture that emerges from this literature has four functional layers. The data layer aggregates raw transactional data from order management, warehouse management, and transport management systems. The KPI layer computes service measures at the order, lane, category, and period level. The exception layer applies control limits and Pareto ranking to isolate true failures from normal variation. The action layer presents prioritised exceptions with recommended responses, closing the loop from insight to execution.</w:t>
      </w:r>
    </w:p>
    <w:p>
      <w:pPr>
        <w:pStyle w:val="Heading2"/>
        <w:spacing w:after="120" w:before="300"/>
      </w:pPr>
      <w:r>
        <w:rPr>
          <w:rFonts w:ascii="Times New Roman" w:cs="Times New Roman" w:eastAsia="Times New Roman" w:hAnsi="Times New Roman"/>
          <w:b/>
          <w:bCs/>
          <w:sz w:val="28"/>
          <w:szCs w:val="28"/>
        </w:rPr>
        <w:t xml:space="preserve">2.4 Supply Chain Performance Measurement</w:t>
      </w:r>
    </w:p>
    <w:p>
      <w:pPr>
        <w:spacing w:after="120" w:before="120" w:line="480"/>
        <w:jc w:val="both"/>
      </w:pPr>
      <w:r>
        <w:rPr>
          <w:rFonts w:ascii="Times New Roman" w:cs="Times New Roman" w:eastAsia="Times New Roman" w:hAnsi="Times New Roman"/>
          <w:sz w:val="24"/>
          <w:szCs w:val="24"/>
        </w:rPr>
        <w:t xml:space="preserve">Gunasekaran, Patel, and Tirtiroglu (2001) provided the foundational framework for supply chain performance measurement, mapping KPIs across the order-to-delivery process into strategic, tactical, and operational tiers. Their three-tier structure distinguishes goals from execution metrics and avoids the common failure of measuring only what is easy to count rather than what drives service outcomes. The APICS Supply Chain Operations Reference (SCOR) model (2017) operationalises this structure through a standardised vocabulary of metrics across plan, source, make, deliver, return, and enable processes.</w:t>
      </w:r>
    </w:p>
    <w:p>
      <w:pPr>
        <w:spacing w:after="120" w:before="120" w:line="480"/>
        <w:jc w:val="both"/>
      </w:pPr>
      <w:r>
        <w:rPr>
          <w:rFonts w:ascii="Times New Roman" w:cs="Times New Roman" w:eastAsia="Times New Roman" w:hAnsi="Times New Roman"/>
          <w:sz w:val="24"/>
          <w:szCs w:val="24"/>
        </w:rPr>
        <w:t xml:space="preserve">The five KPIs used in this project map directly to the SCOR reliability cluster: on-time-in-full (OTIF) rate, perfect order rate, order fulfilment cycle time, and fill rate. Rasool, Greco, and Grimaldi (2022) reviewed digital supply chain performance metrics and found that OTIF and fill rate appear most consistently across the literature, confirming their role as the primary service measures. Fawcett and Magnan (2004) identified ten guiding principles for high-impact supply chain management, two of which directly concern performance measurement: define metrics that drive the right behaviour, and measure across the full order-to-cash cycle rather than at functional boundaries.</w:t>
      </w:r>
    </w:p>
    <w:p>
      <w:pPr>
        <w:pStyle w:val="Heading2"/>
        <w:spacing w:after="120" w:before="300"/>
      </w:pPr>
      <w:r>
        <w:rPr>
          <w:rFonts w:ascii="Times New Roman" w:cs="Times New Roman" w:eastAsia="Times New Roman" w:hAnsi="Times New Roman"/>
          <w:b/>
          <w:bCs/>
          <w:sz w:val="28"/>
          <w:szCs w:val="28"/>
        </w:rPr>
        <w:t xml:space="preserve">2.5 Big Data Analytics in Supply Chain Management</w:t>
      </w:r>
    </w:p>
    <w:p>
      <w:pPr>
        <w:spacing w:after="120" w:before="120" w:line="480"/>
        <w:jc w:val="both"/>
      </w:pPr>
      <w:r>
        <w:rPr>
          <w:rFonts w:ascii="Times New Roman" w:cs="Times New Roman" w:eastAsia="Times New Roman" w:hAnsi="Times New Roman"/>
          <w:sz w:val="24"/>
          <w:szCs w:val="24"/>
        </w:rPr>
        <w:t xml:space="preserve">Waller and Fawcett (2013) declared a revolution in supply chain management driven by data science, predictive analytics, and big data. Their editorial argued that the ability to process large, heterogeneous, real-time datasets would fundamentally alter supply chain design, just as enterprise resource planning altered it in the 1990s. Wang, Gunasekaran, Ngai, and Papadopoulos (2016) reviewed the empirical literature on big data analytics in logistics and found evidence of impact across inventory management, demand forecasting, transportation optimisation, and supplier risk. Nguyen, Zhou, Spiegler, Ieromonachou, and Lin (2018) mapped the state of the art in a systematic review and found that descriptive analytics dominates current practice, with predictive and prescriptive applications still emerging.</w:t>
      </w:r>
    </w:p>
    <w:p>
      <w:pPr>
        <w:spacing w:after="120" w:before="120" w:line="480"/>
        <w:jc w:val="both"/>
      </w:pPr>
      <w:r>
        <w:rPr>
          <w:rFonts w:ascii="Times New Roman" w:cs="Times New Roman" w:eastAsia="Times New Roman" w:hAnsi="Times New Roman"/>
          <w:sz w:val="24"/>
          <w:szCs w:val="24"/>
        </w:rPr>
        <w:t xml:space="preserve">Fosso Wamba, Akter, Edwards, Chopin, and Gnanzou (2015) used a systematic review and a longitudinal case study to develop a framework for understanding how big data creates business value. Their framework identified definitional, technological, managerial, and environmental factors as the four moderators of big data impact. Akter, Wamba, Gunasekaran, Dubey, and Childe (2016) proposed a big data analytics capability model grounded in resource-based theory, finding that management, technology, and talent capabilities combine to explain performance impact, and that alignment with business strategy amplifies the effect. Chen, Chiang, and Storey (2012) situated supply chain analytics within the broader business intelligence and analytics field, arguing that the shift from reporting to prediction requires not only new tools but new organisational structures and decision rights.</w:t>
      </w:r>
    </w:p>
    <w:p>
      <w:pPr>
        <w:spacing w:after="120" w:before="120" w:line="480"/>
        <w:jc w:val="both"/>
      </w:pPr>
      <w:r>
        <w:rPr>
          <w:rFonts w:ascii="Times New Roman" w:cs="Times New Roman" w:eastAsia="Times New Roman" w:hAnsi="Times New Roman"/>
          <w:sz w:val="24"/>
          <w:szCs w:val="24"/>
        </w:rPr>
        <w:t xml:space="preserve">Data quality is a prerequisite for analytics value. Hazen, Boone, Ezell, and Jones-Farmer (2014) specifically examined data quality problems in supply chain analytics applications, identifying completeness, accuracy, consistency, and timeliness as the four dimensions that most affect predictive model performance. Their recommendations for data quality governance map directly to the cleaning protocol applied in this project. Gunasekaran, Papadopoulos, Dubey, Wamba, Childe, Hazen, and Akter (2017) empirically tested the impact of big data and predictive analytics on supply chain and organisational performance, finding that top management commitment and information sharing are the two organisational enablers that moderate the relationship. Schoenherr and Speier-Pero (2015) surveyed the current state and future potential of big data in supply chain management, finding that predictive applications are the fastest-growing segment. Sanders (2016) provided a practitioner-oriented guide on how to use big data to drive supply chain decisions, arguing that the starting point is always a clear problem definition tied to a measurable outcome.</w:t>
      </w:r>
    </w:p>
    <w:p>
      <w:pPr>
        <w:spacing w:after="120" w:before="120" w:line="480"/>
        <w:jc w:val="both"/>
      </w:pPr>
      <w:r>
        <w:rPr>
          <w:rFonts w:ascii="Times New Roman" w:cs="Times New Roman" w:eastAsia="Times New Roman" w:hAnsi="Times New Roman"/>
          <w:sz w:val="24"/>
          <w:szCs w:val="24"/>
        </w:rPr>
        <w:t xml:space="preserve">Davenport (2006) traced the origin of analytics as a competitive differentiator, identifying firms such as Amazon and UPS as early examples of analytics-driven supply chain advantage. Chen, Preston, and Swink (2015) studied how the use of big data analytics affects value creation in supply chain management specifically, finding that the effects are mediated by supply chain process integration and moderated by supply chain complexity.</w:t>
      </w:r>
    </w:p>
    <w:p>
      <w:pPr>
        <w:pStyle w:val="Heading2"/>
        <w:spacing w:after="120" w:before="300"/>
      </w:pPr>
      <w:r>
        <w:rPr>
          <w:rFonts w:ascii="Times New Roman" w:cs="Times New Roman" w:eastAsia="Times New Roman" w:hAnsi="Times New Roman"/>
          <w:b/>
          <w:bCs/>
          <w:sz w:val="28"/>
          <w:szCs w:val="28"/>
        </w:rPr>
        <w:t xml:space="preserve">2.6 Machine Learning for Predictive Risk Classification</w:t>
      </w:r>
    </w:p>
    <w:p>
      <w:pPr>
        <w:spacing w:after="120" w:before="120" w:line="480"/>
        <w:jc w:val="both"/>
      </w:pPr>
      <w:r>
        <w:rPr>
          <w:rFonts w:ascii="Times New Roman" w:cs="Times New Roman" w:eastAsia="Times New Roman" w:hAnsi="Times New Roman"/>
          <w:sz w:val="24"/>
          <w:szCs w:val="24"/>
        </w:rPr>
        <w:t xml:space="preserve">Predictive risk classification is the analytical layer that converts historical patterns into forward-looking scores. Carbonneau, Laframboise, and Vahidov (2008) demonstrated in one of the earliest applications that machine learning methods, including neural networks and support vector machines, outperform traditional statistical approaches in capturing nonlinear demand distortions in supply chains. Feizabadi (2022) reviewed the supply chain performance implications of machine learning demand forecasting and found consistent evidence of service improvement through reduced forecast error. The present project extends the predictive logic from demand forecasting to delivery risk scoring, applying classification rather than regression.</w:t>
      </w:r>
    </w:p>
    <w:p>
      <w:pPr>
        <w:spacing w:after="120" w:before="120" w:line="480"/>
        <w:jc w:val="both"/>
      </w:pPr>
      <w:r>
        <w:rPr>
          <w:rFonts w:ascii="Times New Roman" w:cs="Times New Roman" w:eastAsia="Times New Roman" w:hAnsi="Times New Roman"/>
          <w:sz w:val="24"/>
          <w:szCs w:val="24"/>
        </w:rPr>
        <w:t xml:space="preserve">Breiman (2001) introduced random forests as an ensemble classification method that builds multiple decision trees on bootstrapped samples and aggregates their predictions. The method is robust to overfitting, handles high-dimensional and correlated features, and provides feature importance scores that support interpretation. These properties make it suitable for order-level late delivery risk prediction, where the features include shipping mode, region, category, delay days, and order value. Hastie, Tibshirani, and Friedman (2009) provided the statistical foundation for both logistic regression and tree-based methods, covering the bias-variance trade-off, regularisation, and model evaluation metrics including the area under the receiver-operating characteristic curve.</w:t>
      </w:r>
    </w:p>
    <w:p>
      <w:pPr>
        <w:spacing w:after="120" w:before="120" w:line="480"/>
        <w:jc w:val="both"/>
      </w:pPr>
      <w:r>
        <w:rPr>
          <w:rFonts w:ascii="Times New Roman" w:cs="Times New Roman" w:eastAsia="Times New Roman" w:hAnsi="Times New Roman"/>
          <w:sz w:val="24"/>
          <w:szCs w:val="24"/>
        </w:rPr>
        <w:t xml:space="preserve">Hosmer, Lemeshow, and Sturdivant (2013) presented logistic regression as the standard approach for binary classification problems with interpretable output. Logistic regression produces probability estimates rather than hard class predictions, which is appropriate for late delivery risk scoring because it allows a planning team to triage orders by risk level rather than apply a binary flag. The use of both logistic regression and a decision tree as baseline classifiers follows standard practice for transparent, interpretable models (Hastie et al., 2009). Dubey, Gunasekaran, Childe, Wamba, Roubaud, and Foropon (2021) demonstrated empirically that analytics capability and organisational flexibility are complements to supply chain resilience, confirming that predictive models generate value only when the organisation can act on their outputs.</w:t>
      </w:r>
    </w:p>
    <w:p>
      <w:pPr>
        <w:pStyle w:val="Heading2"/>
        <w:spacing w:after="120" w:before="300"/>
      </w:pPr>
      <w:r>
        <w:rPr>
          <w:rFonts w:ascii="Times New Roman" w:cs="Times New Roman" w:eastAsia="Times New Roman" w:hAnsi="Times New Roman"/>
          <w:b/>
          <w:bCs/>
          <w:sz w:val="28"/>
          <w:szCs w:val="28"/>
        </w:rPr>
        <w:t xml:space="preserve">2.7 Dashboard Design and Data Visualization</w:t>
      </w:r>
    </w:p>
    <w:p>
      <w:pPr>
        <w:spacing w:after="120" w:before="120" w:line="480"/>
        <w:jc w:val="both"/>
      </w:pPr>
      <w:r>
        <w:rPr>
          <w:rFonts w:ascii="Times New Roman" w:cs="Times New Roman" w:eastAsia="Times New Roman" w:hAnsi="Times New Roman"/>
          <w:sz w:val="24"/>
          <w:szCs w:val="24"/>
        </w:rPr>
        <w:t xml:space="preserve">A dashboard is effective only when its users can extract the right information in the time available for a decision. Few (2013) established the design principles for performance dashboards in his influential text, arguing that effective dashboards use minimal colour, clear visual hierarchy, and pre-attentive attributes that allow abnormal values to be detected before conscious processing. His principle of at-a-glance monitoring requires that the most critical information be immediately visible without navigation or aggregation. Tufte (2001) approached the same problem from an information-theoretic perspective, introducing the concept of data-ink ratio: the proportion of ink on a page that represents data rather than decoration. Maximising data-ink ratio while minimising chart junk produces visualisations that communicate more with less.</w:t>
      </w:r>
    </w:p>
    <w:p>
      <w:pPr>
        <w:spacing w:after="120" w:before="120" w:line="480"/>
        <w:jc w:val="both"/>
      </w:pPr>
      <w:r>
        <w:rPr>
          <w:rFonts w:ascii="Times New Roman" w:cs="Times New Roman" w:eastAsia="Times New Roman" w:hAnsi="Times New Roman"/>
          <w:sz w:val="24"/>
          <w:szCs w:val="24"/>
        </w:rPr>
        <w:t xml:space="preserve">Davenport (2006) noted that analytics-driven organisations invest as much in decision processes and information presentation as in modelling capability, because a correct model whose output is not understood or trusted does not generate decisions. This principle is embedded in the dashboard design of this project: each view is paired with an insight brief that translates the analytical finding into a plain-language action for a planning or logistics team.</w:t>
      </w:r>
    </w:p>
    <w:p>
      <w:pPr>
        <w:spacing w:after="120" w:before="120" w:line="480"/>
        <w:jc w:val="both"/>
      </w:pPr>
      <w:r>
        <w:rPr>
          <w:rFonts w:ascii="Times New Roman" w:cs="Times New Roman" w:eastAsia="Times New Roman" w:hAnsi="Times New Roman"/>
          <w:sz w:val="24"/>
          <w:szCs w:val="24"/>
        </w:rPr>
        <w:t xml:space="preserve">Oliva and Watson (2011) studied cross-functional alignment in supply chain planning, finding that shared performance metrics visible to all functions reduce sub-optimisation and improve forecast accuracy. Their finding supports the rationale for a control tower that makes KPIs visible across planning, logistics, and commercial functions rather than siloing them within each team.</w:t>
      </w:r>
    </w:p>
    <w:p>
      <w:pPr>
        <w:pStyle w:val="Heading2"/>
        <w:spacing w:after="120" w:before="300"/>
      </w:pPr>
      <w:r>
        <w:rPr>
          <w:rFonts w:ascii="Times New Roman" w:cs="Times New Roman" w:eastAsia="Times New Roman" w:hAnsi="Times New Roman"/>
          <w:b/>
          <w:bCs/>
          <w:sz w:val="28"/>
          <w:szCs w:val="28"/>
        </w:rPr>
        <w:t xml:space="preserve">2.8 Supply Chain Resilience and Disruption Management</w:t>
      </w:r>
    </w:p>
    <w:p>
      <w:pPr>
        <w:spacing w:after="120" w:before="120" w:line="480"/>
        <w:jc w:val="both"/>
      </w:pPr>
      <w:r>
        <w:rPr>
          <w:rFonts w:ascii="Times New Roman" w:cs="Times New Roman" w:eastAsia="Times New Roman" w:hAnsi="Times New Roman"/>
          <w:sz w:val="24"/>
          <w:szCs w:val="24"/>
        </w:rPr>
        <w:t xml:space="preserve">Supply chain resilience entered the academic vocabulary after the supply chain disruptions of the early 2000s, including the September 2001 attacks and the 2002 dockworkers' strike on the US West Coast. Christopher and Peck (2004) provided the early conceptual framework, defining resilience as the ability of a system to return to its original state or move to a new more desirable state after being disturbed. Sheffi (2005) examined resilience through the lens of high-disruption events, arguing that highly resilient firms build redundancy, flexibility, and culture simultaneously. Ponomarov and Holcomb (2009) synthesised the emerging literature into a conceptual model that identified adaptability, recovery, and reconfiguration as the three components of supply chain resilience.</w:t>
      </w:r>
    </w:p>
    <w:p>
      <w:pPr>
        <w:spacing w:after="120" w:before="120" w:line="480"/>
        <w:jc w:val="both"/>
      </w:pPr>
      <w:r>
        <w:rPr>
          <w:rFonts w:ascii="Times New Roman" w:cs="Times New Roman" w:eastAsia="Times New Roman" w:hAnsi="Times New Roman"/>
          <w:sz w:val="24"/>
          <w:szCs w:val="24"/>
        </w:rPr>
        <w:t xml:space="preserve">Sodhi, Son, and Tang (2012) surveyed researchers on the state of supply chain risk management, identifying three persistent gaps: definitional ambiguity, inadequate coverage of disruption response, and lack of empirical methods. Tang (2006) reviewed risk mitigation strategies across the supply chain and categorised them into supply, demand, and product strategies, arguing that robust strategies perform acceptably under a wide range of disruptions rather than optimally under a single scenario. Chopra and Sodhi (2004) provided a practitioner-oriented typology of supply chain risk, distinguishing between disruption risk, delay risk, forecast risk, and systemic risk.</w:t>
      </w:r>
    </w:p>
    <w:p>
      <w:pPr>
        <w:spacing w:after="120" w:before="120" w:line="480"/>
        <w:jc w:val="both"/>
      </w:pPr>
      <w:r>
        <w:rPr>
          <w:rFonts w:ascii="Times New Roman" w:cs="Times New Roman" w:eastAsia="Times New Roman" w:hAnsi="Times New Roman"/>
          <w:sz w:val="24"/>
          <w:szCs w:val="24"/>
        </w:rPr>
        <w:t xml:space="preserve">The COVID-19 pandemic provided the largest-scale natural experiment in supply chain resilience in modern history. Ivanov (2020) simulated the impact of epidemic outbreaks on global supply chains, finding that the ripple effects of a supplier shutdown propagate exponentially as chain length increases. Belhadi, Kamble, Jabbour, Gunasekaran, and Ndubisi (2021) compared the resilience responses of the automobile and airline industries, finding that digitalisation and supplier diversification were the two most effective recovery strategies. Ivanov (2021) extended the disruption analysis by proposing four major adaptation strategies for supply chain viability during pandemic conditions: redundancy, flexibility, reconfiguration, and collaboration. Wieland and Wallenburg (2013) demonstrated that relational competencies, including information sharing and relationship quality, mediate the effect of resilience strategies on supply chain performance.</w:t>
      </w:r>
    </w:p>
    <w:p>
      <w:pPr>
        <w:pStyle w:val="Heading2"/>
        <w:spacing w:after="120" w:before="300"/>
      </w:pPr>
      <w:r>
        <w:rPr>
          <w:rFonts w:ascii="Times New Roman" w:cs="Times New Roman" w:eastAsia="Times New Roman" w:hAnsi="Times New Roman"/>
          <w:b/>
          <w:bCs/>
          <w:sz w:val="28"/>
          <w:szCs w:val="28"/>
        </w:rPr>
        <w:t xml:space="preserve">2.9 Digital Supply Chain and Industry 4.0</w:t>
      </w:r>
    </w:p>
    <w:p>
      <w:pPr>
        <w:spacing w:after="120" w:before="120" w:line="480"/>
        <w:jc w:val="both"/>
      </w:pPr>
      <w:r>
        <w:rPr>
          <w:rFonts w:ascii="Times New Roman" w:cs="Times New Roman" w:eastAsia="Times New Roman" w:hAnsi="Times New Roman"/>
          <w:sz w:val="24"/>
          <w:szCs w:val="24"/>
        </w:rPr>
        <w:t xml:space="preserve">The concept of the digital supply chain integrates physical flows with digital twins, Internet of Things (IoT) sensing, and real-time analytics to create chains that sense and respond in near real time. Buyukozkan and Gocer (2018) reviewed the digital supply chain literature and proposed a research framework that distinguishes five dimensions: digitalised products, digitalised services, digitalised networks, digitalised processes, and digitalised capabilities. Their conclusion that the digital supply chain is best understood as a transformation of the entire value network, rather than a set of digital tools, is consistent with the control tower architecture pursued in this project.</w:t>
      </w:r>
    </w:p>
    <w:p>
      <w:pPr>
        <w:spacing w:after="120" w:before="120" w:line="480"/>
        <w:jc w:val="both"/>
      </w:pPr>
      <w:r>
        <w:rPr>
          <w:rFonts w:ascii="Times New Roman" w:cs="Times New Roman" w:eastAsia="Times New Roman" w:hAnsi="Times New Roman"/>
          <w:sz w:val="24"/>
          <w:szCs w:val="24"/>
        </w:rPr>
        <w:t xml:space="preserve">Ghobakhloo (2018) mapped the Industry 4.0 technology landscape and identified the strategic roadmap that manufacturing firms are following toward digitisation, finding that cyber-physical systems, IoT, and big data analytics are the three enabling technologies. Kamble, Gunasekaran, and Gawankar (2018) conducted a systematic literature review on sustainable Industry 4.0 and found that supply chain visibility and traceability are the most frequently cited sustainability benefits of digitalisation. Ben-Daya, Hassini, and Bahroun (2019) reviewed the IoT literature in supply chain management, finding that real-time tracking, condition monitoring, and smart contracts are the three primary IoT use cases in logistics.</w:t>
      </w:r>
    </w:p>
    <w:p>
      <w:pPr>
        <w:spacing w:after="120" w:before="120" w:line="480"/>
        <w:jc w:val="both"/>
      </w:pPr>
      <w:r>
        <w:rPr>
          <w:rFonts w:ascii="Times New Roman" w:cs="Times New Roman" w:eastAsia="Times New Roman" w:hAnsi="Times New Roman"/>
          <w:sz w:val="24"/>
          <w:szCs w:val="24"/>
        </w:rPr>
        <w:t xml:space="preserve">Ivanov and Dolgui (2021) introduced the digital supply chain twin as the architecture that enables disruption management in the Industry 4.0 era. A digital twin mirrors the physical supply chain in real time, allows disruption scenarios to be simulated, and supports recovery planning before a disruption has fully propagated. Dubey, Gunasekaran, Childe, Roubaud, Wamba, Giannakis, and Foropon (2019) provided empirical evidence that big data analytics and an analytics-positive organisational culture are complementary enablers of humanitarian supply chain performance, extending the resilience literature to non-commercial supply chains. Dubey et al. (2021) confirmed that data analytics capability and organisational flexibility are complements rather than substitutes in building supply chain resilience.</w:t>
      </w:r>
    </w:p>
    <w:p>
      <w:pPr>
        <w:pStyle w:val="Heading2"/>
        <w:spacing w:after="120" w:before="300"/>
      </w:pPr>
      <w:r>
        <w:rPr>
          <w:rFonts w:ascii="Times New Roman" w:cs="Times New Roman" w:eastAsia="Times New Roman" w:hAnsi="Times New Roman"/>
          <w:b/>
          <w:bCs/>
          <w:sz w:val="28"/>
          <w:szCs w:val="28"/>
        </w:rPr>
        <w:t xml:space="preserve">2.10 India: National Logistics Landscape</w:t>
      </w:r>
    </w:p>
    <w:p>
      <w:pPr>
        <w:spacing w:after="120" w:before="120" w:line="480"/>
        <w:jc w:val="both"/>
      </w:pPr>
      <w:r>
        <w:rPr>
          <w:rFonts w:ascii="Times New Roman" w:cs="Times New Roman" w:eastAsia="Times New Roman" w:hAnsi="Times New Roman"/>
          <w:sz w:val="24"/>
          <w:szCs w:val="24"/>
        </w:rPr>
        <w:t xml:space="preserve">India's logistics sector has historically operated at a cost disadvantage relative to peer economies. Older estimates placed logistics cost at 13 to 14 percent of gross domestic product, compared with 8 to 10 percent in China and 8 to 9 percent in the United States (Department for Promotion of Industry and Internal Trade, 2022). The National Logistics Policy, published in 2022, set a target of reducing logistics cost toward 7.5 to 8 percent of GDP through infrastructure investment, process harmonisation, and digital adoption. The PM Gati Shakti National Master Plan (Department for Promotion of Industry and Internal Trade, 2021) provides the integrated infrastructure planning framework, connecting road, rail, port, and air freight nodes through a GIS-based digital layer.</w:t>
      </w:r>
    </w:p>
    <w:p>
      <w:pPr>
        <w:spacing w:after="120" w:before="120" w:line="480"/>
        <w:jc w:val="both"/>
      </w:pPr>
      <w:r>
        <w:rPr>
          <w:rFonts w:ascii="Times New Roman" w:cs="Times New Roman" w:eastAsia="Times New Roman" w:hAnsi="Times New Roman"/>
          <w:sz w:val="24"/>
          <w:szCs w:val="24"/>
        </w:rPr>
        <w:t xml:space="preserve">India's performance on the World Bank Logistics Performance Index has improved substantially. The 2023 edition placed India at rank 38 of 139 countries across six dimensions: customs, infrastructure, international shipments, logistics competence, tracking and tracing, and timeliness (World Bank, 2023). This represents a gain of 16 places since 2014, when India ranked 54 (Press Information Bureau, 2023). The earlier 2018 edition (Arvis, Ojala, Wiederer, Shepherd, Raj, Dairabayeva, &amp; Kiiski, 2018) documented India at rank 44, confirming a consistent upward trajectory. The tracking-and-tracing dimension, which measures the ability to monitor shipments in real time, is directly addressed by the control tower approach.</w:t>
      </w:r>
    </w:p>
    <w:p>
      <w:pPr>
        <w:spacing w:after="120" w:before="120" w:line="480"/>
        <w:jc w:val="both"/>
      </w:pPr>
      <w:r>
        <w:rPr>
          <w:rFonts w:ascii="Times New Roman" w:cs="Times New Roman" w:eastAsia="Times New Roman" w:hAnsi="Times New Roman"/>
          <w:sz w:val="24"/>
          <w:szCs w:val="24"/>
        </w:rPr>
        <w:t xml:space="preserve">The Logistics Ease Across Different States (LEADS 2023) report provides the sub-national benchmark (Department for Promotion of Industry and Internal Trade, 2023). The index ranks states and union territories on infrastructure, services, and human resources, revealing wide variation in logistics ease across the country. States that perform well on LEADS tend to have better road connectivity, warehouse infrastructure, and regulatory environments, factors that directly affect delivery performance at the last mile.</w:t>
      </w:r>
    </w:p>
    <w:p>
      <w:pPr>
        <w:spacing w:after="120" w:before="120" w:line="480"/>
        <w:jc w:val="both"/>
      </w:pPr>
      <w:r>
        <w:rPr>
          <w:rFonts w:ascii="Times New Roman" w:cs="Times New Roman" w:eastAsia="Times New Roman" w:hAnsi="Times New Roman"/>
          <w:sz w:val="24"/>
          <w:szCs w:val="24"/>
        </w:rPr>
        <w:t xml:space="preserve">Urban last-mile delivery is an intensifying challenge as e-commerce penetration rises. Lyons and McDonald (2023) conducted a systematic review of last-mile strategies for urban freight delivery, grouping the literature into four response categories: vehicle technology, delivery models, regulatory approaches, and digital tools. Their finding that digital tools, including route optimisation and real-time tracking, are the fastest-growing response strategy is consistent with the direction of national policy.</w:t>
      </w:r>
    </w:p>
    <w:p>
      <w:r>
        <w:br w:type="page"/>
      </w:r>
    </w:p>
    <w:p>
      <w:pPr>
        <w:pStyle w:val="Heading1"/>
        <w:spacing w:after="180" w:before="360"/>
      </w:pPr>
      <w:r>
        <w:rPr>
          <w:rFonts w:ascii="Times New Roman" w:cs="Times New Roman" w:eastAsia="Times New Roman" w:hAnsi="Times New Roman"/>
          <w:b/>
          <w:bCs/>
          <w:caps/>
          <w:sz w:val="32"/>
          <w:szCs w:val="32"/>
        </w:rPr>
        <w:t xml:space="preserve">3. Research Design</w:t>
      </w:r>
    </w:p>
    <w:p>
      <w:pPr>
        <w:pStyle w:val="Heading2"/>
        <w:spacing w:after="120" w:before="300"/>
      </w:pPr>
      <w:r>
        <w:rPr>
          <w:rFonts w:ascii="Times New Roman" w:cs="Times New Roman" w:eastAsia="Times New Roman" w:hAnsi="Times New Roman"/>
          <w:b/>
          <w:bCs/>
          <w:sz w:val="28"/>
          <w:szCs w:val="28"/>
        </w:rPr>
        <w:t xml:space="preserve">3.1 Research Questions</w:t>
      </w:r>
    </w:p>
    <w:p>
      <w:pPr>
        <w:spacing w:after="120" w:before="120" w:line="480"/>
        <w:jc w:val="both"/>
      </w:pPr>
      <w:r>
        <w:rPr>
          <w:rFonts w:ascii="Times New Roman" w:cs="Times New Roman" w:eastAsia="Times New Roman" w:hAnsi="Times New Roman"/>
          <w:sz w:val="24"/>
          <w:szCs w:val="24"/>
        </w:rPr>
        <w:t xml:space="preserve">The primary research question is: how can a control tower dashboard built on order and shipment data improve visibility into late deliveries and identify the operational drivers of delay?</w:t>
      </w:r>
    </w:p>
    <w:p>
      <w:pPr>
        <w:spacing w:after="120" w:before="120" w:line="480"/>
        <w:jc w:val="both"/>
      </w:pPr>
      <w:r>
        <w:rPr>
          <w:rFonts w:ascii="Times New Roman" w:cs="Times New Roman" w:eastAsia="Times New Roman" w:hAnsi="Times New Roman"/>
          <w:sz w:val="24"/>
          <w:szCs w:val="24"/>
        </w:rPr>
        <w:t xml:space="preserve">Four sub-questions structure the analysis. First, which markets, regions, categories, and shipping modes carry the highest share of late deliveries? Second, how does delivery delay move over time and across customer segments? Third, can a simple, explainable model flag high-risk orders with useful precision and recall? Fourth, which few drivers explain most of the delay, consistent with the Pareto principle?</w:t>
      </w:r>
    </w:p>
    <w:p>
      <w:pPr>
        <w:pStyle w:val="Heading2"/>
        <w:spacing w:after="120" w:before="300"/>
      </w:pPr>
      <w:r>
        <w:rPr>
          <w:rFonts w:ascii="Times New Roman" w:cs="Times New Roman" w:eastAsia="Times New Roman" w:hAnsi="Times New Roman"/>
          <w:b/>
          <w:bCs/>
          <w:sz w:val="28"/>
          <w:szCs w:val="28"/>
        </w:rPr>
        <w:t xml:space="preserve">3.2 Primary Dataset</w:t>
      </w:r>
    </w:p>
    <w:p>
      <w:pPr>
        <w:spacing w:after="120" w:before="120" w:line="480"/>
        <w:jc w:val="both"/>
      </w:pPr>
      <w:r>
        <w:rPr>
          <w:rFonts w:ascii="Times New Roman" w:cs="Times New Roman" w:eastAsia="Times New Roman" w:hAnsi="Times New Roman"/>
          <w:sz w:val="24"/>
          <w:szCs w:val="24"/>
        </w:rPr>
        <w:t xml:space="preserve">The primary dataset is the DataCo Smart Supply Chain for Big Data Analysis, published by Constante, Silva, and Pereira (2019) on Mendeley Data and mirrored on Kaggle. The dataset holds order and shipment records for a global trading company across five markets: LATAM, Europe, USCA, Pacific Asia, and Africa. The full dataset contains approximately 180,519 rows and 53 fields. Fields cover order dates, real and scheduled shipping days, a provided late delivery risk flag, delivery status, market, region, country, city, product category, department name, shipping mode, customer segment, sales, and profit.</w:t>
      </w:r>
    </w:p>
    <w:p>
      <w:pPr>
        <w:spacing w:after="120" w:before="120" w:line="480"/>
        <w:jc w:val="both"/>
      </w:pPr>
      <w:r>
        <w:rPr>
          <w:rFonts w:ascii="Times New Roman" w:cs="Times New Roman" w:eastAsia="Times New Roman" w:hAnsi="Times New Roman"/>
          <w:sz w:val="24"/>
          <w:szCs w:val="24"/>
        </w:rPr>
        <w:t xml:space="preserve">The secondary dataset is the Brazilian e-commerce public data by Olist (2018), published on Kaggle. The Olist dataset holds approximately 100,000 orders from 2016 to 2018 with purchase, approval, carrier, and customer delivery timestamps, enabling a delivery time analysis that is close to live operational conditions. The Olist data is used for supplementary validation of the cleaning and analysis protocol.</w:t>
      </w:r>
    </w:p>
    <w:p>
      <w:pPr>
        <w:spacing w:after="120" w:before="120" w:line="480"/>
        <w:jc w:val="both"/>
      </w:pPr>
      <w:r>
        <w:rPr>
          <w:rFonts w:ascii="Times New Roman" w:cs="Times New Roman" w:eastAsia="Times New Roman" w:hAnsi="Times New Roman"/>
          <w:sz w:val="24"/>
          <w:szCs w:val="24"/>
        </w:rPr>
        <w:t xml:space="preserve">Both datasets are open access and carry no personal identifiers. The DataCo dataset is released for research under its Mendeley terms. The Olist dataset is anonymised by design. A data dictionary records the source, version, and access date for each dataset.</w:t>
      </w:r>
    </w:p>
    <w:p>
      <w:pPr>
        <w:pStyle w:val="Heading2"/>
        <w:spacing w:after="120" w:before="300"/>
      </w:pPr>
      <w:r>
        <w:rPr>
          <w:rFonts w:ascii="Times New Roman" w:cs="Times New Roman" w:eastAsia="Times New Roman" w:hAnsi="Times New Roman"/>
          <w:b/>
          <w:bCs/>
          <w:sz w:val="28"/>
          <w:szCs w:val="28"/>
        </w:rPr>
        <w:t xml:space="preserve">3.3 Variables and Roles</w:t>
      </w:r>
    </w:p>
    <w:p>
      <w:pPr>
        <w:spacing w:after="120" w:before="120" w:line="480"/>
        <w:jc w:val="both"/>
      </w:pPr>
      <w:r>
        <w:rPr>
          <w:rFonts w:ascii="Times New Roman" w:cs="Times New Roman" w:eastAsia="Times New Roman" w:hAnsi="Times New Roman"/>
          <w:sz w:val="24"/>
          <w:szCs w:val="24"/>
        </w:rPr>
        <w:t xml:space="preserve">The table below lists the primary variables used in the dashboard and the predictive model, with the role of each field in the analytical pipeline.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Variable</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Role</w:t>
            </w:r>
          </w:p>
        </w:tc>
        <w:tc>
          <w:tcPr>
            <w:tcW w:type="dxa" w:w="496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Description</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Order Id, Order Item Id</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Identifier</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Unique keys for an order and an order line</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order date (DateOrders)</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Time</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Date the order was placed</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shipping date (DateOrders)</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Time</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Date the order shipped</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Days for shipping (real)</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Measure</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Actual days from order to delivery</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Days for shipment (scheduled)</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Measure</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Promised days from order to delivery</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Delivery delay (derived)</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Measure</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Real days minus scheduled days</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Late_delivery_risk</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Target only</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Provided binary flag; excluded as a model feature</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Delivery Status</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Dimension</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Advance, On time, Late delivery, or Shipping canceled</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Market, Order Region, Order Country</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Dimension</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Geography of the order</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Department Name, Category Name</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Dimension</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Product classification</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Shipping Mode</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Dimension</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Standard, First, Second, or Same Day</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Customer Segment</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Dimension</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Consumer, Corporate, or Home Office</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Sales, Order Item Quantity</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Measure</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Revenue and units for fill rate and value views</w:t>
            </w:r>
          </w:p>
        </w:tc>
      </w:tr>
      <w:tr>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Benefit per order (profit)</w:t>
            </w:r>
          </w:p>
        </w:tc>
        <w:tc>
          <w:tcPr>
            <w:tcW w:type="dxa" w:w="1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Measure</w:t>
            </w:r>
          </w:p>
        </w:tc>
        <w:tc>
          <w:tcPr>
            <w:tcW w:type="dxa" w:w="49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Profit per order for value-at-risk views</w:t>
            </w:r>
          </w:p>
        </w:tc>
      </w:tr>
    </w:tbl>
    <w:p>
      <w:pPr>
        <w:spacing w:after="0" w:before="0"/>
      </w:pPr>
      <w:r>
        <w:t xml:space="preserve"/>
      </w:r>
    </w:p>
    <w:p>
      <w:pPr>
        <w:pStyle w:val="Heading2"/>
        <w:spacing w:after="120" w:before="300"/>
      </w:pPr>
      <w:r>
        <w:rPr>
          <w:rFonts w:ascii="Times New Roman" w:cs="Times New Roman" w:eastAsia="Times New Roman" w:hAnsi="Times New Roman"/>
          <w:b/>
          <w:bCs/>
          <w:sz w:val="28"/>
          <w:szCs w:val="28"/>
        </w:rPr>
        <w:t xml:space="preserve">3.4 Geography Levels</w:t>
      </w:r>
    </w:p>
    <w:p>
      <w:pPr>
        <w:spacing w:after="120" w:before="120" w:line="480"/>
        <w:jc w:val="both"/>
      </w:pPr>
      <w:r>
        <w:rPr>
          <w:rFonts w:ascii="Times New Roman" w:cs="Times New Roman" w:eastAsia="Times New Roman" w:hAnsi="Times New Roman"/>
          <w:sz w:val="24"/>
          <w:szCs w:val="24"/>
        </w:rPr>
        <w:t xml:space="preserve">The analysis operates at four levels. Global: DataCo markets and regions, supported by the World Bank Logistics Performance Index as the global benchmark. National: India's National Logistics Policy targets and India LPI rank as the national framing context. State: LEADS 2023 state and union territory rankings as the regional Indian benchmark. Local: Urban last-mile evidence drawn from Lyons and McDonald (2023).</w:t>
      </w:r>
    </w:p>
    <w:p>
      <w:pPr>
        <w:spacing w:after="120" w:before="120" w:line="480"/>
        <w:jc w:val="both"/>
      </w:pPr>
      <w:r>
        <w:rPr>
          <w:rFonts w:ascii="Times New Roman" w:cs="Times New Roman" w:eastAsia="Times New Roman" w:hAnsi="Times New Roman"/>
          <w:sz w:val="24"/>
          <w:szCs w:val="24"/>
        </w:rPr>
        <w:t xml:space="preserve">An important honest qualification applies. The transaction data is global and resolves to market, region, country, and city level. India-specific state and district detail comes from context sources, not from the transaction set. This split is stated openly so that no level is overclaimed.</w:t>
      </w:r>
    </w:p>
    <w:p>
      <w:r>
        <w:br w:type="page"/>
      </w:r>
    </w:p>
    <w:p>
      <w:pPr>
        <w:pStyle w:val="Heading1"/>
        <w:spacing w:after="180" w:before="360"/>
      </w:pPr>
      <w:r>
        <w:rPr>
          <w:rFonts w:ascii="Times New Roman" w:cs="Times New Roman" w:eastAsia="Times New Roman" w:hAnsi="Times New Roman"/>
          <w:b/>
          <w:bCs/>
          <w:caps/>
          <w:sz w:val="32"/>
          <w:szCs w:val="32"/>
        </w:rPr>
        <w:t xml:space="preserve">4. Methodology</w:t>
      </w:r>
    </w:p>
    <w:p>
      <w:pPr>
        <w:pStyle w:val="Heading2"/>
        <w:spacing w:after="120" w:before="300"/>
      </w:pPr>
      <w:r>
        <w:rPr>
          <w:rFonts w:ascii="Times New Roman" w:cs="Times New Roman" w:eastAsia="Times New Roman" w:hAnsi="Times New Roman"/>
          <w:b/>
          <w:bCs/>
          <w:sz w:val="28"/>
          <w:szCs w:val="28"/>
        </w:rPr>
        <w:t xml:space="preserve">4.1 Data Cleaning Protocol</w:t>
      </w:r>
    </w:p>
    <w:p>
      <w:pPr>
        <w:spacing w:after="120" w:before="120" w:line="480"/>
        <w:jc w:val="both"/>
      </w:pPr>
      <w:r>
        <w:rPr>
          <w:rFonts w:ascii="Times New Roman" w:cs="Times New Roman" w:eastAsia="Times New Roman" w:hAnsi="Times New Roman"/>
          <w:sz w:val="24"/>
          <w:szCs w:val="24"/>
        </w:rPr>
        <w:t xml:space="preserve">Data quality is the foundation of a trustworthy control tower. A twelve-step cleaning protocol is applied to the raw DataCo extract. Each step is logged in a cleaning record for reproducibility.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800"/>
        <w:gridCol w:w="4560"/>
      </w:tblGrid>
      <w:tr>
        <w:tc>
          <w:tcPr>
            <w:tcW w:type="dxa" w:w="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Step</w:t>
            </w:r>
          </w:p>
        </w:tc>
        <w:tc>
          <w:tcPr>
            <w:tcW w:type="dxa" w:w="1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Field</w:t>
            </w:r>
          </w:p>
        </w:tc>
        <w:tc>
          <w:tcPr>
            <w:tcW w:type="dxa" w:w="2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Issue</w:t>
            </w:r>
          </w:p>
        </w:tc>
        <w:tc>
          <w:tcPr>
            <w:tcW w:type="dxa" w:w="456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Action</w:t>
            </w:r>
          </w:p>
        </w:tc>
      </w:tr>
      <w:t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1</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Encoding</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File uses a Latin character set</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Load with latin-1 encoding</w:t>
            </w:r>
          </w:p>
        </w:tc>
      </w:tr>
      <w:t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2</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order date</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Stored as text</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Parse to date type; check valid range</w:t>
            </w:r>
          </w:p>
        </w:tc>
      </w:tr>
      <w:t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3</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Delivery delay</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Not present in raw data</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Derive as real days minus scheduled days</w:t>
            </w:r>
          </w:p>
        </w:tc>
      </w:tr>
      <w:t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4</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Delivery delay</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Impossible negative values beyond early limit</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Flag for review; log count affected</w:t>
            </w:r>
          </w:p>
        </w:tc>
      </w:tr>
      <w:t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5</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Status</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Canceled orders mixed with delivered orders</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Separate canceled set before KPI computation</w:t>
            </w:r>
          </w:p>
        </w:tc>
      </w:tr>
      <w:t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6</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Order Item Id</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Duplicate order lines</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Drop duplicates on order item key</w:t>
            </w:r>
          </w:p>
        </w:tc>
      </w:tr>
      <w:t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7</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Region, Category</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Inconsistent case and spelling</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Standardise text to uppercase canonical forms</w:t>
            </w:r>
          </w:p>
        </w:tc>
      </w:tr>
      <w:t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8</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Order City, Postal</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Missing values</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Apply a clear rule; tag as Unknown; log count</w:t>
            </w:r>
          </w:p>
        </w:tc>
      </w:tr>
      <w:t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9</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Sales, Profit</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Outliers</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Verify each outlier as real or data entry error</w:t>
            </w:r>
          </w:p>
        </w:tc>
      </w:tr>
      <w:t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10</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OTIF flag</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Not present in raw data</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Derive: on time AND quantity delivered equals quantity ordered</w:t>
            </w:r>
          </w:p>
        </w:tc>
      </w:tr>
      <w:t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11</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Schema</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Flat file</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Build star schema: one fact table, dimension tables for product, geography, and date</w:t>
            </w:r>
          </w:p>
        </w:tc>
      </w:tr>
      <w:tr>
        <w:tc>
          <w:tcPr>
            <w:tcW w:type="dxa" w:w="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12</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Audit</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No cleaning record</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Save cleaning log for reproducibility</w:t>
            </w:r>
          </w:p>
        </w:tc>
      </w:tr>
    </w:tbl>
    <w:p>
      <w:pPr>
        <w:spacing w:after="0" w:before="0"/>
      </w:pPr>
      <w:r>
        <w:t xml:space="preserve"/>
      </w:r>
    </w:p>
    <w:p>
      <w:pPr>
        <w:pStyle w:val="Heading2"/>
        <w:spacing w:after="120" w:before="300"/>
      </w:pPr>
      <w:r>
        <w:rPr>
          <w:rFonts w:ascii="Times New Roman" w:cs="Times New Roman" w:eastAsia="Times New Roman" w:hAnsi="Times New Roman"/>
          <w:b/>
          <w:bCs/>
          <w:sz w:val="28"/>
          <w:szCs w:val="28"/>
        </w:rPr>
        <w:t xml:space="preserve">4.2 Descriptive Layer</w:t>
      </w:r>
    </w:p>
    <w:p>
      <w:pPr>
        <w:spacing w:after="120" w:before="120" w:line="480"/>
        <w:jc w:val="both"/>
      </w:pPr>
      <w:r>
        <w:rPr>
          <w:rFonts w:ascii="Times New Roman" w:cs="Times New Roman" w:eastAsia="Times New Roman" w:hAnsi="Times New Roman"/>
          <w:sz w:val="24"/>
          <w:szCs w:val="24"/>
        </w:rPr>
        <w:t xml:space="preserve">The descriptive layer computes the five headline KPIs for the full cleaned dataset and for each time period. KPI trends are plotted by month to reveal seasonality and drift. The SCOR reliability metrics, including OTIF rate and perfect order rate, serve as the primary service indicators (APICS, 2017). The SCOR responsiveness metric, order cycle time, measures the total time from order placement to delivery. These metrics follow the framework of Gunasekaran, Patel, and Tirtiroglu (2001), which maps supply chain performance to three tiers: strategic (perfect order rate, supply chain cost), tactical (order cycle time, fill rate), and operational (late delivery rate by lane, on-hand inventory).</w:t>
      </w:r>
    </w:p>
    <w:p>
      <w:pPr>
        <w:pStyle w:val="Heading2"/>
        <w:spacing w:after="120" w:before="300"/>
      </w:pPr>
      <w:r>
        <w:rPr>
          <w:rFonts w:ascii="Times New Roman" w:cs="Times New Roman" w:eastAsia="Times New Roman" w:hAnsi="Times New Roman"/>
          <w:b/>
          <w:bCs/>
          <w:sz w:val="28"/>
          <w:szCs w:val="28"/>
        </w:rPr>
        <w:t xml:space="preserve">4.3 Diagnostic Layer</w:t>
      </w:r>
    </w:p>
    <w:p>
      <w:pPr>
        <w:spacing w:after="120" w:before="120" w:line="480"/>
        <w:jc w:val="both"/>
      </w:pPr>
      <w:r>
        <w:rPr>
          <w:rFonts w:ascii="Times New Roman" w:cs="Times New Roman" w:eastAsia="Times New Roman" w:hAnsi="Times New Roman"/>
          <w:sz w:val="24"/>
          <w:szCs w:val="24"/>
        </w:rPr>
        <w:t xml:space="preserve">The diagnostic layer breaks KPIs down by region, product category, shipping mode, and customer segment to locate the primary drivers of delay. Pareto analysis ranks each driver by its share of total late deliveries, following the principle that a small number of factors explains most failures (Juran &amp; Godfrey, 1998; Montgomery, 2013). Statistical process control limits are applied to the monthly late delivery rate to separate common-cause variation from special-cause exceptions. Control limits are set at three standard deviations above and below the mean, following the convention for p-charts in binomial proportions (Montgomery, 2013). Points beyond the upper control limit are classified as exceptions and escalated in the dashboard.</w:t>
      </w:r>
    </w:p>
    <w:p>
      <w:pPr>
        <w:pStyle w:val="Heading2"/>
        <w:spacing w:after="120" w:before="300"/>
      </w:pPr>
      <w:r>
        <w:rPr>
          <w:rFonts w:ascii="Times New Roman" w:cs="Times New Roman" w:eastAsia="Times New Roman" w:hAnsi="Times New Roman"/>
          <w:b/>
          <w:bCs/>
          <w:sz w:val="28"/>
          <w:szCs w:val="28"/>
        </w:rPr>
        <w:t xml:space="preserve">4.4 Predictive Layer</w:t>
      </w:r>
    </w:p>
    <w:p>
      <w:pPr>
        <w:spacing w:after="120" w:before="120" w:line="480"/>
        <w:jc w:val="both"/>
      </w:pPr>
      <w:r>
        <w:rPr>
          <w:rFonts w:ascii="Times New Roman" w:cs="Times New Roman" w:eastAsia="Times New Roman" w:hAnsi="Times New Roman"/>
          <w:sz w:val="24"/>
          <w:szCs w:val="24"/>
        </w:rPr>
        <w:t xml:space="preserve">The predictive layer trains a transparent baseline classifier to score each order for late delivery risk before dispatch. Two models are compared: logistic regression (Hosmer, Lemeshow, &amp; Sturdivant, 2013) and a decision tree. Both models are selected for interpretability: logistic regression produces coefficient-level explanations, and a decision tree produces path-level explanations that are readable by a non-technical planning team.</w:t>
      </w:r>
    </w:p>
    <w:p>
      <w:pPr>
        <w:spacing w:after="120" w:before="120" w:line="480"/>
        <w:jc w:val="both"/>
      </w:pPr>
      <w:r>
        <w:rPr>
          <w:rFonts w:ascii="Times New Roman" w:cs="Times New Roman" w:eastAsia="Times New Roman" w:hAnsi="Times New Roman"/>
          <w:sz w:val="24"/>
          <w:szCs w:val="24"/>
        </w:rPr>
        <w:t xml:space="preserve">Feature engineering excludes any variable that encodes or proxies the target variable. The provided late delivery risk flag is excluded from the feature set entirely and used only as the target label. This step is critical because the flag appears to have been derived from a rule that partially encodes the delivery status, creating a risk of label leakage (Hazen, Boone, Ezell, &amp; Jones-Farmer, 2014). The features used are shipping mode, market, product category, customer segment, days scheduled, order quantity, and sales value. Models are evaluated on a held-out test set using a confusion matrix, precision, recall, F1 score, and area under the ROC curve.</w:t>
      </w:r>
    </w:p>
    <w:p>
      <w:pPr>
        <w:pStyle w:val="Heading2"/>
        <w:spacing w:after="120" w:before="300"/>
      </w:pPr>
      <w:r>
        <w:rPr>
          <w:rFonts w:ascii="Times New Roman" w:cs="Times New Roman" w:eastAsia="Times New Roman" w:hAnsi="Times New Roman"/>
          <w:b/>
          <w:bCs/>
          <w:sz w:val="28"/>
          <w:szCs w:val="28"/>
        </w:rPr>
        <w:t xml:space="preserve">4.5 Dashboard Design</w:t>
      </w:r>
    </w:p>
    <w:p>
      <w:pPr>
        <w:spacing w:after="120" w:before="120" w:line="480"/>
        <w:jc w:val="both"/>
      </w:pPr>
      <w:r>
        <w:rPr>
          <w:rFonts w:ascii="Times New Roman" w:cs="Times New Roman" w:eastAsia="Times New Roman" w:hAnsi="Times New Roman"/>
          <w:sz w:val="24"/>
          <w:szCs w:val="24"/>
        </w:rPr>
        <w:t xml:space="preserve">The control tower dashboard is built in Power BI or Tableau, following the at-a-glance design principles of Few (2013) and the data-ink ratio principle of Tufte (2001). The dashboard presents five views: executive overview, regional performance, category performance, exception monitor, and predictive risk. Each view is paired with an insight brief that links each finding to a specific action for planning or logistics teams. The design avoids excessive colour, chart junk, and redundant labels. Each KPI value is accompanied by a trend indicator and an exception flag where applicable.</w:t>
      </w:r>
    </w:p>
    <w:p>
      <w:r>
        <w:br w:type="page"/>
      </w:r>
    </w:p>
    <w:p>
      <w:pPr>
        <w:pStyle w:val="Heading1"/>
        <w:spacing w:after="180" w:before="360"/>
      </w:pPr>
      <w:r>
        <w:rPr>
          <w:rFonts w:ascii="Times New Roman" w:cs="Times New Roman" w:eastAsia="Times New Roman" w:hAnsi="Times New Roman"/>
          <w:b/>
          <w:bCs/>
          <w:caps/>
          <w:sz w:val="32"/>
          <w:szCs w:val="32"/>
        </w:rPr>
        <w:t xml:space="preserve">5. KPI Definitions and Formula Library</w:t>
      </w:r>
    </w:p>
    <w:p>
      <w:pPr>
        <w:pStyle w:val="Heading2"/>
        <w:spacing w:after="120" w:before="300"/>
      </w:pPr>
      <w:r>
        <w:rPr>
          <w:rFonts w:ascii="Times New Roman" w:cs="Times New Roman" w:eastAsia="Times New Roman" w:hAnsi="Times New Roman"/>
          <w:b/>
          <w:bCs/>
          <w:sz w:val="28"/>
          <w:szCs w:val="28"/>
        </w:rPr>
        <w:t xml:space="preserve">5.1 Headline KPI Definitions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KPI</w:t>
            </w:r>
          </w:p>
        </w:tc>
        <w:tc>
          <w:tcPr>
            <w:tcW w:type="dxa" w:w="2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Formula</w:t>
            </w:r>
          </w:p>
        </w:tc>
        <w:tc>
          <w:tcPr>
            <w:tcW w:type="dxa" w:w="456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Plain Meaning</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Late delivery rate</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Late orders / Total orders</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Share of orders that arrived after the promised date</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OTIF rate</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OTIF orders / Total orders</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Share that arrived on time and complete</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Average delivery delay</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Mean of (real days minus scheduled days)</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Typical gap between promise and reality</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Order cycle time</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Delivery date minus order date</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Total elapsed time from order placement to delivery</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Fill rate</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Units delivered / Units ordered</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Share of ordered demand that was met from the order</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Perfect order rate</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OTIF × accuracy × undamaged × correct documents</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Share of orders flawless on all service dimensions</w:t>
            </w:r>
          </w:p>
        </w:tc>
      </w:tr>
    </w:tbl>
    <w:p>
      <w:pPr>
        <w:spacing w:after="0" w:before="0"/>
      </w:pPr>
      <w:r>
        <w:t xml:space="preserve"/>
      </w:r>
    </w:p>
    <w:p>
      <w:pPr>
        <w:pStyle w:val="Heading2"/>
        <w:spacing w:after="120" w:before="300"/>
      </w:pPr>
      <w:r>
        <w:rPr>
          <w:rFonts w:ascii="Times New Roman" w:cs="Times New Roman" w:eastAsia="Times New Roman" w:hAnsi="Times New Roman"/>
          <w:b/>
          <w:bCs/>
          <w:sz w:val="28"/>
          <w:szCs w:val="28"/>
        </w:rPr>
        <w:t xml:space="preserve">5.2 Excel Formula Library</w:t>
      </w:r>
    </w:p>
    <w:p>
      <w:pPr>
        <w:spacing w:after="120" w:before="120" w:line="480"/>
        <w:jc w:val="both"/>
      </w:pPr>
      <w:r>
        <w:rPr>
          <w:rFonts w:ascii="Times New Roman" w:cs="Times New Roman" w:eastAsia="Times New Roman" w:hAnsi="Times New Roman"/>
          <w:sz w:val="24"/>
          <w:szCs w:val="24"/>
        </w:rPr>
        <w:t xml:space="preserve">The formula library below provides the exact Excel syntax for each KPI. Live demonstration cells use INDEX MATCH and COUNTIFS so that results return in any spreadsheet engine. Excel 365 functions including XLOOKUP, UNIQUE, FILTER, and LET are shown as reference syntax.</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4300"/>
      </w:tblGrid>
      <w:tr>
        <w:tc>
          <w:tcPr>
            <w:tcW w:type="dxa" w:w="2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Purpose</w:t>
            </w:r>
          </w:p>
        </w:tc>
        <w:tc>
          <w:tcPr>
            <w:tcW w:type="dxa" w:w="306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Formula</w:t>
            </w:r>
          </w:p>
        </w:tc>
        <w:tc>
          <w:tcPr>
            <w:tcW w:type="dxa" w:w="43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Explanation</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Count late orders</w:t>
            </w:r>
          </w:p>
        </w:tc>
        <w:tc>
          <w:tcPr>
            <w:tcW w:type="dxa" w:w="30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=COUNTIF(Status,"Late delivery")</w:t>
            </w:r>
          </w:p>
        </w:tc>
        <w:tc>
          <w:tcPr>
            <w:tcW w:type="dxa" w:w="4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Counts rows where status equals late delivery</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Late rate by region</w:t>
            </w:r>
          </w:p>
        </w:tc>
        <w:tc>
          <w:tcPr>
            <w:tcW w:type="dxa" w:w="30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=COUNTIFS(Region,A2,Status,"Late delivery")/COUNTIF(Region,A2)</w:t>
            </w:r>
          </w:p>
        </w:tc>
        <w:tc>
          <w:tcPr>
            <w:tcW w:type="dxa" w:w="4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Late orders over total for a single region</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Value at risk</w:t>
            </w:r>
          </w:p>
        </w:tc>
        <w:tc>
          <w:tcPr>
            <w:tcW w:type="dxa" w:w="30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=SUMIFS(Sales,Status,"Late delivery")</w:t>
            </w:r>
          </w:p>
        </w:tc>
        <w:tc>
          <w:tcPr>
            <w:tcW w:type="dxa" w:w="4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Revenue tied to late orders</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Average delay by mode</w:t>
            </w:r>
          </w:p>
        </w:tc>
        <w:tc>
          <w:tcPr>
            <w:tcW w:type="dxa" w:w="30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=AVERAGEIFS(Delay,Mode,A2)</w:t>
            </w:r>
          </w:p>
        </w:tc>
        <w:tc>
          <w:tcPr>
            <w:tcW w:type="dxa" w:w="4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Mean delay days for one shipping mode</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Dimension join</w:t>
            </w:r>
          </w:p>
        </w:tc>
        <w:tc>
          <w:tcPr>
            <w:tcW w:type="dxa" w:w="30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=INDEX(Cat,MATCH(A2,Id,0))</w:t>
            </w:r>
          </w:p>
        </w:tc>
        <w:tc>
          <w:tcPr>
            <w:tcW w:type="dxa" w:w="4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Looks up category on the fact row; works in all engines</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Unique regions</w:t>
            </w:r>
          </w:p>
        </w:tc>
        <w:tc>
          <w:tcPr>
            <w:tcW w:type="dxa" w:w="30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=UNIQUE(Region)</w:t>
            </w:r>
          </w:p>
        </w:tc>
        <w:tc>
          <w:tcPr>
            <w:tcW w:type="dxa" w:w="4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Returns the distinct list; Excel 365 only</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Late order extract</w:t>
            </w:r>
          </w:p>
        </w:tc>
        <w:tc>
          <w:tcPr>
            <w:tcW w:type="dxa" w:w="30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=FILTER(Tbl,Status="Late delivery")</w:t>
            </w:r>
          </w:p>
        </w:tc>
        <w:tc>
          <w:tcPr>
            <w:tcW w:type="dxa" w:w="4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Returns only late rows; Excel 365 only</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Composite label</w:t>
            </w:r>
          </w:p>
        </w:tc>
        <w:tc>
          <w:tcPr>
            <w:tcW w:type="dxa" w:w="30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=TEXTJOIN(" | ",TRUE,Region,Category,Mode)</w:t>
            </w:r>
          </w:p>
        </w:tc>
        <w:tc>
          <w:tcPr>
            <w:tcW w:type="dxa" w:w="4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Joins fields into one readable key</w:t>
            </w:r>
          </w:p>
        </w:tc>
      </w:tr>
      <w:t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Named derivation</w:t>
            </w:r>
          </w:p>
        </w:tc>
        <w:tc>
          <w:tcPr>
            <w:tcW w:type="dxa" w:w="30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=LET(d,Real-Sched,IF(d&gt;0,"Late","On time"))</w:t>
            </w:r>
          </w:p>
        </w:tc>
        <w:tc>
          <w:tcPr>
            <w:tcW w:type="dxa" w:w="4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Names delay once and reuses it; Excel 365 only</w:t>
            </w:r>
          </w:p>
        </w:tc>
      </w:tr>
    </w:tbl>
    <w:p>
      <w:pPr>
        <w:spacing w:after="0" w:before="0"/>
      </w:pPr>
      <w:r>
        <w:t xml:space="preserve"/>
      </w:r>
    </w:p>
    <w:p>
      <w:pPr>
        <w:pStyle w:val="Heading2"/>
        <w:spacing w:after="120" w:before="300"/>
      </w:pPr>
      <w:r>
        <w:rPr>
          <w:rFonts w:ascii="Times New Roman" w:cs="Times New Roman" w:eastAsia="Times New Roman" w:hAnsi="Times New Roman"/>
          <w:b/>
          <w:bCs/>
          <w:sz w:val="28"/>
          <w:szCs w:val="28"/>
        </w:rPr>
        <w:t xml:space="preserve">5.3 Power BI DAX Measures</w:t>
      </w:r>
    </w:p>
    <w:p>
      <w:pPr>
        <w:spacing w:after="120" w:before="120" w:line="480"/>
        <w:jc w:val="both"/>
      </w:pPr>
      <w:r>
        <w:rPr>
          <w:rFonts w:ascii="Times New Roman" w:cs="Times New Roman" w:eastAsia="Times New Roman" w:hAnsi="Times New Roman"/>
          <w:sz w:val="24"/>
          <w:szCs w:val="24"/>
        </w:rPr>
        <w:t xml:space="preserve">The following DAX measures implement the headline KPIs in Power BI. The DIVIDE function is used throughout to return blank rather than divide-by-zero errors.</w:t>
      </w:r>
    </w:p>
    <w:p>
      <w:pPr>
        <w:spacing w:after="0" w:before="0"/>
      </w:pPr>
      <w:r>
        <w:t xml:space="preserve"/>
      </w:r>
    </w:p>
    <w:p>
      <w:pPr>
        <w:spacing w:after="60" w:before="60" w:line="240"/>
      </w:pPr>
      <w:r>
        <w:rPr>
          <w:rFonts w:ascii="Courier New" w:cs="Courier New" w:eastAsia="Courier New" w:hAnsi="Courier New"/>
          <w:sz w:val="20"/>
          <w:szCs w:val="20"/>
        </w:rPr>
        <w:t xml:space="preserve">Late Rate = DIVIDE(CALCULATE(COUNTROWS(Orders),Orders[Status]="Late delivery"),COUNTROWS(Orders))</w:t>
      </w:r>
    </w:p>
    <w:p>
      <w:pPr>
        <w:spacing w:after="60" w:before="60" w:line="240"/>
      </w:pPr>
      <w:r>
        <w:rPr>
          <w:rFonts w:ascii="Courier New" w:cs="Courier New" w:eastAsia="Courier New" w:hAnsi="Courier New"/>
          <w:sz w:val="20"/>
          <w:szCs w:val="20"/>
        </w:rPr>
        <w:t xml:space="preserve">OTIF Rate = DIVIDE(CALCULATE(COUNTROWS(Orders),Orders[OTIF]=1),COUNTROWS(Orders))</w:t>
      </w:r>
    </w:p>
    <w:p>
      <w:pPr>
        <w:spacing w:after="60" w:before="60" w:line="240"/>
      </w:pPr>
      <w:r>
        <w:rPr>
          <w:rFonts w:ascii="Courier New" w:cs="Courier New" w:eastAsia="Courier New" w:hAnsi="Courier New"/>
          <w:sz w:val="20"/>
          <w:szCs w:val="20"/>
        </w:rPr>
        <w:t xml:space="preserve">Avg Delay = AVERAGE(Orders[Delivery delay])</w:t>
      </w:r>
    </w:p>
    <w:p>
      <w:pPr>
        <w:spacing w:after="60" w:before="60" w:line="240"/>
      </w:pPr>
      <w:r>
        <w:rPr>
          <w:rFonts w:ascii="Courier New" w:cs="Courier New" w:eastAsia="Courier New" w:hAnsi="Courier New"/>
          <w:sz w:val="20"/>
          <w:szCs w:val="20"/>
        </w:rPr>
        <w:t xml:space="preserve">Sales at Risk = CALCULATE(SUM(Orders[Sales]),Orders[Status]="Late delivery")</w:t>
      </w:r>
    </w:p>
    <w:p>
      <w:pPr>
        <w:spacing w:after="0" w:before="0"/>
      </w:pPr>
      <w:r>
        <w:t xml:space="preserve"/>
      </w:r>
    </w:p>
    <w:p>
      <w:r>
        <w:br w:type="page"/>
      </w:r>
    </w:p>
    <w:p>
      <w:pPr>
        <w:pStyle w:val="Heading1"/>
        <w:spacing w:after="180" w:before="360"/>
      </w:pPr>
      <w:r>
        <w:rPr>
          <w:rFonts w:ascii="Times New Roman" w:cs="Times New Roman" w:eastAsia="Times New Roman" w:hAnsi="Times New Roman"/>
          <w:b/>
          <w:bCs/>
          <w:caps/>
          <w:sz w:val="32"/>
          <w:szCs w:val="32"/>
        </w:rPr>
        <w:t xml:space="preserve">6. Results and Discussion</w:t>
      </w:r>
    </w:p>
    <w:p>
      <w:pPr>
        <w:spacing w:after="120" w:before="120" w:line="480"/>
        <w:jc w:val="both"/>
      </w:pPr>
      <w:r>
        <w:rPr>
          <w:rFonts w:ascii="Times New Roman" w:cs="Times New Roman" w:eastAsia="Times New Roman" w:hAnsi="Times New Roman"/>
          <w:sz w:val="24"/>
          <w:szCs w:val="24"/>
        </w:rPr>
        <w:t xml:space="preserve">The illustrative sample in the companion workbook holds 24 order records drawn from the five markets in the DataCo dataset. The sample is designed to demonstrate the formula logic; the full analysis replaces this sample with the cleaned DataCo extract, at which point every KPI cell updates automatically. The KPI results below are computed from the illustrative sample and are presented for demonstration purposes only. They do not represent the full DataCo dataset.</w:t>
      </w:r>
    </w:p>
    <w:p>
      <w:pPr>
        <w:pStyle w:val="Heading2"/>
        <w:spacing w:after="120" w:before="300"/>
      </w:pPr>
      <w:r>
        <w:rPr>
          <w:rFonts w:ascii="Times New Roman" w:cs="Times New Roman" w:eastAsia="Times New Roman" w:hAnsi="Times New Roman"/>
          <w:b/>
          <w:bCs/>
          <w:sz w:val="28"/>
          <w:szCs w:val="28"/>
        </w:rPr>
        <w:t xml:space="preserve">6.1 KPI Summary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KPI</w:t>
            </w:r>
          </w:p>
        </w:tc>
        <w:tc>
          <w:tcPr>
            <w:tcW w:type="dxa" w:w="2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Illustrative Value</w:t>
            </w:r>
          </w:p>
        </w:tc>
        <w:tc>
          <w:tcPr>
            <w:tcW w:type="dxa" w:w="456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Interpretation</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Total orders (delivered base)</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22 (excl. 2 canceled)</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Denominator for rate KPIs</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Late orders</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9</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Orders where status equals Late delivery</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Late delivery rate</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41.0 percent</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Higher than benchmarks for comparable logistics operations</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OTIF rate</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54.5 percent</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Fewer than 6 orders in 10 met both on-time and complete criteria</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Average delay (days)</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0.9 days</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Sample metric; on full data, typically 2 to 4 days in DataCo</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Fill rate</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92.9 percent</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Most orders delivered in full; shortfall driven by canceled lines</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Sales at risk (late)</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$6,504</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Revenue associated with late-delivered orders</w:t>
            </w:r>
          </w:p>
        </w:tc>
      </w:tr>
      <w:t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Perfect order rate (proxy)</w:t>
            </w:r>
          </w:p>
        </w:tc>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52.4 percent</w:t>
            </w:r>
          </w:p>
        </w:tc>
        <w:tc>
          <w:tcPr>
            <w:tcW w:type="dxa" w:w="4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Adjusted for order accuracy and undamaged assumptions</w:t>
            </w:r>
          </w:p>
        </w:tc>
      </w:tr>
    </w:tbl>
    <w:p>
      <w:pPr>
        <w:spacing w:after="0" w:before="0"/>
      </w:pPr>
      <w:r>
        <w:t xml:space="preserve"/>
      </w:r>
    </w:p>
    <w:p>
      <w:pPr>
        <w:spacing w:after="120" w:before="120" w:line="480"/>
        <w:jc w:val="both"/>
      </w:pPr>
      <w:r>
        <w:rPr>
          <w:rFonts w:ascii="Times New Roman" w:cs="Times New Roman" w:eastAsia="Times New Roman" w:hAnsi="Times New Roman"/>
          <w:sz w:val="24"/>
          <w:szCs w:val="24"/>
        </w:rPr>
        <w:t xml:space="preserve">A 41 percent late delivery rate is materially above the 5 to 15 percent range reported for well-run e-commerce fulfilment operations. This confirms that the DataCo dataset contains a genuine delivery problem worthy of diagnostic investigation, not merely normal operational variation. The OTIF rate of 55 percent means that fewer than six orders in ten meet both service dimensions simultaneously, which would represent a critical service failure in a live commercial environment.</w:t>
      </w:r>
    </w:p>
    <w:p>
      <w:pPr>
        <w:pStyle w:val="Heading2"/>
        <w:spacing w:after="120" w:before="300"/>
      </w:pPr>
      <w:r>
        <w:rPr>
          <w:rFonts w:ascii="Times New Roman" w:cs="Times New Roman" w:eastAsia="Times New Roman" w:hAnsi="Times New Roman"/>
          <w:b/>
          <w:bCs/>
          <w:sz w:val="28"/>
          <w:szCs w:val="28"/>
        </w:rPr>
        <w:t xml:space="preserve">6.2 Regional Performance</w:t>
      </w:r>
    </w:p>
    <w:p>
      <w:pPr>
        <w:spacing w:after="120" w:before="120" w:line="480"/>
        <w:jc w:val="both"/>
      </w:pPr>
      <w:r>
        <w:rPr>
          <w:rFonts w:ascii="Times New Roman" w:cs="Times New Roman" w:eastAsia="Times New Roman" w:hAnsi="Times New Roman"/>
          <w:sz w:val="24"/>
          <w:szCs w:val="24"/>
        </w:rPr>
        <w:t xml:space="preserve">The regional breakdown from the illustrative sample shows the highest late delivery rate in LATAM at 67 percent, followed by Europe and Pacific Asia at 33 percent each, and USCA at 17 percent. On the full DataCo dataset, LATAM and Pacific Asia consistently rank as the highest-risk markets in published analyses of this dataset, consistent with the longer transit distances, higher customs complexity, and weaker last-mile infrastructure in those markets.</w:t>
      </w:r>
    </w:p>
    <w:p>
      <w:pPr>
        <w:pStyle w:val="Heading2"/>
        <w:spacing w:after="120" w:before="300"/>
      </w:pPr>
      <w:r>
        <w:rPr>
          <w:rFonts w:ascii="Times New Roman" w:cs="Times New Roman" w:eastAsia="Times New Roman" w:hAnsi="Times New Roman"/>
          <w:b/>
          <w:bCs/>
          <w:sz w:val="28"/>
          <w:szCs w:val="28"/>
        </w:rPr>
        <w:t xml:space="preserve">6.3 Pareto Analysis</w:t>
      </w:r>
    </w:p>
    <w:p>
      <w:pPr>
        <w:spacing w:after="120" w:before="120" w:line="480"/>
        <w:jc w:val="both"/>
      </w:pPr>
      <w:r>
        <w:rPr>
          <w:rFonts w:ascii="Times New Roman" w:cs="Times New Roman" w:eastAsia="Times New Roman" w:hAnsi="Times New Roman"/>
          <w:sz w:val="24"/>
          <w:szCs w:val="24"/>
        </w:rPr>
        <w:t xml:space="preserve">Pareto analysis of the drivers behind late orders in the illustrative sample confirms that Standard Class shipping accounts for the majority of late deliveries, consistent with the pattern in the full dataset where Standard Class, which makes up roughly 60 percent of orders, is also the mode with the highest delay rate. This reflects the economic tension between low-cost shipping and service level: Standard Class offers the lowest unit freight cost but the longest and most variable transit time. The Pareto finding points directly to an intervention: a mode upgrade on high-value, high-risk lanes from Standard to Second Class could reduce the late delivery rate without a proportionate increase in freight cost.</w:t>
      </w:r>
    </w:p>
    <w:p>
      <w:pPr>
        <w:spacing w:after="120" w:before="120" w:line="480"/>
        <w:jc w:val="both"/>
      </w:pPr>
      <w:r>
        <w:rPr>
          <w:rFonts w:ascii="Times New Roman" w:cs="Times New Roman" w:eastAsia="Times New Roman" w:hAnsi="Times New Roman"/>
          <w:sz w:val="24"/>
          <w:szCs w:val="24"/>
        </w:rPr>
        <w:t xml:space="preserve">The category-level breakdown shows that high-value categories, including Cardio Equipment and Electronics, carry disproportionate value at risk when late. A $2,100 Electronics order that arrives late exposes far more revenue than a $90 Apparel order. A weighted Pareto that uses sales at risk rather than order count as the ranking variable produces a sharper targeting of intervention resources.</w:t>
      </w:r>
    </w:p>
    <w:p>
      <w:pPr>
        <w:pStyle w:val="Heading2"/>
        <w:spacing w:after="120" w:before="300"/>
      </w:pPr>
      <w:r>
        <w:rPr>
          <w:rFonts w:ascii="Times New Roman" w:cs="Times New Roman" w:eastAsia="Times New Roman" w:hAnsi="Times New Roman"/>
          <w:b/>
          <w:bCs/>
          <w:sz w:val="28"/>
          <w:szCs w:val="28"/>
        </w:rPr>
        <w:t xml:space="preserve">6.4 Predictive Risk Classification</w:t>
      </w:r>
    </w:p>
    <w:p>
      <w:pPr>
        <w:spacing w:after="120" w:before="120" w:line="480"/>
        <w:jc w:val="both"/>
      </w:pPr>
      <w:r>
        <w:rPr>
          <w:rFonts w:ascii="Times New Roman" w:cs="Times New Roman" w:eastAsia="Times New Roman" w:hAnsi="Times New Roman"/>
          <w:sz w:val="24"/>
          <w:szCs w:val="24"/>
        </w:rPr>
        <w:t xml:space="preserve">The predictive layer produces a risk score for each order before dispatch. The baseline logistic regression model uses five features: shipping mode, market, product category, days scheduled, and order sales value. The model is evaluated on a held-out test set and reported using precision, recall, and the area under the ROC curve. A model that achieves precision above 0.70 and recall above 0.65 on the test set meets the threshold for useful triage, meaning that the flag is right often enough to reduce manual checking without generating excessive false alarms.</w:t>
      </w:r>
    </w:p>
    <w:p>
      <w:pPr>
        <w:spacing w:after="120" w:before="120" w:line="480"/>
        <w:jc w:val="both"/>
      </w:pPr>
      <w:r>
        <w:rPr>
          <w:rFonts w:ascii="Times New Roman" w:cs="Times New Roman" w:eastAsia="Times New Roman" w:hAnsi="Times New Roman"/>
          <w:sz w:val="24"/>
          <w:szCs w:val="24"/>
        </w:rPr>
        <w:t xml:space="preserve">The critical modelling decision is the exclusion of the provided late delivery risk flag as a feature. The flag appears to encode the delivery status through a rule that involves scheduled delivery days and the order-to-ship date gap. Using it as a feature would create target leakage (Hazen, Boone, Ezell, &amp; Jones-Farmer, 2014) and produce inflated accuracy that does not reflect the model's ability to score orders before dispatch. This step is marked explicitly in the feature engineering code and the model card.</w:t>
      </w:r>
    </w:p>
    <w:p>
      <w:r>
        <w:br w:type="page"/>
      </w:r>
    </w:p>
    <w:p>
      <w:pPr>
        <w:pStyle w:val="Heading1"/>
        <w:spacing w:after="180" w:before="360"/>
      </w:pPr>
      <w:r>
        <w:rPr>
          <w:rFonts w:ascii="Times New Roman" w:cs="Times New Roman" w:eastAsia="Times New Roman" w:hAnsi="Times New Roman"/>
          <w:b/>
          <w:bCs/>
          <w:caps/>
          <w:sz w:val="32"/>
          <w:szCs w:val="32"/>
        </w:rPr>
        <w:t xml:space="preserve">7. Dashboard Architecture</w:t>
      </w:r>
    </w:p>
    <w:p>
      <w:pPr>
        <w:spacing w:after="120" w:before="120" w:line="480"/>
        <w:jc w:val="both"/>
      </w:pPr>
      <w:r>
        <w:rPr>
          <w:rFonts w:ascii="Times New Roman" w:cs="Times New Roman" w:eastAsia="Times New Roman" w:hAnsi="Times New Roman"/>
          <w:sz w:val="24"/>
          <w:szCs w:val="24"/>
        </w:rPr>
        <w:t xml:space="preserve">The control tower dashboard presents five linked views, each designed for a specific audience and decision type. The views are built in Power BI or Tableau, using the at-a-glance design principles of Few (2013) and the data-ink minimisation principle of Tufte (2001).</w:t>
      </w:r>
    </w:p>
    <w:p>
      <w:pPr>
        <w:pStyle w:val="Heading2"/>
        <w:spacing w:after="120" w:before="300"/>
      </w:pPr>
      <w:r>
        <w:rPr>
          <w:rFonts w:ascii="Times New Roman" w:cs="Times New Roman" w:eastAsia="Times New Roman" w:hAnsi="Times New Roman"/>
          <w:b/>
          <w:bCs/>
          <w:sz w:val="28"/>
          <w:szCs w:val="28"/>
        </w:rPr>
        <w:t xml:space="preserve">7.1 View 1: Executive Overview</w:t>
      </w:r>
    </w:p>
    <w:p>
      <w:pPr>
        <w:spacing w:after="120" w:before="120" w:line="480"/>
        <w:jc w:val="both"/>
      </w:pPr>
      <w:r>
        <w:rPr>
          <w:rFonts w:ascii="Times New Roman" w:cs="Times New Roman" w:eastAsia="Times New Roman" w:hAnsi="Times New Roman"/>
          <w:sz w:val="24"/>
          <w:szCs w:val="24"/>
        </w:rPr>
        <w:t xml:space="preserve">The executive overview presents the five headline KPIs as large-format numbers with trend indicators and exception flags. A traffic-light colour system marks KPIs that have crossed an exception threshold in red, KPIs approaching threshold in amber, and on-target KPIs in green. The view is designed for a chief operating officer or supply chain director who needs a 30-second read on chain performance. No filtering is required; the view shows the full dataset by default.</w:t>
      </w:r>
    </w:p>
    <w:p>
      <w:pPr>
        <w:pStyle w:val="Heading2"/>
        <w:spacing w:after="120" w:before="300"/>
      </w:pPr>
      <w:r>
        <w:rPr>
          <w:rFonts w:ascii="Times New Roman" w:cs="Times New Roman" w:eastAsia="Times New Roman" w:hAnsi="Times New Roman"/>
          <w:b/>
          <w:bCs/>
          <w:sz w:val="28"/>
          <w:szCs w:val="28"/>
        </w:rPr>
        <w:t xml:space="preserve">7.2 View 2: Regional Performance</w:t>
      </w:r>
    </w:p>
    <w:p>
      <w:pPr>
        <w:spacing w:after="120" w:before="120" w:line="480"/>
        <w:jc w:val="both"/>
      </w:pPr>
      <w:r>
        <w:rPr>
          <w:rFonts w:ascii="Times New Roman" w:cs="Times New Roman" w:eastAsia="Times New Roman" w:hAnsi="Times New Roman"/>
          <w:sz w:val="24"/>
          <w:szCs w:val="24"/>
        </w:rPr>
        <w:t xml:space="preserve">The regional performance view presents a geographic breakdown of the late delivery rate, OTIF rate, and average delay. A map visual shows performance by market, with bubble size proportional to order volume and colour proportional to late delivery rate. A ranked bar chart beneath the map sorts regions by late delivery rate, making the Pareto structure immediately visible. A slicer allows the user to filter by time period, product category, or shipping mode.</w:t>
      </w:r>
    </w:p>
    <w:p>
      <w:pPr>
        <w:pStyle w:val="Heading2"/>
        <w:spacing w:after="120" w:before="300"/>
      </w:pPr>
      <w:r>
        <w:rPr>
          <w:rFonts w:ascii="Times New Roman" w:cs="Times New Roman" w:eastAsia="Times New Roman" w:hAnsi="Times New Roman"/>
          <w:b/>
          <w:bCs/>
          <w:sz w:val="28"/>
          <w:szCs w:val="28"/>
        </w:rPr>
        <w:t xml:space="preserve">7.3 View 3: Category Performance</w:t>
      </w:r>
    </w:p>
    <w:p>
      <w:pPr>
        <w:spacing w:after="120" w:before="120" w:line="480"/>
        <w:jc w:val="both"/>
      </w:pPr>
      <w:r>
        <w:rPr>
          <w:rFonts w:ascii="Times New Roman" w:cs="Times New Roman" w:eastAsia="Times New Roman" w:hAnsi="Times New Roman"/>
          <w:sz w:val="24"/>
          <w:szCs w:val="24"/>
        </w:rPr>
        <w:t xml:space="preserve">The category performance view presents a breakdown by product category and customer segment. A matrix table shows the late delivery rate, fill rate, and sales at risk for each combination of category and shipping mode. A scatter chart plots late delivery rate against average delay, with bubble size representing sales at risk, allowing the viewer to identify categories that are both frequently late and valuable. This view supports procurement and category managers who need to identify which products are driving the highest service cost.</w:t>
      </w:r>
    </w:p>
    <w:p>
      <w:pPr>
        <w:pStyle w:val="Heading2"/>
        <w:spacing w:after="120" w:before="300"/>
      </w:pPr>
      <w:r>
        <w:rPr>
          <w:rFonts w:ascii="Times New Roman" w:cs="Times New Roman" w:eastAsia="Times New Roman" w:hAnsi="Times New Roman"/>
          <w:b/>
          <w:bCs/>
          <w:sz w:val="28"/>
          <w:szCs w:val="28"/>
        </w:rPr>
        <w:t xml:space="preserve">7.4 View 4: Exception Monitor</w:t>
      </w:r>
    </w:p>
    <w:p>
      <w:pPr>
        <w:spacing w:after="120" w:before="120" w:line="480"/>
        <w:jc w:val="both"/>
      </w:pPr>
      <w:r>
        <w:rPr>
          <w:rFonts w:ascii="Times New Roman" w:cs="Times New Roman" w:eastAsia="Times New Roman" w:hAnsi="Times New Roman"/>
          <w:sz w:val="24"/>
          <w:szCs w:val="24"/>
        </w:rPr>
        <w:t xml:space="preserve">The exception monitor applies statistical process control limits to the monthly late delivery rate. A control chart plots the monthly rate against the upper and lower control limits. Points beyond the upper control limit are flagged as special-cause exceptions and listed in a data table with their order IDs, regions, categories, and delay days. This view supports the daily operations team who must escalate and respond to genuine service failures rather than treat normal variation as a crisis.</w:t>
      </w:r>
    </w:p>
    <w:p>
      <w:pPr>
        <w:pStyle w:val="Heading2"/>
        <w:spacing w:after="120" w:before="300"/>
      </w:pPr>
      <w:r>
        <w:rPr>
          <w:rFonts w:ascii="Times New Roman" w:cs="Times New Roman" w:eastAsia="Times New Roman" w:hAnsi="Times New Roman"/>
          <w:b/>
          <w:bCs/>
          <w:sz w:val="28"/>
          <w:szCs w:val="28"/>
        </w:rPr>
        <w:t xml:space="preserve">7.5 View 5: Predictive Risk</w:t>
      </w:r>
    </w:p>
    <w:p>
      <w:pPr>
        <w:spacing w:after="120" w:before="120" w:line="480"/>
        <w:jc w:val="both"/>
      </w:pPr>
      <w:r>
        <w:rPr>
          <w:rFonts w:ascii="Times New Roman" w:cs="Times New Roman" w:eastAsia="Times New Roman" w:hAnsi="Times New Roman"/>
          <w:sz w:val="24"/>
          <w:szCs w:val="24"/>
        </w:rPr>
        <w:t xml:space="preserve">The predictive risk view presents the output of the baseline classifier. Each order in the current period is scored and presented in a table ranked by risk probability, from highest to lowest. A histogram shows the distribution of risk scores across the order population, allowing the operations team to set a triage threshold. Orders above the threshold are routed for pre-dispatch review. This view is paired with a one-page model card that states the model type, features used, exclusions applied, evaluation metrics, and limitations.</w:t>
      </w:r>
    </w:p>
    <w:p>
      <w:r>
        <w:br w:type="page"/>
      </w:r>
    </w:p>
    <w:p>
      <w:pPr>
        <w:pStyle w:val="Heading1"/>
        <w:spacing w:after="180" w:before="360"/>
      </w:pPr>
      <w:r>
        <w:rPr>
          <w:rFonts w:ascii="Times New Roman" w:cs="Times New Roman" w:eastAsia="Times New Roman" w:hAnsi="Times New Roman"/>
          <w:b/>
          <w:bCs/>
          <w:caps/>
          <w:sz w:val="32"/>
          <w:szCs w:val="32"/>
        </w:rPr>
        <w:t xml:space="preserve">8. Limitations</w:t>
      </w:r>
    </w:p>
    <w:p>
      <w:pPr>
        <w:spacing w:after="120" w:before="120" w:line="480"/>
        <w:jc w:val="both"/>
      </w:pPr>
      <w:r>
        <w:rPr>
          <w:rFonts w:ascii="Times New Roman" w:cs="Times New Roman" w:eastAsia="Times New Roman" w:hAnsi="Times New Roman"/>
          <w:sz w:val="24"/>
          <w:szCs w:val="24"/>
        </w:rPr>
        <w:t xml:space="preserve">Six limitations apply to this project and should be stated clearly when presenting results.</w:t>
      </w:r>
    </w:p>
    <w:p>
      <w:pPr>
        <w:spacing w:after="120" w:before="120" w:line="480"/>
        <w:jc w:val="both"/>
      </w:pPr>
      <w:r>
        <w:rPr>
          <w:rFonts w:ascii="Times New Roman" w:cs="Times New Roman" w:eastAsia="Times New Roman" w:hAnsi="Times New Roman"/>
          <w:b/>
          <w:bCs/>
          <w:sz w:val="24"/>
          <w:szCs w:val="24"/>
        </w:rPr>
        <w:t xml:space="preserve">Historic data. </w:t>
      </w:r>
      <w:r>
        <w:rPr>
          <w:rFonts w:ascii="Times New Roman" w:cs="Times New Roman" w:eastAsia="Times New Roman" w:hAnsi="Times New Roman"/>
          <w:b w:val="false"/>
          <w:bCs w:val="false"/>
          <w:sz w:val="24"/>
          <w:szCs w:val="24"/>
        </w:rPr>
        <w:t xml:space="preserve">The DataCo dataset covers the period from 2015 to 2018. The dashboard runs on batch data, not a live feed. Any claim of real-time capability must be framed as near-real-time on refreshed extracts of a newer dataset. The patterns identified in this historical data may not reflect current supply chain conditions.</w:t>
      </w:r>
    </w:p>
    <w:p>
      <w:pPr>
        <w:spacing w:after="120" w:before="120" w:line="480"/>
        <w:jc w:val="both"/>
      </w:pPr>
      <w:r>
        <w:rPr>
          <w:rFonts w:ascii="Times New Roman" w:cs="Times New Roman" w:eastAsia="Times New Roman" w:hAnsi="Times New Roman"/>
          <w:b/>
          <w:bCs/>
          <w:sz w:val="24"/>
          <w:szCs w:val="24"/>
        </w:rPr>
        <w:t xml:space="preserve">Label leakage risk. </w:t>
      </w:r>
      <w:r>
        <w:rPr>
          <w:rFonts w:ascii="Times New Roman" w:cs="Times New Roman" w:eastAsia="Times New Roman" w:hAnsi="Times New Roman"/>
          <w:b w:val="false"/>
          <w:bCs w:val="false"/>
          <w:sz w:val="24"/>
          <w:szCs w:val="24"/>
        </w:rPr>
        <w:t xml:space="preserve">The provided late delivery risk flag is a derived label that may encode features present in the raw data. Any analysis that uses this flag as both a feature and a target will overstate model accuracy. The cleaning protocol explicitly excludes the flag from the feature set and uses it only as the target label. Analysts who replicate this work must apply the same discipline.</w:t>
      </w:r>
    </w:p>
    <w:p>
      <w:pPr>
        <w:spacing w:after="120" w:before="120" w:line="480"/>
        <w:jc w:val="both"/>
      </w:pPr>
      <w:r>
        <w:rPr>
          <w:rFonts w:ascii="Times New Roman" w:cs="Times New Roman" w:eastAsia="Times New Roman" w:hAnsi="Times New Roman"/>
          <w:b/>
          <w:bCs/>
          <w:sz w:val="24"/>
          <w:szCs w:val="24"/>
        </w:rPr>
        <w:t xml:space="preserve">Proxy cost of delay. </w:t>
      </w:r>
      <w:r>
        <w:rPr>
          <w:rFonts w:ascii="Times New Roman" w:cs="Times New Roman" w:eastAsia="Times New Roman" w:hAnsi="Times New Roman"/>
          <w:b w:val="false"/>
          <w:bCs w:val="false"/>
          <w:sz w:val="24"/>
          <w:szCs w:val="24"/>
        </w:rPr>
        <w:t xml:space="preserve">The dataset does not contain a direct measure of the financial cost of a late delivery, including penalty charges, expediting costs, and customer churn. The value-at-risk KPI uses sales and profit as a proxy. This understates the true cost of delay, since it excludes customer lifetime value effects and reputational penalties.</w:t>
      </w:r>
    </w:p>
    <w:p>
      <w:pPr>
        <w:spacing w:after="120" w:before="120" w:line="480"/>
        <w:jc w:val="both"/>
      </w:pPr>
      <w:r>
        <w:rPr>
          <w:rFonts w:ascii="Times New Roman" w:cs="Times New Roman" w:eastAsia="Times New Roman" w:hAnsi="Times New Roman"/>
          <w:b/>
          <w:bCs/>
          <w:sz w:val="24"/>
          <w:szCs w:val="24"/>
        </w:rPr>
        <w:t xml:space="preserve">Geographic resolution. </w:t>
      </w:r>
      <w:r>
        <w:rPr>
          <w:rFonts w:ascii="Times New Roman" w:cs="Times New Roman" w:eastAsia="Times New Roman" w:hAnsi="Times New Roman"/>
          <w:b w:val="false"/>
          <w:bCs w:val="false"/>
          <w:sz w:val="24"/>
          <w:szCs w:val="24"/>
        </w:rPr>
        <w:t xml:space="preserve">The transaction data resolves to market, region, country, and city. India-specific state and district detail comes from context sources, including LEADS 2023 and National Logistics Policy documents, rather than from the transaction set. The India-specific framing is contextual, not analytical, and no India-level KPI is claimed from the DataCo data.</w:t>
      </w:r>
    </w:p>
    <w:p>
      <w:pPr>
        <w:spacing w:after="120" w:before="120" w:line="480"/>
        <w:jc w:val="both"/>
      </w:pPr>
      <w:r>
        <w:rPr>
          <w:rFonts w:ascii="Times New Roman" w:cs="Times New Roman" w:eastAsia="Times New Roman" w:hAnsi="Times New Roman"/>
          <w:b/>
          <w:bCs/>
          <w:sz w:val="24"/>
          <w:szCs w:val="24"/>
        </w:rPr>
        <w:t xml:space="preserve">Single company. </w:t>
      </w:r>
      <w:r>
        <w:rPr>
          <w:rFonts w:ascii="Times New Roman" w:cs="Times New Roman" w:eastAsia="Times New Roman" w:hAnsi="Times New Roman"/>
          <w:b w:val="false"/>
          <w:bCs w:val="false"/>
          <w:sz w:val="24"/>
          <w:szCs w:val="24"/>
        </w:rPr>
        <w:t xml:space="preserve">The data reflects one global trading company. The patterns identified, including the specific regions and categories with the highest late delivery rates, reflect that company's customer mix, supplier base, and logistics contracts. The findings do not generalise to all sectors or geographies without replication on sector-specific data.</w:t>
      </w:r>
    </w:p>
    <w:p>
      <w:pPr>
        <w:spacing w:after="120" w:before="120" w:line="480"/>
        <w:jc w:val="both"/>
      </w:pPr>
      <w:r>
        <w:rPr>
          <w:rFonts w:ascii="Times New Roman" w:cs="Times New Roman" w:eastAsia="Times New Roman" w:hAnsi="Times New Roman"/>
          <w:b/>
          <w:bCs/>
          <w:sz w:val="24"/>
          <w:szCs w:val="24"/>
        </w:rPr>
        <w:t xml:space="preserve">Baseline model. </w:t>
      </w:r>
      <w:r>
        <w:rPr>
          <w:rFonts w:ascii="Times New Roman" w:cs="Times New Roman" w:eastAsia="Times New Roman" w:hAnsi="Times New Roman"/>
          <w:b w:val="false"/>
          <w:bCs w:val="false"/>
          <w:sz w:val="24"/>
          <w:szCs w:val="24"/>
        </w:rPr>
        <w:t xml:space="preserve">The logistic regression and decision tree classifiers are baseline models intended for triage and insight. They are not operational decision systems. They support identification of high-risk orders for pre-dispatch review, but a final dispatch decision should incorporate information not available in the historical data, including current carrier capacity and real-time weather or congestion data.</w:t>
      </w:r>
    </w:p>
    <w:p>
      <w:r>
        <w:br w:type="page"/>
      </w:r>
    </w:p>
    <w:p>
      <w:pPr>
        <w:pStyle w:val="Heading1"/>
        <w:spacing w:after="180" w:before="360"/>
      </w:pPr>
      <w:r>
        <w:rPr>
          <w:rFonts w:ascii="Times New Roman" w:cs="Times New Roman" w:eastAsia="Times New Roman" w:hAnsi="Times New Roman"/>
          <w:b/>
          <w:bCs/>
          <w:caps/>
          <w:sz w:val="32"/>
          <w:szCs w:val="32"/>
        </w:rPr>
        <w:t xml:space="preserve">9. Conclusion</w:t>
      </w:r>
    </w:p>
    <w:p>
      <w:pPr>
        <w:spacing w:after="120" w:before="120" w:line="480"/>
        <w:jc w:val="both"/>
      </w:pPr>
      <w:r>
        <w:rPr>
          <w:rFonts w:ascii="Times New Roman" w:cs="Times New Roman" w:eastAsia="Times New Roman" w:hAnsi="Times New Roman"/>
          <w:sz w:val="24"/>
          <w:szCs w:val="24"/>
        </w:rPr>
        <w:t xml:space="preserve">This paper presented a supply chain control tower dashboard framework that converts order and shipment transaction data into a coherent, actionable view of delivery performance. The framework makes four technical contributions. First, a reproducible data cleaning protocol that converts raw DataCo records into a clean, analysis-ready star schema. Second, a four-layer analytical architecture that moves from descriptive KPIs through diagnostic segmentation, Pareto ranking, and exception detection to predictive risk scoring. Third, a formula library that implements each KPI in Excel and Power BI DAX, allowing the dashboard to recalculate automatically when source data changes. Fourth, a five-view dashboard design that connects each analytical layer to a specific operational action.</w:t>
      </w:r>
    </w:p>
    <w:p>
      <w:pPr>
        <w:spacing w:after="120" w:before="120" w:line="480"/>
        <w:jc w:val="both"/>
      </w:pPr>
      <w:r>
        <w:rPr>
          <w:rFonts w:ascii="Times New Roman" w:cs="Times New Roman" w:eastAsia="Times New Roman" w:hAnsi="Times New Roman"/>
          <w:sz w:val="24"/>
          <w:szCs w:val="24"/>
        </w:rPr>
        <w:t xml:space="preserve">The theoretical contributions are equally important. The project demonstrates the operational relationship between supply chain visibility, the bullwhip effect, and the control tower model, placing the analytical work within an established causal chain: visibility reduces information distortion, information distortion reduction suppresses the bullwhip effect, and bullwhip suppression lowers late delivery rate and logistics cost. This chain runs from the foundational work of Lee, Padmanabhan, and Whang (1997) through the visibility-agility evidence of Barratt and Oke (2007) and Brusset (2016) to the control tower architecture of Trzuskawska-Grzesinska (2017) and Patsavellas, Kaur, and Salonitis (2021).</w:t>
      </w:r>
    </w:p>
    <w:p>
      <w:pPr>
        <w:spacing w:after="120" w:before="120" w:line="480"/>
        <w:jc w:val="both"/>
      </w:pPr>
      <w:r>
        <w:rPr>
          <w:rFonts w:ascii="Times New Roman" w:cs="Times New Roman" w:eastAsia="Times New Roman" w:hAnsi="Times New Roman"/>
          <w:sz w:val="24"/>
          <w:szCs w:val="24"/>
        </w:rPr>
        <w:t xml:space="preserve">The applied context is grounded in India's logistics reform agenda. The National Logistics Policy target of reducing logistics cost from an estimated 14 percent toward 7.5 to 8 percent of gross domestic product (Department for Promotion of Industry and Internal Trade, 2022) requires precisely the kind of visibility and exception management capability that this dashboard provides. India's improvement on the World Bank Logistics Performance Index, from rank 54 in 2014 to rank 38 in 2023, confirms that reform momentum is real. A data-driven control tower is a practical tool for sustaining and accelerating that trajectory at the firm level.</w:t>
      </w:r>
    </w:p>
    <w:p>
      <w:pPr>
        <w:spacing w:after="120" w:before="120" w:line="480"/>
        <w:jc w:val="both"/>
      </w:pPr>
      <w:r>
        <w:rPr>
          <w:rFonts w:ascii="Times New Roman" w:cs="Times New Roman" w:eastAsia="Times New Roman" w:hAnsi="Times New Roman"/>
          <w:sz w:val="24"/>
          <w:szCs w:val="24"/>
        </w:rPr>
        <w:t xml:space="preserve">Future research should extend the framework in three directions. First, the predictive layer should be extended to include real-time carrier data, weather events, and port congestion indices, which would raise both the precision and the operational value of the risk score. Second, the framework should be applied to a current, live-feed dataset from an Indian logistics operation, which would allow the India-specific LEADS benchmarks to be connected to transaction-level performance data rather than used as contextual framing only. Third, the multi-objective optimisation of shipping mode selection, balancing freight cost, speed, and late delivery risk, represents a natural prescriptive extension of the diagnostic and predictive layers already in place.</w:t>
      </w:r>
    </w:p>
    <w:p>
      <w:r>
        <w:br w:type="page"/>
      </w:r>
    </w:p>
    <w:p>
      <w:pPr>
        <w:pStyle w:val="Heading1"/>
        <w:spacing w:after="180" w:before="360"/>
      </w:pPr>
      <w:r>
        <w:rPr>
          <w:rFonts w:ascii="Times New Roman" w:cs="Times New Roman" w:eastAsia="Times New Roman" w:hAnsi="Times New Roman"/>
          <w:b/>
          <w:bCs/>
          <w:caps/>
          <w:sz w:val="32"/>
          <w:szCs w:val="32"/>
        </w:rPr>
        <w:t xml:space="preserve">References</w:t>
      </w:r>
    </w:p>
    <w:p>
      <w:pPr>
        <w:spacing w:after="60" w:before="60" w:line="240"/>
        <w:ind w:left="720" w:hanging="720"/>
        <w:jc w:val="both"/>
      </w:pPr>
      <w:r>
        <w:rPr>
          <w:rFonts w:ascii="Times New Roman" w:cs="Times New Roman" w:eastAsia="Times New Roman" w:hAnsi="Times New Roman"/>
          <w:sz w:val="20"/>
          <w:szCs w:val="20"/>
        </w:rPr>
        <w:t xml:space="preserve">Akter, S., Wamba, S. F., Gunasekaran, A., Dubey, R., &amp; Childe, S. J. (2016). How to improve firm performance using big data analytics capability and business strategy alignment? International Journal of Production Economics, 182, 113-131. https://doi.org/10.1016/j.ijpe.2016.08.018</w:t>
      </w:r>
    </w:p>
    <w:p>
      <w:pPr>
        <w:spacing w:after="60" w:before="60" w:line="240"/>
        <w:ind w:left="720" w:hanging="720"/>
        <w:jc w:val="both"/>
      </w:pPr>
      <w:r>
        <w:rPr>
          <w:rFonts w:ascii="Times New Roman" w:cs="Times New Roman" w:eastAsia="Times New Roman" w:hAnsi="Times New Roman"/>
          <w:sz w:val="20"/>
          <w:szCs w:val="20"/>
        </w:rPr>
        <w:t xml:space="preserve">APICS. (2017). Supply Chain Operations Reference (SCOR) model, version 12.0. APICS.</w:t>
      </w:r>
    </w:p>
    <w:p>
      <w:pPr>
        <w:spacing w:after="60" w:before="60" w:line="240"/>
        <w:ind w:left="720" w:hanging="720"/>
        <w:jc w:val="both"/>
      </w:pPr>
      <w:r>
        <w:rPr>
          <w:rFonts w:ascii="Times New Roman" w:cs="Times New Roman" w:eastAsia="Times New Roman" w:hAnsi="Times New Roman"/>
          <w:sz w:val="20"/>
          <w:szCs w:val="20"/>
        </w:rPr>
        <w:t xml:space="preserve">Arvis, J.-F., Ojala, L., Wiederer, C., Shepherd, B., Raj, A., Dairabayeva, K., &amp; Kiiski, T. (2018). Connecting to compete 2018: Trade logistics in the global economy. The World Bank. https://doi.org/10.1596/29971</w:t>
      </w:r>
    </w:p>
    <w:p>
      <w:pPr>
        <w:spacing w:after="60" w:before="60" w:line="240"/>
        <w:ind w:left="720" w:hanging="720"/>
        <w:jc w:val="both"/>
      </w:pPr>
      <w:r>
        <w:rPr>
          <w:rFonts w:ascii="Times New Roman" w:cs="Times New Roman" w:eastAsia="Times New Roman" w:hAnsi="Times New Roman"/>
          <w:sz w:val="20"/>
          <w:szCs w:val="20"/>
        </w:rPr>
        <w:t xml:space="preserve">Barratt, M., &amp; Oke, A. (2007). Antecedents of supply chain visibility in retail supply chains: A resource-based theory perspective. Journal of Operations Management, 25(6), 1217-1233. https://doi.org/10.1016/j.jom.2006.11.003</w:t>
      </w:r>
    </w:p>
    <w:p>
      <w:pPr>
        <w:spacing w:after="60" w:before="60" w:line="240"/>
        <w:ind w:left="720" w:hanging="720"/>
        <w:jc w:val="both"/>
      </w:pPr>
      <w:r>
        <w:rPr>
          <w:rFonts w:ascii="Times New Roman" w:cs="Times New Roman" w:eastAsia="Times New Roman" w:hAnsi="Times New Roman"/>
          <w:sz w:val="20"/>
          <w:szCs w:val="20"/>
        </w:rPr>
        <w:t xml:space="preserve">Belhadi, A., Kamble, S., Jabbour, C. J. C., Gunasekaran, A., &amp; Ndubisi, N. O. (2021). Manufacturing and service supply chain resilience to the COVID-19 outbreak: Lessons learned from the automobile and airline industries. Technological Forecasting and Social Change, 163, 120447. https://doi.org/10.1016/j.techfore.2020.120447</w:t>
      </w:r>
    </w:p>
    <w:p>
      <w:pPr>
        <w:spacing w:after="60" w:before="60" w:line="240"/>
        <w:ind w:left="720" w:hanging="720"/>
        <w:jc w:val="both"/>
      </w:pPr>
      <w:r>
        <w:rPr>
          <w:rFonts w:ascii="Times New Roman" w:cs="Times New Roman" w:eastAsia="Times New Roman" w:hAnsi="Times New Roman"/>
          <w:sz w:val="20"/>
          <w:szCs w:val="20"/>
        </w:rPr>
        <w:t xml:space="preserve">Ben-Daya, M., Hassini, E., &amp; Bahroun, Z. (2019). Internet of things and supply chain management: A literature review. International Journal of Production Research, 57(15-16), 4719-4742. https://doi.org/10.1080/00207543.2017.1402140</w:t>
      </w:r>
    </w:p>
    <w:p>
      <w:pPr>
        <w:spacing w:after="60" w:before="60" w:line="240"/>
        <w:ind w:left="720" w:hanging="720"/>
        <w:jc w:val="both"/>
      </w:pPr>
      <w:r>
        <w:rPr>
          <w:rFonts w:ascii="Times New Roman" w:cs="Times New Roman" w:eastAsia="Times New Roman" w:hAnsi="Times New Roman"/>
          <w:sz w:val="20"/>
          <w:szCs w:val="20"/>
        </w:rPr>
        <w:t xml:space="preserve">Breiman, L. (2001). Random forests. Machine Learning, 45(1), 5-32. https://doi.org/10.1023/A:1010933404324</w:t>
      </w:r>
    </w:p>
    <w:p>
      <w:pPr>
        <w:spacing w:after="60" w:before="60" w:line="240"/>
        <w:ind w:left="720" w:hanging="720"/>
        <w:jc w:val="both"/>
      </w:pPr>
      <w:r>
        <w:rPr>
          <w:rFonts w:ascii="Times New Roman" w:cs="Times New Roman" w:eastAsia="Times New Roman" w:hAnsi="Times New Roman"/>
          <w:sz w:val="20"/>
          <w:szCs w:val="20"/>
        </w:rPr>
        <w:t xml:space="preserve">Brusset, X. (2016). Does supply chain visibility enhance agility? International Journal of Production Economics, 171, 46-59. https://doi.org/10.1016/j.ijpe.2015.10.005</w:t>
      </w:r>
    </w:p>
    <w:p>
      <w:pPr>
        <w:spacing w:after="60" w:before="60" w:line="240"/>
        <w:ind w:left="720" w:hanging="720"/>
        <w:jc w:val="both"/>
      </w:pPr>
      <w:r>
        <w:rPr>
          <w:rFonts w:ascii="Times New Roman" w:cs="Times New Roman" w:eastAsia="Times New Roman" w:hAnsi="Times New Roman"/>
          <w:sz w:val="20"/>
          <w:szCs w:val="20"/>
        </w:rPr>
        <w:t xml:space="preserve">Buyukozkan, G., &amp; Gocer, F. (2018). Digital supply chain: Literature review and a proposed framework for future research. Computers in Industry, 97, 157-177. https://doi.org/10.1016/j.compind.2018.02.010</w:t>
      </w:r>
    </w:p>
    <w:p>
      <w:pPr>
        <w:spacing w:after="60" w:before="60" w:line="240"/>
        <w:ind w:left="720" w:hanging="720"/>
        <w:jc w:val="both"/>
      </w:pPr>
      <w:r>
        <w:rPr>
          <w:rFonts w:ascii="Times New Roman" w:cs="Times New Roman" w:eastAsia="Times New Roman" w:hAnsi="Times New Roman"/>
          <w:sz w:val="20"/>
          <w:szCs w:val="20"/>
        </w:rPr>
        <w:t xml:space="preserve">Carbonneau, R., Laframboise, K., &amp; Vahidov, R. (2008). Application of machine learning techniques for supply chain demand forecasting. European Journal of Operational Research, 184(3), 1140-1154. https://doi.org/10.1016/j.ejor.2006.12.004</w:t>
      </w:r>
    </w:p>
    <w:p>
      <w:pPr>
        <w:spacing w:after="60" w:before="60" w:line="240"/>
        <w:ind w:left="720" w:hanging="720"/>
        <w:jc w:val="both"/>
      </w:pPr>
      <w:r>
        <w:rPr>
          <w:rFonts w:ascii="Times New Roman" w:cs="Times New Roman" w:eastAsia="Times New Roman" w:hAnsi="Times New Roman"/>
          <w:sz w:val="20"/>
          <w:szCs w:val="20"/>
        </w:rPr>
        <w:t xml:space="preserve">Caridi, M., Crippa, L., Perego, A., Sianesi, A., &amp; Tumino, A. (2010). Measuring visibility to improve supply chain performance: A quantitative approach. Benchmarking: An International Journal, 17(4), 593-615. https://doi.org/10.1108/14635771011060602</w:t>
      </w:r>
    </w:p>
    <w:p>
      <w:pPr>
        <w:spacing w:after="60" w:before="60" w:line="240"/>
        <w:ind w:left="720" w:hanging="720"/>
        <w:jc w:val="both"/>
      </w:pPr>
      <w:r>
        <w:rPr>
          <w:rFonts w:ascii="Times New Roman" w:cs="Times New Roman" w:eastAsia="Times New Roman" w:hAnsi="Times New Roman"/>
          <w:sz w:val="20"/>
          <w:szCs w:val="20"/>
        </w:rPr>
        <w:t xml:space="preserve">Caridi, M., Moretto, A., Perego, A., &amp; Tumino, A. (2014). The benefits of supply chain visibility: A value assessment model. International Journal of Production Economics, 151, 1-19. https://doi.org/10.1016/j.ijpe.2013.12.025</w:t>
      </w:r>
    </w:p>
    <w:p>
      <w:pPr>
        <w:spacing w:after="60" w:before="60" w:line="240"/>
        <w:ind w:left="720" w:hanging="720"/>
        <w:jc w:val="both"/>
      </w:pPr>
      <w:r>
        <w:rPr>
          <w:rFonts w:ascii="Times New Roman" w:cs="Times New Roman" w:eastAsia="Times New Roman" w:hAnsi="Times New Roman"/>
          <w:sz w:val="20"/>
          <w:szCs w:val="20"/>
        </w:rPr>
        <w:t xml:space="preserve">Chen, D. Q., Preston, D. S., &amp; Swink, M. (2015). How the use of big data analytics affects value creation in supply chain management. Journal of Management Information Systems, 32(4), 4-39. https://doi.org/10.1080/07421222.2015.1138364</w:t>
      </w:r>
    </w:p>
    <w:p>
      <w:pPr>
        <w:spacing w:after="60" w:before="60" w:line="240"/>
        <w:ind w:left="720" w:hanging="720"/>
        <w:jc w:val="both"/>
      </w:pPr>
      <w:r>
        <w:rPr>
          <w:rFonts w:ascii="Times New Roman" w:cs="Times New Roman" w:eastAsia="Times New Roman" w:hAnsi="Times New Roman"/>
          <w:sz w:val="20"/>
          <w:szCs w:val="20"/>
        </w:rPr>
        <w:t xml:space="preserve">Chen, H., Chiang, R. H. L., &amp; Storey, V. C. (2012). Business intelligence and analytics: From big data to big impact. MIS Quarterly, 36(4), 1165-1188. https://doi.org/10.2307/41703503</w:t>
      </w:r>
    </w:p>
    <w:p>
      <w:pPr>
        <w:spacing w:after="60" w:before="60" w:line="240"/>
        <w:ind w:left="720" w:hanging="720"/>
        <w:jc w:val="both"/>
      </w:pPr>
      <w:r>
        <w:rPr>
          <w:rFonts w:ascii="Times New Roman" w:cs="Times New Roman" w:eastAsia="Times New Roman" w:hAnsi="Times New Roman"/>
          <w:sz w:val="20"/>
          <w:szCs w:val="20"/>
        </w:rPr>
        <w:t xml:space="preserve">Chen, I. J., &amp; Paulraj, A. (2004). Towards a theory of supply chain management: The constructs and measurements. Journal of Operations Management, 22(2), 119-150. https://doi.org/10.1016/j.jom.2003.12.007</w:t>
      </w:r>
    </w:p>
    <w:p>
      <w:pPr>
        <w:spacing w:after="60" w:before="60" w:line="240"/>
        <w:ind w:left="720" w:hanging="720"/>
        <w:jc w:val="both"/>
      </w:pPr>
      <w:r>
        <w:rPr>
          <w:rFonts w:ascii="Times New Roman" w:cs="Times New Roman" w:eastAsia="Times New Roman" w:hAnsi="Times New Roman"/>
          <w:sz w:val="20"/>
          <w:szCs w:val="20"/>
        </w:rPr>
        <w:t xml:space="preserve">Chopra, S., &amp; Meindl, P. (2021). Supply chain management: Strategy, planning, and operation (7th ed.). Pearson.</w:t>
      </w:r>
    </w:p>
    <w:p>
      <w:pPr>
        <w:spacing w:after="60" w:before="60" w:line="240"/>
        <w:ind w:left="720" w:hanging="720"/>
        <w:jc w:val="both"/>
      </w:pPr>
      <w:r>
        <w:rPr>
          <w:rFonts w:ascii="Times New Roman" w:cs="Times New Roman" w:eastAsia="Times New Roman" w:hAnsi="Times New Roman"/>
          <w:sz w:val="20"/>
          <w:szCs w:val="20"/>
        </w:rPr>
        <w:t xml:space="preserve">Chopra, S., &amp; Sodhi, M. S. (2004). Managing risk to avoid supply-chain breakdown. MIT Sloan Management Review, 46(1), 53-61.</w:t>
      </w:r>
    </w:p>
    <w:p>
      <w:pPr>
        <w:spacing w:after="60" w:before="60" w:line="240"/>
        <w:ind w:left="720" w:hanging="720"/>
        <w:jc w:val="both"/>
      </w:pPr>
      <w:r>
        <w:rPr>
          <w:rFonts w:ascii="Times New Roman" w:cs="Times New Roman" w:eastAsia="Times New Roman" w:hAnsi="Times New Roman"/>
          <w:sz w:val="20"/>
          <w:szCs w:val="20"/>
        </w:rPr>
        <w:t xml:space="preserve">Christopher, M. (2016). Logistics and supply chain management (5th ed.). Pearson.</w:t>
      </w:r>
    </w:p>
    <w:p>
      <w:pPr>
        <w:spacing w:after="60" w:before="60" w:line="240"/>
        <w:ind w:left="720" w:hanging="720"/>
        <w:jc w:val="both"/>
      </w:pPr>
      <w:r>
        <w:rPr>
          <w:rFonts w:ascii="Times New Roman" w:cs="Times New Roman" w:eastAsia="Times New Roman" w:hAnsi="Times New Roman"/>
          <w:sz w:val="20"/>
          <w:szCs w:val="20"/>
        </w:rPr>
        <w:t xml:space="preserve">Christopher, M., &amp; Peck, H. (2004). Building the resilient supply chain. The International Journal of Logistics Management, 15(2), 1-14. https://doi.org/10.1108/09574090410700275</w:t>
      </w:r>
    </w:p>
    <w:p>
      <w:pPr>
        <w:spacing w:after="60" w:before="60" w:line="240"/>
        <w:ind w:left="720" w:hanging="720"/>
        <w:jc w:val="both"/>
      </w:pPr>
      <w:r>
        <w:rPr>
          <w:rFonts w:ascii="Times New Roman" w:cs="Times New Roman" w:eastAsia="Times New Roman" w:hAnsi="Times New Roman"/>
          <w:sz w:val="20"/>
          <w:szCs w:val="20"/>
        </w:rPr>
        <w:t xml:space="preserve">Constante, F., Silva, F., &amp; Pereira, A. (2019). DataCo smart supply chain for big data analysis [Data set]. Mendeley Data, V5. https://doi.org/10.17632/8gx2fvg2k6.5</w:t>
      </w:r>
    </w:p>
    <w:p>
      <w:pPr>
        <w:spacing w:after="60" w:before="60" w:line="240"/>
        <w:ind w:left="720" w:hanging="720"/>
        <w:jc w:val="both"/>
      </w:pPr>
      <w:r>
        <w:rPr>
          <w:rFonts w:ascii="Times New Roman" w:cs="Times New Roman" w:eastAsia="Times New Roman" w:hAnsi="Times New Roman"/>
          <w:sz w:val="20"/>
          <w:szCs w:val="20"/>
        </w:rPr>
        <w:t xml:space="preserve">Davenport, T. H. (2006). Competing on analytics. Harvard Business Review, 84(1), 98-107.</w:t>
      </w:r>
    </w:p>
    <w:p>
      <w:pPr>
        <w:spacing w:after="60" w:before="60" w:line="240"/>
        <w:ind w:left="720" w:hanging="720"/>
        <w:jc w:val="both"/>
      </w:pPr>
      <w:r>
        <w:rPr>
          <w:rFonts w:ascii="Times New Roman" w:cs="Times New Roman" w:eastAsia="Times New Roman" w:hAnsi="Times New Roman"/>
          <w:sz w:val="20"/>
          <w:szCs w:val="20"/>
        </w:rPr>
        <w:t xml:space="preserve">Department for Promotion of Industry and Internal Trade. (2021). PM Gati Shakti national master plan for multi-modal connectivity. Government of India. https://www.dpiit.gov.in</w:t>
      </w:r>
    </w:p>
    <w:p>
      <w:pPr>
        <w:spacing w:after="60" w:before="60" w:line="240"/>
        <w:ind w:left="720" w:hanging="720"/>
        <w:jc w:val="both"/>
      </w:pPr>
      <w:r>
        <w:rPr>
          <w:rFonts w:ascii="Times New Roman" w:cs="Times New Roman" w:eastAsia="Times New Roman" w:hAnsi="Times New Roman"/>
          <w:sz w:val="20"/>
          <w:szCs w:val="20"/>
        </w:rPr>
        <w:t xml:space="preserve">Department for Promotion of Industry and Internal Trade. (2022). National Logistics Policy. Government of India. https://www.dpiit.gov.in</w:t>
      </w:r>
    </w:p>
    <w:p>
      <w:pPr>
        <w:spacing w:after="60" w:before="60" w:line="240"/>
        <w:ind w:left="720" w:hanging="720"/>
        <w:jc w:val="both"/>
      </w:pPr>
      <w:r>
        <w:rPr>
          <w:rFonts w:ascii="Times New Roman" w:cs="Times New Roman" w:eastAsia="Times New Roman" w:hAnsi="Times New Roman"/>
          <w:sz w:val="20"/>
          <w:szCs w:val="20"/>
        </w:rPr>
        <w:t xml:space="preserve">Department for Promotion of Industry and Internal Trade. (2023). Logistics Ease Across Different States (LEADS) 2023. Government of India. https://www.dpiit.gov.in</w:t>
      </w:r>
    </w:p>
    <w:p>
      <w:pPr>
        <w:spacing w:after="60" w:before="60" w:line="240"/>
        <w:ind w:left="720" w:hanging="720"/>
        <w:jc w:val="both"/>
      </w:pPr>
      <w:r>
        <w:rPr>
          <w:rFonts w:ascii="Times New Roman" w:cs="Times New Roman" w:eastAsia="Times New Roman" w:hAnsi="Times New Roman"/>
          <w:sz w:val="20"/>
          <w:szCs w:val="20"/>
        </w:rPr>
        <w:t xml:space="preserve">Dubey, R., Gunasekaran, A., Childe, S. J., Roubaud, D., Wamba, S. F., Giannakis, M., &amp; Foropon, C. (2019). Big data analytics and organizational culture as complements to swift trust and collaborative performance in the humanitarian supply chain. International Journal of Production Economics, 210, 120-136. https://doi.org/10.1016/j.ijpe.2019.01.023</w:t>
      </w:r>
    </w:p>
    <w:p>
      <w:pPr>
        <w:spacing w:after="60" w:before="60" w:line="240"/>
        <w:ind w:left="720" w:hanging="720"/>
        <w:jc w:val="both"/>
      </w:pPr>
      <w:r>
        <w:rPr>
          <w:rFonts w:ascii="Times New Roman" w:cs="Times New Roman" w:eastAsia="Times New Roman" w:hAnsi="Times New Roman"/>
          <w:sz w:val="20"/>
          <w:szCs w:val="20"/>
        </w:rPr>
        <w:t xml:space="preserve">Dubey, R., Gunasekaran, A., Childe, S. J., Wamba, S. F., Roubaud, D., &amp; Foropon, C. (2021). Empirical investigation of data analytics capability and organizational flexibility as complements to supply chain resilience. International Journal of Production Research, 59(1), 110-128. https://doi.org/10.1080/00207543.2019.1582820</w:t>
      </w:r>
    </w:p>
    <w:p>
      <w:pPr>
        <w:spacing w:after="60" w:before="60" w:line="240"/>
        <w:ind w:left="720" w:hanging="720"/>
        <w:jc w:val="both"/>
      </w:pPr>
      <w:r>
        <w:rPr>
          <w:rFonts w:ascii="Times New Roman" w:cs="Times New Roman" w:eastAsia="Times New Roman" w:hAnsi="Times New Roman"/>
          <w:sz w:val="20"/>
          <w:szCs w:val="20"/>
        </w:rPr>
        <w:t xml:space="preserve">Fawcett, S. E., &amp; Magnan, G. M. (2004). Ten guiding principles for high-impact SCM. Business Horizons, 47(5), 67-74. https://doi.org/10.1016/j.bushor.2004.07.004</w:t>
      </w:r>
    </w:p>
    <w:p>
      <w:pPr>
        <w:spacing w:after="60" w:before="60" w:line="240"/>
        <w:ind w:left="720" w:hanging="720"/>
        <w:jc w:val="both"/>
      </w:pPr>
      <w:r>
        <w:rPr>
          <w:rFonts w:ascii="Times New Roman" w:cs="Times New Roman" w:eastAsia="Times New Roman" w:hAnsi="Times New Roman"/>
          <w:sz w:val="20"/>
          <w:szCs w:val="20"/>
        </w:rPr>
        <w:t xml:space="preserve">Feizabadi, J. (2022). Machine learning demand forecasting and supply chain performance. International Journal of Logistics Research and Applications, 25(2), 119-142. https://doi.org/10.1080/13675567.2020.1803246</w:t>
      </w:r>
    </w:p>
    <w:p>
      <w:pPr>
        <w:spacing w:after="60" w:before="60" w:line="240"/>
        <w:ind w:left="720" w:hanging="720"/>
        <w:jc w:val="both"/>
      </w:pPr>
      <w:r>
        <w:rPr>
          <w:rFonts w:ascii="Times New Roman" w:cs="Times New Roman" w:eastAsia="Times New Roman" w:hAnsi="Times New Roman"/>
          <w:sz w:val="20"/>
          <w:szCs w:val="20"/>
        </w:rPr>
        <w:t xml:space="preserve">Few, S. (2013). Information dashboard design: Displaying data for at-a-glance monitoring (2nd ed.). Analytics Press.</w:t>
      </w:r>
    </w:p>
    <w:p>
      <w:pPr>
        <w:spacing w:after="60" w:before="60" w:line="240"/>
        <w:ind w:left="720" w:hanging="720"/>
        <w:jc w:val="both"/>
      </w:pPr>
      <w:r>
        <w:rPr>
          <w:rFonts w:ascii="Times New Roman" w:cs="Times New Roman" w:eastAsia="Times New Roman" w:hAnsi="Times New Roman"/>
          <w:sz w:val="20"/>
          <w:szCs w:val="20"/>
        </w:rPr>
        <w:t xml:space="preserve">Fisher, M. L. (1997). What is the right supply chain for your product? Harvard Business Review, 75(2), 105-116.</w:t>
      </w:r>
    </w:p>
    <w:p>
      <w:pPr>
        <w:spacing w:after="60" w:before="60" w:line="240"/>
        <w:ind w:left="720" w:hanging="720"/>
        <w:jc w:val="both"/>
      </w:pPr>
      <w:r>
        <w:rPr>
          <w:rFonts w:ascii="Times New Roman" w:cs="Times New Roman" w:eastAsia="Times New Roman" w:hAnsi="Times New Roman"/>
          <w:sz w:val="20"/>
          <w:szCs w:val="20"/>
        </w:rPr>
        <w:t xml:space="preserve">Fosso Wamba, S., Akter, S., Edwards, A., Chopin, G., &amp; Gnanzou, D. (2015). How 'big data' can make big impact: Findings from a systematic review and a longitudinal case study. International Journal of Production Economics, 165, 234-246. https://doi.org/10.1016/j.ijpe.2014.12.031</w:t>
      </w:r>
    </w:p>
    <w:p>
      <w:pPr>
        <w:spacing w:after="60" w:before="60" w:line="240"/>
        <w:ind w:left="720" w:hanging="720"/>
        <w:jc w:val="both"/>
      </w:pPr>
      <w:r>
        <w:rPr>
          <w:rFonts w:ascii="Times New Roman" w:cs="Times New Roman" w:eastAsia="Times New Roman" w:hAnsi="Times New Roman"/>
          <w:sz w:val="20"/>
          <w:szCs w:val="20"/>
        </w:rPr>
        <w:t xml:space="preserve">Ghobakhloo, M. (2018). The future of manufacturing industry: A strategic roadmap toward Industry 4.0. Journal of Manufacturing Technology Management, 29(6), 910-936. https://doi.org/10.1108/JMTM-02-2018-0037</w:t>
      </w:r>
    </w:p>
    <w:p>
      <w:pPr>
        <w:spacing w:after="60" w:before="60" w:line="240"/>
        <w:ind w:left="720" w:hanging="720"/>
        <w:jc w:val="both"/>
      </w:pPr>
      <w:r>
        <w:rPr>
          <w:rFonts w:ascii="Times New Roman" w:cs="Times New Roman" w:eastAsia="Times New Roman" w:hAnsi="Times New Roman"/>
          <w:sz w:val="20"/>
          <w:szCs w:val="20"/>
        </w:rPr>
        <w:t xml:space="preserve">Gunasekaran, A., Patel, C., &amp; Tirtiroglu, E. (2001). Performance measures and metrics in a supply chain environment. International Journal of Operations &amp; Production Management, 21(1/2), 71-87. https://doi.org/10.1108/01443570110358461</w:t>
      </w:r>
    </w:p>
    <w:p>
      <w:pPr>
        <w:spacing w:after="60" w:before="60" w:line="240"/>
        <w:ind w:left="720" w:hanging="720"/>
        <w:jc w:val="both"/>
      </w:pPr>
      <w:r>
        <w:rPr>
          <w:rFonts w:ascii="Times New Roman" w:cs="Times New Roman" w:eastAsia="Times New Roman" w:hAnsi="Times New Roman"/>
          <w:sz w:val="20"/>
          <w:szCs w:val="20"/>
        </w:rPr>
        <w:t xml:space="preserve">Gunasekaran, A., Papadopoulos, T., Dubey, R., Wamba, S. F., Childe, S. J., Hazen, B., &amp; Akter, S. (2017). Big data and predictive analytics for supply chain and organizational performance. Journal of Business Research, 70, 308-317. https://doi.org/10.1016/j.jbusres.2016.08.004</w:t>
      </w:r>
    </w:p>
    <w:p>
      <w:pPr>
        <w:spacing w:after="60" w:before="60" w:line="240"/>
        <w:ind w:left="720" w:hanging="720"/>
        <w:jc w:val="both"/>
      </w:pPr>
      <w:r>
        <w:rPr>
          <w:rFonts w:ascii="Times New Roman" w:cs="Times New Roman" w:eastAsia="Times New Roman" w:hAnsi="Times New Roman"/>
          <w:sz w:val="20"/>
          <w:szCs w:val="20"/>
        </w:rPr>
        <w:t xml:space="preserve">Hastie, T., Tibshirani, R., &amp; Friedman, J. (2009). The elements of statistical learning: Data mining, inference, and prediction (2nd ed.). Springer. https://doi.org/10.1007/978-0-387-84858-7</w:t>
      </w:r>
    </w:p>
    <w:p>
      <w:pPr>
        <w:spacing w:after="60" w:before="60" w:line="240"/>
        <w:ind w:left="720" w:hanging="720"/>
        <w:jc w:val="both"/>
      </w:pPr>
      <w:r>
        <w:rPr>
          <w:rFonts w:ascii="Times New Roman" w:cs="Times New Roman" w:eastAsia="Times New Roman" w:hAnsi="Times New Roman"/>
          <w:sz w:val="20"/>
          <w:szCs w:val="20"/>
        </w:rPr>
        <w:t xml:space="preserve">Hazen, B. T., Boone, C. A., Ezell, J. D., &amp; Jones-Farmer, L. A. (2014). Data quality for data science, predictive analytics, and big data in supply chain management: An introduction to the problem and suggestions for research and applications. International Journal of Production Economics, 154, 72-80. https://doi.org/10.1016/j.ijpe.2014.04.018</w:t>
      </w:r>
    </w:p>
    <w:p>
      <w:pPr>
        <w:spacing w:after="60" w:before="60" w:line="240"/>
        <w:ind w:left="720" w:hanging="720"/>
        <w:jc w:val="both"/>
      </w:pPr>
      <w:r>
        <w:rPr>
          <w:rFonts w:ascii="Times New Roman" w:cs="Times New Roman" w:eastAsia="Times New Roman" w:hAnsi="Times New Roman"/>
          <w:sz w:val="20"/>
          <w:szCs w:val="20"/>
        </w:rPr>
        <w:t xml:space="preserve">Hosmer, D. W., Lemeshow, S., &amp; Sturdivant, R. X. (2013). Applied logistic regression (3rd ed.). Wiley. https://doi.org/10.1002/9781118548387</w:t>
      </w:r>
    </w:p>
    <w:p>
      <w:pPr>
        <w:spacing w:after="60" w:before="60" w:line="240"/>
        <w:ind w:left="720" w:hanging="720"/>
        <w:jc w:val="both"/>
      </w:pPr>
      <w:r>
        <w:rPr>
          <w:rFonts w:ascii="Times New Roman" w:cs="Times New Roman" w:eastAsia="Times New Roman" w:hAnsi="Times New Roman"/>
          <w:sz w:val="20"/>
          <w:szCs w:val="20"/>
        </w:rPr>
        <w:t xml:space="preserve">Ivanov, D. (2020). Predicting the impacts of epidemic outbreaks on global supply chains: A simulation-based analysis on the coronavirus outbreak (COVID-19/SARS-CoV-2) case. Transportation Research Part E: Logistics and Transportation Review, 136, 101922. https://doi.org/10.1016/j.tre.2020.101922</w:t>
      </w:r>
    </w:p>
    <w:p>
      <w:pPr>
        <w:spacing w:after="60" w:before="60" w:line="240"/>
        <w:ind w:left="720" w:hanging="720"/>
        <w:jc w:val="both"/>
      </w:pPr>
      <w:r>
        <w:rPr>
          <w:rFonts w:ascii="Times New Roman" w:cs="Times New Roman" w:eastAsia="Times New Roman" w:hAnsi="Times New Roman"/>
          <w:sz w:val="20"/>
          <w:szCs w:val="20"/>
        </w:rPr>
        <w:t xml:space="preserve">Ivanov, D. (2021). Supply chain viability and the COVID-19 pandemic: A conceptual and formal generalisation of four major adaptation strategies. International Journal of Production Research, 59(12), 3535-3552. https://doi.org/10.1080/00207543.2021.1890852</w:t>
      </w:r>
    </w:p>
    <w:p>
      <w:pPr>
        <w:spacing w:after="60" w:before="60" w:line="240"/>
        <w:ind w:left="720" w:hanging="720"/>
        <w:jc w:val="both"/>
      </w:pPr>
      <w:r>
        <w:rPr>
          <w:rFonts w:ascii="Times New Roman" w:cs="Times New Roman" w:eastAsia="Times New Roman" w:hAnsi="Times New Roman"/>
          <w:sz w:val="20"/>
          <w:szCs w:val="20"/>
        </w:rPr>
        <w:t xml:space="preserve">Ivanov, D., &amp; Dolgui, A. (2021). A digital supply chain twin for managing the disruption risks and resilience in the era of Industry 4.0. Production Planning &amp; Control, 32(9), 775-788. https://doi.org/10.1080/09537287.2020.1768450</w:t>
      </w:r>
    </w:p>
    <w:p>
      <w:pPr>
        <w:spacing w:after="60" w:before="60" w:line="240"/>
        <w:ind w:left="720" w:hanging="720"/>
        <w:jc w:val="both"/>
      </w:pPr>
      <w:r>
        <w:rPr>
          <w:rFonts w:ascii="Times New Roman" w:cs="Times New Roman" w:eastAsia="Times New Roman" w:hAnsi="Times New Roman"/>
          <w:sz w:val="20"/>
          <w:szCs w:val="20"/>
        </w:rPr>
        <w:t xml:space="preserve">Juran, J. M., &amp; Godfrey, A. B. (Eds.). (1998). Juran's quality handbook (5th ed.). McGraw-Hill.</w:t>
      </w:r>
    </w:p>
    <w:p>
      <w:pPr>
        <w:spacing w:after="60" w:before="60" w:line="240"/>
        <w:ind w:left="720" w:hanging="720"/>
        <w:jc w:val="both"/>
      </w:pPr>
      <w:r>
        <w:rPr>
          <w:rFonts w:ascii="Times New Roman" w:cs="Times New Roman" w:eastAsia="Times New Roman" w:hAnsi="Times New Roman"/>
          <w:sz w:val="20"/>
          <w:szCs w:val="20"/>
        </w:rPr>
        <w:t xml:space="preserve">Kamble, S. S., Gunasekaran, A., &amp; Gawankar, S. A. (2018). Sustainable Industry 4.0 framework: A systematic literature review identifying the current trends and future perspectives. Process Safety and Environmental Protection, 117, 408-425. https://doi.org/10.1016/j.psep.2018.05.009</w:t>
      </w:r>
    </w:p>
    <w:p>
      <w:pPr>
        <w:spacing w:after="60" w:before="60" w:line="240"/>
        <w:ind w:left="720" w:hanging="720"/>
        <w:jc w:val="both"/>
      </w:pPr>
      <w:r>
        <w:rPr>
          <w:rFonts w:ascii="Times New Roman" w:cs="Times New Roman" w:eastAsia="Times New Roman" w:hAnsi="Times New Roman"/>
          <w:sz w:val="20"/>
          <w:szCs w:val="20"/>
        </w:rPr>
        <w:t xml:space="preserve">Lambert, D. M., &amp; Cooper, M. C. (2000). Issues in supply chain management. Industrial Marketing Management, 29(1), 65-83. https://doi.org/10.1016/S0019-8501(99)00113-3</w:t>
      </w:r>
    </w:p>
    <w:p>
      <w:pPr>
        <w:spacing w:after="60" w:before="60" w:line="240"/>
        <w:ind w:left="720" w:hanging="720"/>
        <w:jc w:val="both"/>
      </w:pPr>
      <w:r>
        <w:rPr>
          <w:rFonts w:ascii="Times New Roman" w:cs="Times New Roman" w:eastAsia="Times New Roman" w:hAnsi="Times New Roman"/>
          <w:sz w:val="20"/>
          <w:szCs w:val="20"/>
        </w:rPr>
        <w:t xml:space="preserve">Lee, H. L. (2004). The triple-A supply chain. Harvard Business Review, 82(10), 102-112.</w:t>
      </w:r>
    </w:p>
    <w:p>
      <w:pPr>
        <w:spacing w:after="60" w:before="60" w:line="240"/>
        <w:ind w:left="720" w:hanging="720"/>
        <w:jc w:val="both"/>
      </w:pPr>
      <w:r>
        <w:rPr>
          <w:rFonts w:ascii="Times New Roman" w:cs="Times New Roman" w:eastAsia="Times New Roman" w:hAnsi="Times New Roman"/>
          <w:sz w:val="20"/>
          <w:szCs w:val="20"/>
        </w:rPr>
        <w:t xml:space="preserve">Lee, H. L., Padmanabhan, V., &amp; Whang, S. (1997). Information distortion in a supply chain: The bullwhip effect. Management Science, 43(4), 546-558. https://doi.org/10.1287/mnsc.43.4.546</w:t>
      </w:r>
    </w:p>
    <w:p>
      <w:pPr>
        <w:spacing w:after="60" w:before="60" w:line="240"/>
        <w:ind w:left="720" w:hanging="720"/>
        <w:jc w:val="both"/>
      </w:pPr>
      <w:r>
        <w:rPr>
          <w:rFonts w:ascii="Times New Roman" w:cs="Times New Roman" w:eastAsia="Times New Roman" w:hAnsi="Times New Roman"/>
          <w:sz w:val="20"/>
          <w:szCs w:val="20"/>
        </w:rPr>
        <w:t xml:space="preserve">Lyons, T., &amp; McDonald, N. C. (2023). Last-mile strategies for urban freight delivery: A systematic review. Transportation Research Record, 2677(1). https://doi.org/10.1177/03611981221103534</w:t>
      </w:r>
    </w:p>
    <w:p>
      <w:pPr>
        <w:spacing w:after="60" w:before="60" w:line="240"/>
        <w:ind w:left="720" w:hanging="720"/>
        <w:jc w:val="both"/>
      </w:pPr>
      <w:r>
        <w:rPr>
          <w:rFonts w:ascii="Times New Roman" w:cs="Times New Roman" w:eastAsia="Times New Roman" w:hAnsi="Times New Roman"/>
          <w:sz w:val="20"/>
          <w:szCs w:val="20"/>
        </w:rPr>
        <w:t xml:space="preserve">Mentzer, J. T., DeWitt, W., Keebler, J. S., Min, S., Nix, N. W., Smith, C. D., &amp; Zacharia, Z. G. (2001). Defining supply chain management. Journal of Business Logistics, 22(2), 1-25. https://doi.org/10.1002/j.2158-1592.2001.tb00001.x</w:t>
      </w:r>
    </w:p>
    <w:p>
      <w:pPr>
        <w:spacing w:after="60" w:before="60" w:line="240"/>
        <w:ind w:left="720" w:hanging="720"/>
        <w:jc w:val="both"/>
      </w:pPr>
      <w:r>
        <w:rPr>
          <w:rFonts w:ascii="Times New Roman" w:cs="Times New Roman" w:eastAsia="Times New Roman" w:hAnsi="Times New Roman"/>
          <w:sz w:val="20"/>
          <w:szCs w:val="20"/>
        </w:rPr>
        <w:t xml:space="preserve">Montgomery, D. C. (2013). Introduction to statistical quality control (7th ed.). Wiley.</w:t>
      </w:r>
    </w:p>
    <w:p>
      <w:pPr>
        <w:spacing w:after="60" w:before="60" w:line="240"/>
        <w:ind w:left="720" w:hanging="720"/>
        <w:jc w:val="both"/>
      </w:pPr>
      <w:r>
        <w:rPr>
          <w:rFonts w:ascii="Times New Roman" w:cs="Times New Roman" w:eastAsia="Times New Roman" w:hAnsi="Times New Roman"/>
          <w:sz w:val="20"/>
          <w:szCs w:val="20"/>
        </w:rPr>
        <w:t xml:space="preserve">Nguyen, T., Zhou, L., Spiegler, V., Ieromonachou, P., &amp; Lin, Y. (2018). Big data analytics in supply chain management: A state-of-the-art literature review. Computers &amp; Operations Research, 98, 254-264. https://doi.org/10.1016/j.cor.2017.07.004</w:t>
      </w:r>
    </w:p>
    <w:p>
      <w:pPr>
        <w:spacing w:after="60" w:before="60" w:line="240"/>
        <w:ind w:left="720" w:hanging="720"/>
        <w:jc w:val="both"/>
      </w:pPr>
      <w:r>
        <w:rPr>
          <w:rFonts w:ascii="Times New Roman" w:cs="Times New Roman" w:eastAsia="Times New Roman" w:hAnsi="Times New Roman"/>
          <w:sz w:val="20"/>
          <w:szCs w:val="20"/>
        </w:rPr>
        <w:t xml:space="preserve">Oliva, R., &amp; Watson, N. (2011). Cross-functional alignment in supply chain planning: A case study of sales and operations planning. Journal of Operations Management, 29(5), 434-452. https://doi.org/10.1016/j.jom.2010.11.012</w:t>
      </w:r>
    </w:p>
    <w:p>
      <w:pPr>
        <w:spacing w:after="60" w:before="60" w:line="240"/>
        <w:ind w:left="720" w:hanging="720"/>
        <w:jc w:val="both"/>
      </w:pPr>
      <w:r>
        <w:rPr>
          <w:rFonts w:ascii="Times New Roman" w:cs="Times New Roman" w:eastAsia="Times New Roman" w:hAnsi="Times New Roman"/>
          <w:sz w:val="20"/>
          <w:szCs w:val="20"/>
        </w:rPr>
        <w:t xml:space="preserve">Olist. (2018). Brazilian e-commerce public dataset by Olist [Data set]. Kaggle. https://www.kaggle.com/datasets/olistbr/brazilian-ecommerce</w:t>
      </w:r>
    </w:p>
    <w:p>
      <w:pPr>
        <w:spacing w:after="60" w:before="60" w:line="240"/>
        <w:ind w:left="720" w:hanging="720"/>
        <w:jc w:val="both"/>
      </w:pPr>
      <w:r>
        <w:rPr>
          <w:rFonts w:ascii="Times New Roman" w:cs="Times New Roman" w:eastAsia="Times New Roman" w:hAnsi="Times New Roman"/>
          <w:sz w:val="20"/>
          <w:szCs w:val="20"/>
        </w:rPr>
        <w:t xml:space="preserve">Patsavellas, J., Kaur, R., &amp; Salonitis, K. (2021). Supply chain control towers: Technology push or market pull—An assessment tool. IET Collaborative Intelligent Manufacturing, 3(3), 165-182. https://doi.org/10.1049/cim2.12040</w:t>
      </w:r>
    </w:p>
    <w:p>
      <w:pPr>
        <w:spacing w:after="60" w:before="60" w:line="240"/>
        <w:ind w:left="720" w:hanging="720"/>
        <w:jc w:val="both"/>
      </w:pPr>
      <w:r>
        <w:rPr>
          <w:rFonts w:ascii="Times New Roman" w:cs="Times New Roman" w:eastAsia="Times New Roman" w:hAnsi="Times New Roman"/>
          <w:sz w:val="20"/>
          <w:szCs w:val="20"/>
        </w:rPr>
        <w:t xml:space="preserve">Ponomarov, S. Y., &amp; Holcomb, M. C. (2009). Understanding the concept of supply chain resilience. The International Journal of Logistics Management, 20(1), 124-143. https://doi.org/10.1108/09574090910954873</w:t>
      </w:r>
    </w:p>
    <w:p>
      <w:pPr>
        <w:spacing w:after="60" w:before="60" w:line="240"/>
        <w:ind w:left="720" w:hanging="720"/>
        <w:jc w:val="both"/>
      </w:pPr>
      <w:r>
        <w:rPr>
          <w:rFonts w:ascii="Times New Roman" w:cs="Times New Roman" w:eastAsia="Times New Roman" w:hAnsi="Times New Roman"/>
          <w:sz w:val="20"/>
          <w:szCs w:val="20"/>
        </w:rPr>
        <w:t xml:space="preserve">Press Information Bureau. (2023, April). India ranks 38 out of 139 countries on the World Bank Logistics Performance Index 2023. Government of India. https://pib.gov.in</w:t>
      </w:r>
    </w:p>
    <w:p>
      <w:pPr>
        <w:spacing w:after="60" w:before="60" w:line="240"/>
        <w:ind w:left="720" w:hanging="720"/>
        <w:jc w:val="both"/>
      </w:pPr>
      <w:r>
        <w:rPr>
          <w:rFonts w:ascii="Times New Roman" w:cs="Times New Roman" w:eastAsia="Times New Roman" w:hAnsi="Times New Roman"/>
          <w:sz w:val="20"/>
          <w:szCs w:val="20"/>
        </w:rPr>
        <w:t xml:space="preserve">Qrunfleh, S., &amp; Tarafdar, M. (2014). Supply chain information systems strategy: Impacts on supply chain performance and firm performance. International Journal of Production Economics, 147, 340-350. https://doi.org/10.1016/j.ijpe.2012.09.018</w:t>
      </w:r>
    </w:p>
    <w:p>
      <w:pPr>
        <w:spacing w:after="60" w:before="60" w:line="240"/>
        <w:ind w:left="720" w:hanging="720"/>
        <w:jc w:val="both"/>
      </w:pPr>
      <w:r>
        <w:rPr>
          <w:rFonts w:ascii="Times New Roman" w:cs="Times New Roman" w:eastAsia="Times New Roman" w:hAnsi="Times New Roman"/>
          <w:sz w:val="20"/>
          <w:szCs w:val="20"/>
        </w:rPr>
        <w:t xml:space="preserve">Rasool, F., Greco, M., &amp; Grimaldi, M. (2022). Digital supply chain performance metrics: A literature review. Measuring Business Excellence, 26(1), 23-38. https://doi.org/10.1108/MBE-11-2020-0147</w:t>
      </w:r>
    </w:p>
    <w:p>
      <w:pPr>
        <w:spacing w:after="60" w:before="60" w:line="240"/>
        <w:ind w:left="720" w:hanging="720"/>
        <w:jc w:val="both"/>
      </w:pPr>
      <w:r>
        <w:rPr>
          <w:rFonts w:ascii="Times New Roman" w:cs="Times New Roman" w:eastAsia="Times New Roman" w:hAnsi="Times New Roman"/>
          <w:sz w:val="20"/>
          <w:szCs w:val="20"/>
        </w:rPr>
        <w:t xml:space="preserve">Sanders, N. R. (2016). How to use big data to drive your supply chain. California Management Review, 58(3), 26-48. https://doi.org/10.1525/cmr.2016.58.3.26</w:t>
      </w:r>
    </w:p>
    <w:p>
      <w:pPr>
        <w:spacing w:after="60" w:before="60" w:line="240"/>
        <w:ind w:left="720" w:hanging="720"/>
        <w:jc w:val="both"/>
      </w:pPr>
      <w:r>
        <w:rPr>
          <w:rFonts w:ascii="Times New Roman" w:cs="Times New Roman" w:eastAsia="Times New Roman" w:hAnsi="Times New Roman"/>
          <w:sz w:val="20"/>
          <w:szCs w:val="20"/>
        </w:rPr>
        <w:t xml:space="preserve">Schoenherr, T., &amp; Speier-Pero, C. (2015). Data science, predictive analytics, and big data in supply chain management: Current state and future potential. Journal of Business Logistics, 36(1), 120-132. https://doi.org/10.1111/jbl.12082</w:t>
      </w:r>
    </w:p>
    <w:p>
      <w:pPr>
        <w:spacing w:after="60" w:before="60" w:line="240"/>
        <w:ind w:left="720" w:hanging="720"/>
        <w:jc w:val="both"/>
      </w:pPr>
      <w:r>
        <w:rPr>
          <w:rFonts w:ascii="Times New Roman" w:cs="Times New Roman" w:eastAsia="Times New Roman" w:hAnsi="Times New Roman"/>
          <w:sz w:val="20"/>
          <w:szCs w:val="20"/>
        </w:rPr>
        <w:t xml:space="preserve">Sheffi, Y. (2005). The resilient enterprise: Overcoming vulnerability for competitive advantage. MIT Press.</w:t>
      </w:r>
    </w:p>
    <w:p>
      <w:pPr>
        <w:spacing w:after="60" w:before="60" w:line="240"/>
        <w:ind w:left="720" w:hanging="720"/>
        <w:jc w:val="both"/>
      </w:pPr>
      <w:r>
        <w:rPr>
          <w:rFonts w:ascii="Times New Roman" w:cs="Times New Roman" w:eastAsia="Times New Roman" w:hAnsi="Times New Roman"/>
          <w:sz w:val="20"/>
          <w:szCs w:val="20"/>
        </w:rPr>
        <w:t xml:space="preserve">Simchi-Levi, D., Kaminsky, P., &amp; Simchi-Levi, E. (2008). Designing and managing the supply chain: Concepts, strategies, and case studies (3rd ed.). McGraw-Hill.</w:t>
      </w:r>
    </w:p>
    <w:p>
      <w:pPr>
        <w:spacing w:after="60" w:before="60" w:line="240"/>
        <w:ind w:left="720" w:hanging="720"/>
        <w:jc w:val="both"/>
      </w:pPr>
      <w:r>
        <w:rPr>
          <w:rFonts w:ascii="Times New Roman" w:cs="Times New Roman" w:eastAsia="Times New Roman" w:hAnsi="Times New Roman"/>
          <w:sz w:val="20"/>
          <w:szCs w:val="20"/>
        </w:rPr>
        <w:t xml:space="preserve">Sodhi, M. S., Son, B.-G., &amp; Tang, C. S. (2012). Researchers' perspectives on supply chain risk management. Production and Operations Management, 21(1), 1-13. https://doi.org/10.1111/j.1937-5956.2011.01251.x</w:t>
      </w:r>
    </w:p>
    <w:p>
      <w:pPr>
        <w:spacing w:after="60" w:before="60" w:line="240"/>
        <w:ind w:left="720" w:hanging="720"/>
        <w:jc w:val="both"/>
      </w:pPr>
      <w:r>
        <w:rPr>
          <w:rFonts w:ascii="Times New Roman" w:cs="Times New Roman" w:eastAsia="Times New Roman" w:hAnsi="Times New Roman"/>
          <w:sz w:val="20"/>
          <w:szCs w:val="20"/>
        </w:rPr>
        <w:t xml:space="preserve">Tang, C. S. (2006). Perspectives in supply chain risk management. International Journal of Production Economics, 103(2), 451-488. https://doi.org/10.1016/j.ijpe.2005.12.006</w:t>
      </w:r>
    </w:p>
    <w:p>
      <w:pPr>
        <w:spacing w:after="60" w:before="60" w:line="240"/>
        <w:ind w:left="720" w:hanging="720"/>
        <w:jc w:val="both"/>
      </w:pPr>
      <w:r>
        <w:rPr>
          <w:rFonts w:ascii="Times New Roman" w:cs="Times New Roman" w:eastAsia="Times New Roman" w:hAnsi="Times New Roman"/>
          <w:sz w:val="20"/>
          <w:szCs w:val="20"/>
        </w:rPr>
        <w:t xml:space="preserve">Trzuskawska-Grzesinska, A. (2017). Control towers in supply chain management: Past and future. Journal of Economics and Management, 27(1), 114-133.</w:t>
      </w:r>
    </w:p>
    <w:p>
      <w:pPr>
        <w:spacing w:after="60" w:before="60" w:line="240"/>
        <w:ind w:left="720" w:hanging="720"/>
        <w:jc w:val="both"/>
      </w:pPr>
      <w:r>
        <w:rPr>
          <w:rFonts w:ascii="Times New Roman" w:cs="Times New Roman" w:eastAsia="Times New Roman" w:hAnsi="Times New Roman"/>
          <w:sz w:val="20"/>
          <w:szCs w:val="20"/>
        </w:rPr>
        <w:t xml:space="preserve">Tufte, E. R. (2001). The visual display of quantitative information (2nd ed.). Graphics Press.</w:t>
      </w:r>
    </w:p>
    <w:p>
      <w:pPr>
        <w:spacing w:after="60" w:before="60" w:line="240"/>
        <w:ind w:left="720" w:hanging="720"/>
        <w:jc w:val="both"/>
      </w:pPr>
      <w:r>
        <w:rPr>
          <w:rFonts w:ascii="Times New Roman" w:cs="Times New Roman" w:eastAsia="Times New Roman" w:hAnsi="Times New Roman"/>
          <w:sz w:val="20"/>
          <w:szCs w:val="20"/>
        </w:rPr>
        <w:t xml:space="preserve">Waller, M. A., &amp; Fawcett, S. E. (2013). Data science, predictive analytics, and big data: A revolution that will transform supply chain design and management. Journal of Business Logistics, 34(2), 77-84. https://doi.org/10.1111/jbl.12010</w:t>
      </w:r>
    </w:p>
    <w:p>
      <w:pPr>
        <w:spacing w:after="60" w:before="60" w:line="240"/>
        <w:ind w:left="720" w:hanging="720"/>
        <w:jc w:val="both"/>
      </w:pPr>
      <w:r>
        <w:rPr>
          <w:rFonts w:ascii="Times New Roman" w:cs="Times New Roman" w:eastAsia="Times New Roman" w:hAnsi="Times New Roman"/>
          <w:sz w:val="20"/>
          <w:szCs w:val="20"/>
        </w:rPr>
        <w:t xml:space="preserve">Wang, G., Gunasekaran, A., Ngai, E. W. T., &amp; Papadopoulos, T. (2016). Big data analytics in logistics and supply chain management: Certain investigations for research and applications. International Journal of Production Economics, 176, 98-110. https://doi.org/10.1016/j.ijpe.2016.03.014</w:t>
      </w:r>
    </w:p>
    <w:p>
      <w:pPr>
        <w:spacing w:after="60" w:before="60" w:line="240"/>
        <w:ind w:left="720" w:hanging="720"/>
        <w:jc w:val="both"/>
      </w:pPr>
      <w:r>
        <w:rPr>
          <w:rFonts w:ascii="Times New Roman" w:cs="Times New Roman" w:eastAsia="Times New Roman" w:hAnsi="Times New Roman"/>
          <w:sz w:val="20"/>
          <w:szCs w:val="20"/>
        </w:rPr>
        <w:t xml:space="preserve">Wieland, A., &amp; Wallenburg, C. M. (2013). The influence of relational competencies on supply chain resilience: A relational view. International Journal of Physical Distribution &amp; Logistics Management, 43(4), 300-320. https://doi.org/10.1108/IJPDLM-08-2012-0243</w:t>
      </w:r>
    </w:p>
    <w:p>
      <w:pPr>
        <w:spacing w:after="60" w:before="60" w:line="240"/>
        <w:ind w:left="720" w:hanging="720"/>
        <w:jc w:val="both"/>
      </w:pPr>
      <w:r>
        <w:rPr>
          <w:rFonts w:ascii="Times New Roman" w:cs="Times New Roman" w:eastAsia="Times New Roman" w:hAnsi="Times New Roman"/>
          <w:sz w:val="20"/>
          <w:szCs w:val="20"/>
        </w:rPr>
        <w:t xml:space="preserve">Williams, B. D., Roh, J., Tokar, T., &amp; Swink, M. (2013). Leveraging supply chain visibility for responsiveness: The moderating role of internal integration. Journal of Operations Management, 31(7-8), 543-554. https://doi.org/10.1016/j.jom.2013.09.003</w:t>
      </w:r>
    </w:p>
    <w:p>
      <w:pPr>
        <w:spacing w:after="60" w:before="60" w:line="240"/>
        <w:ind w:left="720" w:hanging="720"/>
        <w:jc w:val="both"/>
      </w:pPr>
      <w:r>
        <w:rPr>
          <w:rFonts w:ascii="Times New Roman" w:cs="Times New Roman" w:eastAsia="Times New Roman" w:hAnsi="Times New Roman"/>
          <w:sz w:val="20"/>
          <w:szCs w:val="20"/>
        </w:rPr>
        <w:t xml:space="preserve">World Bank. (2023). Connecting to compete 2023: Trade logistics in an uncertain global economy. The World Bank. https://lpi.worldbank.org</w:t>
      </w:r>
    </w:p>
    <w:p>
      <w:r>
        <w:br w:type="page"/>
      </w:r>
    </w:p>
    <w:p>
      <w:pPr>
        <w:pStyle w:val="Heading1"/>
        <w:spacing w:after="180" w:before="360"/>
      </w:pPr>
      <w:r>
        <w:rPr>
          <w:rFonts w:ascii="Times New Roman" w:cs="Times New Roman" w:eastAsia="Times New Roman" w:hAnsi="Times New Roman"/>
          <w:b/>
          <w:bCs/>
          <w:caps/>
          <w:sz w:val="32"/>
          <w:szCs w:val="32"/>
        </w:rPr>
        <w:t xml:space="preserve">Further Work Needed for Publication</w:t>
      </w:r>
    </w:p>
    <w:p>
      <w:pPr>
        <w:spacing w:after="120" w:before="120" w:line="480"/>
        <w:jc w:val="both"/>
      </w:pPr>
      <w:r>
        <w:rPr>
          <w:rFonts w:ascii="Times New Roman" w:cs="Times New Roman" w:eastAsia="Times New Roman" w:hAnsi="Times New Roman"/>
          <w:sz w:val="24"/>
          <w:szCs w:val="24"/>
        </w:rPr>
        <w:t xml:space="preserve">This section identifies every gap between the current project state and the requirements for a credible journal submission. Each item is specific, evidence-based, and actionable.</w:t>
      </w:r>
    </w:p>
    <w:p>
      <w:pPr>
        <w:pStyle w:val="Heading2"/>
        <w:spacing w:after="120" w:before="300"/>
      </w:pPr>
      <w:r>
        <w:rPr>
          <w:rFonts w:ascii="Times New Roman" w:cs="Times New Roman" w:eastAsia="Times New Roman" w:hAnsi="Times New Roman"/>
          <w:b/>
          <w:bCs/>
          <w:sz w:val="28"/>
          <w:szCs w:val="28"/>
        </w:rPr>
        <w:t xml:space="preserve">FW-1. Live or More Recent Dataset</w:t>
      </w:r>
    </w:p>
    <w:p>
      <w:pPr>
        <w:spacing w:after="120" w:before="120" w:line="480"/>
        <w:jc w:val="both"/>
      </w:pPr>
      <w:r>
        <w:rPr>
          <w:rFonts w:ascii="Times New Roman" w:cs="Times New Roman" w:eastAsia="Times New Roman" w:hAnsi="Times New Roman"/>
          <w:sz w:val="24"/>
          <w:szCs w:val="24"/>
        </w:rPr>
        <w:t xml:space="preserve">The DataCo dataset covers 2015 to 2018. Most journals in supply chain management now require datasets that reflect post-pandemic conditions or, where historical data is used, a clear justification for the time period. The minimum standard for a 2025 submission is either a current dataset or a rigorous argument for why historical data is valid for the research question. Practical step: apply the same cleaning and KPI pipeline to the Olist dataset (2016 to 2018) to at least provide a triangulating case. A stronger step is to source a 2020 to 2024 e-commerce or logistics dataset and rerun the full analysis. Publicly available datasets include the Amazon Product Reviews Shipping Dataset on Kaggle and the UCI Machine Learning Repository supply chain datasets.</w:t>
      </w:r>
    </w:p>
    <w:p>
      <w:pPr>
        <w:pStyle w:val="Heading2"/>
        <w:spacing w:after="120" w:before="300"/>
      </w:pPr>
      <w:r>
        <w:rPr>
          <w:rFonts w:ascii="Times New Roman" w:cs="Times New Roman" w:eastAsia="Times New Roman" w:hAnsi="Times New Roman"/>
          <w:b/>
          <w:bCs/>
          <w:sz w:val="28"/>
          <w:szCs w:val="28"/>
        </w:rPr>
        <w:t xml:space="preserve">FW-2. Full DataCo Extract, Not the Illustrative Sample</w:t>
      </w:r>
    </w:p>
    <w:p>
      <w:pPr>
        <w:spacing w:after="120" w:before="120" w:line="480"/>
        <w:jc w:val="both"/>
      </w:pPr>
      <w:r>
        <w:rPr>
          <w:rFonts w:ascii="Times New Roman" w:cs="Times New Roman" w:eastAsia="Times New Roman" w:hAnsi="Times New Roman"/>
          <w:sz w:val="24"/>
          <w:szCs w:val="24"/>
        </w:rPr>
        <w:t xml:space="preserve">The results in Section 6 are drawn from a 24-row illustrative sample used for formula demonstration. A submission requires results from the full 180,519-row dataset. The cleaning protocol, KPI formulas, and model pipeline are already designed to accept the full extract. The action required is to download the DataCo V5 file from Mendeley (doi: 10.17632/8gx2fvg2k6.5), run the cleaning script, and update every results table and figure.</w:t>
      </w:r>
    </w:p>
    <w:p>
      <w:pPr>
        <w:pStyle w:val="Heading2"/>
        <w:spacing w:after="120" w:before="300"/>
      </w:pPr>
      <w:r>
        <w:rPr>
          <w:rFonts w:ascii="Times New Roman" w:cs="Times New Roman" w:eastAsia="Times New Roman" w:hAnsi="Times New Roman"/>
          <w:b/>
          <w:bCs/>
          <w:sz w:val="28"/>
          <w:szCs w:val="28"/>
        </w:rPr>
        <w:t xml:space="preserve">FW-3. Full Predictive Model Evaluation</w:t>
      </w:r>
    </w:p>
    <w:p>
      <w:pPr>
        <w:spacing w:after="120" w:before="120" w:line="480"/>
        <w:jc w:val="both"/>
      </w:pPr>
      <w:r>
        <w:rPr>
          <w:rFonts w:ascii="Times New Roman" w:cs="Times New Roman" w:eastAsia="Times New Roman" w:hAnsi="Times New Roman"/>
          <w:sz w:val="24"/>
          <w:szCs w:val="24"/>
        </w:rPr>
        <w:t xml:space="preserve">The predictive layer describes the intended model design but does not report actual model performance because the full dataset has not been run. A submission must include a confusion matrix, precision, recall, F1 score, and area under the ROC curve on the held-out test set, with a train-test split of at least 70-30. The model card must state every feature used, every exclusion made, and the reason for each. If the provided risk flag is found to be a near-perfect proxy for the target, the paper must acknowledge this and reformulate the prediction target.</w:t>
      </w:r>
    </w:p>
    <w:p>
      <w:pPr>
        <w:pStyle w:val="Heading2"/>
        <w:spacing w:after="120" w:before="300"/>
      </w:pPr>
      <w:r>
        <w:rPr>
          <w:rFonts w:ascii="Times New Roman" w:cs="Times New Roman" w:eastAsia="Times New Roman" w:hAnsi="Times New Roman"/>
          <w:b/>
          <w:bCs/>
          <w:sz w:val="28"/>
          <w:szCs w:val="28"/>
        </w:rPr>
        <w:t xml:space="preserve">FW-4. Statistical Hypothesis Tests</w:t>
      </w:r>
    </w:p>
    <w:p>
      <w:pPr>
        <w:spacing w:after="120" w:before="120" w:line="480"/>
        <w:jc w:val="both"/>
      </w:pPr>
      <w:r>
        <w:rPr>
          <w:rFonts w:ascii="Times New Roman" w:cs="Times New Roman" w:eastAsia="Times New Roman" w:hAnsi="Times New Roman"/>
          <w:sz w:val="24"/>
          <w:szCs w:val="24"/>
        </w:rPr>
        <w:t xml:space="preserve">The diagnostic layer currently reports descriptive proportions and rankings. A journal submission requires inferential tests. At minimum, chi-square tests should compare the late delivery rate across shipping modes and regions. A logistic regression coefficient table should report odds ratios with 95 percent confidence intervals and Wald statistics. If the sample size supports it, a Kruskal-Wallis test should compare delivery delay distributions across categories. These tests are straightforward to compute in Python (scipy.stats, statsmodels) and would take one day to implement once the full dataset is available.</w:t>
      </w:r>
    </w:p>
    <w:p>
      <w:pPr>
        <w:pStyle w:val="Heading2"/>
        <w:spacing w:after="120" w:before="300"/>
      </w:pPr>
      <w:r>
        <w:rPr>
          <w:rFonts w:ascii="Times New Roman" w:cs="Times New Roman" w:eastAsia="Times New Roman" w:hAnsi="Times New Roman"/>
          <w:b/>
          <w:bCs/>
          <w:sz w:val="28"/>
          <w:szCs w:val="28"/>
        </w:rPr>
        <w:t xml:space="preserve">FW-5. Expanded and Current Literature Review</w:t>
      </w:r>
    </w:p>
    <w:p>
      <w:pPr>
        <w:spacing w:after="120" w:before="120" w:line="480"/>
        <w:jc w:val="both"/>
      </w:pPr>
      <w:r>
        <w:rPr>
          <w:rFonts w:ascii="Times New Roman" w:cs="Times New Roman" w:eastAsia="Times New Roman" w:hAnsi="Times New Roman"/>
          <w:sz w:val="24"/>
          <w:szCs w:val="24"/>
        </w:rPr>
        <w:t xml:space="preserve">The current reference list has 70 sources, which is near the minimum for a comprehensive review. A journal submission in a logistics or operations management outlet typically requires 80 to 120 references. The review should be expanded in three areas. First, supply chain analytics for developing and emerging markets (India-specific logistics studies in journals such as the International Journal of Logistics Management and the Journal of Business Logistics). Second, real-time data systems and IoT sensing in supply chains. Third, ESG and sustainability implications of delivery delay, since many current journals require at least a sustainability framing. A targeted search on Scopus using the query TITLE-ABS-KEY (supply chain AND control tower AND analytics) limited to 2019 to 2025 will identify the most recent papers not yet in this review.</w:t>
      </w:r>
    </w:p>
    <w:p>
      <w:pPr>
        <w:pStyle w:val="Heading2"/>
        <w:spacing w:after="120" w:before="300"/>
      </w:pPr>
      <w:r>
        <w:rPr>
          <w:rFonts w:ascii="Times New Roman" w:cs="Times New Roman" w:eastAsia="Times New Roman" w:hAnsi="Times New Roman"/>
          <w:b/>
          <w:bCs/>
          <w:sz w:val="28"/>
          <w:szCs w:val="28"/>
        </w:rPr>
        <w:t xml:space="preserve">FW-6. India-Level Transaction Data</w:t>
      </w:r>
    </w:p>
    <w:p>
      <w:pPr>
        <w:spacing w:after="120" w:before="120" w:line="480"/>
        <w:jc w:val="both"/>
      </w:pPr>
      <w:r>
        <w:rPr>
          <w:rFonts w:ascii="Times New Roman" w:cs="Times New Roman" w:eastAsia="Times New Roman" w:hAnsi="Times New Roman"/>
          <w:sz w:val="24"/>
          <w:szCs w:val="24"/>
        </w:rPr>
        <w:t xml:space="preserve">The current India framing is contextual: national policy documents, LPI rankings, and LEADS benchmarks are used to situate the project, but no India-specific transaction data is analysed. For a journal submission targeting an Indian or emerging-market audience, this gap is significant. Practical step: approach an Indian e-commerce platform or third-party logistics provider for access to anonymised order-level data under a data use agreement. If live data is unavailable, a case study using published performance figures from an Indian company annual report would be defensible. Journals that publish India-focused supply chain research include the Journal of Operations Management (special issues), Logistics Research, and the International Journal of Production Economics.</w:t>
      </w:r>
    </w:p>
    <w:p>
      <w:pPr>
        <w:pStyle w:val="Heading2"/>
        <w:spacing w:after="120" w:before="300"/>
      </w:pPr>
      <w:r>
        <w:rPr>
          <w:rFonts w:ascii="Times New Roman" w:cs="Times New Roman" w:eastAsia="Times New Roman" w:hAnsi="Times New Roman"/>
          <w:b/>
          <w:bCs/>
          <w:sz w:val="28"/>
          <w:szCs w:val="28"/>
        </w:rPr>
        <w:t xml:space="preserve">FW-7. Robustness and Sensitivity Checks</w:t>
      </w:r>
    </w:p>
    <w:p>
      <w:pPr>
        <w:spacing w:after="120" w:before="120" w:line="480"/>
        <w:jc w:val="both"/>
      </w:pPr>
      <w:r>
        <w:rPr>
          <w:rFonts w:ascii="Times New Roman" w:cs="Times New Roman" w:eastAsia="Times New Roman" w:hAnsi="Times New Roman"/>
          <w:sz w:val="24"/>
          <w:szCs w:val="24"/>
        </w:rPr>
        <w:t xml:space="preserve">A submission must demonstrate that the findings are not sensitive to the specific choices made in the analysis. Robustness checks should include: alternative control limit methods (CUSUM and EWMA charts alongside the standard p-chart); alternative predictive models (random forest and gradient boosting alongside logistic regression); and alternative OTIF definitions (strict: both on time and in full; relaxed: within one day late and 95 percent fill rate). The sensitivity of the late delivery rate to the treatment of canceled orders must be reported as a specific robustness check.</w:t>
      </w:r>
    </w:p>
    <w:p>
      <w:pPr>
        <w:pStyle w:val="Heading2"/>
        <w:spacing w:after="120" w:before="300"/>
      </w:pPr>
      <w:r>
        <w:rPr>
          <w:rFonts w:ascii="Times New Roman" w:cs="Times New Roman" w:eastAsia="Times New Roman" w:hAnsi="Times New Roman"/>
          <w:b/>
          <w:bCs/>
          <w:sz w:val="28"/>
          <w:szCs w:val="28"/>
        </w:rPr>
        <w:t xml:space="preserve">FW-8. Peer Review of the Literature Review</w:t>
      </w:r>
    </w:p>
    <w:p>
      <w:pPr>
        <w:spacing w:after="120" w:before="120" w:line="480"/>
        <w:jc w:val="both"/>
      </w:pPr>
      <w:r>
        <w:rPr>
          <w:rFonts w:ascii="Times New Roman" w:cs="Times New Roman" w:eastAsia="Times New Roman" w:hAnsi="Times New Roman"/>
          <w:sz w:val="24"/>
          <w:szCs w:val="24"/>
        </w:rPr>
        <w:t xml:space="preserve">Every reference in the current list has been checked against a primary source during research. However, the content interpretation has not been reviewed by a subject matter expert in supply chain management. Before submission, one external reviewer with expertise in supply chain operations should read the literature review and flag any claims that are overstated, incorrectly attributed, or outdated. This is standard practice for co-authored papers and can be approximated for a single-author submission through a structured self-review against the published papers.</w:t>
      </w:r>
    </w:p>
    <w:p>
      <w:pPr>
        <w:pStyle w:val="Heading2"/>
        <w:spacing w:after="120" w:before="300"/>
      </w:pPr>
      <w:r>
        <w:rPr>
          <w:rFonts w:ascii="Times New Roman" w:cs="Times New Roman" w:eastAsia="Times New Roman" w:hAnsi="Times New Roman"/>
          <w:b/>
          <w:bCs/>
          <w:sz w:val="28"/>
          <w:szCs w:val="28"/>
        </w:rPr>
        <w:t xml:space="preserve">FW-9. Journal Target and Format Alignment</w:t>
      </w:r>
    </w:p>
    <w:p>
      <w:pPr>
        <w:spacing w:after="120" w:before="120" w:line="480"/>
        <w:jc w:val="both"/>
      </w:pPr>
      <w:r>
        <w:rPr>
          <w:rFonts w:ascii="Times New Roman" w:cs="Times New Roman" w:eastAsia="Times New Roman" w:hAnsi="Times New Roman"/>
          <w:sz w:val="24"/>
          <w:szCs w:val="24"/>
        </w:rPr>
        <w:t xml:space="preserve">The paper has not yet been formatted for a specific journal. Target journals should be identified before the final writing pass. Three candidate journals in descending order of impact are: the International Journal of Production Economics (Elsevier, Scopus Q1), which regularly publishes supply chain analytics papers with datasets of comparable scale; the Journal of Business Logistics (Wiley), which publishes practitioner-oriented analytics work; and Supply Chain Management: An International Journal (Emerald), which has published several control tower and visibility papers. Each journal has specific word limits, abstract formats, and referencing styles. The current paper uses APA 7, which is appropriate for the Journal of Business Logistics. The IJPE requires author-date in text with a formatted reference list that does not use APA capitalisation rules.</w:t>
      </w:r>
    </w:p>
    <w:p>
      <w:pPr>
        <w:pStyle w:val="Heading2"/>
        <w:spacing w:after="120" w:before="300"/>
      </w:pPr>
      <w:r>
        <w:rPr>
          <w:rFonts w:ascii="Times New Roman" w:cs="Times New Roman" w:eastAsia="Times New Roman" w:hAnsi="Times New Roman"/>
          <w:b/>
          <w:bCs/>
          <w:sz w:val="28"/>
          <w:szCs w:val="28"/>
        </w:rPr>
        <w:t xml:space="preserve">FW-10. Ethics and Data Sharing Statement</w:t>
      </w:r>
    </w:p>
    <w:p>
      <w:pPr>
        <w:spacing w:after="120" w:before="120" w:line="480"/>
        <w:jc w:val="both"/>
      </w:pPr>
      <w:r>
        <w:rPr>
          <w:rFonts w:ascii="Times New Roman" w:cs="Times New Roman" w:eastAsia="Times New Roman" w:hAnsi="Times New Roman"/>
          <w:sz w:val="24"/>
          <w:szCs w:val="24"/>
        </w:rPr>
        <w:t xml:space="preserve">Journals now routinely require an ethics statement and a data availability statement. For this project, the ethics statement is straightforward: no personal data was collected; the datasets used are publicly available; no human subjects research was conducted. The data availability statement should provide the exact Mendeley DOI, the Kaggle URL, and the version number for the DataCo dataset. The cleaning code and the model code should be deposited in a public repository (GitHub or Zenodo) and cited in the paper with a DOI. This step takes less than one hour and is now a firm requirement at Elsevier, Wiley, and Emerald journals.</w:t>
      </w:r>
    </w:p>
    <w:p>
      <w:r>
        <w:br w:type="page"/>
      </w:r>
    </w:p>
    <w:p>
      <w:pPr>
        <w:pStyle w:val="Heading1"/>
        <w:spacing w:after="180" w:before="360"/>
      </w:pPr>
      <w:r>
        <w:rPr>
          <w:rFonts w:ascii="Times New Roman" w:cs="Times New Roman" w:eastAsia="Times New Roman" w:hAnsi="Times New Roman"/>
          <w:b/>
          <w:bCs/>
          <w:caps/>
          <w:sz w:val="32"/>
          <w:szCs w:val="32"/>
        </w:rPr>
        <w:t xml:space="preserve">Citation Rules and Bibliography Process</w:t>
      </w:r>
    </w:p>
    <w:p>
      <w:pPr>
        <w:pStyle w:val="Heading2"/>
        <w:spacing w:after="120" w:before="300"/>
      </w:pPr>
      <w:r>
        <w:rPr>
          <w:rFonts w:ascii="Times New Roman" w:cs="Times New Roman" w:eastAsia="Times New Roman" w:hAnsi="Times New Roman"/>
          <w:b/>
          <w:bCs/>
          <w:sz w:val="28"/>
          <w:szCs w:val="28"/>
        </w:rPr>
        <w:t xml:space="preserve">Citation Style</w:t>
      </w:r>
    </w:p>
    <w:p>
      <w:pPr>
        <w:spacing w:after="120" w:before="120" w:line="480"/>
        <w:jc w:val="both"/>
      </w:pPr>
      <w:r>
        <w:rPr>
          <w:rFonts w:ascii="Times New Roman" w:cs="Times New Roman" w:eastAsia="Times New Roman" w:hAnsi="Times New Roman"/>
          <w:sz w:val="24"/>
          <w:szCs w:val="24"/>
        </w:rPr>
        <w:t xml:space="preserve">All citations in this paper follow the American Psychological Association 7th Edition (APA 7) format. In-text citations use the author-date format: (Author, Year) for narrative and (Author, Year) for parenthetical. Multiple authors follow the APA 7 truncation rule: one author, cite directly; two authors, cite both; three or more authors, cite first author followed by et al.</w:t>
      </w:r>
    </w:p>
    <w:p>
      <w:pPr>
        <w:pStyle w:val="Heading2"/>
        <w:spacing w:after="120" w:before="300"/>
      </w:pPr>
      <w:r>
        <w:rPr>
          <w:rFonts w:ascii="Times New Roman" w:cs="Times New Roman" w:eastAsia="Times New Roman" w:hAnsi="Times New Roman"/>
          <w:b/>
          <w:bCs/>
          <w:sz w:val="28"/>
          <w:szCs w:val="28"/>
        </w:rPr>
        <w:t xml:space="preserve">Bibliography Construction Process</w:t>
      </w:r>
    </w:p>
    <w:p>
      <w:pPr>
        <w:spacing w:after="120" w:before="120" w:line="480"/>
        <w:jc w:val="both"/>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b w:val="false"/>
          <w:bCs w:val="false"/>
          <w:sz w:val="24"/>
          <w:szCs w:val="24"/>
        </w:rPr>
        <w:t xml:space="preserve">Identify the search terms relevant to each section of the literature review. Log every query in the Search Log sheet of the companion workbook with the date, source database, query string, filter applied, and hit count.</w:t>
      </w:r>
    </w:p>
    <w:p>
      <w:pPr>
        <w:spacing w:after="120" w:before="120" w:line="480"/>
        <w:jc w:val="both"/>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b w:val="false"/>
          <w:bCs w:val="false"/>
          <w:sz w:val="24"/>
          <w:szCs w:val="24"/>
        </w:rPr>
        <w:t xml:space="preserve">Screen titles and abstracts against the inclusion criteria: topic relevance, source quality (peer-reviewed journal, official government report, or published textbook), and date range (no restriction on foundational papers; preference for 2013 to 2025 on methods papers).</w:t>
      </w:r>
    </w:p>
    <w:p>
      <w:pPr>
        <w:spacing w:after="120" w:before="120" w:line="480"/>
        <w:jc w:val="both"/>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b w:val="false"/>
          <w:bCs w:val="false"/>
          <w:sz w:val="24"/>
          <w:szCs w:val="24"/>
        </w:rPr>
        <w:t xml:space="preserve">Read the full text of all included records and extract the key finding, KPI relevance, evidence level (global, national, state, local), and verification status.</w:t>
      </w:r>
    </w:p>
    <w:p>
      <w:pPr>
        <w:spacing w:after="120" w:before="120" w:line="480"/>
        <w:jc w:val="both"/>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b w:val="false"/>
          <w:bCs w:val="false"/>
          <w:sz w:val="24"/>
          <w:szCs w:val="24"/>
        </w:rPr>
        <w:t xml:space="preserve">Verify every reference against its primary source. Confirm author names, year, journal title, volume, issue, and page range. For DOIs, resolve each link to confirm it reaches the correct article.</w:t>
      </w:r>
    </w:p>
    <w:p>
      <w:pPr>
        <w:spacing w:after="120" w:before="120" w:line="480"/>
        <w:jc w:val="both"/>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b w:val="false"/>
          <w:bCs w:val="false"/>
          <w:sz w:val="24"/>
          <w:szCs w:val="24"/>
        </w:rPr>
        <w:t xml:space="preserve">Record the PRISMA flow: records identified, duplicates removed, records screened, records excluded at abstract stage, full texts assessed, full texts excluded with reasons, and final included count.</w:t>
      </w:r>
    </w:p>
    <w:p>
      <w:pPr>
        <w:spacing w:after="120" w:before="120" w:line="480"/>
        <w:jc w:val="both"/>
      </w:pPr>
      <w:r>
        <w:rPr>
          <w:rFonts w:ascii="Times New Roman" w:cs="Times New Roman" w:eastAsia="Times New Roman" w:hAnsi="Times New Roman"/>
          <w:b/>
          <w:bCs/>
          <w:sz w:val="24"/>
          <w:szCs w:val="24"/>
        </w:rPr>
        <w:t xml:space="preserve">Step 6. </w:t>
      </w:r>
      <w:r>
        <w:rPr>
          <w:rFonts w:ascii="Times New Roman" w:cs="Times New Roman" w:eastAsia="Times New Roman" w:hAnsi="Times New Roman"/>
          <w:b w:val="false"/>
          <w:bCs w:val="false"/>
          <w:sz w:val="24"/>
          <w:szCs w:val="24"/>
        </w:rPr>
        <w:t xml:space="preserve">Format every reference in APA 7 and enter it in the References sheet of the companion workbook with its verification status and DOI or URL.</w:t>
      </w:r>
    </w:p>
    <w:p>
      <w:pPr>
        <w:pStyle w:val="Heading2"/>
        <w:spacing w:after="120" w:before="300"/>
      </w:pPr>
      <w:r>
        <w:rPr>
          <w:rFonts w:ascii="Times New Roman" w:cs="Times New Roman" w:eastAsia="Times New Roman" w:hAnsi="Times New Roman"/>
          <w:b/>
          <w:bCs/>
          <w:sz w:val="28"/>
          <w:szCs w:val="28"/>
        </w:rPr>
        <w:t xml:space="preserve">Inclusion Criteria</w:t>
      </w:r>
    </w:p>
    <w:p>
      <w:pPr>
        <w:spacing w:after="120" w:before="120" w:line="480"/>
        <w:jc w:val="both"/>
      </w:pPr>
      <w:r>
        <w:rPr>
          <w:rFonts w:ascii="Times New Roman" w:cs="Times New Roman" w:eastAsia="Times New Roman" w:hAnsi="Times New Roman"/>
          <w:sz w:val="24"/>
          <w:szCs w:val="24"/>
        </w:rPr>
        <w:t xml:space="preserve">Include: peer-reviewed journal articles; published textbooks from recognised academic publishers; official government reports from national ministries or supranational bodies; dataset publications on Mendeley, Zenodo, or similar repositories with a DOI; and industry standards from recognised bodies such as APICS and ISO. Exclude: blog posts, vendor white papers, unpublished theses not available through an institutional repository, and sources that cannot be verified against a primary record.</w:t>
      </w:r>
    </w:p>
    <w:p>
      <w:pPr>
        <w:pStyle w:val="Heading2"/>
        <w:spacing w:after="120" w:before="300"/>
      </w:pPr>
      <w:r>
        <w:rPr>
          <w:rFonts w:ascii="Times New Roman" w:cs="Times New Roman" w:eastAsia="Times New Roman" w:hAnsi="Times New Roman"/>
          <w:b/>
          <w:bCs/>
          <w:sz w:val="28"/>
          <w:szCs w:val="28"/>
        </w:rPr>
        <w:t xml:space="preserve">Plagiarism Control</w:t>
      </w:r>
    </w:p>
    <w:p>
      <w:pPr>
        <w:spacing w:after="120" w:before="120" w:line="480"/>
        <w:jc w:val="both"/>
      </w:pPr>
      <w:r>
        <w:rPr>
          <w:rFonts w:ascii="Times New Roman" w:cs="Times New Roman" w:eastAsia="Times New Roman" w:hAnsi="Times New Roman"/>
          <w:sz w:val="24"/>
          <w:szCs w:val="24"/>
        </w:rPr>
        <w:t xml:space="preserve">All text is original. Where a source is paraphrased, the core meaning is preserved but the sentence structure and vocabulary are substantially rewritten. Direct quotation is avoided throughout. The paper targets a similarity score below 15 percent on Turnitin or iThenticate, with no single source match above 2 percent.</w:t>
      </w:r>
    </w:p>
    <w:p>
      <w:r>
        <w:br w:type="page"/>
      </w:r>
    </w:p>
    <w:p>
      <w:pPr>
        <w:pStyle w:val="Heading1"/>
        <w:spacing w:after="180" w:before="360"/>
      </w:pPr>
      <w:r>
        <w:rPr>
          <w:rFonts w:ascii="Times New Roman" w:cs="Times New Roman" w:eastAsia="Times New Roman" w:hAnsi="Times New Roman"/>
          <w:b/>
          <w:bCs/>
          <w:caps/>
          <w:sz w:val="32"/>
          <w:szCs w:val="32"/>
        </w:rPr>
        <w:t xml:space="preserve">Final Submission Readiness Checklist</w:t>
      </w:r>
    </w:p>
    <w:p>
      <w:pPr>
        <w:spacing w:after="120" w:before="120" w:line="480"/>
        <w:jc w:val="both"/>
      </w:pPr>
      <w:r>
        <w:rPr>
          <w:rFonts w:ascii="Times New Roman" w:cs="Times New Roman" w:eastAsia="Times New Roman" w:hAnsi="Times New Roman"/>
          <w:sz w:val="24"/>
          <w:szCs w:val="24"/>
        </w:rPr>
        <w:t xml:space="preserve">The checklist below records the current status of every standard journal submission requirement. Status codes: Done = complete and verified; Partial = in progress or requires update on full dataset; Not done = outstanding.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200"/>
        <w:gridCol w:w="4160"/>
      </w:tblGrid>
      <w:tr>
        <w:tc>
          <w:tcPr>
            <w:tcW w:type="dxa" w:w="1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Item</w:t>
            </w:r>
          </w:p>
        </w:tc>
        <w:tc>
          <w:tcPr>
            <w:tcW w:type="dxa" w:w="2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Requirement</w:t>
            </w:r>
          </w:p>
        </w:tc>
        <w:tc>
          <w:tcPr>
            <w:tcW w:type="dxa" w:w="1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Status</w:t>
            </w:r>
          </w:p>
        </w:tc>
        <w:tc>
          <w:tcPr>
            <w:tcW w:type="dxa" w:w="416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spacing w:after="0" w:before="0"/>
            </w:pPr>
            <w:r>
              <w:rPr>
                <w:rFonts w:ascii="Times New Roman" w:cs="Times New Roman" w:eastAsia="Times New Roman" w:hAnsi="Times New Roman"/>
                <w:b/>
                <w:bCs/>
                <w:color w:val="FFFFFF"/>
                <w:sz w:val="20"/>
                <w:szCs w:val="20"/>
              </w:rPr>
              <w:t xml:space="preserve">Action Required</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Title</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Clear, concise, keyword-rich</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Done</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None</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Abstract</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150 to 250 words; structured or unstructured per target journal</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Done</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Adjust word count to target journal spec</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Keywords</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5 to 8 terms; match journal keyword taxonomy</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Done</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Confirm against target journal examples</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Introduction</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Problem, gap, contribution, structure</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Done</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Finalise after full dataset results</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Literature Review</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70+ sources; thematic; identifies gaps</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Partial</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Expand to 80+ with India-specific papers</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Methodology</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Reproducible; data source cited; ethics noted</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Done</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Add ethics statement; deposit code on GitHub</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Results</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Full dataset; statistical tests; tables and figures</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Partial</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Run full DataCo extract; add inferential tests</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Discussion</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Links results to literature; explains anomalies</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Partial</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Write after full results are available</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Limitations</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Honest; specific; linked to mitigation</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Done</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None</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Conclusion</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Contributions; implications; future work</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Done</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Update after full results</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Further Work section</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Specific; evidence-based; actionable</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Done</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None</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References</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70+ verified; APA 7; DOIs resolved</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Done</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Expand to 80+ for submission</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Data availability statement</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DOI or URL for each dataset</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Partial</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Add GitHub repo for code</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Ethics statement</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No personal data; public datasets only</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Not done</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Write and insert before Methods</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Author declaration</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Conflicts of interest; funding; contributions</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Not done</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Complete per target journal template</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Tables and figures</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Self-contained; numbered; cited in text</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Partial</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Add results tables from full dataset</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Word count</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Within journal limits (typically 8,000 to 12,000)</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Partial</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Count and trim or expand as needed</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Journal format</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Aligned to target journal style guide</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Not done</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Select journal; download template; reformat</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Blind review</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Author details removed from manuscript</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Not done</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Create blind copy before submission</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Cover letter</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Summarises contribution; confirms fit</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Not done</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Write after journal is selected</w:t>
            </w:r>
          </w:p>
        </w:tc>
      </w:tr>
      <w:tr>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Supplementary materials</w:t>
            </w:r>
          </w:p>
        </w:tc>
        <w:tc>
          <w:tcPr>
            <w:tcW w:type="dxa" w:w="2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Code; cleaning log; formula library</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Partial</w:t>
            </w:r>
          </w:p>
        </w:tc>
        <w:tc>
          <w:tcPr>
            <w:tcW w:type="dxa" w:w="4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spacing w:after="0" w:before="0"/>
            </w:pPr>
            <w:r>
              <w:rPr>
                <w:rFonts w:ascii="Times New Roman" w:cs="Times New Roman" w:eastAsia="Times New Roman" w:hAnsi="Times New Roman"/>
                <w:b w:val="false"/>
                <w:bCs w:val="false"/>
                <w:color w:val="000000"/>
                <w:sz w:val="20"/>
                <w:szCs w:val="20"/>
              </w:rPr>
              <w:t xml:space="preserve">Deposit on Zenodo; obtain DOI</w:t>
            </w:r>
          </w:p>
        </w:tc>
      </w:tr>
    </w:tbl>
    <w:p>
      <w:pPr>
        <w:spacing w:after="0" w:before="0"/>
      </w:pPr>
      <w:r>
        <w:t xml:space="preserve"/>
      </w:r>
    </w:p>
    <w:p>
      <w:r>
        <w:br w:type="page"/>
      </w:r>
    </w:p>
    <w:p>
      <w:pPr>
        <w:pStyle w:val="Heading1"/>
        <w:spacing w:after="180" w:before="360"/>
      </w:pPr>
      <w:r>
        <w:rPr>
          <w:rFonts w:ascii="Times New Roman" w:cs="Times New Roman" w:eastAsia="Times New Roman" w:hAnsi="Times New Roman"/>
          <w:b/>
          <w:bCs/>
          <w:caps/>
          <w:sz w:val="32"/>
          <w:szCs w:val="32"/>
        </w:rPr>
        <w:t xml:space="preserve">Step by Step Publication Upgrade Plan</w:t>
      </w:r>
    </w:p>
    <w:p>
      <w:pPr>
        <w:pStyle w:val="Heading2"/>
        <w:spacing w:after="120" w:before="300"/>
      </w:pPr>
      <w:r>
        <w:rPr>
          <w:rFonts w:ascii="Times New Roman" w:cs="Times New Roman" w:eastAsia="Times New Roman" w:hAnsi="Times New Roman"/>
          <w:b/>
          <w:bCs/>
          <w:sz w:val="28"/>
          <w:szCs w:val="28"/>
        </w:rPr>
        <w:t xml:space="preserve">Phase 1: Data (Estimated 3 to 5 days)</w:t>
      </w:r>
    </w:p>
    <w:p>
      <w:pPr>
        <w:spacing w:after="120" w:before="120" w:line="48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b w:val="false"/>
          <w:bCs w:val="false"/>
          <w:sz w:val="24"/>
          <w:szCs w:val="24"/>
        </w:rPr>
        <w:t xml:space="preserve">Download the full DataCo V5 dataset from Mendeley (doi: 10.17632/8gx2fvg2k6.5). Record the download date and version in the Data Dictionary sheet.</w:t>
      </w:r>
    </w:p>
    <w:p>
      <w:pPr>
        <w:spacing w:after="120" w:before="120" w:line="48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b w:val="false"/>
          <w:bCs w:val="false"/>
          <w:sz w:val="24"/>
          <w:szCs w:val="24"/>
        </w:rPr>
        <w:t xml:space="preserve">Run the twelve-step cleaning protocol recorded in the Cleaning Log sheet. Save the cleaning log with row counts before and after each step.</w:t>
      </w:r>
    </w:p>
    <w:p>
      <w:pPr>
        <w:spacing w:after="120" w:before="120" w:line="48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b w:val="false"/>
          <w:bCs w:val="false"/>
          <w:sz w:val="24"/>
          <w:szCs w:val="24"/>
        </w:rPr>
        <w:t xml:space="preserve">Recompute all KPIs on the full clean dataset. Update every cell in the Analysis sheet that currently holds illustrative sample values.</w:t>
      </w:r>
    </w:p>
    <w:p>
      <w:pPr>
        <w:spacing w:after="120" w:before="120" w:line="48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b w:val="false"/>
          <w:bCs w:val="false"/>
          <w:sz w:val="24"/>
          <w:szCs w:val="24"/>
        </w:rPr>
        <w:t xml:space="preserve">Download the Olist dataset from Kaggle as a second validation case. Apply the same cleaning and KPI pipeline.</w:t>
      </w:r>
    </w:p>
    <w:p>
      <w:pPr>
        <w:pStyle w:val="Heading2"/>
        <w:spacing w:after="120" w:before="300"/>
      </w:pPr>
      <w:r>
        <w:rPr>
          <w:rFonts w:ascii="Times New Roman" w:cs="Times New Roman" w:eastAsia="Times New Roman" w:hAnsi="Times New Roman"/>
          <w:b/>
          <w:bCs/>
          <w:sz w:val="28"/>
          <w:szCs w:val="28"/>
        </w:rPr>
        <w:t xml:space="preserve">Phase 2: Analysis (Estimated 5 to 7 days)</w:t>
      </w:r>
    </w:p>
    <w:p>
      <w:pPr>
        <w:spacing w:after="120" w:before="120" w:line="480"/>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b w:val="false"/>
          <w:bCs w:val="false"/>
          <w:sz w:val="24"/>
          <w:szCs w:val="24"/>
        </w:rPr>
        <w:t xml:space="preserve">Run the Pareto analysis on the full dataset. Identify the top three drivers of late delivery by region, category, and shipping mode.</w:t>
      </w:r>
    </w:p>
    <w:p>
      <w:pPr>
        <w:spacing w:after="120" w:before="120" w:line="480"/>
        <w:jc w:val="both"/>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b w:val="false"/>
          <w:bCs w:val="false"/>
          <w:sz w:val="24"/>
          <w:szCs w:val="24"/>
        </w:rPr>
        <w:t xml:space="preserve">Build and evaluate the predictive models: logistic regression and decision tree. Report the confusion matrix, precision, recall, F1, and AUC on the test set.</w:t>
      </w:r>
    </w:p>
    <w:p>
      <w:pPr>
        <w:spacing w:after="120" w:before="120" w:line="480"/>
        <w:jc w:val="both"/>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b w:val="false"/>
          <w:bCs w:val="false"/>
          <w:sz w:val="24"/>
          <w:szCs w:val="24"/>
        </w:rPr>
        <w:t xml:space="preserve">Run the chi-square tests on mode and region. Report the test statistic, degrees of freedom, and p-value for each comparison.</w:t>
      </w:r>
    </w:p>
    <w:p>
      <w:pPr>
        <w:spacing w:after="120" w:before="120" w:line="480"/>
        <w:jc w:val="both"/>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b w:val="false"/>
          <w:bCs w:val="false"/>
          <w:sz w:val="24"/>
          <w:szCs w:val="24"/>
        </w:rPr>
        <w:t xml:space="preserve">Apply SPC limits to the monthly late delivery rate and identify exception months.</w:t>
      </w:r>
    </w:p>
    <w:p>
      <w:pPr>
        <w:pStyle w:val="Heading2"/>
        <w:spacing w:after="120" w:before="300"/>
      </w:pPr>
      <w:r>
        <w:rPr>
          <w:rFonts w:ascii="Times New Roman" w:cs="Times New Roman" w:eastAsia="Times New Roman" w:hAnsi="Times New Roman"/>
          <w:b/>
          <w:bCs/>
          <w:sz w:val="28"/>
          <w:szCs w:val="28"/>
        </w:rPr>
        <w:t xml:space="preserve">Phase 3: Writing (Estimated 7 to 10 days)</w:t>
      </w:r>
    </w:p>
    <w:p>
      <w:pPr>
        <w:spacing w:after="120" w:before="120" w:line="480"/>
        <w:jc w:val="both"/>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b w:val="false"/>
          <w:bCs w:val="false"/>
          <w:sz w:val="24"/>
          <w:szCs w:val="24"/>
        </w:rPr>
        <w:t xml:space="preserve">Update the Results section with full dataset KPIs and statistical test outputs.</w:t>
      </w:r>
    </w:p>
    <w:p>
      <w:pPr>
        <w:spacing w:after="120" w:before="120" w:line="480"/>
        <w:jc w:val="both"/>
      </w:pPr>
      <w:r>
        <w:rPr>
          <w:rFonts w:ascii="Times New Roman" w:cs="Times New Roman" w:eastAsia="Times New Roman" w:hAnsi="Times New Roman"/>
          <w:b/>
          <w:bCs/>
          <w:sz w:val="24"/>
          <w:szCs w:val="24"/>
        </w:rPr>
        <w:t xml:space="preserve">3.2 </w:t>
      </w:r>
      <w:r>
        <w:rPr>
          <w:rFonts w:ascii="Times New Roman" w:cs="Times New Roman" w:eastAsia="Times New Roman" w:hAnsi="Times New Roman"/>
          <w:b w:val="false"/>
          <w:bCs w:val="false"/>
          <w:sz w:val="24"/>
          <w:szCs w:val="24"/>
        </w:rPr>
        <w:t xml:space="preserve">Write the Discussion section: link each finding to the literature review; explain anomalies; state implications for practice and policy.</w:t>
      </w:r>
    </w:p>
    <w:p>
      <w:pPr>
        <w:spacing w:after="120" w:before="120" w:line="480"/>
        <w:jc w:val="both"/>
      </w:pPr>
      <w:r>
        <w:rPr>
          <w:rFonts w:ascii="Times New Roman" w:cs="Times New Roman" w:eastAsia="Times New Roman" w:hAnsi="Times New Roman"/>
          <w:b/>
          <w:bCs/>
          <w:sz w:val="24"/>
          <w:szCs w:val="24"/>
        </w:rPr>
        <w:t xml:space="preserve">3.3 </w:t>
      </w:r>
      <w:r>
        <w:rPr>
          <w:rFonts w:ascii="Times New Roman" w:cs="Times New Roman" w:eastAsia="Times New Roman" w:hAnsi="Times New Roman"/>
          <w:b w:val="false"/>
          <w:bCs w:val="false"/>
          <w:sz w:val="24"/>
          <w:szCs w:val="24"/>
        </w:rPr>
        <w:t xml:space="preserve">Expand the literature review to 80 or more sources, with particular attention to India-specific logistics research and post-2020 analytics papers.</w:t>
      </w:r>
    </w:p>
    <w:p>
      <w:pPr>
        <w:spacing w:after="120" w:before="120" w:line="480"/>
        <w:jc w:val="both"/>
      </w:pPr>
      <w:r>
        <w:rPr>
          <w:rFonts w:ascii="Times New Roman" w:cs="Times New Roman" w:eastAsia="Times New Roman" w:hAnsi="Times New Roman"/>
          <w:b/>
          <w:bCs/>
          <w:sz w:val="24"/>
          <w:szCs w:val="24"/>
        </w:rPr>
        <w:t xml:space="preserve">3.4 </w:t>
      </w:r>
      <w:r>
        <w:rPr>
          <w:rFonts w:ascii="Times New Roman" w:cs="Times New Roman" w:eastAsia="Times New Roman" w:hAnsi="Times New Roman"/>
          <w:b w:val="false"/>
          <w:bCs w:val="false"/>
          <w:sz w:val="24"/>
          <w:szCs w:val="24"/>
        </w:rPr>
        <w:t xml:space="preserve">Write the ethics statement and the data availability statement.</w:t>
      </w:r>
    </w:p>
    <w:p>
      <w:pPr>
        <w:pStyle w:val="Heading2"/>
        <w:spacing w:after="120" w:before="300"/>
      </w:pPr>
      <w:r>
        <w:rPr>
          <w:rFonts w:ascii="Times New Roman" w:cs="Times New Roman" w:eastAsia="Times New Roman" w:hAnsi="Times New Roman"/>
          <w:b/>
          <w:bCs/>
          <w:sz w:val="28"/>
          <w:szCs w:val="28"/>
        </w:rPr>
        <w:t xml:space="preserve">Phase 4: Formatting and Submission (Estimated 3 to 5 days)</w:t>
      </w:r>
    </w:p>
    <w:p>
      <w:pPr>
        <w:spacing w:after="120" w:before="120" w:line="480"/>
        <w:jc w:val="both"/>
      </w:pPr>
      <w:r>
        <w:rPr>
          <w:rFonts w:ascii="Times New Roman" w:cs="Times New Roman" w:eastAsia="Times New Roman" w:hAnsi="Times New Roman"/>
          <w:b/>
          <w:bCs/>
          <w:sz w:val="24"/>
          <w:szCs w:val="24"/>
        </w:rPr>
        <w:t xml:space="preserve">4.1 </w:t>
      </w:r>
      <w:r>
        <w:rPr>
          <w:rFonts w:ascii="Times New Roman" w:cs="Times New Roman" w:eastAsia="Times New Roman" w:hAnsi="Times New Roman"/>
          <w:b w:val="false"/>
          <w:bCs w:val="false"/>
          <w:sz w:val="24"/>
          <w:szCs w:val="24"/>
        </w:rPr>
        <w:t xml:space="preserve">Select the target journal. Download the journal template and author guidelines.</w:t>
      </w:r>
    </w:p>
    <w:p>
      <w:pPr>
        <w:spacing w:after="120" w:before="120" w:line="480"/>
        <w:jc w:val="both"/>
      </w:pPr>
      <w:r>
        <w:rPr>
          <w:rFonts w:ascii="Times New Roman" w:cs="Times New Roman" w:eastAsia="Times New Roman" w:hAnsi="Times New Roman"/>
          <w:b/>
          <w:bCs/>
          <w:sz w:val="24"/>
          <w:szCs w:val="24"/>
        </w:rPr>
        <w:t xml:space="preserve">4.2 </w:t>
      </w:r>
      <w:r>
        <w:rPr>
          <w:rFonts w:ascii="Times New Roman" w:cs="Times New Roman" w:eastAsia="Times New Roman" w:hAnsi="Times New Roman"/>
          <w:b w:val="false"/>
          <w:bCs w:val="false"/>
          <w:sz w:val="24"/>
          <w:szCs w:val="24"/>
        </w:rPr>
        <w:t xml:space="preserve">Reformat the paper to match the journal style guide, including reference format, figure resolution, and section headings.</w:t>
      </w:r>
    </w:p>
    <w:p>
      <w:pPr>
        <w:spacing w:after="120" w:before="120" w:line="480"/>
        <w:jc w:val="both"/>
      </w:pPr>
      <w:r>
        <w:rPr>
          <w:rFonts w:ascii="Times New Roman" w:cs="Times New Roman" w:eastAsia="Times New Roman" w:hAnsi="Times New Roman"/>
          <w:b/>
          <w:bCs/>
          <w:sz w:val="24"/>
          <w:szCs w:val="24"/>
        </w:rPr>
        <w:t xml:space="preserve">4.3 </w:t>
      </w:r>
      <w:r>
        <w:rPr>
          <w:rFonts w:ascii="Times New Roman" w:cs="Times New Roman" w:eastAsia="Times New Roman" w:hAnsi="Times New Roman"/>
          <w:b w:val="false"/>
          <w:bCs w:val="false"/>
          <w:sz w:val="24"/>
          <w:szCs w:val="24"/>
        </w:rPr>
        <w:t xml:space="preserve">Deposit the cleaning code, model code, and formula library on Zenodo or GitHub. Obtain a DOI.</w:t>
      </w:r>
    </w:p>
    <w:p>
      <w:pPr>
        <w:spacing w:after="120" w:before="120" w:line="480"/>
        <w:jc w:val="both"/>
      </w:pPr>
      <w:r>
        <w:rPr>
          <w:rFonts w:ascii="Times New Roman" w:cs="Times New Roman" w:eastAsia="Times New Roman" w:hAnsi="Times New Roman"/>
          <w:b/>
          <w:bCs/>
          <w:sz w:val="24"/>
          <w:szCs w:val="24"/>
        </w:rPr>
        <w:t xml:space="preserve">4.4 </w:t>
      </w:r>
      <w:r>
        <w:rPr>
          <w:rFonts w:ascii="Times New Roman" w:cs="Times New Roman" w:eastAsia="Times New Roman" w:hAnsi="Times New Roman"/>
          <w:b w:val="false"/>
          <w:bCs w:val="false"/>
          <w:sz w:val="24"/>
          <w:szCs w:val="24"/>
        </w:rPr>
        <w:t xml:space="preserve">Complete the submission checklist above. Create the blind copy. Write the cover letter.</w:t>
      </w:r>
    </w:p>
    <w:p>
      <w:pPr>
        <w:spacing w:after="120" w:before="120" w:line="480"/>
        <w:jc w:val="both"/>
      </w:pPr>
      <w:r>
        <w:rPr>
          <w:rFonts w:ascii="Times New Roman" w:cs="Times New Roman" w:eastAsia="Times New Roman" w:hAnsi="Times New Roman"/>
          <w:b/>
          <w:bCs/>
          <w:sz w:val="24"/>
          <w:szCs w:val="24"/>
        </w:rPr>
        <w:t xml:space="preserve">4.5 </w:t>
      </w:r>
      <w:r>
        <w:rPr>
          <w:rFonts w:ascii="Times New Roman" w:cs="Times New Roman" w:eastAsia="Times New Roman" w:hAnsi="Times New Roman"/>
          <w:b w:val="false"/>
          <w:bCs w:val="false"/>
          <w:sz w:val="24"/>
          <w:szCs w:val="24"/>
        </w:rPr>
        <w:t xml:space="preserve">Submit through the journal's online submission system.</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before="120"/>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026"/>
      </w:tabs>
      <w:spacing w:after="120" w:before="0"/>
    </w:pPr>
    <w:r>
      <w:rPr>
        <w:rFonts w:ascii="Times New Roman" w:cs="Times New Roman" w:eastAsia="Times New Roman" w:hAnsi="Times New Roman"/>
        <w:sz w:val="20"/>
        <w:szCs w:val="20"/>
      </w:rPr>
      <w:t xml:space="preserve">Supply Chain Control Tower Dashboard</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Rupal Rani | TISS Mumbai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aps/>
      <w:color w:val="1F3864"/>
      <w:sz w:val="32"/>
      <w:szCs w:val="32"/>
    </w:rPr>
  </w:style>
  <w:style w:type="paragraph" w:styleId="Heading2">
    <w:name w:val="Heading 2"/>
    <w:basedOn w:val="Normal"/>
    <w:next w:val="Normal"/>
    <w:qFormat/>
    <w:pPr>
      <w:spacing w:after="120" w:before="36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2026-05-30T17:02:51.274Z</dcterms:created>
  <dcterms:modified xsi:type="dcterms:W3CDTF">2026-05-30T17:02:51.275Z</dcterms:modified>
</cp:coreProperties>
</file>

<file path=docProps/custom.xml><?xml version="1.0" encoding="utf-8"?>
<Properties xmlns="http://schemas.openxmlformats.org/officeDocument/2006/custom-properties" xmlns:vt="http://schemas.openxmlformats.org/officeDocument/2006/docPropsVTypes"/>
</file>