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jc w:val="center"/>
      </w:pPr>
      <w:r>
        <w:drawing>
          <wp:inline distT="0" distB="0" distL="0" distR="0">
            <wp:extent cx="4095750"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1181100"/>
                    </a:xfrm>
                    <a:prstGeom prst="rect">
                      <a:avLst/>
                    </a:prstGeom>
                  </pic:spPr>
                </pic:pic>
              </a:graphicData>
            </a:graphic>
          </wp:inline>
        </w:drawing>
      </w:r>
    </w:p>
    <w:p>
      <w:pPr>
        <w:spacing w:after="140"/>
      </w:pPr>
      <w:r>
        <w:rPr>
          <w:sz w:val="2"/>
          <w:szCs w:val="2"/>
        </w:rPr>
        <w:t xml:space="preserve"/>
      </w:r>
    </w:p>
    <w:p>
      <w:pPr>
        <w:pBdr>
          <w:bottom w:val="single" w:color="12233F" w:sz="10" w:space="1"/>
        </w:pBdr>
        <w:spacing w:after="160" w:before="60"/>
      </w:pPr>
      <w:r>
        <w:rPr>
          <w:sz w:val="2"/>
          <w:szCs w:val="2"/>
        </w:rPr>
        <w:t xml:space="preserve"/>
      </w:r>
    </w:p>
    <w:p>
      <w:pPr>
        <w:spacing w:after="60" w:before="200"/>
        <w:jc w:val="center"/>
      </w:pPr>
      <w:r>
        <w:rPr>
          <w:rFonts w:ascii="Calibri" w:cs="Calibri" w:eastAsia="Calibri" w:hAnsi="Calibri"/>
          <w:color w:val="12233F"/>
          <w:sz w:val="40"/>
          <w:szCs w:val="40"/>
        </w:rPr>
        <w:t xml:space="preserve">Turn Website Heatmaps into</w:t>
      </w:r>
    </w:p>
    <w:p>
      <w:pPr>
        <w:spacing w:after="200"/>
        <w:jc w:val="center"/>
      </w:pPr>
      <w:r>
        <w:rPr>
          <w:rFonts w:ascii="Calibri" w:cs="Calibri" w:eastAsia="Calibri" w:hAnsi="Calibri"/>
          <w:b/>
          <w:bCs/>
          <w:color w:val="F5732B"/>
          <w:sz w:val="40"/>
          <w:szCs w:val="40"/>
        </w:rPr>
        <w:t xml:space="preserve">a Ranked List of Fixes</w:t>
      </w:r>
    </w:p>
    <w:p>
      <w:pPr>
        <w:spacing w:after="60" w:line="300"/>
        <w:jc w:val="center"/>
      </w:pPr>
      <w:r>
        <w:rPr>
          <w:rFonts w:ascii="Calibri" w:cs="Calibri" w:eastAsia="Calibri" w:hAnsi="Calibri"/>
          <w:color w:val="5B6675"/>
          <w:sz w:val="22"/>
          <w:szCs w:val="22"/>
        </w:rPr>
        <w:t xml:space="preserve">A web app that reads the behaviour data you already collect and hands your team a clear, prioritised plan to improve any page — with progress tracking and one-click sharing.</w:t>
      </w:r>
    </w:p>
    <w:p>
      <w:pPr>
        <w:spacing w:after="200"/>
      </w:pPr>
      <w:r>
        <w:rPr>
          <w:sz w:val="2"/>
          <w:szCs w:val="2"/>
        </w:rP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2645"/>
        <w:gridCol w:w="300"/>
        <w:gridCol w:w="2645"/>
        <w:gridCol w:w="300"/>
        <w:gridCol w:w="2645"/>
        <w:gridCol w:w="300"/>
        <w:gridCol w:w="2645"/>
      </w:tblGrid>
      <w:tr>
        <w:tc>
          <w:tcPr>
            <w:tcW w:type="pct" w:w="23%"/>
            <w:tcBorders>
              <w:top w:val="none" w:color="FFFFFF" w:sz="0"/>
              <w:left w:val="none" w:color="FFFFFF" w:sz="0"/>
              <w:bottom w:val="none" w:color="FFFFFF" w:sz="0"/>
              <w:right w:val="none" w:color="FFFFFF" w:sz="0"/>
            </w:tcBorders>
            <w:shd w:fill="12233F" w:color="auto" w:val="clear"/>
            <w:tcMar>
              <w:top w:type="dxa" w:w="160"/>
              <w:left w:type="dxa" w:w="120"/>
              <w:bottom w:type="dxa" w:w="160"/>
              <w:right w:type="dxa" w:w="120"/>
            </w:tcMar>
          </w:tcPr>
          <w:p>
            <w:pPr>
              <w:spacing w:after="30"/>
              <w:jc w:val="center"/>
            </w:pPr>
            <w:r>
              <w:rPr>
                <w:rFonts w:ascii="Calibri" w:cs="Calibri" w:eastAsia="Calibri" w:hAnsi="Calibri"/>
                <w:b/>
                <w:bCs/>
                <w:color w:val="F5732B"/>
                <w:sz w:val="40"/>
                <w:szCs w:val="40"/>
              </w:rPr>
              <w:t xml:space="preserve">3</w:t>
            </w:r>
          </w:p>
          <w:p>
            <w:pPr>
              <w:jc w:val="center"/>
            </w:pPr>
            <w:r>
              <w:rPr>
                <w:rFonts w:ascii="Calibri" w:cs="Calibri" w:eastAsia="Calibri" w:hAnsi="Calibri"/>
                <w:color w:val="C7D2E2"/>
                <w:sz w:val="16"/>
                <w:szCs w:val="16"/>
              </w:rPr>
              <w:t xml:space="preserve">Heatmap types read</w:t>
            </w:r>
          </w:p>
        </w:tc>
        <w:tc>
          <w:tcPr>
            <w:tcW w:type="pct" w:w="4%"/>
            <w:tcBorders>
              <w:top w:val="none" w:color="FFFFFF" w:sz="0"/>
              <w:left w:val="none" w:color="FFFFFF" w:sz="0"/>
              <w:bottom w:val="none" w:color="FFFFFF" w:sz="0"/>
              <w:right w:val="none" w:color="FFFFFF" w:sz="0"/>
            </w:tcBorders>
          </w:tcPr>
          <w:p>
            <w:r>
              <w:t xml:space="preserve"/>
            </w:r>
          </w:p>
        </w:tc>
        <w:tc>
          <w:tcPr>
            <w:tcW w:type="pct" w:w="23%"/>
            <w:tcBorders>
              <w:top w:val="none" w:color="FFFFFF" w:sz="0"/>
              <w:left w:val="none" w:color="FFFFFF" w:sz="0"/>
              <w:bottom w:val="none" w:color="FFFFFF" w:sz="0"/>
              <w:right w:val="none" w:color="FFFFFF" w:sz="0"/>
            </w:tcBorders>
            <w:shd w:fill="12233F" w:color="auto" w:val="clear"/>
            <w:tcMar>
              <w:top w:type="dxa" w:w="160"/>
              <w:left w:type="dxa" w:w="120"/>
              <w:bottom w:type="dxa" w:w="160"/>
              <w:right w:type="dxa" w:w="120"/>
            </w:tcMar>
          </w:tcPr>
          <w:p>
            <w:pPr>
              <w:spacing w:after="30"/>
              <w:jc w:val="center"/>
            </w:pPr>
            <w:r>
              <w:rPr>
                <w:rFonts w:ascii="Calibri" w:cs="Calibri" w:eastAsia="Calibri" w:hAnsi="Calibri"/>
                <w:b/>
                <w:bCs/>
                <w:color w:val="F5732B"/>
                <w:sz w:val="40"/>
                <w:szCs w:val="40"/>
              </w:rPr>
              <w:t xml:space="preserve">Minutes</w:t>
            </w:r>
          </w:p>
          <w:p>
            <w:pPr>
              <w:jc w:val="center"/>
            </w:pPr>
            <w:r>
              <w:rPr>
                <w:rFonts w:ascii="Calibri" w:cs="Calibri" w:eastAsia="Calibri" w:hAnsi="Calibri"/>
                <w:color w:val="C7D2E2"/>
                <w:sz w:val="16"/>
                <w:szCs w:val="16"/>
              </w:rPr>
              <w:t xml:space="preserve">From upload to report</w:t>
            </w:r>
          </w:p>
        </w:tc>
        <w:tc>
          <w:tcPr>
            <w:tcW w:type="pct" w:w="4%"/>
            <w:tcBorders>
              <w:top w:val="none" w:color="FFFFFF" w:sz="0"/>
              <w:left w:val="none" w:color="FFFFFF" w:sz="0"/>
              <w:bottom w:val="none" w:color="FFFFFF" w:sz="0"/>
              <w:right w:val="none" w:color="FFFFFF" w:sz="0"/>
            </w:tcBorders>
          </w:tcPr>
          <w:p>
            <w:r>
              <w:t xml:space="preserve"/>
            </w:r>
          </w:p>
        </w:tc>
        <w:tc>
          <w:tcPr>
            <w:tcW w:type="pct" w:w="23%"/>
            <w:tcBorders>
              <w:top w:val="none" w:color="FFFFFF" w:sz="0"/>
              <w:left w:val="none" w:color="FFFFFF" w:sz="0"/>
              <w:bottom w:val="none" w:color="FFFFFF" w:sz="0"/>
              <w:right w:val="none" w:color="FFFFFF" w:sz="0"/>
            </w:tcBorders>
            <w:shd w:fill="12233F" w:color="auto" w:val="clear"/>
            <w:tcMar>
              <w:top w:type="dxa" w:w="160"/>
              <w:left w:type="dxa" w:w="120"/>
              <w:bottom w:type="dxa" w:w="160"/>
              <w:right w:type="dxa" w:w="120"/>
            </w:tcMar>
          </w:tcPr>
          <w:p>
            <w:pPr>
              <w:spacing w:after="30"/>
              <w:jc w:val="center"/>
            </w:pPr>
            <w:r>
              <w:rPr>
                <w:rFonts w:ascii="Calibri" w:cs="Calibri" w:eastAsia="Calibri" w:hAnsi="Calibri"/>
                <w:b/>
                <w:bCs/>
                <w:color w:val="F5732B"/>
                <w:sz w:val="40"/>
                <w:szCs w:val="40"/>
              </w:rPr>
              <w:t xml:space="preserve">1 link</w:t>
            </w:r>
          </w:p>
          <w:p>
            <w:pPr>
              <w:jc w:val="center"/>
            </w:pPr>
            <w:r>
              <w:rPr>
                <w:rFonts w:ascii="Calibri" w:cs="Calibri" w:eastAsia="Calibri" w:hAnsi="Calibri"/>
                <w:color w:val="C7D2E2"/>
                <w:sz w:val="16"/>
                <w:szCs w:val="16"/>
              </w:rPr>
              <w:t xml:space="preserve">To share any report</w:t>
            </w:r>
          </w:p>
        </w:tc>
        <w:tc>
          <w:tcPr>
            <w:tcW w:type="pct" w:w="4%"/>
            <w:tcBorders>
              <w:top w:val="none" w:color="FFFFFF" w:sz="0"/>
              <w:left w:val="none" w:color="FFFFFF" w:sz="0"/>
              <w:bottom w:val="none" w:color="FFFFFF" w:sz="0"/>
              <w:right w:val="none" w:color="FFFFFF" w:sz="0"/>
            </w:tcBorders>
          </w:tcPr>
          <w:p>
            <w:r>
              <w:t xml:space="preserve"/>
            </w:r>
          </w:p>
        </w:tc>
        <w:tc>
          <w:tcPr>
            <w:tcW w:type="pct" w:w="23%"/>
            <w:tcBorders>
              <w:top w:val="none" w:color="FFFFFF" w:sz="0"/>
              <w:left w:val="none" w:color="FFFFFF" w:sz="0"/>
              <w:bottom w:val="none" w:color="FFFFFF" w:sz="0"/>
              <w:right w:val="none" w:color="FFFFFF" w:sz="0"/>
            </w:tcBorders>
            <w:shd w:fill="12233F" w:color="auto" w:val="clear"/>
            <w:tcMar>
              <w:top w:type="dxa" w:w="160"/>
              <w:left w:type="dxa" w:w="120"/>
              <w:bottom w:type="dxa" w:w="160"/>
              <w:right w:type="dxa" w:w="120"/>
            </w:tcMar>
          </w:tcPr>
          <w:p>
            <w:pPr>
              <w:spacing w:after="30"/>
              <w:jc w:val="center"/>
            </w:pPr>
            <w:r>
              <w:rPr>
                <w:rFonts w:ascii="Calibri" w:cs="Calibri" w:eastAsia="Calibri" w:hAnsi="Calibri"/>
                <w:b/>
                <w:bCs/>
                <w:color w:val="F5732B"/>
                <w:sz w:val="40"/>
                <w:szCs w:val="40"/>
              </w:rPr>
              <w:t xml:space="preserve">Zero</w:t>
            </w:r>
          </w:p>
          <w:p>
            <w:pPr>
              <w:jc w:val="center"/>
            </w:pPr>
            <w:r>
              <w:rPr>
                <w:rFonts w:ascii="Calibri" w:cs="Calibri" w:eastAsia="Calibri" w:hAnsi="Calibri"/>
                <w:color w:val="C7D2E2"/>
                <w:sz w:val="16"/>
                <w:szCs w:val="16"/>
              </w:rPr>
              <w:t xml:space="preserve">New tracking to install</w:t>
            </w:r>
          </w:p>
        </w:tc>
      </w:tr>
    </w:tbl>
    <w:p>
      <w:pPr>
        <w:spacing w:before="260"/>
        <w:jc w:val="center"/>
      </w:pPr>
      <w:r>
        <w:rPr>
          <w:rFonts w:ascii="Calibri" w:cs="Calibri" w:eastAsia="Calibri" w:hAnsi="Calibri"/>
          <w:i/>
          <w:iCs/>
          <w:color w:val="5B6675"/>
          <w:sz w:val="18"/>
          <w:szCs w:val="18"/>
        </w:rPr>
        <w:t xml:space="preserve">Product Case Study</w:t>
      </w:r>
    </w:p>
    <w:p>
      <w:r>
        <w:br w:type="page"/>
      </w:r>
    </w:p>
    <w:p>
      <w:pPr>
        <w:spacing w:after="40" w:before="300"/>
      </w:pPr>
      <w:r>
        <w:rPr>
          <w:rFonts w:ascii="Calibri" w:cs="Calibri" w:eastAsia="Calibri" w:hAnsi="Calibri"/>
          <w:b/>
          <w:bCs/>
          <w:color w:val="F5732B"/>
          <w:spacing w:val="30"/>
          <w:sz w:val="17"/>
          <w:szCs w:val="17"/>
        </w:rPr>
        <w:t xml:space="preserve">OVERVIEW</w:t>
      </w:r>
    </w:p>
    <w:p>
      <w:pPr>
        <w:pStyle w:val="Heading1"/>
        <w:spacing w:after="60" w:before="320"/>
      </w:pPr>
      <w:r>
        <w:rPr>
          <w:rFonts w:ascii="Calibri" w:cs="Calibri" w:eastAsia="Calibri" w:hAnsi="Calibri"/>
          <w:b/>
          <w:bCs/>
          <w:color w:val="12233F"/>
          <w:sz w:val="30"/>
          <w:szCs w:val="30"/>
        </w:rPr>
        <w:t xml:space="preserve">What is HeatMapIQ?</w:t>
      </w:r>
    </w:p>
    <w:p>
      <w:pPr>
        <w:pBdr>
          <w:bottom w:val="single" w:color="F5732B" w:sz="12" w:space="1"/>
        </w:pBdr>
        <w:spacing w:after="160" w:before="60"/>
      </w:pPr>
      <w:r>
        <w:rPr>
          <w:sz w:val="2"/>
          <w:szCs w:val="2"/>
        </w:rPr>
        <w:t xml:space="preserve"/>
      </w:r>
    </w:p>
    <w:p>
      <w:pPr>
        <w:spacing w:after="140" w:line="288"/>
        <w:jc w:val="left"/>
      </w:pPr>
      <w:r>
        <w:rPr>
          <w:rFonts w:ascii="Calibri" w:cs="Calibri" w:eastAsia="Calibri" w:hAnsi="Calibri"/>
          <w:color w:val="24303F"/>
          <w:sz w:val="21"/>
          <w:szCs w:val="21"/>
        </w:rPr>
        <w:t xml:space="preserve">Modern analytics tools can record how visitors behave on a website — where they click, how far they scroll, and which parts of a page hold their attention. This behaviour is captured as “heatmaps.” The problem is that the raw exports are dense, cryptic tables that most teams never open, let alone act on.</w:t>
      </w:r>
    </w:p>
    <w:p>
      <w:pPr>
        <w:spacing w:after="140" w:line="288"/>
        <w:jc w:val="left"/>
      </w:pPr>
      <w:r>
        <w:rPr>
          <w:rFonts w:ascii="Calibri" w:cs="Calibri" w:eastAsia="Calibri" w:hAnsi="Calibri"/>
          <w:color w:val="24303F"/>
          <w:sz w:val="21"/>
          <w:szCs w:val="21"/>
        </w:rPr>
        <w:t xml:space="preserve">HeatMapIQ closes that gap. It takes the heatmap exports a team already collects and turns them into a plain-English report: a ranked list of what is going wrong on each page, the evidence behind every issue, the recommended fix, and the expected impact. Teams can then tick off each fix as it ships, watch a progress bar fill up, and share a read-only version of the report with clients or colleagues through a single link.</w:t>
      </w:r>
    </w:p>
    <w:p>
      <w:pPr>
        <w:spacing w:after="140" w:line="288"/>
        <w:jc w:val="left"/>
      </w:pPr>
      <w:r>
        <w:rPr>
          <w:rFonts w:ascii="Calibri" w:cs="Calibri" w:eastAsia="Calibri" w:hAnsi="Calibri"/>
          <w:b/>
          <w:bCs/>
          <w:color w:val="12233F"/>
          <w:sz w:val="21"/>
          <w:szCs w:val="21"/>
        </w:rPr>
        <w:t xml:space="preserve">In short, it converts a pile of data nobody reads into a short to-do list everybody can follow.</w:t>
      </w:r>
    </w:p>
    <w:p>
      <w:pPr>
        <w:spacing w:after="40" w:before="300"/>
      </w:pPr>
      <w:r>
        <w:rPr>
          <w:rFonts w:ascii="Calibri" w:cs="Calibri" w:eastAsia="Calibri" w:hAnsi="Calibri"/>
          <w:b/>
          <w:bCs/>
          <w:color w:val="F5732B"/>
          <w:spacing w:val="30"/>
          <w:sz w:val="17"/>
          <w:szCs w:val="17"/>
        </w:rPr>
        <w:t xml:space="preserve">THE CHALLENGE</w:t>
      </w:r>
    </w:p>
    <w:p>
      <w:pPr>
        <w:pStyle w:val="Heading1"/>
        <w:spacing w:after="60" w:before="320"/>
      </w:pPr>
      <w:r>
        <w:rPr>
          <w:rFonts w:ascii="Calibri" w:cs="Calibri" w:eastAsia="Calibri" w:hAnsi="Calibri"/>
          <w:b/>
          <w:bCs/>
          <w:color w:val="12233F"/>
          <w:sz w:val="30"/>
          <w:szCs w:val="30"/>
        </w:rPr>
        <w:t xml:space="preserve">The problem it solves</w:t>
      </w:r>
    </w:p>
    <w:p>
      <w:pPr>
        <w:pBdr>
          <w:bottom w:val="single" w:color="F5732B" w:sz="12" w:space="1"/>
        </w:pBdr>
        <w:spacing w:after="160" w:before="60"/>
      </w:pPr>
      <w:r>
        <w:rPr>
          <w:sz w:val="2"/>
          <w:szCs w:val="2"/>
        </w:rPr>
        <w:t xml:space="preserve"/>
      </w:r>
    </w:p>
    <w:p>
      <w:pPr>
        <w:spacing w:after="140" w:line="288"/>
        <w:jc w:val="left"/>
      </w:pPr>
      <w:r>
        <w:rPr>
          <w:rFonts w:ascii="Calibri" w:cs="Calibri" w:eastAsia="Calibri" w:hAnsi="Calibri"/>
          <w:color w:val="24303F"/>
          <w:sz w:val="21"/>
          <w:szCs w:val="21"/>
        </w:rPr>
        <w:t xml:space="preserve">Website and marketing teams collect behaviour data, but turning it into action is slow and requires specialist skill. Three pain points come up again and again:</w:t>
      </w:r>
    </w:p>
    <w:p>
      <w:pPr>
        <w:pStyle w:val="ListParagraph"/>
        <w:numPr>
          <w:ilvl w:val="0"/>
          <w:numId w:val="2"/>
        </w:numPr>
        <w:spacing w:after="90" w:line="280"/>
      </w:pPr>
      <w:r>
        <w:rPr>
          <w:rFonts w:ascii="Calibri" w:cs="Calibri" w:eastAsia="Calibri" w:hAnsi="Calibri"/>
          <w:b/>
          <w:bCs/>
          <w:color w:val="12233F"/>
          <w:sz w:val="21"/>
          <w:szCs w:val="21"/>
        </w:rPr>
        <w:t xml:space="preserve">The raw data is unreadable. </w:t>
      </w:r>
      <w:r>
        <w:rPr>
          <w:rFonts w:ascii="Calibri" w:cs="Calibri" w:eastAsia="Calibri" w:hAnsi="Calibri"/>
          <w:color w:val="24303F"/>
          <w:sz w:val="21"/>
          <w:szCs w:val="21"/>
        </w:rPr>
        <w:t xml:space="preserve">Heatmap exports describe page elements in a technical shorthand, so it is hard to tell which real button, image, or link a number actually refers to.</w:t>
      </w:r>
    </w:p>
    <w:p>
      <w:pPr>
        <w:pStyle w:val="ListParagraph"/>
        <w:numPr>
          <w:ilvl w:val="0"/>
          <w:numId w:val="2"/>
        </w:numPr>
        <w:spacing w:after="90" w:line="280"/>
      </w:pPr>
      <w:r>
        <w:rPr>
          <w:rFonts w:ascii="Calibri" w:cs="Calibri" w:eastAsia="Calibri" w:hAnsi="Calibri"/>
          <w:b/>
          <w:bCs/>
          <w:color w:val="12233F"/>
          <w:sz w:val="21"/>
          <w:szCs w:val="21"/>
        </w:rPr>
        <w:t xml:space="preserve">It is hard to know what matters most. </w:t>
      </w:r>
      <w:r>
        <w:rPr>
          <w:rFonts w:ascii="Calibri" w:cs="Calibri" w:eastAsia="Calibri" w:hAnsi="Calibri"/>
          <w:color w:val="24303F"/>
          <w:sz w:val="21"/>
          <w:szCs w:val="21"/>
        </w:rPr>
        <w:t xml:space="preserve">A page can have dozens of small signals. Without a way to rank them, teams either fix low-impact things or freeze because everything looks equally urgent.</w:t>
      </w:r>
    </w:p>
    <w:p>
      <w:pPr>
        <w:pStyle w:val="ListParagraph"/>
        <w:numPr>
          <w:ilvl w:val="0"/>
          <w:numId w:val="2"/>
        </w:numPr>
        <w:spacing w:after="90" w:line="280"/>
      </w:pPr>
      <w:r>
        <w:rPr>
          <w:rFonts w:ascii="Calibri" w:cs="Calibri" w:eastAsia="Calibri" w:hAnsi="Calibri"/>
          <w:b/>
          <w:bCs/>
          <w:color w:val="12233F"/>
          <w:sz w:val="21"/>
          <w:szCs w:val="21"/>
        </w:rPr>
        <w:t xml:space="preserve">Findings get lost. </w:t>
      </w:r>
      <w:r>
        <w:rPr>
          <w:rFonts w:ascii="Calibri" w:cs="Calibri" w:eastAsia="Calibri" w:hAnsi="Calibri"/>
          <w:color w:val="24303F"/>
          <w:sz w:val="21"/>
          <w:szCs w:val="21"/>
        </w:rPr>
        <w:t xml:space="preserve">Insights live in one person's spreadsheet. There is no shared place to track which fixes were done, by whom, or to show a client the results.</w:t>
      </w:r>
    </w:p>
    <w:p>
      <w:pPr>
        <w:spacing w:after="120" w:line="288"/>
        <w:jc w:val="left"/>
      </w:pPr>
      <w:r>
        <w:rPr>
          <w:rFonts w:ascii="Calibri" w:cs="Calibri" w:eastAsia="Calibri" w:hAnsi="Calibri"/>
          <w:color w:val="24303F"/>
          <w:sz w:val="21"/>
          <w:szCs w:val="21"/>
        </w:rPr>
        <w:t xml:space="preserve">The outcome is guesswork: teams redesign pages on instinct, disagree about priorities, and rarely close the loop on whether a change helped.</w:t>
      </w:r>
    </w:p>
    <w:p>
      <w:r>
        <w:br w:type="page"/>
      </w:r>
    </w:p>
    <w:p>
      <w:pPr>
        <w:spacing w:after="40" w:before="300"/>
      </w:pPr>
      <w:r>
        <w:rPr>
          <w:rFonts w:ascii="Calibri" w:cs="Calibri" w:eastAsia="Calibri" w:hAnsi="Calibri"/>
          <w:b/>
          <w:bCs/>
          <w:color w:val="F5732B"/>
          <w:spacing w:val="30"/>
          <w:sz w:val="17"/>
          <w:szCs w:val="17"/>
        </w:rPr>
        <w:t xml:space="preserve">THE SOLUTION</w:t>
      </w:r>
    </w:p>
    <w:p>
      <w:pPr>
        <w:pStyle w:val="Heading1"/>
        <w:spacing w:after="60" w:before="320"/>
      </w:pPr>
      <w:r>
        <w:rPr>
          <w:rFonts w:ascii="Calibri" w:cs="Calibri" w:eastAsia="Calibri" w:hAnsi="Calibri"/>
          <w:b/>
          <w:bCs/>
          <w:color w:val="12233F"/>
          <w:sz w:val="30"/>
          <w:szCs w:val="30"/>
        </w:rPr>
        <w:t xml:space="preserve">How HeatMapIQ helps</w:t>
      </w:r>
    </w:p>
    <w:p>
      <w:pPr>
        <w:pBdr>
          <w:bottom w:val="single" w:color="F5732B" w:sz="12" w:space="1"/>
        </w:pBdr>
        <w:spacing w:after="160" w:before="60"/>
      </w:pPr>
      <w:r>
        <w:rPr>
          <w:sz w:val="2"/>
          <w:szCs w:val="2"/>
        </w:rPr>
        <w:t xml:space="preserve"/>
      </w:r>
    </w:p>
    <w:p>
      <w:pPr>
        <w:spacing w:after="140" w:line="288"/>
        <w:jc w:val="left"/>
      </w:pPr>
      <w:r>
        <w:rPr>
          <w:rFonts w:ascii="Calibri" w:cs="Calibri" w:eastAsia="Calibri" w:hAnsi="Calibri"/>
          <w:color w:val="24303F"/>
          <w:sz w:val="21"/>
          <w:szCs w:val="21"/>
        </w:rPr>
        <w:t xml:space="preserve">HeatMapIQ was built to make behaviour data usable by anyone on the team — not just analysts. It reads the three standard heatmap types and translates them into a report written in everyday language:</w:t>
      </w:r>
    </w:p>
    <w:p>
      <w:pPr>
        <w:pStyle w:val="ListParagraph"/>
        <w:numPr>
          <w:ilvl w:val="0"/>
          <w:numId w:val="2"/>
        </w:numPr>
        <w:spacing w:after="90" w:line="280"/>
      </w:pPr>
      <w:r>
        <w:rPr>
          <w:rFonts w:ascii="Calibri" w:cs="Calibri" w:eastAsia="Calibri" w:hAnsi="Calibri"/>
          <w:color w:val="24303F"/>
          <w:sz w:val="21"/>
          <w:szCs w:val="21"/>
        </w:rPr>
        <w:t xml:space="preserve">clicks — including “dead clicks,” where people tap something that isn’t actually clickable, a clear sign the design is misleading them.</w:t>
      </w:r>
    </w:p>
    <w:p>
      <w:pPr>
        <w:pStyle w:val="ListParagraph"/>
        <w:numPr>
          <w:ilvl w:val="0"/>
          <w:numId w:val="2"/>
        </w:numPr>
        <w:spacing w:after="90" w:line="280"/>
      </w:pPr>
      <w:r>
        <w:rPr>
          <w:rFonts w:ascii="Calibri" w:cs="Calibri" w:eastAsia="Calibri" w:hAnsi="Calibri"/>
          <w:color w:val="24303F"/>
          <w:sz w:val="21"/>
          <w:szCs w:val="21"/>
        </w:rPr>
        <w:t xml:space="preserve">scroll depth — how far down the page visitors actually get, so important content and calls-to-action can be moved into view.</w:t>
      </w:r>
    </w:p>
    <w:p>
      <w:pPr>
        <w:pStyle w:val="ListParagraph"/>
        <w:numPr>
          <w:ilvl w:val="0"/>
          <w:numId w:val="2"/>
        </w:numPr>
        <w:spacing w:after="90" w:line="280"/>
      </w:pPr>
      <w:r>
        <w:rPr>
          <w:rFonts w:ascii="Calibri" w:cs="Calibri" w:eastAsia="Calibri" w:hAnsi="Calibri"/>
          <w:color w:val="24303F"/>
          <w:sz w:val="21"/>
          <w:szCs w:val="21"/>
        </w:rPr>
        <w:t xml:space="preserve">attention — which sections hold people’s focus and which are ignored.</w:t>
      </w:r>
    </w:p>
    <w:p>
      <w:pPr>
        <w:spacing w:after="160" w:line="288"/>
        <w:jc w:val="left"/>
      </w:pPr>
      <w:r>
        <w:rPr>
          <w:rFonts w:ascii="Calibri" w:cs="Calibri" w:eastAsia="Calibri" w:hAnsi="Calibri"/>
          <w:color w:val="24303F"/>
          <w:sz w:val="21"/>
          <w:szCs w:val="21"/>
        </w:rPr>
        <w:t xml:space="preserve">Every finding is tagged with a severity level, so the highest-impact fixes rise to the top. Teams work the list from the top down, mark each item as fixed, and share the live report — with its running progress — whenever they need to.</w:t>
      </w:r>
    </w:p>
    <w:p>
      <w:pPr>
        <w:spacing w:after="40" w:before="300"/>
      </w:pPr>
      <w:r>
        <w:rPr>
          <w:rFonts w:ascii="Calibri" w:cs="Calibri" w:eastAsia="Calibri" w:hAnsi="Calibri"/>
          <w:b/>
          <w:bCs/>
          <w:color w:val="F5732B"/>
          <w:spacing w:val="30"/>
          <w:sz w:val="17"/>
          <w:szCs w:val="17"/>
        </w:rPr>
        <w:t xml:space="preserve">HOW IT WORKS</w:t>
      </w:r>
    </w:p>
    <w:p>
      <w:pPr>
        <w:pStyle w:val="Heading1"/>
        <w:spacing w:after="60" w:before="320"/>
      </w:pPr>
      <w:r>
        <w:rPr>
          <w:rFonts w:ascii="Calibri" w:cs="Calibri" w:eastAsia="Calibri" w:hAnsi="Calibri"/>
          <w:b/>
          <w:bCs/>
          <w:color w:val="12233F"/>
          <w:sz w:val="30"/>
          <w:szCs w:val="30"/>
        </w:rPr>
        <w:t xml:space="preserve">From raw data to action in three steps</w:t>
      </w:r>
    </w:p>
    <w:p>
      <w:pPr>
        <w:pBdr>
          <w:bottom w:val="single" w:color="F5732B" w:sz="12" w:space="1"/>
        </w:pBdr>
        <w:spacing w:after="160" w:before="60"/>
      </w:pPr>
      <w:r>
        <w:rPr>
          <w:sz w:val="2"/>
          <w:szCs w:val="2"/>
        </w:rP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130"/>
        <w:gridCol w:w="8290"/>
      </w:tblGrid>
      <w:tr>
        <w:tc>
          <w:tcPr>
            <w:tcW w:type="pct" w:w="12%"/>
            <w:tcBorders>
              <w:top w:val="none" w:color="FFFFFF" w:sz="0"/>
              <w:left w:val="none" w:color="FFFFFF" w:sz="0"/>
              <w:bottom w:val="none" w:color="FFFFFF" w:sz="0"/>
              <w:right w:val="none" w:color="FFFFFF" w:sz="0"/>
            </w:tcBorders>
            <w:shd w:fill="12233F" w:color="auto" w:val="clear"/>
            <w:tcMar>
              <w:top w:type="dxa" w:w="120"/>
              <w:left w:type="dxa" w:w="40"/>
              <w:bottom w:type="dxa" w:w="120"/>
              <w:right w:type="dxa" w:w="120"/>
            </w:tcMar>
            <w:vAlign w:val="center"/>
          </w:tcPr>
          <w:p>
            <w:pPr>
              <w:jc w:val="center"/>
            </w:pPr>
            <w:r>
              <w:rPr>
                <w:rFonts w:ascii="Calibri" w:cs="Calibri" w:eastAsia="Calibri" w:hAnsi="Calibri"/>
                <w:b/>
                <w:bCs/>
                <w:color w:val="F5732B"/>
                <w:sz w:val="40"/>
                <w:szCs w:val="40"/>
              </w:rPr>
              <w:t xml:space="preserve">1</w:t>
            </w:r>
          </w:p>
        </w:tc>
        <w:tc>
          <w:tcPr>
            <w:tcW w:type="pct" w:w="88%"/>
            <w:tcBorders>
              <w:top w:val="none" w:color="FFFFFF" w:sz="0"/>
              <w:left w:val="none" w:color="FFFFFF" w:sz="0"/>
              <w:bottom w:val="none" w:color="FFFFFF" w:sz="0"/>
              <w:right w:val="none" w:color="FFFFFF" w:sz="0"/>
            </w:tcBorders>
            <w:shd w:fill="F4F6FA" w:color="auto" w:val="clear"/>
            <w:tcMar>
              <w:top w:type="dxa" w:w="120"/>
              <w:left w:type="dxa" w:w="220"/>
              <w:bottom w:type="dxa" w:w="120"/>
              <w:right w:type="dxa" w:w="120"/>
            </w:tcMar>
            <w:vAlign w:val="center"/>
          </w:tcPr>
          <w:p>
            <w:pPr>
              <w:spacing w:after="50" w:before="0" w:line="276"/>
              <w:jc w:val="left"/>
            </w:pPr>
            <w:r>
              <w:rPr>
                <w:rFonts w:ascii="Calibri" w:cs="Calibri" w:eastAsia="Calibri" w:hAnsi="Calibri"/>
                <w:b/>
                <w:bCs/>
                <w:color w:val="12233F"/>
                <w:sz w:val="22"/>
                <w:szCs w:val="22"/>
              </w:rPr>
              <w:t xml:space="preserve">Upload the exports</w:t>
            </w:r>
          </w:p>
          <w:p>
            <w:pPr>
              <w:spacing w:after="40" w:before="0" w:line="276"/>
              <w:jc w:val="left"/>
            </w:pPr>
            <w:r>
              <w:rPr>
                <w:rFonts w:ascii="Calibri" w:cs="Calibri" w:eastAsia="Calibri" w:hAnsi="Calibri"/>
                <w:color w:val="24303F"/>
                <w:sz w:val="20"/>
                <w:szCs w:val="20"/>
              </w:rPr>
              <w:t xml:space="preserve">Drop in the click, scroll, and attention files for a page. Optionally add the page’s web address so every finding is tied to the real element on the page.</w:t>
            </w:r>
          </w:p>
        </w:tc>
      </w:tr>
    </w:tbl>
    <w:p>
      <w:pPr>
        <w:spacing w:after="80"/>
      </w:pPr>
      <w:r>
        <w:rPr>
          <w:sz w:val="2"/>
          <w:szCs w:val="2"/>
        </w:rP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130"/>
        <w:gridCol w:w="8290"/>
      </w:tblGrid>
      <w:tr>
        <w:tc>
          <w:tcPr>
            <w:tcW w:type="pct" w:w="12%"/>
            <w:tcBorders>
              <w:top w:val="none" w:color="FFFFFF" w:sz="0"/>
              <w:left w:val="none" w:color="FFFFFF" w:sz="0"/>
              <w:bottom w:val="none" w:color="FFFFFF" w:sz="0"/>
              <w:right w:val="none" w:color="FFFFFF" w:sz="0"/>
            </w:tcBorders>
            <w:shd w:fill="12233F" w:color="auto" w:val="clear"/>
            <w:tcMar>
              <w:top w:type="dxa" w:w="120"/>
              <w:left w:type="dxa" w:w="40"/>
              <w:bottom w:type="dxa" w:w="120"/>
              <w:right w:type="dxa" w:w="120"/>
            </w:tcMar>
            <w:vAlign w:val="center"/>
          </w:tcPr>
          <w:p>
            <w:pPr>
              <w:jc w:val="center"/>
            </w:pPr>
            <w:r>
              <w:rPr>
                <w:rFonts w:ascii="Calibri" w:cs="Calibri" w:eastAsia="Calibri" w:hAnsi="Calibri"/>
                <w:b/>
                <w:bCs/>
                <w:color w:val="F5732B"/>
                <w:sz w:val="40"/>
                <w:szCs w:val="40"/>
              </w:rPr>
              <w:t xml:space="preserve">2</w:t>
            </w:r>
          </w:p>
        </w:tc>
        <w:tc>
          <w:tcPr>
            <w:tcW w:type="pct" w:w="88%"/>
            <w:tcBorders>
              <w:top w:val="none" w:color="FFFFFF" w:sz="0"/>
              <w:left w:val="none" w:color="FFFFFF" w:sz="0"/>
              <w:bottom w:val="none" w:color="FFFFFF" w:sz="0"/>
              <w:right w:val="none" w:color="FFFFFF" w:sz="0"/>
            </w:tcBorders>
            <w:shd w:fill="F4F6FA" w:color="auto" w:val="clear"/>
            <w:tcMar>
              <w:top w:type="dxa" w:w="120"/>
              <w:left w:type="dxa" w:w="220"/>
              <w:bottom w:type="dxa" w:w="120"/>
              <w:right w:type="dxa" w:w="120"/>
            </w:tcMar>
            <w:vAlign w:val="center"/>
          </w:tcPr>
          <w:p>
            <w:pPr>
              <w:spacing w:after="50" w:before="0" w:line="276"/>
              <w:jc w:val="left"/>
            </w:pPr>
            <w:r>
              <w:rPr>
                <w:rFonts w:ascii="Calibri" w:cs="Calibri" w:eastAsia="Calibri" w:hAnsi="Calibri"/>
                <w:b/>
                <w:bCs/>
                <w:color w:val="12233F"/>
                <w:sz w:val="22"/>
                <w:szCs w:val="22"/>
              </w:rPr>
              <w:t xml:space="preserve">Get an instant analysis</w:t>
            </w:r>
          </w:p>
          <w:p>
            <w:pPr>
              <w:spacing w:after="40" w:before="0" w:line="276"/>
              <w:jc w:val="left"/>
            </w:pPr>
            <w:r>
              <w:rPr>
                <w:rFonts w:ascii="Calibri" w:cs="Calibri" w:eastAsia="Calibri" w:hAnsi="Calibri"/>
                <w:color w:val="24303F"/>
                <w:sz w:val="20"/>
                <w:szCs w:val="20"/>
              </w:rPr>
              <w:t xml:space="preserve">HeatMapIQ reviews the data and produces a ranked report — dead clicks, drop-off points, and attention gaps — each with the evidence and a recommended fix, in plain English.</w:t>
            </w:r>
          </w:p>
        </w:tc>
      </w:tr>
    </w:tbl>
    <w:p>
      <w:pPr>
        <w:spacing w:after="80"/>
      </w:pPr>
      <w:r>
        <w:rPr>
          <w:sz w:val="2"/>
          <w:szCs w:val="2"/>
        </w:rP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130"/>
        <w:gridCol w:w="8290"/>
      </w:tblGrid>
      <w:tr>
        <w:tc>
          <w:tcPr>
            <w:tcW w:type="pct" w:w="12%"/>
            <w:tcBorders>
              <w:top w:val="none" w:color="FFFFFF" w:sz="0"/>
              <w:left w:val="none" w:color="FFFFFF" w:sz="0"/>
              <w:bottom w:val="none" w:color="FFFFFF" w:sz="0"/>
              <w:right w:val="none" w:color="FFFFFF" w:sz="0"/>
            </w:tcBorders>
            <w:shd w:fill="12233F" w:color="auto" w:val="clear"/>
            <w:tcMar>
              <w:top w:type="dxa" w:w="120"/>
              <w:left w:type="dxa" w:w="40"/>
              <w:bottom w:type="dxa" w:w="120"/>
              <w:right w:type="dxa" w:w="120"/>
            </w:tcMar>
            <w:vAlign w:val="center"/>
          </w:tcPr>
          <w:p>
            <w:pPr>
              <w:jc w:val="center"/>
            </w:pPr>
            <w:r>
              <w:rPr>
                <w:rFonts w:ascii="Calibri" w:cs="Calibri" w:eastAsia="Calibri" w:hAnsi="Calibri"/>
                <w:b/>
                <w:bCs/>
                <w:color w:val="F5732B"/>
                <w:sz w:val="40"/>
                <w:szCs w:val="40"/>
              </w:rPr>
              <w:t xml:space="preserve">3</w:t>
            </w:r>
          </w:p>
        </w:tc>
        <w:tc>
          <w:tcPr>
            <w:tcW w:type="pct" w:w="88%"/>
            <w:tcBorders>
              <w:top w:val="none" w:color="FFFFFF" w:sz="0"/>
              <w:left w:val="none" w:color="FFFFFF" w:sz="0"/>
              <w:bottom w:val="none" w:color="FFFFFF" w:sz="0"/>
              <w:right w:val="none" w:color="FFFFFF" w:sz="0"/>
            </w:tcBorders>
            <w:shd w:fill="F4F6FA" w:color="auto" w:val="clear"/>
            <w:tcMar>
              <w:top w:type="dxa" w:w="120"/>
              <w:left w:type="dxa" w:w="220"/>
              <w:bottom w:type="dxa" w:w="120"/>
              <w:right w:type="dxa" w:w="120"/>
            </w:tcMar>
            <w:vAlign w:val="center"/>
          </w:tcPr>
          <w:p>
            <w:pPr>
              <w:spacing w:after="50" w:before="0" w:line="276"/>
              <w:jc w:val="left"/>
            </w:pPr>
            <w:r>
              <w:rPr>
                <w:rFonts w:ascii="Calibri" w:cs="Calibri" w:eastAsia="Calibri" w:hAnsi="Calibri"/>
                <w:b/>
                <w:bCs/>
                <w:color w:val="12233F"/>
                <w:sz w:val="22"/>
                <w:szCs w:val="22"/>
              </w:rPr>
              <w:t xml:space="preserve">Act, track &amp; share</w:t>
            </w:r>
          </w:p>
          <w:p>
            <w:pPr>
              <w:spacing w:after="40" w:before="0" w:line="276"/>
              <w:jc w:val="left"/>
            </w:pPr>
            <w:r>
              <w:rPr>
                <w:rFonts w:ascii="Calibri" w:cs="Calibri" w:eastAsia="Calibri" w:hAnsi="Calibri"/>
                <w:color w:val="24303F"/>
                <w:sz w:val="20"/>
                <w:szCs w:val="20"/>
              </w:rPr>
              <w:t xml:space="preserve">Work through the issues by priority, tick off each fix as it ships, and share a read-only link with teammates or clients — the shared view always shows the latest progress.</w:t>
            </w:r>
          </w:p>
        </w:tc>
      </w:tr>
    </w:tbl>
    <w:p>
      <w:r>
        <w:br w:type="page"/>
      </w:r>
    </w:p>
    <w:p>
      <w:pPr>
        <w:spacing w:after="40" w:before="300"/>
      </w:pPr>
      <w:r>
        <w:rPr>
          <w:rFonts w:ascii="Calibri" w:cs="Calibri" w:eastAsia="Calibri" w:hAnsi="Calibri"/>
          <w:b/>
          <w:bCs/>
          <w:color w:val="F5732B"/>
          <w:spacing w:val="30"/>
          <w:sz w:val="17"/>
          <w:szCs w:val="17"/>
        </w:rPr>
        <w:t xml:space="preserve">FEATURES</w:t>
      </w:r>
    </w:p>
    <w:p>
      <w:pPr>
        <w:pStyle w:val="Heading1"/>
        <w:spacing w:after="60" w:before="320"/>
      </w:pPr>
      <w:r>
        <w:rPr>
          <w:rFonts w:ascii="Calibri" w:cs="Calibri" w:eastAsia="Calibri" w:hAnsi="Calibri"/>
          <w:b/>
          <w:bCs/>
          <w:color w:val="12233F"/>
          <w:sz w:val="30"/>
          <w:szCs w:val="30"/>
        </w:rPr>
        <w:t xml:space="preserve">What’s inside</w:t>
      </w:r>
    </w:p>
    <w:p>
      <w:pPr>
        <w:pBdr>
          <w:bottom w:val="single" w:color="F5732B" w:sz="12" w:space="1"/>
        </w:pBdr>
        <w:spacing w:after="160" w:before="60"/>
      </w:pPr>
      <w:r>
        <w:rPr>
          <w:sz w:val="2"/>
          <w:szCs w:val="2"/>
        </w:rPr>
        <w:t xml:space="preserve"/>
      </w:r>
    </w:p>
    <w:p>
      <w:pPr>
        <w:spacing w:after="200" w:line="288"/>
        <w:jc w:val="left"/>
      </w:pPr>
      <w:r>
        <w:rPr>
          <w:rFonts w:ascii="Calibri" w:cs="Calibri" w:eastAsia="Calibri" w:hAnsi="Calibri"/>
          <w:color w:val="24303F"/>
          <w:sz w:val="21"/>
          <w:szCs w:val="21"/>
        </w:rPr>
        <w:t xml:space="preserve">Everything a team needs to act on behaviour data, organised so nothing gets lost.</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4560"/>
        <w:gridCol w:w="456"/>
        <w:gridCol w:w="4560"/>
      </w:tblGrid>
      <w:tr>
        <w:tc>
          <w:tcPr>
            <w:tcW w:type="pct" w:w="50%"/>
            <w:tcBorders>
              <w:top w:val="single" w:color="D8DEE8" w:sz="2"/>
              <w:left w:val="single" w:color="F5732B" w:sz="18"/>
              <w:bottom w:val="single" w:color="D8DEE8" w:sz="2"/>
              <w:right w:val="single" w:color="D8DEE8" w:sz="2"/>
            </w:tcBorders>
            <w:shd w:fill="EEF2F8" w:color="auto" w:val="clear"/>
            <w:tcMar>
              <w:top w:type="dxa" w:w="140"/>
              <w:left w:type="dxa" w:w="180"/>
              <w:bottom w:type="dxa" w:w="140"/>
              <w:right w:type="dxa" w:w="180"/>
            </w:tcMar>
          </w:tcPr>
          <w:p>
            <w:pPr>
              <w:spacing w:after="60" w:before="0" w:line="276"/>
              <w:jc w:val="left"/>
            </w:pPr>
            <w:r>
              <w:rPr>
                <w:rFonts w:ascii="Calibri" w:cs="Calibri" w:eastAsia="Calibri" w:hAnsi="Calibri"/>
                <w:b/>
                <w:bCs/>
                <w:color w:val="12233F"/>
                <w:sz w:val="21"/>
                <w:szCs w:val="21"/>
              </w:rPr>
              <w:t xml:space="preserve">Plain-English recommendations</w:t>
            </w:r>
          </w:p>
          <w:p>
            <w:pPr>
              <w:spacing w:after="40" w:before="0" w:line="276"/>
              <w:jc w:val="left"/>
            </w:pPr>
            <w:r>
              <w:rPr>
                <w:rFonts w:ascii="Calibri" w:cs="Calibri" w:eastAsia="Calibri" w:hAnsi="Calibri"/>
                <w:color w:val="5B6675"/>
                <w:sz w:val="19"/>
                <w:szCs w:val="19"/>
              </w:rPr>
              <w:t xml:space="preserve">Each issue explains what the data shows, where it is on the page, the recommended fix, and the impact you can expect.</w:t>
            </w:r>
          </w:p>
        </w:tc>
        <w:tc>
          <w:tcPr>
            <w:tcW w:type="pct" w:w="4%"/>
            <w:tcBorders>
              <w:top w:val="none" w:color="FFFFFF" w:sz="0"/>
              <w:left w:val="none" w:color="FFFFFF" w:sz="0"/>
              <w:bottom w:val="none" w:color="FFFFFF" w:sz="0"/>
              <w:right w:val="none" w:color="FFFFFF" w:sz="0"/>
            </w:tcBorders>
          </w:tcPr>
          <w:p>
            <w:r>
              <w:t xml:space="preserve"/>
            </w:r>
          </w:p>
        </w:tc>
        <w:tc>
          <w:tcPr>
            <w:tcW w:type="pct" w:w="50%"/>
            <w:tcBorders>
              <w:top w:val="single" w:color="D8DEE8" w:sz="2"/>
              <w:left w:val="single" w:color="F5732B" w:sz="18"/>
              <w:bottom w:val="single" w:color="D8DEE8" w:sz="2"/>
              <w:right w:val="single" w:color="D8DEE8" w:sz="2"/>
            </w:tcBorders>
            <w:shd w:fill="EEF2F8" w:color="auto" w:val="clear"/>
            <w:tcMar>
              <w:top w:type="dxa" w:w="140"/>
              <w:left w:type="dxa" w:w="180"/>
              <w:bottom w:type="dxa" w:w="140"/>
              <w:right w:type="dxa" w:w="180"/>
            </w:tcMar>
          </w:tcPr>
          <w:p>
            <w:pPr>
              <w:spacing w:after="60" w:before="0" w:line="276"/>
              <w:jc w:val="left"/>
            </w:pPr>
            <w:r>
              <w:rPr>
                <w:rFonts w:ascii="Calibri" w:cs="Calibri" w:eastAsia="Calibri" w:hAnsi="Calibri"/>
                <w:b/>
                <w:bCs/>
                <w:color w:val="12233F"/>
                <w:sz w:val="21"/>
                <w:szCs w:val="21"/>
              </w:rPr>
              <w:t xml:space="preserve">Severity-ranked issues</w:t>
            </w:r>
          </w:p>
          <w:p>
            <w:pPr>
              <w:spacing w:after="40" w:before="0" w:line="276"/>
              <w:jc w:val="left"/>
            </w:pPr>
            <w:r>
              <w:rPr>
                <w:rFonts w:ascii="Calibri" w:cs="Calibri" w:eastAsia="Calibri" w:hAnsi="Calibri"/>
                <w:color w:val="5B6675"/>
                <w:sz w:val="19"/>
                <w:szCs w:val="19"/>
              </w:rPr>
              <w:t xml:space="preserve">Every finding is tagged critical, high, medium, or low, so the most valuable fixes are always at the top of the list.</w:t>
            </w:r>
          </w:p>
        </w:tc>
      </w:tr>
      <w:tr>
        <w:tc>
          <w:tcPr>
            <w:tcBorders>
              <w:top w:val="none" w:color="FFFFFF" w:sz="0"/>
              <w:left w:val="none" w:color="FFFFFF" w:sz="0"/>
              <w:bottom w:val="none" w:color="FFFFFF" w:sz="0"/>
              <w:right w:val="none" w:color="FFFFFF" w:sz="0"/>
            </w:tcBorders>
          </w:tcPr>
          <w:p>
            <w:pPr>
              <w:spacing w:after="60"/>
            </w:pPr>
            <w:r>
              <w:rPr>
                <w:sz w:val="2"/>
                <w:szCs w:val="2"/>
              </w:rPr>
              <w:t xml:space="preserve"/>
            </w:r>
          </w:p>
        </w:tc>
        <w:tc>
          <w:tcPr>
            <w:tcBorders>
              <w:top w:val="none" w:color="FFFFFF" w:sz="0"/>
              <w:left w:val="none" w:color="FFFFFF" w:sz="0"/>
              <w:bottom w:val="none" w:color="FFFFFF" w:sz="0"/>
              <w:right w:val="none" w:color="FFFFFF" w:sz="0"/>
            </w:tcBorders>
          </w:tcPr>
          <w:p>
            <w:pPr>
              <w:spacing w:after="60"/>
            </w:pPr>
            <w:r>
              <w:rPr>
                <w:sz w:val="2"/>
                <w:szCs w:val="2"/>
              </w:rPr>
              <w:t xml:space="preserve"/>
            </w:r>
          </w:p>
        </w:tc>
        <w:tc>
          <w:tcPr>
            <w:tcBorders>
              <w:top w:val="none" w:color="FFFFFF" w:sz="0"/>
              <w:left w:val="none" w:color="FFFFFF" w:sz="0"/>
              <w:bottom w:val="none" w:color="FFFFFF" w:sz="0"/>
              <w:right w:val="none" w:color="FFFFFF" w:sz="0"/>
            </w:tcBorders>
          </w:tcPr>
          <w:p>
            <w:pPr>
              <w:spacing w:after="60"/>
            </w:pPr>
            <w:r>
              <w:rPr>
                <w:sz w:val="2"/>
                <w:szCs w:val="2"/>
              </w:rPr>
              <w:t xml:space="preserve"/>
            </w:r>
          </w:p>
        </w:tc>
      </w:tr>
      <w:tr>
        <w:tc>
          <w:tcPr>
            <w:tcW w:type="pct" w:w="50%"/>
            <w:tcBorders>
              <w:top w:val="single" w:color="D8DEE8" w:sz="2"/>
              <w:left w:val="single" w:color="F5732B" w:sz="18"/>
              <w:bottom w:val="single" w:color="D8DEE8" w:sz="2"/>
              <w:right w:val="single" w:color="D8DEE8" w:sz="2"/>
            </w:tcBorders>
            <w:shd w:fill="EEF2F8" w:color="auto" w:val="clear"/>
            <w:tcMar>
              <w:top w:type="dxa" w:w="140"/>
              <w:left w:type="dxa" w:w="180"/>
              <w:bottom w:type="dxa" w:w="140"/>
              <w:right w:type="dxa" w:w="180"/>
            </w:tcMar>
          </w:tcPr>
          <w:p>
            <w:pPr>
              <w:spacing w:after="60" w:before="0" w:line="276"/>
              <w:jc w:val="left"/>
            </w:pPr>
            <w:r>
              <w:rPr>
                <w:rFonts w:ascii="Calibri" w:cs="Calibri" w:eastAsia="Calibri" w:hAnsi="Calibri"/>
                <w:b/>
                <w:bCs/>
                <w:color w:val="12233F"/>
                <w:sz w:val="21"/>
                <w:szCs w:val="21"/>
              </w:rPr>
              <w:t xml:space="preserve">Dead-click detection</w:t>
            </w:r>
          </w:p>
          <w:p>
            <w:pPr>
              <w:spacing w:after="40" w:before="0" w:line="276"/>
              <w:jc w:val="left"/>
            </w:pPr>
            <w:r>
              <w:rPr>
                <w:rFonts w:ascii="Calibri" w:cs="Calibri" w:eastAsia="Calibri" w:hAnsi="Calibri"/>
                <w:color w:val="5B6675"/>
                <w:sz w:val="19"/>
                <w:szCs w:val="19"/>
              </w:rPr>
              <w:t xml:space="preserve">Automatically flags clicks that land on things that aren’t clickable — a fast route to spotting confusing design.</w:t>
            </w:r>
          </w:p>
        </w:tc>
        <w:tc>
          <w:tcPr>
            <w:tcW w:type="pct" w:w="4%"/>
            <w:tcBorders>
              <w:top w:val="none" w:color="FFFFFF" w:sz="0"/>
              <w:left w:val="none" w:color="FFFFFF" w:sz="0"/>
              <w:bottom w:val="none" w:color="FFFFFF" w:sz="0"/>
              <w:right w:val="none" w:color="FFFFFF" w:sz="0"/>
            </w:tcBorders>
          </w:tcPr>
          <w:p>
            <w:r>
              <w:t xml:space="preserve"/>
            </w:r>
          </w:p>
        </w:tc>
        <w:tc>
          <w:tcPr>
            <w:tcW w:type="pct" w:w="50%"/>
            <w:tcBorders>
              <w:top w:val="single" w:color="D8DEE8" w:sz="2"/>
              <w:left w:val="single" w:color="F5732B" w:sz="18"/>
              <w:bottom w:val="single" w:color="D8DEE8" w:sz="2"/>
              <w:right w:val="single" w:color="D8DEE8" w:sz="2"/>
            </w:tcBorders>
            <w:shd w:fill="EEF2F8" w:color="auto" w:val="clear"/>
            <w:tcMar>
              <w:top w:type="dxa" w:w="140"/>
              <w:left w:type="dxa" w:w="180"/>
              <w:bottom w:type="dxa" w:w="140"/>
              <w:right w:type="dxa" w:w="180"/>
            </w:tcMar>
          </w:tcPr>
          <w:p>
            <w:pPr>
              <w:spacing w:after="60" w:before="0" w:line="276"/>
              <w:jc w:val="left"/>
            </w:pPr>
            <w:r>
              <w:rPr>
                <w:rFonts w:ascii="Calibri" w:cs="Calibri" w:eastAsia="Calibri" w:hAnsi="Calibri"/>
                <w:b/>
                <w:bCs/>
                <w:color w:val="12233F"/>
                <w:sz w:val="21"/>
                <w:szCs w:val="21"/>
              </w:rPr>
              <w:t xml:space="preserve">Scroll &amp; attention insights</w:t>
            </w:r>
          </w:p>
          <w:p>
            <w:pPr>
              <w:spacing w:after="40" w:before="0" w:line="276"/>
              <w:jc w:val="left"/>
            </w:pPr>
            <w:r>
              <w:rPr>
                <w:rFonts w:ascii="Calibri" w:cs="Calibri" w:eastAsia="Calibri" w:hAnsi="Calibri"/>
                <w:color w:val="5B6675"/>
                <w:sz w:val="19"/>
                <w:szCs w:val="19"/>
              </w:rPr>
              <w:t xml:space="preserve">Visual charts reveal exactly where visitors stop scrolling and where their attention concentrates on the page.</w:t>
            </w:r>
          </w:p>
        </w:tc>
      </w:tr>
      <w:tr>
        <w:tc>
          <w:tcPr>
            <w:tcBorders>
              <w:top w:val="none" w:color="FFFFFF" w:sz="0"/>
              <w:left w:val="none" w:color="FFFFFF" w:sz="0"/>
              <w:bottom w:val="none" w:color="FFFFFF" w:sz="0"/>
              <w:right w:val="none" w:color="FFFFFF" w:sz="0"/>
            </w:tcBorders>
          </w:tcPr>
          <w:p>
            <w:pPr>
              <w:spacing w:after="60"/>
            </w:pPr>
            <w:r>
              <w:rPr>
                <w:sz w:val="2"/>
                <w:szCs w:val="2"/>
              </w:rPr>
              <w:t xml:space="preserve"/>
            </w:r>
          </w:p>
        </w:tc>
        <w:tc>
          <w:tcPr>
            <w:tcBorders>
              <w:top w:val="none" w:color="FFFFFF" w:sz="0"/>
              <w:left w:val="none" w:color="FFFFFF" w:sz="0"/>
              <w:bottom w:val="none" w:color="FFFFFF" w:sz="0"/>
              <w:right w:val="none" w:color="FFFFFF" w:sz="0"/>
            </w:tcBorders>
          </w:tcPr>
          <w:p>
            <w:pPr>
              <w:spacing w:after="60"/>
            </w:pPr>
            <w:r>
              <w:rPr>
                <w:sz w:val="2"/>
                <w:szCs w:val="2"/>
              </w:rPr>
              <w:t xml:space="preserve"/>
            </w:r>
          </w:p>
        </w:tc>
        <w:tc>
          <w:tcPr>
            <w:tcBorders>
              <w:top w:val="none" w:color="FFFFFF" w:sz="0"/>
              <w:left w:val="none" w:color="FFFFFF" w:sz="0"/>
              <w:bottom w:val="none" w:color="FFFFFF" w:sz="0"/>
              <w:right w:val="none" w:color="FFFFFF" w:sz="0"/>
            </w:tcBorders>
          </w:tcPr>
          <w:p>
            <w:pPr>
              <w:spacing w:after="60"/>
            </w:pPr>
            <w:r>
              <w:rPr>
                <w:sz w:val="2"/>
                <w:szCs w:val="2"/>
              </w:rPr>
              <w:t xml:space="preserve"/>
            </w:r>
          </w:p>
        </w:tc>
      </w:tr>
      <w:tr>
        <w:tc>
          <w:tcPr>
            <w:tcW w:type="pct" w:w="50%"/>
            <w:tcBorders>
              <w:top w:val="single" w:color="D8DEE8" w:sz="2"/>
              <w:left w:val="single" w:color="F5732B" w:sz="18"/>
              <w:bottom w:val="single" w:color="D8DEE8" w:sz="2"/>
              <w:right w:val="single" w:color="D8DEE8" w:sz="2"/>
            </w:tcBorders>
            <w:shd w:fill="EEF2F8" w:color="auto" w:val="clear"/>
            <w:tcMar>
              <w:top w:type="dxa" w:w="140"/>
              <w:left w:type="dxa" w:w="180"/>
              <w:bottom w:type="dxa" w:w="140"/>
              <w:right w:type="dxa" w:w="180"/>
            </w:tcMar>
          </w:tcPr>
          <w:p>
            <w:pPr>
              <w:spacing w:after="60" w:before="0" w:line="276"/>
              <w:jc w:val="left"/>
            </w:pPr>
            <w:r>
              <w:rPr>
                <w:rFonts w:ascii="Calibri" w:cs="Calibri" w:eastAsia="Calibri" w:hAnsi="Calibri"/>
                <w:b/>
                <w:bCs/>
                <w:color w:val="12233F"/>
                <w:sz w:val="21"/>
                <w:szCs w:val="21"/>
              </w:rPr>
              <w:t xml:space="preserve">Fix tracking</w:t>
            </w:r>
          </w:p>
          <w:p>
            <w:pPr>
              <w:spacing w:after="40" w:before="0" w:line="276"/>
              <w:jc w:val="left"/>
            </w:pPr>
            <w:r>
              <w:rPr>
                <w:rFonts w:ascii="Calibri" w:cs="Calibri" w:eastAsia="Calibri" w:hAnsi="Calibri"/>
                <w:color w:val="5B6675"/>
                <w:sz w:val="19"/>
                <w:szCs w:val="19"/>
              </w:rPr>
              <w:t xml:space="preserve">Tick each recommendation as done and watch an “X of Y fixed” progress bar, with a record of who completed what.</w:t>
            </w:r>
          </w:p>
        </w:tc>
        <w:tc>
          <w:tcPr>
            <w:tcW w:type="pct" w:w="4%"/>
            <w:tcBorders>
              <w:top w:val="none" w:color="FFFFFF" w:sz="0"/>
              <w:left w:val="none" w:color="FFFFFF" w:sz="0"/>
              <w:bottom w:val="none" w:color="FFFFFF" w:sz="0"/>
              <w:right w:val="none" w:color="FFFFFF" w:sz="0"/>
            </w:tcBorders>
          </w:tcPr>
          <w:p>
            <w:r>
              <w:t xml:space="preserve"/>
            </w:r>
          </w:p>
        </w:tc>
        <w:tc>
          <w:tcPr>
            <w:tcW w:type="pct" w:w="50%"/>
            <w:tcBorders>
              <w:top w:val="single" w:color="D8DEE8" w:sz="2"/>
              <w:left w:val="single" w:color="F5732B" w:sz="18"/>
              <w:bottom w:val="single" w:color="D8DEE8" w:sz="2"/>
              <w:right w:val="single" w:color="D8DEE8" w:sz="2"/>
            </w:tcBorders>
            <w:shd w:fill="EEF2F8" w:color="auto" w:val="clear"/>
            <w:tcMar>
              <w:top w:type="dxa" w:w="140"/>
              <w:left w:type="dxa" w:w="180"/>
              <w:bottom w:type="dxa" w:w="140"/>
              <w:right w:type="dxa" w:w="180"/>
            </w:tcMar>
          </w:tcPr>
          <w:p>
            <w:pPr>
              <w:spacing w:after="60" w:before="0" w:line="276"/>
              <w:jc w:val="left"/>
            </w:pPr>
            <w:r>
              <w:rPr>
                <w:rFonts w:ascii="Calibri" w:cs="Calibri" w:eastAsia="Calibri" w:hAnsi="Calibri"/>
                <w:b/>
                <w:bCs/>
                <w:color w:val="12233F"/>
                <w:sz w:val="21"/>
                <w:szCs w:val="21"/>
              </w:rPr>
              <w:t xml:space="preserve">One-click sharing</w:t>
            </w:r>
          </w:p>
          <w:p>
            <w:pPr>
              <w:spacing w:after="40" w:before="0" w:line="276"/>
              <w:jc w:val="left"/>
            </w:pPr>
            <w:r>
              <w:rPr>
                <w:rFonts w:ascii="Calibri" w:cs="Calibri" w:eastAsia="Calibri" w:hAnsi="Calibri"/>
                <w:color w:val="5B6675"/>
                <w:sz w:val="19"/>
                <w:szCs w:val="19"/>
              </w:rPr>
              <w:t xml:space="preserve">Generate a read-only public link to any report — with live progress — and switch it off again whenever you like.</w:t>
            </w:r>
          </w:p>
        </w:tc>
      </w:tr>
      <w:tr>
        <w:tc>
          <w:tcPr>
            <w:tcBorders>
              <w:top w:val="none" w:color="FFFFFF" w:sz="0"/>
              <w:left w:val="none" w:color="FFFFFF" w:sz="0"/>
              <w:bottom w:val="none" w:color="FFFFFF" w:sz="0"/>
              <w:right w:val="none" w:color="FFFFFF" w:sz="0"/>
            </w:tcBorders>
          </w:tcPr>
          <w:p>
            <w:pPr>
              <w:spacing w:after="60"/>
            </w:pPr>
            <w:r>
              <w:rPr>
                <w:sz w:val="2"/>
                <w:szCs w:val="2"/>
              </w:rPr>
              <w:t xml:space="preserve"/>
            </w:r>
          </w:p>
        </w:tc>
        <w:tc>
          <w:tcPr>
            <w:tcBorders>
              <w:top w:val="none" w:color="FFFFFF" w:sz="0"/>
              <w:left w:val="none" w:color="FFFFFF" w:sz="0"/>
              <w:bottom w:val="none" w:color="FFFFFF" w:sz="0"/>
              <w:right w:val="none" w:color="FFFFFF" w:sz="0"/>
            </w:tcBorders>
          </w:tcPr>
          <w:p>
            <w:pPr>
              <w:spacing w:after="60"/>
            </w:pPr>
            <w:r>
              <w:rPr>
                <w:sz w:val="2"/>
                <w:szCs w:val="2"/>
              </w:rPr>
              <w:t xml:space="preserve"/>
            </w:r>
          </w:p>
        </w:tc>
        <w:tc>
          <w:tcPr>
            <w:tcBorders>
              <w:top w:val="none" w:color="FFFFFF" w:sz="0"/>
              <w:left w:val="none" w:color="FFFFFF" w:sz="0"/>
              <w:bottom w:val="none" w:color="FFFFFF" w:sz="0"/>
              <w:right w:val="none" w:color="FFFFFF" w:sz="0"/>
            </w:tcBorders>
          </w:tcPr>
          <w:p>
            <w:pPr>
              <w:spacing w:after="60"/>
            </w:pPr>
            <w:r>
              <w:rPr>
                <w:sz w:val="2"/>
                <w:szCs w:val="2"/>
              </w:rPr>
              <w:t xml:space="preserve"/>
            </w:r>
          </w:p>
        </w:tc>
      </w:tr>
      <w:tr>
        <w:tc>
          <w:tcPr>
            <w:tcW w:type="pct" w:w="50%"/>
            <w:tcBorders>
              <w:top w:val="single" w:color="D8DEE8" w:sz="2"/>
              <w:left w:val="single" w:color="F5732B" w:sz="18"/>
              <w:bottom w:val="single" w:color="D8DEE8" w:sz="2"/>
              <w:right w:val="single" w:color="D8DEE8" w:sz="2"/>
            </w:tcBorders>
            <w:shd w:fill="EEF2F8" w:color="auto" w:val="clear"/>
            <w:tcMar>
              <w:top w:type="dxa" w:w="140"/>
              <w:left w:type="dxa" w:w="180"/>
              <w:bottom w:type="dxa" w:w="140"/>
              <w:right w:type="dxa" w:w="180"/>
            </w:tcMar>
          </w:tcPr>
          <w:p>
            <w:pPr>
              <w:spacing w:after="60" w:before="0" w:line="276"/>
              <w:jc w:val="left"/>
            </w:pPr>
            <w:r>
              <w:rPr>
                <w:rFonts w:ascii="Calibri" w:cs="Calibri" w:eastAsia="Calibri" w:hAnsi="Calibri"/>
                <w:b/>
                <w:bCs/>
                <w:color w:val="12233F"/>
                <w:sz w:val="21"/>
                <w:szCs w:val="21"/>
              </w:rPr>
              <w:t xml:space="preserve">Team workspace</w:t>
            </w:r>
          </w:p>
          <w:p>
            <w:pPr>
              <w:spacing w:after="40" w:before="0" w:line="276"/>
              <w:jc w:val="left"/>
            </w:pPr>
            <w:r>
              <w:rPr>
                <w:rFonts w:ascii="Calibri" w:cs="Calibri" w:eastAsia="Calibri" w:hAnsi="Calibri"/>
                <w:color w:val="5B6675"/>
                <w:sz w:val="19"/>
                <w:szCs w:val="19"/>
              </w:rPr>
              <w:t xml:space="preserve">Group pages under projects and invite teammates as owners, editors, or viewers, keeping every report where it belongs.</w:t>
            </w:r>
          </w:p>
        </w:tc>
        <w:tc>
          <w:tcPr>
            <w:tcW w:type="pct" w:w="4%"/>
            <w:tcBorders>
              <w:top w:val="none" w:color="FFFFFF" w:sz="0"/>
              <w:left w:val="none" w:color="FFFFFF" w:sz="0"/>
              <w:bottom w:val="none" w:color="FFFFFF" w:sz="0"/>
              <w:right w:val="none" w:color="FFFFFF" w:sz="0"/>
            </w:tcBorders>
          </w:tcPr>
          <w:p>
            <w:r>
              <w:t xml:space="preserve"/>
            </w:r>
          </w:p>
        </w:tc>
        <w:tc>
          <w:tcPr>
            <w:tcW w:type="pct" w:w="50%"/>
            <w:tcBorders>
              <w:top w:val="single" w:color="D8DEE8" w:sz="2"/>
              <w:left w:val="single" w:color="F5732B" w:sz="18"/>
              <w:bottom w:val="single" w:color="D8DEE8" w:sz="2"/>
              <w:right w:val="single" w:color="D8DEE8" w:sz="2"/>
            </w:tcBorders>
            <w:shd w:fill="EEF2F8" w:color="auto" w:val="clear"/>
            <w:tcMar>
              <w:top w:type="dxa" w:w="140"/>
              <w:left w:type="dxa" w:w="180"/>
              <w:bottom w:type="dxa" w:w="140"/>
              <w:right w:type="dxa" w:w="180"/>
            </w:tcMar>
          </w:tcPr>
          <w:p>
            <w:pPr>
              <w:spacing w:after="60" w:before="0" w:line="276"/>
              <w:jc w:val="left"/>
            </w:pPr>
            <w:r>
              <w:rPr>
                <w:rFonts w:ascii="Calibri" w:cs="Calibri" w:eastAsia="Calibri" w:hAnsi="Calibri"/>
                <w:b/>
                <w:bCs/>
                <w:color w:val="12233F"/>
                <w:sz w:val="21"/>
                <w:szCs w:val="21"/>
              </w:rPr>
              <w:t xml:space="preserve">Passwordless sign-in</w:t>
            </w:r>
          </w:p>
          <w:p>
            <w:pPr>
              <w:spacing w:after="40" w:before="0" w:line="276"/>
              <w:jc w:val="left"/>
            </w:pPr>
            <w:r>
              <w:rPr>
                <w:rFonts w:ascii="Calibri" w:cs="Calibri" w:eastAsia="Calibri" w:hAnsi="Calibri"/>
                <w:color w:val="5B6675"/>
                <w:sz w:val="19"/>
                <w:szCs w:val="19"/>
              </w:rPr>
              <w:t xml:space="preserve">Members log in with a one-time code sent to their email — no passwords to create, forget, or reset.</w:t>
            </w:r>
          </w:p>
        </w:tc>
      </w:tr>
      <w:tr>
        <w:tc>
          <w:tcPr>
            <w:tcBorders>
              <w:top w:val="none" w:color="FFFFFF" w:sz="0"/>
              <w:left w:val="none" w:color="FFFFFF" w:sz="0"/>
              <w:bottom w:val="none" w:color="FFFFFF" w:sz="0"/>
              <w:right w:val="none" w:color="FFFFFF" w:sz="0"/>
            </w:tcBorders>
          </w:tcPr>
          <w:p>
            <w:pPr>
              <w:spacing w:after="60"/>
            </w:pPr>
            <w:r>
              <w:rPr>
                <w:sz w:val="2"/>
                <w:szCs w:val="2"/>
              </w:rPr>
              <w:t xml:space="preserve"/>
            </w:r>
          </w:p>
        </w:tc>
        <w:tc>
          <w:tcPr>
            <w:tcBorders>
              <w:top w:val="none" w:color="FFFFFF" w:sz="0"/>
              <w:left w:val="none" w:color="FFFFFF" w:sz="0"/>
              <w:bottom w:val="none" w:color="FFFFFF" w:sz="0"/>
              <w:right w:val="none" w:color="FFFFFF" w:sz="0"/>
            </w:tcBorders>
          </w:tcPr>
          <w:p>
            <w:pPr>
              <w:spacing w:after="60"/>
            </w:pPr>
            <w:r>
              <w:rPr>
                <w:sz w:val="2"/>
                <w:szCs w:val="2"/>
              </w:rPr>
              <w:t xml:space="preserve"/>
            </w:r>
          </w:p>
        </w:tc>
        <w:tc>
          <w:tcPr>
            <w:tcBorders>
              <w:top w:val="none" w:color="FFFFFF" w:sz="0"/>
              <w:left w:val="none" w:color="FFFFFF" w:sz="0"/>
              <w:bottom w:val="none" w:color="FFFFFF" w:sz="0"/>
              <w:right w:val="none" w:color="FFFFFF" w:sz="0"/>
            </w:tcBorders>
          </w:tcPr>
          <w:p>
            <w:pPr>
              <w:spacing w:after="60"/>
            </w:pPr>
            <w:r>
              <w:rPr>
                <w:sz w:val="2"/>
                <w:szCs w:val="2"/>
              </w:rPr>
              <w:t xml:space="preserve"/>
            </w:r>
          </w:p>
        </w:tc>
      </w:tr>
    </w:tbl>
    <w:p>
      <w:r>
        <w:br w:type="page"/>
      </w:r>
    </w:p>
    <w:p>
      <w:pPr>
        <w:spacing w:after="40" w:before="300"/>
      </w:pPr>
      <w:r>
        <w:rPr>
          <w:rFonts w:ascii="Calibri" w:cs="Calibri" w:eastAsia="Calibri" w:hAnsi="Calibri"/>
          <w:b/>
          <w:bCs/>
          <w:color w:val="F5732B"/>
          <w:spacing w:val="30"/>
          <w:sz w:val="17"/>
          <w:szCs w:val="17"/>
        </w:rPr>
        <w:t xml:space="preserve">THE PAYOFF</w:t>
      </w:r>
    </w:p>
    <w:p>
      <w:pPr>
        <w:pStyle w:val="Heading1"/>
        <w:spacing w:after="60" w:before="320"/>
      </w:pPr>
      <w:r>
        <w:rPr>
          <w:rFonts w:ascii="Calibri" w:cs="Calibri" w:eastAsia="Calibri" w:hAnsi="Calibri"/>
          <w:b/>
          <w:bCs/>
          <w:color w:val="12233F"/>
          <w:sz w:val="30"/>
          <w:szCs w:val="30"/>
        </w:rPr>
        <w:t xml:space="preserve">Benefits &amp; outcomes</w:t>
      </w:r>
    </w:p>
    <w:p>
      <w:pPr>
        <w:pBdr>
          <w:bottom w:val="single" w:color="F5732B" w:sz="12" w:space="1"/>
        </w:pBdr>
        <w:spacing w:after="160" w:before="60"/>
      </w:pPr>
      <w:r>
        <w:rPr>
          <w:sz w:val="2"/>
          <w:szCs w:val="2"/>
        </w:rPr>
        <w:t xml:space="preserve"/>
      </w:r>
    </w:p>
    <w:p>
      <w:pPr>
        <w:spacing w:after="200" w:line="288"/>
        <w:jc w:val="left"/>
      </w:pPr>
      <w:r>
        <w:rPr>
          <w:rFonts w:ascii="Calibri" w:cs="Calibri" w:eastAsia="Calibri" w:hAnsi="Calibri"/>
          <w:color w:val="24303F"/>
          <w:sz w:val="21"/>
          <w:szCs w:val="21"/>
        </w:rPr>
        <w:t xml:space="preserve">HeatMapIQ turns a specialist, time-consuming task into something any team member can do in minutes — and it changes how decisions get made.</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4560"/>
        <w:gridCol w:w="456"/>
        <w:gridCol w:w="4560"/>
      </w:tblGrid>
      <w:tr>
        <w:tc>
          <w:tcPr>
            <w:tcW w:type="pct" w:w="50%"/>
            <w:tcBorders>
              <w:top w:val="single" w:color="D8DEE8" w:sz="2"/>
              <w:left w:val="single" w:color="EF4444" w:sz="18"/>
              <w:bottom w:val="single" w:color="D8DEE8" w:sz="2"/>
              <w:right w:val="single" w:color="D8DEE8" w:sz="2"/>
            </w:tcBorders>
            <w:shd w:fill="EEF2F8" w:color="auto" w:val="clear"/>
            <w:tcMar>
              <w:top w:type="dxa" w:w="140"/>
              <w:left w:type="dxa" w:w="180"/>
              <w:bottom w:type="dxa" w:w="140"/>
              <w:right w:type="dxa" w:w="180"/>
            </w:tcMar>
          </w:tcPr>
          <w:p>
            <w:pPr>
              <w:spacing w:after="60" w:before="0" w:line="276"/>
              <w:jc w:val="left"/>
            </w:pPr>
            <w:r>
              <w:rPr>
                <w:rFonts w:ascii="Calibri" w:cs="Calibri" w:eastAsia="Calibri" w:hAnsi="Calibri"/>
                <w:b/>
                <w:bCs/>
                <w:color w:val="12233F"/>
                <w:sz w:val="21"/>
                <w:szCs w:val="21"/>
              </w:rPr>
              <w:t xml:space="preserve">Stop guessing</w:t>
            </w:r>
          </w:p>
          <w:p>
            <w:pPr>
              <w:spacing w:after="40" w:before="0" w:line="276"/>
              <w:jc w:val="left"/>
            </w:pPr>
            <w:r>
              <w:rPr>
                <w:rFonts w:ascii="Calibri" w:cs="Calibri" w:eastAsia="Calibri" w:hAnsi="Calibri"/>
                <w:color w:val="5B6675"/>
                <w:sz w:val="19"/>
                <w:szCs w:val="19"/>
              </w:rPr>
              <w:t xml:space="preserve">Decisions are grounded in what visitors actually do, not opinions — so teams stop debating and start shipping the right changes.</w:t>
            </w:r>
          </w:p>
        </w:tc>
        <w:tc>
          <w:tcPr>
            <w:tcW w:type="pct" w:w="4%"/>
            <w:tcBorders>
              <w:top w:val="none" w:color="FFFFFF" w:sz="0"/>
              <w:left w:val="none" w:color="FFFFFF" w:sz="0"/>
              <w:bottom w:val="none" w:color="FFFFFF" w:sz="0"/>
              <w:right w:val="none" w:color="FFFFFF" w:sz="0"/>
            </w:tcBorders>
          </w:tcPr>
          <w:p>
            <w:r>
              <w:t xml:space="preserve"/>
            </w:r>
          </w:p>
        </w:tc>
        <w:tc>
          <w:tcPr>
            <w:tcW w:type="pct" w:w="50%"/>
            <w:tcBorders>
              <w:top w:val="single" w:color="D8DEE8" w:sz="2"/>
              <w:left w:val="single" w:color="EF4444" w:sz="18"/>
              <w:bottom w:val="single" w:color="D8DEE8" w:sz="2"/>
              <w:right w:val="single" w:color="D8DEE8" w:sz="2"/>
            </w:tcBorders>
            <w:shd w:fill="EEF2F8" w:color="auto" w:val="clear"/>
            <w:tcMar>
              <w:top w:type="dxa" w:w="140"/>
              <w:left w:type="dxa" w:w="180"/>
              <w:bottom w:type="dxa" w:w="140"/>
              <w:right w:type="dxa" w:w="180"/>
            </w:tcMar>
          </w:tcPr>
          <w:p>
            <w:pPr>
              <w:spacing w:after="60" w:before="0" w:line="276"/>
              <w:jc w:val="left"/>
            </w:pPr>
            <w:r>
              <w:rPr>
                <w:rFonts w:ascii="Calibri" w:cs="Calibri" w:eastAsia="Calibri" w:hAnsi="Calibri"/>
                <w:b/>
                <w:bCs/>
                <w:color w:val="12233F"/>
                <w:sz w:val="21"/>
                <w:szCs w:val="21"/>
              </w:rPr>
              <w:t xml:space="preserve">Focus on what pays off</w:t>
            </w:r>
          </w:p>
          <w:p>
            <w:pPr>
              <w:spacing w:after="40" w:before="0" w:line="276"/>
              <w:jc w:val="left"/>
            </w:pPr>
            <w:r>
              <w:rPr>
                <w:rFonts w:ascii="Calibri" w:cs="Calibri" w:eastAsia="Calibri" w:hAnsi="Calibri"/>
                <w:color w:val="5B6675"/>
                <w:sz w:val="19"/>
                <w:szCs w:val="19"/>
              </w:rPr>
              <w:t xml:space="preserve">Severity ranking puts the highest-impact fixes first, so limited time goes to the changes most likely to lift results.</w:t>
            </w:r>
          </w:p>
        </w:tc>
      </w:tr>
      <w:tr>
        <w:tc>
          <w:tcPr>
            <w:tcBorders>
              <w:top w:val="none" w:color="FFFFFF" w:sz="0"/>
              <w:left w:val="none" w:color="FFFFFF" w:sz="0"/>
              <w:bottom w:val="none" w:color="FFFFFF" w:sz="0"/>
              <w:right w:val="none" w:color="FFFFFF" w:sz="0"/>
            </w:tcBorders>
          </w:tcPr>
          <w:p>
            <w:pPr>
              <w:spacing w:after="60"/>
            </w:pPr>
            <w:r>
              <w:rPr>
                <w:sz w:val="2"/>
                <w:szCs w:val="2"/>
              </w:rPr>
              <w:t xml:space="preserve"/>
            </w:r>
          </w:p>
        </w:tc>
        <w:tc>
          <w:tcPr>
            <w:tcBorders>
              <w:top w:val="none" w:color="FFFFFF" w:sz="0"/>
              <w:left w:val="none" w:color="FFFFFF" w:sz="0"/>
              <w:bottom w:val="none" w:color="FFFFFF" w:sz="0"/>
              <w:right w:val="none" w:color="FFFFFF" w:sz="0"/>
            </w:tcBorders>
          </w:tcPr>
          <w:p>
            <w:pPr>
              <w:spacing w:after="60"/>
            </w:pPr>
            <w:r>
              <w:rPr>
                <w:sz w:val="2"/>
                <w:szCs w:val="2"/>
              </w:rPr>
              <w:t xml:space="preserve"/>
            </w:r>
          </w:p>
        </w:tc>
        <w:tc>
          <w:tcPr>
            <w:tcBorders>
              <w:top w:val="none" w:color="FFFFFF" w:sz="0"/>
              <w:left w:val="none" w:color="FFFFFF" w:sz="0"/>
              <w:bottom w:val="none" w:color="FFFFFF" w:sz="0"/>
              <w:right w:val="none" w:color="FFFFFF" w:sz="0"/>
            </w:tcBorders>
          </w:tcPr>
          <w:p>
            <w:pPr>
              <w:spacing w:after="60"/>
            </w:pPr>
            <w:r>
              <w:rPr>
                <w:sz w:val="2"/>
                <w:szCs w:val="2"/>
              </w:rPr>
              <w:t xml:space="preserve"/>
            </w:r>
          </w:p>
        </w:tc>
      </w:tr>
      <w:tr>
        <w:tc>
          <w:tcPr>
            <w:tcW w:type="pct" w:w="50%"/>
            <w:tcBorders>
              <w:top w:val="single" w:color="D8DEE8" w:sz="2"/>
              <w:left w:val="single" w:color="EF4444" w:sz="18"/>
              <w:bottom w:val="single" w:color="D8DEE8" w:sz="2"/>
              <w:right w:val="single" w:color="D8DEE8" w:sz="2"/>
            </w:tcBorders>
            <w:shd w:fill="EEF2F8" w:color="auto" w:val="clear"/>
            <w:tcMar>
              <w:top w:type="dxa" w:w="140"/>
              <w:left w:type="dxa" w:w="180"/>
              <w:bottom w:type="dxa" w:w="140"/>
              <w:right w:type="dxa" w:w="180"/>
            </w:tcMar>
          </w:tcPr>
          <w:p>
            <w:pPr>
              <w:spacing w:after="60" w:before="0" w:line="276"/>
              <w:jc w:val="left"/>
            </w:pPr>
            <w:r>
              <w:rPr>
                <w:rFonts w:ascii="Calibri" w:cs="Calibri" w:eastAsia="Calibri" w:hAnsi="Calibri"/>
                <w:b/>
                <w:bCs/>
                <w:color w:val="12233F"/>
                <w:sz w:val="21"/>
                <w:szCs w:val="21"/>
              </w:rPr>
              <w:t xml:space="preserve">Recover lost visitors</w:t>
            </w:r>
          </w:p>
          <w:p>
            <w:pPr>
              <w:spacing w:after="40" w:before="0" w:line="276"/>
              <w:jc w:val="left"/>
            </w:pPr>
            <w:r>
              <w:rPr>
                <w:rFonts w:ascii="Calibri" w:cs="Calibri" w:eastAsia="Calibri" w:hAnsi="Calibri"/>
                <w:color w:val="5B6675"/>
                <w:sz w:val="19"/>
                <w:szCs w:val="19"/>
              </w:rPr>
              <w:t xml:space="preserve">Surfacing drop-off points and dead clicks helps move key content into view and remove friction that quietly costs conversions.</w:t>
            </w:r>
          </w:p>
        </w:tc>
        <w:tc>
          <w:tcPr>
            <w:tcW w:type="pct" w:w="4%"/>
            <w:tcBorders>
              <w:top w:val="none" w:color="FFFFFF" w:sz="0"/>
              <w:left w:val="none" w:color="FFFFFF" w:sz="0"/>
              <w:bottom w:val="none" w:color="FFFFFF" w:sz="0"/>
              <w:right w:val="none" w:color="FFFFFF" w:sz="0"/>
            </w:tcBorders>
          </w:tcPr>
          <w:p>
            <w:r>
              <w:t xml:space="preserve"/>
            </w:r>
          </w:p>
        </w:tc>
        <w:tc>
          <w:tcPr>
            <w:tcW w:type="pct" w:w="50%"/>
            <w:tcBorders>
              <w:top w:val="single" w:color="D8DEE8" w:sz="2"/>
              <w:left w:val="single" w:color="EF4444" w:sz="18"/>
              <w:bottom w:val="single" w:color="D8DEE8" w:sz="2"/>
              <w:right w:val="single" w:color="D8DEE8" w:sz="2"/>
            </w:tcBorders>
            <w:shd w:fill="EEF2F8" w:color="auto" w:val="clear"/>
            <w:tcMar>
              <w:top w:type="dxa" w:w="140"/>
              <w:left w:type="dxa" w:w="180"/>
              <w:bottom w:type="dxa" w:w="140"/>
              <w:right w:type="dxa" w:w="180"/>
            </w:tcMar>
          </w:tcPr>
          <w:p>
            <w:pPr>
              <w:spacing w:after="60" w:before="0" w:line="276"/>
              <w:jc w:val="left"/>
            </w:pPr>
            <w:r>
              <w:rPr>
                <w:rFonts w:ascii="Calibri" w:cs="Calibri" w:eastAsia="Calibri" w:hAnsi="Calibri"/>
                <w:b/>
                <w:bCs/>
                <w:color w:val="12233F"/>
                <w:sz w:val="21"/>
                <w:szCs w:val="21"/>
              </w:rPr>
              <w:t xml:space="preserve">Move faster</w:t>
            </w:r>
          </w:p>
          <w:p>
            <w:pPr>
              <w:spacing w:after="40" w:before="0" w:line="276"/>
              <w:jc w:val="left"/>
            </w:pPr>
            <w:r>
              <w:rPr>
                <w:rFonts w:ascii="Calibri" w:cs="Calibri" w:eastAsia="Calibri" w:hAnsi="Calibri"/>
                <w:color w:val="5B6675"/>
                <w:sz w:val="19"/>
                <w:szCs w:val="19"/>
              </w:rPr>
              <w:t xml:space="preserve">What used to need a specialist and hours of spreadsheet work becomes a report anyone can produce and act on in minutes.</w:t>
            </w:r>
          </w:p>
        </w:tc>
      </w:tr>
      <w:tr>
        <w:tc>
          <w:tcPr>
            <w:tcBorders>
              <w:top w:val="none" w:color="FFFFFF" w:sz="0"/>
              <w:left w:val="none" w:color="FFFFFF" w:sz="0"/>
              <w:bottom w:val="none" w:color="FFFFFF" w:sz="0"/>
              <w:right w:val="none" w:color="FFFFFF" w:sz="0"/>
            </w:tcBorders>
          </w:tcPr>
          <w:p>
            <w:pPr>
              <w:spacing w:after="60"/>
            </w:pPr>
            <w:r>
              <w:rPr>
                <w:sz w:val="2"/>
                <w:szCs w:val="2"/>
              </w:rPr>
              <w:t xml:space="preserve"/>
            </w:r>
          </w:p>
        </w:tc>
        <w:tc>
          <w:tcPr>
            <w:tcBorders>
              <w:top w:val="none" w:color="FFFFFF" w:sz="0"/>
              <w:left w:val="none" w:color="FFFFFF" w:sz="0"/>
              <w:bottom w:val="none" w:color="FFFFFF" w:sz="0"/>
              <w:right w:val="none" w:color="FFFFFF" w:sz="0"/>
            </w:tcBorders>
          </w:tcPr>
          <w:p>
            <w:pPr>
              <w:spacing w:after="60"/>
            </w:pPr>
            <w:r>
              <w:rPr>
                <w:sz w:val="2"/>
                <w:szCs w:val="2"/>
              </w:rPr>
              <w:t xml:space="preserve"/>
            </w:r>
          </w:p>
        </w:tc>
        <w:tc>
          <w:tcPr>
            <w:tcBorders>
              <w:top w:val="none" w:color="FFFFFF" w:sz="0"/>
              <w:left w:val="none" w:color="FFFFFF" w:sz="0"/>
              <w:bottom w:val="none" w:color="FFFFFF" w:sz="0"/>
              <w:right w:val="none" w:color="FFFFFF" w:sz="0"/>
            </w:tcBorders>
          </w:tcPr>
          <w:p>
            <w:pPr>
              <w:spacing w:after="60"/>
            </w:pPr>
            <w:r>
              <w:rPr>
                <w:sz w:val="2"/>
                <w:szCs w:val="2"/>
              </w:rPr>
              <w:t xml:space="preserve"/>
            </w:r>
          </w:p>
        </w:tc>
      </w:tr>
      <w:tr>
        <w:tc>
          <w:tcPr>
            <w:tcW w:type="pct" w:w="50%"/>
            <w:tcBorders>
              <w:top w:val="single" w:color="D8DEE8" w:sz="2"/>
              <w:left w:val="single" w:color="EF4444" w:sz="18"/>
              <w:bottom w:val="single" w:color="D8DEE8" w:sz="2"/>
              <w:right w:val="single" w:color="D8DEE8" w:sz="2"/>
            </w:tcBorders>
            <w:shd w:fill="EEF2F8" w:color="auto" w:val="clear"/>
            <w:tcMar>
              <w:top w:type="dxa" w:w="140"/>
              <w:left w:type="dxa" w:w="180"/>
              <w:bottom w:type="dxa" w:w="140"/>
              <w:right w:type="dxa" w:w="180"/>
            </w:tcMar>
          </w:tcPr>
          <w:p>
            <w:pPr>
              <w:spacing w:after="60" w:before="0" w:line="276"/>
              <w:jc w:val="left"/>
            </w:pPr>
            <w:r>
              <w:rPr>
                <w:rFonts w:ascii="Calibri" w:cs="Calibri" w:eastAsia="Calibri" w:hAnsi="Calibri"/>
                <w:b/>
                <w:bCs/>
                <w:color w:val="12233F"/>
                <w:sz w:val="21"/>
                <w:szCs w:val="21"/>
              </w:rPr>
              <w:t xml:space="preserve">Keep everyone aligned</w:t>
            </w:r>
          </w:p>
          <w:p>
            <w:pPr>
              <w:spacing w:after="40" w:before="0" w:line="276"/>
              <w:jc w:val="left"/>
            </w:pPr>
            <w:r>
              <w:rPr>
                <w:rFonts w:ascii="Calibri" w:cs="Calibri" w:eastAsia="Calibri" w:hAnsi="Calibri"/>
                <w:color w:val="5B6675"/>
                <w:sz w:val="19"/>
                <w:szCs w:val="19"/>
              </w:rPr>
              <w:t xml:space="preserve">A shared, always-current report means the whole team — and clients — see the same priorities and the same progress.</w:t>
            </w:r>
          </w:p>
        </w:tc>
        <w:tc>
          <w:tcPr>
            <w:tcW w:type="pct" w:w="4%"/>
            <w:tcBorders>
              <w:top w:val="none" w:color="FFFFFF" w:sz="0"/>
              <w:left w:val="none" w:color="FFFFFF" w:sz="0"/>
              <w:bottom w:val="none" w:color="FFFFFF" w:sz="0"/>
              <w:right w:val="none" w:color="FFFFFF" w:sz="0"/>
            </w:tcBorders>
          </w:tcPr>
          <w:p>
            <w:r>
              <w:t xml:space="preserve"/>
            </w:r>
          </w:p>
        </w:tc>
        <w:tc>
          <w:tcPr>
            <w:tcW w:type="pct" w:w="50%"/>
            <w:tcBorders>
              <w:top w:val="single" w:color="D8DEE8" w:sz="2"/>
              <w:left w:val="single" w:color="EF4444" w:sz="18"/>
              <w:bottom w:val="single" w:color="D8DEE8" w:sz="2"/>
              <w:right w:val="single" w:color="D8DEE8" w:sz="2"/>
            </w:tcBorders>
            <w:shd w:fill="EEF2F8" w:color="auto" w:val="clear"/>
            <w:tcMar>
              <w:top w:type="dxa" w:w="140"/>
              <w:left w:type="dxa" w:w="180"/>
              <w:bottom w:type="dxa" w:w="140"/>
              <w:right w:type="dxa" w:w="180"/>
            </w:tcMar>
          </w:tcPr>
          <w:p>
            <w:pPr>
              <w:spacing w:after="60" w:before="0" w:line="276"/>
              <w:jc w:val="left"/>
            </w:pPr>
            <w:r>
              <w:rPr>
                <w:rFonts w:ascii="Calibri" w:cs="Calibri" w:eastAsia="Calibri" w:hAnsi="Calibri"/>
                <w:b/>
                <w:bCs/>
                <w:color w:val="12233F"/>
                <w:sz w:val="21"/>
                <w:szCs w:val="21"/>
              </w:rPr>
              <w:t xml:space="preserve">Show the results</w:t>
            </w:r>
          </w:p>
          <w:p>
            <w:pPr>
              <w:spacing w:after="40" w:before="0" w:line="276"/>
              <w:jc w:val="left"/>
            </w:pPr>
            <w:r>
              <w:rPr>
                <w:rFonts w:ascii="Calibri" w:cs="Calibri" w:eastAsia="Calibri" w:hAnsi="Calibri"/>
                <w:color w:val="5B6675"/>
                <w:sz w:val="19"/>
                <w:szCs w:val="19"/>
              </w:rPr>
              <w:t xml:space="preserve">A read-only link with a live progress bar makes it easy to demonstrate the work done and the improvements delivered.</w:t>
            </w:r>
          </w:p>
        </w:tc>
      </w:tr>
      <w:tr>
        <w:tc>
          <w:tcPr>
            <w:tcBorders>
              <w:top w:val="none" w:color="FFFFFF" w:sz="0"/>
              <w:left w:val="none" w:color="FFFFFF" w:sz="0"/>
              <w:bottom w:val="none" w:color="FFFFFF" w:sz="0"/>
              <w:right w:val="none" w:color="FFFFFF" w:sz="0"/>
            </w:tcBorders>
          </w:tcPr>
          <w:p>
            <w:pPr>
              <w:spacing w:after="60"/>
            </w:pPr>
            <w:r>
              <w:rPr>
                <w:sz w:val="2"/>
                <w:szCs w:val="2"/>
              </w:rPr>
              <w:t xml:space="preserve"/>
            </w:r>
          </w:p>
        </w:tc>
        <w:tc>
          <w:tcPr>
            <w:tcBorders>
              <w:top w:val="none" w:color="FFFFFF" w:sz="0"/>
              <w:left w:val="none" w:color="FFFFFF" w:sz="0"/>
              <w:bottom w:val="none" w:color="FFFFFF" w:sz="0"/>
              <w:right w:val="none" w:color="FFFFFF" w:sz="0"/>
            </w:tcBorders>
          </w:tcPr>
          <w:p>
            <w:pPr>
              <w:spacing w:after="60"/>
            </w:pPr>
            <w:r>
              <w:rPr>
                <w:sz w:val="2"/>
                <w:szCs w:val="2"/>
              </w:rPr>
              <w:t xml:space="preserve"/>
            </w:r>
          </w:p>
        </w:tc>
        <w:tc>
          <w:tcPr>
            <w:tcBorders>
              <w:top w:val="none" w:color="FFFFFF" w:sz="0"/>
              <w:left w:val="none" w:color="FFFFFF" w:sz="0"/>
              <w:bottom w:val="none" w:color="FFFFFF" w:sz="0"/>
              <w:right w:val="none" w:color="FFFFFF" w:sz="0"/>
            </w:tcBorders>
          </w:tcPr>
          <w:p>
            <w:pPr>
              <w:spacing w:after="60"/>
            </w:pPr>
            <w:r>
              <w:rPr>
                <w:sz w:val="2"/>
                <w:szCs w:val="2"/>
              </w:rPr>
              <w:t xml:space="preserve"/>
            </w:r>
          </w:p>
        </w:tc>
      </w:tr>
    </w:tbl>
    <w:p>
      <w:r>
        <w:br w:type="page"/>
      </w:r>
    </w:p>
    <w:p>
      <w:pPr>
        <w:spacing w:after="40" w:before="300"/>
      </w:pPr>
      <w:r>
        <w:rPr>
          <w:rFonts w:ascii="Calibri" w:cs="Calibri" w:eastAsia="Calibri" w:hAnsi="Calibri"/>
          <w:b/>
          <w:bCs/>
          <w:color w:val="F5732B"/>
          <w:spacing w:val="30"/>
          <w:sz w:val="17"/>
          <w:szCs w:val="17"/>
        </w:rPr>
        <w:t xml:space="preserve">AUDIENCE</w:t>
      </w:r>
    </w:p>
    <w:p>
      <w:pPr>
        <w:pStyle w:val="Heading1"/>
        <w:spacing w:after="60" w:before="320"/>
      </w:pPr>
      <w:r>
        <w:rPr>
          <w:rFonts w:ascii="Calibri" w:cs="Calibri" w:eastAsia="Calibri" w:hAnsi="Calibri"/>
          <w:b/>
          <w:bCs/>
          <w:color w:val="12233F"/>
          <w:sz w:val="30"/>
          <w:szCs w:val="30"/>
        </w:rPr>
        <w:t xml:space="preserve">Who it’s for</w:t>
      </w:r>
    </w:p>
    <w:p>
      <w:pPr>
        <w:pBdr>
          <w:bottom w:val="single" w:color="F5732B" w:sz="12" w:space="1"/>
        </w:pBdr>
        <w:spacing w:after="160" w:before="60"/>
      </w:pPr>
      <w:r>
        <w:rPr>
          <w:sz w:val="2"/>
          <w:szCs w:val="2"/>
        </w:rPr>
        <w:t xml:space="preserve"/>
      </w:r>
    </w:p>
    <w:p>
      <w:pPr>
        <w:spacing w:after="140" w:line="288"/>
        <w:jc w:val="left"/>
      </w:pPr>
      <w:r>
        <w:rPr>
          <w:rFonts w:ascii="Calibri" w:cs="Calibri" w:eastAsia="Calibri" w:hAnsi="Calibri"/>
          <w:color w:val="24303F"/>
          <w:sz w:val="21"/>
          <w:szCs w:val="21"/>
        </w:rPr>
        <w:t xml:space="preserve">HeatMapIQ is designed for the people responsible for how a website performs, whether or not they have a data background:</w:t>
      </w:r>
    </w:p>
    <w:p>
      <w:pPr>
        <w:pStyle w:val="ListParagraph"/>
        <w:numPr>
          <w:ilvl w:val="0"/>
          <w:numId w:val="2"/>
        </w:numPr>
        <w:spacing w:after="90" w:line="280"/>
      </w:pPr>
      <w:r>
        <w:rPr>
          <w:rFonts w:ascii="Calibri" w:cs="Calibri" w:eastAsia="Calibri" w:hAnsi="Calibri"/>
          <w:b/>
          <w:bCs/>
          <w:color w:val="12233F"/>
          <w:sz w:val="21"/>
          <w:szCs w:val="21"/>
        </w:rPr>
        <w:t xml:space="preserve">Product &amp; UX teams </w:t>
      </w:r>
      <w:r>
        <w:rPr>
          <w:rFonts w:ascii="Calibri" w:cs="Calibri" w:eastAsia="Calibri" w:hAnsi="Calibri"/>
          <w:color w:val="24303F"/>
          <w:sz w:val="21"/>
          <w:szCs w:val="21"/>
        </w:rPr>
        <w:t xml:space="preserve">who want evidence for design decisions and a clear list of what to improve next.</w:t>
      </w:r>
    </w:p>
    <w:p>
      <w:pPr>
        <w:pStyle w:val="ListParagraph"/>
        <w:numPr>
          <w:ilvl w:val="0"/>
          <w:numId w:val="2"/>
        </w:numPr>
        <w:spacing w:after="90" w:line="280"/>
      </w:pPr>
      <w:r>
        <w:rPr>
          <w:rFonts w:ascii="Calibri" w:cs="Calibri" w:eastAsia="Calibri" w:hAnsi="Calibri"/>
          <w:b/>
          <w:bCs/>
          <w:color w:val="12233F"/>
          <w:sz w:val="21"/>
          <w:szCs w:val="21"/>
        </w:rPr>
        <w:t xml:space="preserve">Marketing &amp; growth teams </w:t>
      </w:r>
      <w:r>
        <w:rPr>
          <w:rFonts w:ascii="Calibri" w:cs="Calibri" w:eastAsia="Calibri" w:hAnsi="Calibri"/>
          <w:color w:val="24303F"/>
          <w:sz w:val="21"/>
          <w:szCs w:val="21"/>
        </w:rPr>
        <w:t xml:space="preserve">focused on lifting conversions and getting more from the traffic they already have.</w:t>
      </w:r>
    </w:p>
    <w:p>
      <w:pPr>
        <w:pStyle w:val="ListParagraph"/>
        <w:numPr>
          <w:ilvl w:val="0"/>
          <w:numId w:val="2"/>
        </w:numPr>
        <w:spacing w:after="90" w:line="280"/>
      </w:pPr>
      <w:r>
        <w:rPr>
          <w:rFonts w:ascii="Calibri" w:cs="Calibri" w:eastAsia="Calibri" w:hAnsi="Calibri"/>
          <w:b/>
          <w:bCs/>
          <w:color w:val="12233F"/>
          <w:sz w:val="21"/>
          <w:szCs w:val="21"/>
        </w:rPr>
        <w:t xml:space="preserve">Agencies &amp; freelancers </w:t>
      </w:r>
      <w:r>
        <w:rPr>
          <w:rFonts w:ascii="Calibri" w:cs="Calibri" w:eastAsia="Calibri" w:hAnsi="Calibri"/>
          <w:color w:val="24303F"/>
          <w:sz w:val="21"/>
          <w:szCs w:val="21"/>
        </w:rPr>
        <w:t xml:space="preserve">who need a professional, shareable report to show clients the problems found and the fixes delivered.</w:t>
      </w:r>
    </w:p>
    <w:p>
      <w:pPr>
        <w:pStyle w:val="ListParagraph"/>
        <w:numPr>
          <w:ilvl w:val="0"/>
          <w:numId w:val="2"/>
        </w:numPr>
        <w:spacing w:after="90" w:line="280"/>
      </w:pPr>
      <w:r>
        <w:rPr>
          <w:rFonts w:ascii="Calibri" w:cs="Calibri" w:eastAsia="Calibri" w:hAnsi="Calibri"/>
          <w:b/>
          <w:bCs/>
          <w:color w:val="12233F"/>
          <w:sz w:val="21"/>
          <w:szCs w:val="21"/>
        </w:rPr>
        <w:t xml:space="preserve">Small business owners </w:t>
      </w:r>
      <w:r>
        <w:rPr>
          <w:rFonts w:ascii="Calibri" w:cs="Calibri" w:eastAsia="Calibri" w:hAnsi="Calibri"/>
          <w:color w:val="24303F"/>
          <w:sz w:val="21"/>
          <w:szCs w:val="21"/>
        </w:rPr>
        <w:t xml:space="preserve">who collect behaviour data but don’t have an analyst to make sense of it.</w:t>
      </w:r>
    </w:p>
    <w:p>
      <w:pPr>
        <w:spacing w:after="120"/>
      </w:pPr>
      <w:r>
        <w:rPr>
          <w:sz w:val="2"/>
          <w:szCs w:val="2"/>
        </w:rPr>
        <w:t xml:space="preserve"/>
      </w:r>
    </w:p>
    <w:p>
      <w:pPr>
        <w:spacing w:after="40" w:before="300"/>
      </w:pPr>
      <w:r>
        <w:rPr>
          <w:rFonts w:ascii="Calibri" w:cs="Calibri" w:eastAsia="Calibri" w:hAnsi="Calibri"/>
          <w:b/>
          <w:bCs/>
          <w:color w:val="F5732B"/>
          <w:spacing w:val="30"/>
          <w:sz w:val="17"/>
          <w:szCs w:val="17"/>
        </w:rPr>
        <w:t xml:space="preserve">UNDER THE HOOD</w:t>
      </w:r>
    </w:p>
    <w:p>
      <w:pPr>
        <w:pStyle w:val="Heading1"/>
        <w:spacing w:after="60" w:before="320"/>
      </w:pPr>
      <w:r>
        <w:rPr>
          <w:rFonts w:ascii="Calibri" w:cs="Calibri" w:eastAsia="Calibri" w:hAnsi="Calibri"/>
          <w:b/>
          <w:bCs/>
          <w:color w:val="12233F"/>
          <w:sz w:val="30"/>
          <w:szCs w:val="30"/>
        </w:rPr>
        <w:t xml:space="preserve">Technology stack</w:t>
      </w:r>
    </w:p>
    <w:p>
      <w:pPr>
        <w:pBdr>
          <w:bottom w:val="single" w:color="F5732B" w:sz="12" w:space="1"/>
        </w:pBdr>
        <w:spacing w:after="160" w:before="60"/>
      </w:pPr>
      <w:r>
        <w:rPr>
          <w:sz w:val="2"/>
          <w:szCs w:val="2"/>
        </w:rPr>
        <w:t xml:space="preserve"/>
      </w:r>
    </w:p>
    <w:p>
      <w:pPr>
        <w:spacing w:after="180" w:line="288"/>
        <w:jc w:val="left"/>
      </w:pPr>
      <w:r>
        <w:rPr>
          <w:rFonts w:ascii="Calibri" w:cs="Calibri" w:eastAsia="Calibri" w:hAnsi="Calibri"/>
          <w:color w:val="24303F"/>
          <w:sz w:val="21"/>
          <w:szCs w:val="21"/>
        </w:rPr>
        <w:t xml:space="preserve">HeatMapIQ is a full-stack web application, built to run in a browser so the whole team can use it from anywhere and it can be extended over time.</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2826"/>
        <w:gridCol w:w="6594"/>
      </w:tblGrid>
      <w:tr>
        <w:tc>
          <w:tcPr>
            <w:tcW w:type="pct" w:w="30%"/>
            <w:tcBorders>
              <w:top w:val="none" w:color="FFFFFF" w:sz="0"/>
              <w:left w:val="none" w:color="FFFFFF" w:sz="0"/>
              <w:bottom w:val="none" w:color="FFFFFF" w:sz="0"/>
              <w:right w:val="none" w:color="FFFFFF" w:sz="0"/>
            </w:tcBorders>
            <w:shd w:fill="12233F" w:color="auto" w:val="clear"/>
            <w:tcMar>
              <w:top w:type="dxa" w:w="100"/>
              <w:left w:type="dxa" w:w="160"/>
              <w:bottom w:type="dxa" w:w="100"/>
              <w:right w:type="dxa" w:w="120"/>
            </w:tcMar>
          </w:tcPr>
          <w:p>
            <w:pPr>
              <w:spacing w:after="40" w:before="0" w:line="276"/>
              <w:jc w:val="left"/>
            </w:pPr>
            <w:r>
              <w:rPr>
                <w:rFonts w:ascii="Calibri" w:cs="Calibri" w:eastAsia="Calibri" w:hAnsi="Calibri"/>
                <w:b/>
                <w:bCs/>
                <w:color w:val="FFFFFF"/>
                <w:sz w:val="20"/>
                <w:szCs w:val="20"/>
              </w:rPr>
              <w:t xml:space="preserve">Frontend</w:t>
            </w:r>
          </w:p>
        </w:tc>
        <w:tc>
          <w:tcPr>
            <w:tcW w:type="pct" w:w="70%"/>
            <w:tcBorders>
              <w:bottom w:val="single" w:color="D8DEE8" w:sz="2"/>
            </w:tcBorders>
            <w:shd w:fill="FFFFFF" w:color="auto" w:val="clear"/>
            <w:tcMar>
              <w:top w:type="dxa" w:w="100"/>
              <w:left w:type="dxa" w:w="180"/>
              <w:bottom w:type="dxa" w:w="100"/>
              <w:right w:type="dxa" w:w="160"/>
            </w:tcMar>
          </w:tcPr>
          <w:p>
            <w:pPr>
              <w:spacing w:after="40" w:before="0" w:line="276"/>
              <w:jc w:val="left"/>
            </w:pPr>
            <w:r>
              <w:rPr>
                <w:rFonts w:ascii="Calibri" w:cs="Calibri" w:eastAsia="Calibri" w:hAnsi="Calibri"/>
                <w:color w:val="24303F"/>
                <w:sz w:val="20"/>
                <w:szCs w:val="20"/>
              </w:rPr>
              <w:t xml:space="preserve">React, Vite, React Router, Recharts (interactive charts)</w:t>
            </w:r>
          </w:p>
        </w:tc>
      </w:tr>
      <w:tr>
        <w:tc>
          <w:tcPr>
            <w:tcW w:type="pct" w:w="30%"/>
            <w:tcBorders>
              <w:top w:val="none" w:color="FFFFFF" w:sz="0"/>
              <w:left w:val="none" w:color="FFFFFF" w:sz="0"/>
              <w:bottom w:val="none" w:color="FFFFFF" w:sz="0"/>
              <w:right w:val="none" w:color="FFFFFF" w:sz="0"/>
            </w:tcBorders>
            <w:shd w:fill="12233F" w:color="auto" w:val="clear"/>
            <w:tcMar>
              <w:top w:type="dxa" w:w="100"/>
              <w:left w:type="dxa" w:w="160"/>
              <w:bottom w:type="dxa" w:w="100"/>
              <w:right w:type="dxa" w:w="120"/>
            </w:tcMar>
          </w:tcPr>
          <w:p>
            <w:pPr>
              <w:spacing w:after="40" w:before="0" w:line="276"/>
              <w:jc w:val="left"/>
            </w:pPr>
            <w:r>
              <w:rPr>
                <w:rFonts w:ascii="Calibri" w:cs="Calibri" w:eastAsia="Calibri" w:hAnsi="Calibri"/>
                <w:b/>
                <w:bCs/>
                <w:color w:val="FFFFFF"/>
                <w:sz w:val="20"/>
                <w:szCs w:val="20"/>
              </w:rPr>
              <w:t xml:space="preserve">Backend</w:t>
            </w:r>
          </w:p>
        </w:tc>
        <w:tc>
          <w:tcPr>
            <w:tcW w:type="pct" w:w="70%"/>
            <w:tcBorders>
              <w:bottom w:val="single" w:color="D8DEE8" w:sz="2"/>
            </w:tcBorders>
            <w:shd w:fill="F4F6FA" w:color="auto" w:val="clear"/>
            <w:tcMar>
              <w:top w:type="dxa" w:w="100"/>
              <w:left w:type="dxa" w:w="180"/>
              <w:bottom w:type="dxa" w:w="100"/>
              <w:right w:type="dxa" w:w="160"/>
            </w:tcMar>
          </w:tcPr>
          <w:p>
            <w:pPr>
              <w:spacing w:after="40" w:before="0" w:line="276"/>
              <w:jc w:val="left"/>
            </w:pPr>
            <w:r>
              <w:rPr>
                <w:rFonts w:ascii="Calibri" w:cs="Calibri" w:eastAsia="Calibri" w:hAnsi="Calibri"/>
                <w:color w:val="24303F"/>
                <w:sz w:val="20"/>
                <w:szCs w:val="20"/>
              </w:rPr>
              <w:t xml:space="preserve">Python, FastAPI</w:t>
            </w:r>
          </w:p>
        </w:tc>
      </w:tr>
      <w:tr>
        <w:tc>
          <w:tcPr>
            <w:tcW w:type="pct" w:w="30%"/>
            <w:tcBorders>
              <w:top w:val="none" w:color="FFFFFF" w:sz="0"/>
              <w:left w:val="none" w:color="FFFFFF" w:sz="0"/>
              <w:bottom w:val="none" w:color="FFFFFF" w:sz="0"/>
              <w:right w:val="none" w:color="FFFFFF" w:sz="0"/>
            </w:tcBorders>
            <w:shd w:fill="12233F" w:color="auto" w:val="clear"/>
            <w:tcMar>
              <w:top w:type="dxa" w:w="100"/>
              <w:left w:type="dxa" w:w="160"/>
              <w:bottom w:type="dxa" w:w="100"/>
              <w:right w:type="dxa" w:w="120"/>
            </w:tcMar>
          </w:tcPr>
          <w:p>
            <w:pPr>
              <w:spacing w:after="40" w:before="0" w:line="276"/>
              <w:jc w:val="left"/>
            </w:pPr>
            <w:r>
              <w:rPr>
                <w:rFonts w:ascii="Calibri" w:cs="Calibri" w:eastAsia="Calibri" w:hAnsi="Calibri"/>
                <w:b/>
                <w:bCs/>
                <w:color w:val="FFFFFF"/>
                <w:sz w:val="20"/>
                <w:szCs w:val="20"/>
              </w:rPr>
              <w:t xml:space="preserve">Database</w:t>
            </w:r>
          </w:p>
        </w:tc>
        <w:tc>
          <w:tcPr>
            <w:tcW w:type="pct" w:w="70%"/>
            <w:tcBorders>
              <w:bottom w:val="single" w:color="D8DEE8" w:sz="2"/>
            </w:tcBorders>
            <w:shd w:fill="F4F6FA" w:color="auto" w:val="clear"/>
            <w:tcMar>
              <w:top w:type="dxa" w:w="100"/>
              <w:left w:type="dxa" w:w="180"/>
              <w:bottom w:type="dxa" w:w="100"/>
              <w:right w:type="dxa" w:w="160"/>
            </w:tcMar>
          </w:tcPr>
          <w:p>
            <w:pPr>
              <w:spacing w:after="40" w:before="0" w:line="276"/>
              <w:jc w:val="left"/>
            </w:pPr>
            <w:r>
              <w:rPr>
                <w:rFonts w:ascii="Calibri" w:cs="Calibri" w:eastAsia="Calibri" w:hAnsi="Calibri"/>
                <w:color w:val="24303F"/>
                <w:sz w:val="20"/>
                <w:szCs w:val="20"/>
              </w:rPr>
              <w:t xml:space="preserve">PostgreSQL (with SQLite for local development)</w:t>
            </w:r>
          </w:p>
        </w:tc>
      </w:tr>
      <w:tr>
        <w:tc>
          <w:tcPr>
            <w:tcW w:type="pct" w:w="30%"/>
            <w:tcBorders>
              <w:top w:val="none" w:color="FFFFFF" w:sz="0"/>
              <w:left w:val="none" w:color="FFFFFF" w:sz="0"/>
              <w:bottom w:val="none" w:color="FFFFFF" w:sz="0"/>
              <w:right w:val="none" w:color="FFFFFF" w:sz="0"/>
            </w:tcBorders>
            <w:shd w:fill="12233F" w:color="auto" w:val="clear"/>
            <w:tcMar>
              <w:top w:type="dxa" w:w="100"/>
              <w:left w:type="dxa" w:w="160"/>
              <w:bottom w:type="dxa" w:w="100"/>
              <w:right w:type="dxa" w:w="120"/>
            </w:tcMar>
          </w:tcPr>
          <w:p>
            <w:pPr>
              <w:spacing w:after="40" w:before="0" w:line="276"/>
              <w:jc w:val="left"/>
            </w:pPr>
            <w:r>
              <w:rPr>
                <w:rFonts w:ascii="Calibri" w:cs="Calibri" w:eastAsia="Calibri" w:hAnsi="Calibri"/>
                <w:b/>
                <w:bCs/>
                <w:color w:val="FFFFFF"/>
                <w:sz w:val="20"/>
                <w:szCs w:val="20"/>
              </w:rPr>
              <w:t xml:space="preserve">AI enrichment (optional)</w:t>
            </w:r>
          </w:p>
        </w:tc>
        <w:tc>
          <w:tcPr>
            <w:tcW w:type="pct" w:w="70%"/>
            <w:tcBorders>
              <w:bottom w:val="single" w:color="D8DEE8" w:sz="2"/>
            </w:tcBorders>
            <w:shd w:fill="F4F6FA" w:color="auto" w:val="clear"/>
            <w:tcMar>
              <w:top w:type="dxa" w:w="100"/>
              <w:left w:type="dxa" w:w="180"/>
              <w:bottom w:type="dxa" w:w="100"/>
              <w:right w:type="dxa" w:w="160"/>
            </w:tcMar>
          </w:tcPr>
          <w:p>
            <w:pPr>
              <w:spacing w:after="40" w:before="0" w:line="276"/>
              <w:jc w:val="left"/>
            </w:pPr>
            <w:r>
              <w:rPr>
                <w:rFonts w:ascii="Calibri" w:cs="Calibri" w:eastAsia="Calibri" w:hAnsi="Calibri"/>
                <w:color w:val="24303F"/>
                <w:sz w:val="20"/>
                <w:szCs w:val="20"/>
              </w:rPr>
              <w:t xml:space="preserve">OpenAI and Anthropic — with a built-in rule-based engine so it works with no AI key at all</w:t>
            </w:r>
          </w:p>
        </w:tc>
      </w:tr>
      <w:tr>
        <w:tc>
          <w:tcPr>
            <w:tcW w:type="pct" w:w="30%"/>
            <w:tcBorders>
              <w:top w:val="none" w:color="FFFFFF" w:sz="0"/>
              <w:left w:val="none" w:color="FFFFFF" w:sz="0"/>
              <w:bottom w:val="none" w:color="FFFFFF" w:sz="0"/>
              <w:right w:val="none" w:color="FFFFFF" w:sz="0"/>
            </w:tcBorders>
            <w:shd w:fill="12233F" w:color="auto" w:val="clear"/>
            <w:tcMar>
              <w:top w:type="dxa" w:w="100"/>
              <w:left w:type="dxa" w:w="160"/>
              <w:bottom w:type="dxa" w:w="100"/>
              <w:right w:type="dxa" w:w="120"/>
            </w:tcMar>
          </w:tcPr>
          <w:p>
            <w:pPr>
              <w:spacing w:after="40" w:before="0" w:line="276"/>
              <w:jc w:val="left"/>
            </w:pPr>
            <w:r>
              <w:rPr>
                <w:rFonts w:ascii="Calibri" w:cs="Calibri" w:eastAsia="Calibri" w:hAnsi="Calibri"/>
                <w:b/>
                <w:bCs/>
                <w:color w:val="FFFFFF"/>
                <w:sz w:val="20"/>
                <w:szCs w:val="20"/>
              </w:rPr>
              <w:t xml:space="preserve">Page rendering</w:t>
            </w:r>
          </w:p>
        </w:tc>
        <w:tc>
          <w:tcPr>
            <w:tcW w:type="pct" w:w="70%"/>
            <w:tcBorders>
              <w:bottom w:val="single" w:color="D8DEE8" w:sz="2"/>
            </w:tcBorders>
            <w:shd w:fill="F4F6FA" w:color="auto" w:val="clear"/>
            <w:tcMar>
              <w:top w:type="dxa" w:w="100"/>
              <w:left w:type="dxa" w:w="180"/>
              <w:bottom w:type="dxa" w:w="100"/>
              <w:right w:type="dxa" w:w="160"/>
            </w:tcMar>
          </w:tcPr>
          <w:p>
            <w:pPr>
              <w:spacing w:after="40" w:before="0" w:line="276"/>
              <w:jc w:val="left"/>
            </w:pPr>
            <w:r>
              <w:rPr>
                <w:rFonts w:ascii="Calibri" w:cs="Calibri" w:eastAsia="Calibri" w:hAnsi="Calibri"/>
                <w:color w:val="24303F"/>
                <w:sz w:val="20"/>
                <w:szCs w:val="20"/>
              </w:rPr>
              <w:t xml:space="preserve">Playwright headless browser (reads JavaScript-heavy pages)</w:t>
            </w:r>
          </w:p>
        </w:tc>
      </w:tr>
      <w:tr>
        <w:tc>
          <w:tcPr>
            <w:tcW w:type="pct" w:w="30%"/>
            <w:tcBorders>
              <w:top w:val="none" w:color="FFFFFF" w:sz="0"/>
              <w:left w:val="none" w:color="FFFFFF" w:sz="0"/>
              <w:bottom w:val="none" w:color="FFFFFF" w:sz="0"/>
              <w:right w:val="none" w:color="FFFFFF" w:sz="0"/>
            </w:tcBorders>
            <w:shd w:fill="12233F" w:color="auto" w:val="clear"/>
            <w:tcMar>
              <w:top w:type="dxa" w:w="100"/>
              <w:left w:type="dxa" w:w="160"/>
              <w:bottom w:type="dxa" w:w="100"/>
              <w:right w:type="dxa" w:w="120"/>
            </w:tcMar>
          </w:tcPr>
          <w:p>
            <w:pPr>
              <w:spacing w:after="40" w:before="0" w:line="276"/>
              <w:jc w:val="left"/>
            </w:pPr>
            <w:r>
              <w:rPr>
                <w:rFonts w:ascii="Calibri" w:cs="Calibri" w:eastAsia="Calibri" w:hAnsi="Calibri"/>
                <w:b/>
                <w:bCs/>
                <w:color w:val="FFFFFF"/>
                <w:sz w:val="20"/>
                <w:szCs w:val="20"/>
              </w:rPr>
              <w:t xml:space="preserve">Deployment</w:t>
            </w:r>
          </w:p>
        </w:tc>
        <w:tc>
          <w:tcPr>
            <w:tcW w:type="pct" w:w="70%"/>
            <w:tcBorders>
              <w:bottom w:val="single" w:color="D8DEE8" w:sz="2"/>
            </w:tcBorders>
            <w:shd w:fill="F4F6FA" w:color="auto" w:val="clear"/>
            <w:tcMar>
              <w:top w:type="dxa" w:w="100"/>
              <w:left w:type="dxa" w:w="180"/>
              <w:bottom w:type="dxa" w:w="100"/>
              <w:right w:type="dxa" w:w="160"/>
            </w:tcMar>
          </w:tcPr>
          <w:p>
            <w:pPr>
              <w:spacing w:after="40" w:before="0" w:line="276"/>
              <w:jc w:val="left"/>
            </w:pPr>
            <w:r>
              <w:rPr>
                <w:rFonts w:ascii="Calibri" w:cs="Calibri" w:eastAsia="Calibri" w:hAnsi="Calibri"/>
                <w:color w:val="24303F"/>
                <w:sz w:val="20"/>
                <w:szCs w:val="20"/>
              </w:rPr>
              <w:t xml:space="preserve">Docker &amp; Docker Compose, served behind nginx</w:t>
            </w:r>
          </w:p>
        </w:tc>
      </w:tr>
      <w:tr>
        <w:tc>
          <w:tcPr>
            <w:tcW w:type="pct" w:w="30%"/>
            <w:tcBorders>
              <w:top w:val="none" w:color="FFFFFF" w:sz="0"/>
              <w:left w:val="none" w:color="FFFFFF" w:sz="0"/>
              <w:bottom w:val="none" w:color="FFFFFF" w:sz="0"/>
              <w:right w:val="none" w:color="FFFFFF" w:sz="0"/>
            </w:tcBorders>
            <w:shd w:fill="12233F" w:color="auto" w:val="clear"/>
            <w:tcMar>
              <w:top w:type="dxa" w:w="100"/>
              <w:left w:type="dxa" w:w="160"/>
              <w:bottom w:type="dxa" w:w="100"/>
              <w:right w:type="dxa" w:w="120"/>
            </w:tcMar>
          </w:tcPr>
          <w:p>
            <w:pPr>
              <w:spacing w:after="40" w:before="0" w:line="276"/>
              <w:jc w:val="left"/>
            </w:pPr>
            <w:r>
              <w:rPr>
                <w:rFonts w:ascii="Calibri" w:cs="Calibri" w:eastAsia="Calibri" w:hAnsi="Calibri"/>
                <w:b/>
                <w:bCs/>
                <w:color w:val="FFFFFF"/>
                <w:sz w:val="20"/>
                <w:szCs w:val="20"/>
              </w:rPr>
              <w:t xml:space="preserve">Security</w:t>
            </w:r>
          </w:p>
        </w:tc>
        <w:tc>
          <w:tcPr>
            <w:tcW w:type="pct" w:w="70%"/>
            <w:tcBorders>
              <w:bottom w:val="single" w:color="D8DEE8" w:sz="2"/>
            </w:tcBorders>
            <w:shd w:fill="F4F6FA" w:color="auto" w:val="clear"/>
            <w:tcMar>
              <w:top w:type="dxa" w:w="100"/>
              <w:left w:type="dxa" w:w="180"/>
              <w:bottom w:type="dxa" w:w="100"/>
              <w:right w:type="dxa" w:w="160"/>
            </w:tcMar>
          </w:tcPr>
          <w:p>
            <w:pPr>
              <w:spacing w:after="40" w:before="0" w:line="276"/>
              <w:jc w:val="left"/>
            </w:pPr>
            <w:r>
              <w:rPr>
                <w:rFonts w:ascii="Calibri" w:cs="Calibri" w:eastAsia="Calibri" w:hAnsi="Calibri"/>
                <w:color w:val="24303F"/>
                <w:sz w:val="20"/>
                <w:szCs w:val="20"/>
              </w:rPr>
              <w:t xml:space="preserve">Passwordless one-time-code sign-in with secure sessions</w:t>
            </w:r>
          </w:p>
        </w:tc>
      </w:tr>
    </w:tbl>
    <w:p>
      <w:pPr>
        <w:spacing w:after="120"/>
      </w:pPr>
      <w:r>
        <w:rPr>
          <w:sz w:val="2"/>
          <w:szCs w:val="2"/>
        </w:rPr>
        <w:t xml:space="preserve"/>
      </w:r>
    </w:p>
    <w:p>
      <w:pPr>
        <w:spacing w:after="40" w:line="288"/>
        <w:jc w:val="left"/>
      </w:pPr>
      <w:r>
        <w:rPr>
          <w:rFonts w:ascii="Calibri" w:cs="Calibri" w:eastAsia="Calibri" w:hAnsi="Calibri"/>
          <w:b/>
          <w:bCs/>
          <w:color w:val="12233F"/>
          <w:sz w:val="20"/>
          <w:szCs w:val="20"/>
        </w:rPr>
        <w:t xml:space="preserve">Design highlight:  </w:t>
      </w:r>
      <w:r>
        <w:rPr>
          <w:rFonts w:ascii="Calibri" w:cs="Calibri" w:eastAsia="Calibri" w:hAnsi="Calibri"/>
          <w:i/>
          <w:iCs/>
          <w:color w:val="24303F"/>
          <w:sz w:val="20"/>
          <w:szCs w:val="20"/>
        </w:rPr>
        <w:t xml:space="preserve">AI is optional by design. HeatMapIQ produces a full report on its own, and can layer AI on top for richer wording when a key is provided — so it is never dependent on a single external service.</w:t>
      </w:r>
    </w:p>
    <w:p>
      <w:pPr>
        <w:spacing w:after="200"/>
      </w:pPr>
      <w:r>
        <w:rPr>
          <w:sz w:val="2"/>
          <w:szCs w:val="2"/>
        </w:rPr>
        <w:t xml:space="preserve"/>
      </w:r>
    </w:p>
    <w:p>
      <w:pPr>
        <w:pBdr>
          <w:bottom w:val="single" w:color="12233F" w:sz="8" w:space="1"/>
        </w:pBdr>
        <w:spacing w:after="160" w:before="60"/>
      </w:pPr>
      <w:r>
        <w:rPr>
          <w:sz w:val="2"/>
          <w:szCs w:val="2"/>
        </w:rPr>
        <w:t xml:space="preserve"/>
      </w:r>
    </w:p>
    <w:p>
      <w:pPr>
        <w:spacing w:before="80"/>
        <w:jc w:val="center"/>
      </w:pPr>
      <w:r>
        <w:rPr>
          <w:rFonts w:ascii="Calibri" w:cs="Calibri" w:eastAsia="Calibri" w:hAnsi="Calibri"/>
          <w:b/>
          <w:bCs/>
          <w:color w:val="12233F"/>
          <w:sz w:val="22"/>
          <w:szCs w:val="22"/>
        </w:rPr>
        <w:t xml:space="preserve">HeatMapIQ</w:t>
      </w:r>
      <w:r>
        <w:rPr>
          <w:rFonts w:ascii="Calibri" w:cs="Calibri" w:eastAsia="Calibri" w:hAnsi="Calibri"/>
          <w:color w:val="F5732B"/>
          <w:sz w:val="22"/>
          <w:szCs w:val="22"/>
        </w:rPr>
        <w:t xml:space="preserve">  —  See behaviour. Improve results.</w:t>
      </w:r>
    </w:p>
    <w:sectPr>
      <w:pgSz w:w="12240" w:h="15840" w:orient="portrait"/>
      <w:pgMar w:top="1100" w:right="1180" w:bottom="100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20"/>
      </w:pPr>
      <w:rPr>
        <w:color w:val="F5732B"/>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4303F"/>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91676acca79229a16cbd4c790a94249bb30f9f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HeatMapIQ — Product Case Study</dc:title>
  <dc:creator>HeatMapIQ</dc:creator>
  <dc:description>Portfolio case study for the HeatMapIQ heatmap analysis web app</dc:description>
  <cp:lastModifiedBy>Un-named</cp:lastModifiedBy>
  <cp:revision>1</cp:revision>
  <dcterms:created xsi:type="dcterms:W3CDTF">2026-07-22T14:45:33.946Z</dcterms:created>
  <dcterms:modified xsi:type="dcterms:W3CDTF">2026-07-22T14:45:33.946Z</dcterms:modified>
</cp:coreProperties>
</file>

<file path=docProps/custom.xml><?xml version="1.0" encoding="utf-8"?>
<Properties xmlns="http://schemas.openxmlformats.org/officeDocument/2006/custom-properties" xmlns:vt="http://schemas.openxmlformats.org/officeDocument/2006/docPropsVTypes"/>
</file>