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Arial" w:hAnsi="Arial"/>
          <w:b/>
          <w:i w:val="0"/>
          <w:color w:val="0E2841"/>
          <w:sz w:val="38"/>
        </w:rPr>
        <w:t>Module 5: Breach Case Study</w:t>
      </w:r>
    </w:p>
    <w:p>
      <w:pPr>
        <w:spacing w:after="160"/>
      </w:pPr>
      <w:r>
        <w:rPr>
          <w:rFonts w:ascii="Arial" w:hAnsi="Arial"/>
          <w:b w:val="0"/>
          <w:i/>
          <w:color w:val="6B7C8F"/>
          <w:sz w:val="24"/>
        </w:rPr>
        <w:t>Facilitator answer key</w:t>
      </w:r>
    </w:p>
    <w:tbl>
      <w:tblPr>
        <w:tblW w:type="auto" w:w="0"/>
        <w:jc w:val="center"/>
        <w:tblLook w:firstColumn="1" w:firstRow="1" w:lastColumn="0" w:lastRow="0" w:noHBand="0" w:noVBand="1" w:val="04A0"/>
        <w:tblBorders>
          <w:top w:val="single" w:sz="4" w:color="F7E8E5"/>
          <w:left w:val="single" w:sz="4" w:color="F7E8E5"/>
          <w:bottom w:val="single" w:sz="4" w:color="F7E8E5"/>
          <w:right w:val="single" w:sz="4" w:color="F7E8E5"/>
          <w:insideH w:val="single" w:sz="4" w:color="F7E8E5"/>
          <w:insideV w:val="single" w:sz="4" w:color="F7E8E5"/>
        </w:tblBorders>
      </w:tblPr>
      <w:tblGrid>
        <w:gridCol w:w="9752"/>
      </w:tblGrid>
      <w:tr>
        <w:tc>
          <w:tcPr>
            <w:tcW w:type="dxa" w:w="9752"/>
            <w:shd w:val="clear" w:fill="F7E8E5"/>
          </w:tcPr>
          <w:p>
            <w:pPr>
              <w:spacing w:before="60" w:after="60"/>
            </w:pPr>
            <w:r>
              <w:rPr>
                <w:rFonts w:ascii="Arial" w:hAnsi="Arial"/>
                <w:b/>
                <w:i w:val="0"/>
                <w:color w:val="B03A2E"/>
                <w:sz w:val="19"/>
              </w:rPr>
              <w:t>FACILITATOR ONLY. Do not distribute to participants.</w:t>
            </w:r>
          </w:p>
        </w:tc>
      </w:tr>
    </w:tbl>
    <w:p>
      <w:pPr>
        <w:spacing w:after="40"/>
      </w:pPr>
    </w:p>
    <w:p>
      <w:pPr>
        <w:spacing w:after="120"/>
      </w:pPr>
      <w:r>
        <w:rPr>
          <w:rFonts w:ascii="Arial" w:hAnsi="Arial"/>
          <w:b w:val="0"/>
          <w:i w:val="0"/>
          <w:color w:val="33465A"/>
          <w:sz w:val="20"/>
        </w:rPr>
        <w:t>The scenario is engineered so that no single person is the cause, and so that the cheapest effective control sits nowhere near the person who pasted the data. Every group will start at “train Noura.” Your job is to move them off it.</w:t>
      </w:r>
    </w:p>
    <w:p>
      <w:pPr>
        <w:spacing w:before="280" w:after="100"/>
      </w:pPr>
      <w:r>
        <w:rPr>
          <w:rFonts w:ascii="Arial" w:hAnsi="Arial"/>
          <w:b/>
          <w:i w:val="0"/>
          <w:color w:val="0E2841"/>
          <w:sz w:val="26"/>
        </w:rPr>
        <w:t>Q1. Failure points</w:t>
      </w:r>
    </w:p>
    <w:p>
      <w:pPr>
        <w:spacing w:after="120"/>
      </w:pPr>
      <w:r>
        <w:rPr>
          <w:rFonts w:ascii="Arial" w:hAnsi="Arial"/>
          <w:b w:val="0"/>
          <w:i/>
          <w:color w:val="6B7C8F"/>
          <w:sz w:val="18"/>
        </w:rPr>
        <w:t>Twelve are findable. Eight is a good table; ten is strong.</w:t>
      </w:r>
    </w:p>
    <w:tbl>
      <w:tblPr>
        <w:tblW w:type="auto" w:w="0"/>
        <w:jc w:val="center"/>
        <w:tblLook w:firstColumn="1" w:firstRow="1" w:lastColumn="0" w:lastRow="0" w:noHBand="0" w:noVBand="1" w:val="04A0"/>
        <w:tblBorders>
          <w:top w:val="single" w:sz="4" w:color="D5DBE0"/>
          <w:left w:val="single" w:sz="4" w:color="D5DBE0"/>
          <w:bottom w:val="single" w:sz="4" w:color="D5DBE0"/>
          <w:right w:val="single" w:sz="4" w:color="D5DBE0"/>
          <w:insideH w:val="single" w:sz="4" w:color="D5DBE0"/>
          <w:insideV w:val="single" w:sz="4" w:color="D5DBE0"/>
        </w:tblBorders>
      </w:tblPr>
      <w:tblGrid>
        <w:gridCol w:w="3251"/>
        <w:gridCol w:w="3251"/>
        <w:gridCol w:w="3251"/>
      </w:tblGrid>
      <w:tr>
        <w:tc>
          <w:tcPr>
            <w:tcW w:type="dxa" w:w="680"/>
            <w:shd w:val="clear" w:fill="0E2841"/>
          </w:tcPr>
          <w:p>
            <w:pPr>
              <w:spacing w:before="40" w:after="40"/>
            </w:pPr>
            <w:r>
              <w:rPr>
                <w:rFonts w:ascii="Arial" w:hAnsi="Arial"/>
                <w:b/>
                <w:i w:val="0"/>
                <w:color w:val="FFFFFF"/>
                <w:sz w:val="17"/>
              </w:rPr>
              <w:t>#</w:t>
            </w:r>
          </w:p>
        </w:tc>
        <w:tc>
          <w:tcPr>
            <w:tcW w:type="dxa" w:w="7370"/>
            <w:shd w:val="clear" w:fill="0E2841"/>
          </w:tcPr>
          <w:p>
            <w:pPr>
              <w:spacing w:before="40" w:after="40"/>
            </w:pPr>
            <w:r>
              <w:rPr>
                <w:rFonts w:ascii="Arial" w:hAnsi="Arial"/>
                <w:b/>
                <w:i w:val="0"/>
                <w:color w:val="FFFFFF"/>
                <w:sz w:val="17"/>
              </w:rPr>
              <w:t>Failure</w:t>
            </w:r>
          </w:p>
        </w:tc>
        <w:tc>
          <w:tcPr>
            <w:tcW w:type="dxa" w:w="1701"/>
            <w:shd w:val="clear" w:fill="0E2841"/>
          </w:tcPr>
          <w:p>
            <w:pPr>
              <w:spacing w:before="40" w:after="40"/>
            </w:pPr>
            <w:r>
              <w:rPr>
                <w:rFonts w:ascii="Arial" w:hAnsi="Arial"/>
                <w:b/>
                <w:i w:val="0"/>
                <w:color w:val="FFFFFF"/>
                <w:sz w:val="17"/>
              </w:rPr>
              <w:t>When</w:t>
            </w:r>
          </w:p>
        </w:tc>
      </w:tr>
      <w:tr>
        <w:tc>
          <w:tcPr>
            <w:tcW w:type="dxa" w:w="680"/>
          </w:tcPr>
          <w:p>
            <w:pPr>
              <w:spacing w:before="60" w:after="60"/>
            </w:pPr>
            <w:r>
              <w:rPr>
                <w:rFonts w:ascii="Arial" w:hAnsi="Arial"/>
                <w:b/>
                <w:i w:val="0"/>
                <w:color w:val="0E2841"/>
                <w:sz w:val="19"/>
              </w:rPr>
              <w:t>1</w:t>
            </w:r>
          </w:p>
        </w:tc>
        <w:tc>
          <w:tcPr>
            <w:tcW w:type="dxa" w:w="7370"/>
          </w:tcPr>
          <w:p>
            <w:pPr>
              <w:spacing w:before="60" w:after="60"/>
            </w:pPr>
            <w:r>
              <w:rPr>
                <w:rFonts w:ascii="Arial" w:hAnsi="Arial"/>
                <w:b w:val="0"/>
                <w:i w:val="0"/>
                <w:color w:val="33465A"/>
                <w:sz w:val="19"/>
              </w:rPr>
              <w:t>Enterprise licence request unresolved for four months. No approved tool existed.</w:t>
            </w:r>
          </w:p>
        </w:tc>
        <w:tc>
          <w:tcPr>
            <w:tcW w:type="dxa" w:w="1701"/>
          </w:tcPr>
          <w:p>
            <w:pPr>
              <w:spacing w:before="60" w:after="60"/>
            </w:pPr>
            <w:r>
              <w:rPr>
                <w:rFonts w:ascii="Arial" w:hAnsi="Arial"/>
                <w:b w:val="0"/>
                <w:i w:val="0"/>
                <w:color w:val="33465A"/>
                <w:sz w:val="19"/>
              </w:rPr>
              <w:t>14 Mar to 8 Jul</w:t>
            </w:r>
          </w:p>
        </w:tc>
      </w:tr>
      <w:tr>
        <w:tc>
          <w:tcPr>
            <w:tcW w:type="dxa" w:w="680"/>
          </w:tcPr>
          <w:p>
            <w:pPr>
              <w:spacing w:before="60" w:after="60"/>
            </w:pPr>
            <w:r>
              <w:rPr>
                <w:rFonts w:ascii="Arial" w:hAnsi="Arial"/>
                <w:b/>
                <w:i w:val="0"/>
                <w:color w:val="0E2841"/>
                <w:sz w:val="19"/>
              </w:rPr>
              <w:t>2</w:t>
            </w:r>
          </w:p>
        </w:tc>
        <w:tc>
          <w:tcPr>
            <w:tcW w:type="dxa" w:w="7370"/>
          </w:tcPr>
          <w:p>
            <w:pPr>
              <w:spacing w:before="60" w:after="60"/>
            </w:pPr>
            <w:r>
              <w:rPr>
                <w:rFonts w:ascii="Arial" w:hAnsi="Arial"/>
                <w:b w:val="0"/>
                <w:i w:val="0"/>
                <w:color w:val="33465A"/>
                <w:sz w:val="19"/>
              </w:rPr>
              <w:t>Deadline compressed from “end of week” to “before you leave” at 16:40.</w:t>
            </w:r>
          </w:p>
        </w:tc>
        <w:tc>
          <w:tcPr>
            <w:tcW w:type="dxa" w:w="1701"/>
          </w:tcPr>
          <w:p>
            <w:pPr>
              <w:spacing w:before="60" w:after="60"/>
            </w:pPr>
            <w:r>
              <w:rPr>
                <w:rFonts w:ascii="Arial" w:hAnsi="Arial"/>
                <w:b w:val="0"/>
                <w:i w:val="0"/>
                <w:color w:val="33465A"/>
                <w:sz w:val="19"/>
              </w:rPr>
              <w:t>8 Jul</w:t>
            </w:r>
          </w:p>
        </w:tc>
      </w:tr>
      <w:tr>
        <w:tc>
          <w:tcPr>
            <w:tcW w:type="dxa" w:w="680"/>
          </w:tcPr>
          <w:p>
            <w:pPr>
              <w:spacing w:before="60" w:after="60"/>
            </w:pPr>
            <w:r>
              <w:rPr>
                <w:rFonts w:ascii="Arial" w:hAnsi="Arial"/>
                <w:b/>
                <w:i w:val="0"/>
                <w:color w:val="0E2841"/>
                <w:sz w:val="19"/>
              </w:rPr>
              <w:t>3</w:t>
            </w:r>
          </w:p>
        </w:tc>
        <w:tc>
          <w:tcPr>
            <w:tcW w:type="dxa" w:w="7370"/>
          </w:tcPr>
          <w:p>
            <w:pPr>
              <w:spacing w:before="60" w:after="60"/>
            </w:pPr>
            <w:r>
              <w:rPr>
                <w:rFonts w:ascii="Arial" w:hAnsi="Arial"/>
                <w:b w:val="0"/>
                <w:i w:val="0"/>
                <w:color w:val="33465A"/>
                <w:sz w:val="19"/>
              </w:rPr>
              <w:t>Standard export includes every column by default. No data minimisation at source.</w:t>
            </w:r>
          </w:p>
        </w:tc>
        <w:tc>
          <w:tcPr>
            <w:tcW w:type="dxa" w:w="1701"/>
          </w:tcPr>
          <w:p>
            <w:pPr>
              <w:spacing w:before="60" w:after="60"/>
            </w:pPr>
            <w:r>
              <w:rPr>
                <w:rFonts w:ascii="Arial" w:hAnsi="Arial"/>
                <w:b w:val="0"/>
                <w:i w:val="0"/>
                <w:color w:val="33465A"/>
                <w:sz w:val="19"/>
              </w:rPr>
              <w:t>16:52</w:t>
            </w:r>
          </w:p>
        </w:tc>
      </w:tr>
      <w:tr>
        <w:tc>
          <w:tcPr>
            <w:tcW w:type="dxa" w:w="680"/>
          </w:tcPr>
          <w:p>
            <w:pPr>
              <w:spacing w:before="60" w:after="60"/>
            </w:pPr>
            <w:r>
              <w:rPr>
                <w:rFonts w:ascii="Arial" w:hAnsi="Arial"/>
                <w:b/>
                <w:i w:val="0"/>
                <w:color w:val="0E2841"/>
                <w:sz w:val="19"/>
              </w:rPr>
              <w:t>4</w:t>
            </w:r>
          </w:p>
        </w:tc>
        <w:tc>
          <w:tcPr>
            <w:tcW w:type="dxa" w:w="7370"/>
          </w:tcPr>
          <w:p>
            <w:pPr>
              <w:spacing w:before="60" w:after="60"/>
            </w:pPr>
            <w:r>
              <w:rPr>
                <w:rFonts w:ascii="Arial" w:hAnsi="Arial"/>
                <w:b w:val="0"/>
                <w:i w:val="0"/>
                <w:color w:val="33465A"/>
                <w:sz w:val="19"/>
              </w:rPr>
              <w:t>No classification applied. Nobody had told her what tier complaint data was.</w:t>
            </w:r>
          </w:p>
        </w:tc>
        <w:tc>
          <w:tcPr>
            <w:tcW w:type="dxa" w:w="1701"/>
          </w:tcPr>
          <w:p>
            <w:pPr>
              <w:spacing w:before="60" w:after="60"/>
            </w:pPr>
            <w:r>
              <w:rPr>
                <w:rFonts w:ascii="Arial" w:hAnsi="Arial"/>
                <w:b w:val="0"/>
                <w:i w:val="0"/>
                <w:color w:val="33465A"/>
                <w:sz w:val="19"/>
              </w:rPr>
              <w:t>16:52</w:t>
            </w:r>
          </w:p>
        </w:tc>
      </w:tr>
      <w:tr>
        <w:tc>
          <w:tcPr>
            <w:tcW w:type="dxa" w:w="680"/>
          </w:tcPr>
          <w:p>
            <w:pPr>
              <w:spacing w:before="60" w:after="60"/>
            </w:pPr>
            <w:r>
              <w:rPr>
                <w:rFonts w:ascii="Arial" w:hAnsi="Arial"/>
                <w:b/>
                <w:i w:val="0"/>
                <w:color w:val="0E2841"/>
                <w:sz w:val="19"/>
              </w:rPr>
              <w:t>5</w:t>
            </w:r>
          </w:p>
        </w:tc>
        <w:tc>
          <w:tcPr>
            <w:tcW w:type="dxa" w:w="7370"/>
          </w:tcPr>
          <w:p>
            <w:pPr>
              <w:spacing w:before="60" w:after="60"/>
            </w:pPr>
            <w:r>
              <w:rPr>
                <w:rFonts w:ascii="Arial" w:hAnsi="Arial"/>
                <w:b w:val="0"/>
                <w:i w:val="0"/>
                <w:color w:val="33465A"/>
                <w:sz w:val="19"/>
              </w:rPr>
              <w:t>Emirates ID numbers present, RESTRICTED tier, and not needed for the task at all.</w:t>
            </w:r>
          </w:p>
        </w:tc>
        <w:tc>
          <w:tcPr>
            <w:tcW w:type="dxa" w:w="1701"/>
          </w:tcPr>
          <w:p>
            <w:pPr>
              <w:spacing w:before="60" w:after="60"/>
            </w:pPr>
            <w:r>
              <w:rPr>
                <w:rFonts w:ascii="Arial" w:hAnsi="Arial"/>
                <w:b w:val="0"/>
                <w:i w:val="0"/>
                <w:color w:val="33465A"/>
                <w:sz w:val="19"/>
              </w:rPr>
              <w:t>16:52</w:t>
            </w:r>
          </w:p>
        </w:tc>
      </w:tr>
      <w:tr>
        <w:tc>
          <w:tcPr>
            <w:tcW w:type="dxa" w:w="680"/>
          </w:tcPr>
          <w:p>
            <w:pPr>
              <w:spacing w:before="60" w:after="60"/>
            </w:pPr>
            <w:r>
              <w:rPr>
                <w:rFonts w:ascii="Arial" w:hAnsi="Arial"/>
                <w:b/>
                <w:i w:val="0"/>
                <w:color w:val="0E2841"/>
                <w:sz w:val="19"/>
              </w:rPr>
              <w:t>6</w:t>
            </w:r>
          </w:p>
        </w:tc>
        <w:tc>
          <w:tcPr>
            <w:tcW w:type="dxa" w:w="7370"/>
          </w:tcPr>
          <w:p>
            <w:pPr>
              <w:spacing w:before="60" w:after="60"/>
            </w:pPr>
            <w:r>
              <w:rPr>
                <w:rFonts w:ascii="Arial" w:hAnsi="Arial"/>
                <w:b w:val="0"/>
                <w:i w:val="0"/>
                <w:color w:val="33465A"/>
                <w:sz w:val="19"/>
              </w:rPr>
              <w:t>Work device locked down with no sanctioned alternative, so the workaround was to leave the estate entirely.</w:t>
            </w:r>
          </w:p>
        </w:tc>
        <w:tc>
          <w:tcPr>
            <w:tcW w:type="dxa" w:w="1701"/>
          </w:tcPr>
          <w:p>
            <w:pPr>
              <w:spacing w:before="60" w:after="60"/>
            </w:pPr>
            <w:r>
              <w:rPr>
                <w:rFonts w:ascii="Arial" w:hAnsi="Arial"/>
                <w:b w:val="0"/>
                <w:i w:val="0"/>
                <w:color w:val="33465A"/>
                <w:sz w:val="19"/>
              </w:rPr>
              <w:t>17:05</w:t>
            </w:r>
          </w:p>
        </w:tc>
      </w:tr>
      <w:tr>
        <w:tc>
          <w:tcPr>
            <w:tcW w:type="dxa" w:w="680"/>
          </w:tcPr>
          <w:p>
            <w:pPr>
              <w:spacing w:before="60" w:after="60"/>
            </w:pPr>
            <w:r>
              <w:rPr>
                <w:rFonts w:ascii="Arial" w:hAnsi="Arial"/>
                <w:b/>
                <w:i w:val="0"/>
                <w:color w:val="0E2841"/>
                <w:sz w:val="19"/>
              </w:rPr>
              <w:t>7</w:t>
            </w:r>
          </w:p>
        </w:tc>
        <w:tc>
          <w:tcPr>
            <w:tcW w:type="dxa" w:w="7370"/>
          </w:tcPr>
          <w:p>
            <w:pPr>
              <w:spacing w:before="60" w:after="60"/>
            </w:pPr>
            <w:r>
              <w:rPr>
                <w:rFonts w:ascii="Arial" w:hAnsi="Arial"/>
                <w:b w:val="0"/>
                <w:i w:val="0"/>
                <w:color w:val="33465A"/>
                <w:sz w:val="19"/>
              </w:rPr>
              <w:t>Personal account used. No DPA, no tenancy, unrecoverable.</w:t>
            </w:r>
          </w:p>
        </w:tc>
        <w:tc>
          <w:tcPr>
            <w:tcW w:type="dxa" w:w="1701"/>
          </w:tcPr>
          <w:p>
            <w:pPr>
              <w:spacing w:before="60" w:after="60"/>
            </w:pPr>
            <w:r>
              <w:rPr>
                <w:rFonts w:ascii="Arial" w:hAnsi="Arial"/>
                <w:b w:val="0"/>
                <w:i w:val="0"/>
                <w:color w:val="33465A"/>
                <w:sz w:val="19"/>
              </w:rPr>
              <w:t>17:05</w:t>
            </w:r>
          </w:p>
        </w:tc>
      </w:tr>
      <w:tr>
        <w:tc>
          <w:tcPr>
            <w:tcW w:type="dxa" w:w="680"/>
          </w:tcPr>
          <w:p>
            <w:pPr>
              <w:spacing w:before="60" w:after="60"/>
            </w:pPr>
            <w:r>
              <w:rPr>
                <w:rFonts w:ascii="Arial" w:hAnsi="Arial"/>
                <w:b/>
                <w:i w:val="0"/>
                <w:color w:val="0E2841"/>
                <w:sz w:val="19"/>
              </w:rPr>
              <w:t>8</w:t>
            </w:r>
          </w:p>
        </w:tc>
        <w:tc>
          <w:tcPr>
            <w:tcW w:type="dxa" w:w="7370"/>
          </w:tcPr>
          <w:p>
            <w:pPr>
              <w:spacing w:before="60" w:after="60"/>
            </w:pPr>
            <w:r>
              <w:rPr>
                <w:rFonts w:ascii="Arial" w:hAnsi="Arial"/>
                <w:b w:val="0"/>
                <w:i w:val="0"/>
                <w:color w:val="33465A"/>
                <w:sz w:val="19"/>
              </w:rPr>
              <w:t>Personal device used, outside all device management.</w:t>
            </w:r>
          </w:p>
        </w:tc>
        <w:tc>
          <w:tcPr>
            <w:tcW w:type="dxa" w:w="1701"/>
          </w:tcPr>
          <w:p>
            <w:pPr>
              <w:spacing w:before="60" w:after="60"/>
            </w:pPr>
            <w:r>
              <w:rPr>
                <w:rFonts w:ascii="Arial" w:hAnsi="Arial"/>
                <w:b w:val="0"/>
                <w:i w:val="0"/>
                <w:color w:val="33465A"/>
                <w:sz w:val="19"/>
              </w:rPr>
              <w:t>17:05</w:t>
            </w:r>
          </w:p>
        </w:tc>
      </w:tr>
      <w:tr>
        <w:tc>
          <w:tcPr>
            <w:tcW w:type="dxa" w:w="680"/>
          </w:tcPr>
          <w:p>
            <w:pPr>
              <w:spacing w:before="60" w:after="60"/>
            </w:pPr>
            <w:r>
              <w:rPr>
                <w:rFonts w:ascii="Arial" w:hAnsi="Arial"/>
                <w:b/>
                <w:i w:val="0"/>
                <w:color w:val="0E2841"/>
                <w:sz w:val="19"/>
              </w:rPr>
              <w:t>9</w:t>
            </w:r>
          </w:p>
        </w:tc>
        <w:tc>
          <w:tcPr>
            <w:tcW w:type="dxa" w:w="7370"/>
          </w:tcPr>
          <w:p>
            <w:pPr>
              <w:spacing w:before="60" w:after="60"/>
            </w:pPr>
            <w:r>
              <w:rPr>
                <w:rFonts w:ascii="Arial" w:hAnsi="Arial"/>
                <w:b w:val="0"/>
                <w:i w:val="0"/>
                <w:color w:val="33465A"/>
                <w:sz w:val="19"/>
              </w:rPr>
              <w:t>Output shared on WhatsApp, an unapproved channel, with no marking.</w:t>
            </w:r>
          </w:p>
        </w:tc>
        <w:tc>
          <w:tcPr>
            <w:tcW w:type="dxa" w:w="1701"/>
          </w:tcPr>
          <w:p>
            <w:pPr>
              <w:spacing w:before="60" w:after="60"/>
            </w:pPr>
            <w:r>
              <w:rPr>
                <w:rFonts w:ascii="Arial" w:hAnsi="Arial"/>
                <w:b w:val="0"/>
                <w:i w:val="0"/>
                <w:color w:val="33465A"/>
                <w:sz w:val="19"/>
              </w:rPr>
              <w:t>17:35</w:t>
            </w:r>
          </w:p>
        </w:tc>
      </w:tr>
      <w:tr>
        <w:tc>
          <w:tcPr>
            <w:tcW w:type="dxa" w:w="680"/>
          </w:tcPr>
          <w:p>
            <w:pPr>
              <w:spacing w:before="60" w:after="60"/>
            </w:pPr>
            <w:r>
              <w:rPr>
                <w:rFonts w:ascii="Arial" w:hAnsi="Arial"/>
                <w:b/>
                <w:i w:val="0"/>
                <w:color w:val="0E2841"/>
                <w:sz w:val="19"/>
              </w:rPr>
              <w:t>10</w:t>
            </w:r>
          </w:p>
        </w:tc>
        <w:tc>
          <w:tcPr>
            <w:tcW w:type="dxa" w:w="7370"/>
          </w:tcPr>
          <w:p>
            <w:pPr>
              <w:spacing w:before="60" w:after="60"/>
            </w:pPr>
            <w:r>
              <w:rPr>
                <w:rFonts w:ascii="Arial" w:hAnsi="Arial"/>
                <w:b w:val="0"/>
                <w:i w:val="0"/>
                <w:color w:val="33465A"/>
                <w:sz w:val="19"/>
              </w:rPr>
              <w:t>Hassan used it in committee and never asked how it was produced.</w:t>
            </w:r>
          </w:p>
        </w:tc>
        <w:tc>
          <w:tcPr>
            <w:tcW w:type="dxa" w:w="1701"/>
          </w:tcPr>
          <w:p>
            <w:pPr>
              <w:spacing w:before="60" w:after="60"/>
            </w:pPr>
            <w:r>
              <w:rPr>
                <w:rFonts w:ascii="Arial" w:hAnsi="Arial"/>
                <w:b w:val="0"/>
                <w:i w:val="0"/>
                <w:color w:val="33465A"/>
                <w:sz w:val="19"/>
              </w:rPr>
              <w:t>9 Jul</w:t>
            </w:r>
          </w:p>
        </w:tc>
      </w:tr>
      <w:tr>
        <w:tc>
          <w:tcPr>
            <w:tcW w:type="dxa" w:w="680"/>
          </w:tcPr>
          <w:p>
            <w:pPr>
              <w:spacing w:before="60" w:after="60"/>
            </w:pPr>
            <w:r>
              <w:rPr>
                <w:rFonts w:ascii="Arial" w:hAnsi="Arial"/>
                <w:b/>
                <w:i w:val="0"/>
                <w:color w:val="0E2841"/>
                <w:sz w:val="19"/>
              </w:rPr>
              <w:t>11</w:t>
            </w:r>
          </w:p>
        </w:tc>
        <w:tc>
          <w:tcPr>
            <w:tcW w:type="dxa" w:w="7370"/>
          </w:tcPr>
          <w:p>
            <w:pPr>
              <w:spacing w:before="60" w:after="60"/>
            </w:pPr>
            <w:r>
              <w:rPr>
                <w:rFonts w:ascii="Arial" w:hAnsi="Arial"/>
                <w:b w:val="0"/>
                <w:i w:val="0"/>
                <w:color w:val="33465A"/>
                <w:sz w:val="19"/>
              </w:rPr>
              <w:t>Omar forwarded it externally with no check. It carried no marking to stop him.</w:t>
            </w:r>
          </w:p>
        </w:tc>
        <w:tc>
          <w:tcPr>
            <w:tcW w:type="dxa" w:w="1701"/>
          </w:tcPr>
          <w:p>
            <w:pPr>
              <w:spacing w:before="60" w:after="60"/>
            </w:pPr>
            <w:r>
              <w:rPr>
                <w:rFonts w:ascii="Arial" w:hAnsi="Arial"/>
                <w:b w:val="0"/>
                <w:i w:val="0"/>
                <w:color w:val="33465A"/>
                <w:sz w:val="19"/>
              </w:rPr>
              <w:t>14 Jul</w:t>
            </w:r>
          </w:p>
        </w:tc>
      </w:tr>
      <w:tr>
        <w:tc>
          <w:tcPr>
            <w:tcW w:type="dxa" w:w="680"/>
          </w:tcPr>
          <w:p>
            <w:pPr>
              <w:spacing w:before="60" w:after="60"/>
            </w:pPr>
            <w:r>
              <w:rPr>
                <w:rFonts w:ascii="Arial" w:hAnsi="Arial"/>
                <w:b/>
                <w:i w:val="0"/>
                <w:color w:val="0E2841"/>
                <w:sz w:val="19"/>
              </w:rPr>
              <w:t>12</w:t>
            </w:r>
          </w:p>
        </w:tc>
        <w:tc>
          <w:tcPr>
            <w:tcW w:type="dxa" w:w="7370"/>
          </w:tcPr>
          <w:p>
            <w:pPr>
              <w:spacing w:before="60" w:after="60"/>
            </w:pPr>
            <w:r>
              <w:rPr>
                <w:rFonts w:ascii="Arial" w:hAnsi="Arial"/>
                <w:b w:val="0"/>
                <w:i w:val="0"/>
                <w:color w:val="33465A"/>
                <w:sz w:val="19"/>
              </w:rPr>
              <w:t>No record anywhere that AI had been used at any point.</w:t>
            </w:r>
          </w:p>
        </w:tc>
        <w:tc>
          <w:tcPr>
            <w:tcW w:type="dxa" w:w="1701"/>
          </w:tcPr>
          <w:p>
            <w:pPr>
              <w:spacing w:before="60" w:after="60"/>
            </w:pPr>
            <w:r>
              <w:rPr>
                <w:rFonts w:ascii="Arial" w:hAnsi="Arial"/>
                <w:b w:val="0"/>
                <w:i w:val="0"/>
                <w:color w:val="33465A"/>
                <w:sz w:val="19"/>
              </w:rPr>
              <w:t>Throughout</w:t>
            </w:r>
          </w:p>
        </w:tc>
      </w:tr>
    </w:tbl>
    <w:p>
      <w:pPr>
        <w:spacing w:after="80"/>
      </w:pPr>
      <w:r>
        <w:rPr>
          <w:rFonts w:ascii="Arial" w:hAnsi="Arial"/>
          <w:b w:val="0"/>
          <w:i/>
          <w:color w:val="6B7C8F"/>
          <w:sz w:val="18"/>
        </w:rPr>
        <w:t>Two to surface if the room misses them: number 3 (the export was over-broad before anyone touched AI, so this was a data minimisation failure first and an AI incident second) and number 9 (an unmarked output is an output that travels; Omar had nothing telling him not to).</w:t>
      </w:r>
    </w:p>
    <w:p>
      <w:pPr>
        <w:spacing w:before="320" w:after="100"/>
      </w:pPr>
      <w:r>
        <w:rPr>
          <w:rFonts w:ascii="Arial" w:hAnsi="Arial"/>
          <w:b/>
          <w:i w:val="0"/>
          <w:color w:val="0E2841"/>
          <w:sz w:val="26"/>
        </w:rPr>
        <w:t>Q2. Accountability, at five levels</w:t>
      </w:r>
    </w:p>
    <w:tbl>
      <w:tblPr>
        <w:tblW w:type="auto" w:w="0"/>
        <w:jc w:val="center"/>
        <w:tblLook w:firstColumn="1" w:firstRow="1" w:lastColumn="0" w:lastRow="0" w:noHBand="0" w:noVBand="1" w:val="04A0"/>
        <w:tblBorders>
          <w:top w:val="single" w:sz="4" w:color="D5DBE0"/>
          <w:left w:val="single" w:sz="4" w:color="D5DBE0"/>
          <w:bottom w:val="single" w:sz="4" w:color="D5DBE0"/>
          <w:right w:val="single" w:sz="4" w:color="D5DBE0"/>
          <w:insideH w:val="single" w:sz="4" w:color="D5DBE0"/>
          <w:insideV w:val="single" w:sz="4" w:color="D5DBE0"/>
        </w:tblBorders>
      </w:tblPr>
      <w:tblGrid>
        <w:gridCol w:w="3251"/>
        <w:gridCol w:w="3251"/>
        <w:gridCol w:w="3251"/>
      </w:tblGrid>
      <w:tr>
        <w:tc>
          <w:tcPr>
            <w:tcW w:type="dxa" w:w="1587"/>
            <w:shd w:val="clear" w:fill="0E2841"/>
          </w:tcPr>
          <w:p>
            <w:pPr>
              <w:spacing w:before="40" w:after="40"/>
            </w:pPr>
            <w:r>
              <w:rPr>
                <w:rFonts w:ascii="Arial" w:hAnsi="Arial"/>
                <w:b/>
                <w:i w:val="0"/>
                <w:color w:val="FFFFFF"/>
                <w:sz w:val="17"/>
              </w:rPr>
              <w:t>Level</w:t>
            </w:r>
          </w:p>
        </w:tc>
        <w:tc>
          <w:tcPr>
            <w:tcW w:type="dxa" w:w="1474"/>
            <w:shd w:val="clear" w:fill="0E2841"/>
          </w:tcPr>
          <w:p>
            <w:pPr>
              <w:spacing w:before="40" w:after="40"/>
            </w:pPr>
            <w:r>
              <w:rPr>
                <w:rFonts w:ascii="Arial" w:hAnsi="Arial"/>
                <w:b/>
                <w:i w:val="0"/>
                <w:color w:val="FFFFFF"/>
                <w:sz w:val="17"/>
              </w:rPr>
              <w:t>Who</w:t>
            </w:r>
          </w:p>
        </w:tc>
        <w:tc>
          <w:tcPr>
            <w:tcW w:type="dxa" w:w="6690"/>
            <w:shd w:val="clear" w:fill="0E2841"/>
          </w:tcPr>
          <w:p>
            <w:pPr>
              <w:spacing w:before="40" w:after="40"/>
            </w:pPr>
            <w:r>
              <w:rPr>
                <w:rFonts w:ascii="Arial" w:hAnsi="Arial"/>
                <w:b/>
                <w:i w:val="0"/>
                <w:color w:val="FFFFFF"/>
                <w:sz w:val="17"/>
              </w:rPr>
              <w:t>Accountable for what</w:t>
            </w:r>
          </w:p>
        </w:tc>
      </w:tr>
      <w:tr>
        <w:tc>
          <w:tcPr>
            <w:tcW w:type="dxa" w:w="1587"/>
          </w:tcPr>
          <w:p>
            <w:pPr>
              <w:spacing w:before="60" w:after="60"/>
            </w:pPr>
            <w:r>
              <w:rPr>
                <w:rFonts w:ascii="Arial" w:hAnsi="Arial"/>
                <w:b/>
                <w:i w:val="0"/>
                <w:color w:val="0E2841"/>
                <w:sz w:val="19"/>
              </w:rPr>
              <w:t>Individual</w:t>
            </w:r>
          </w:p>
        </w:tc>
        <w:tc>
          <w:tcPr>
            <w:tcW w:type="dxa" w:w="1474"/>
          </w:tcPr>
          <w:p>
            <w:pPr>
              <w:spacing w:before="60" w:after="60"/>
            </w:pPr>
            <w:r>
              <w:rPr>
                <w:rFonts w:ascii="Arial" w:hAnsi="Arial"/>
                <w:b w:val="0"/>
                <w:i w:val="0"/>
                <w:color w:val="33465A"/>
                <w:sz w:val="19"/>
              </w:rPr>
              <w:t>Noura</w:t>
            </w:r>
          </w:p>
        </w:tc>
        <w:tc>
          <w:tcPr>
            <w:tcW w:type="dxa" w:w="6690"/>
          </w:tcPr>
          <w:p>
            <w:pPr>
              <w:spacing w:before="60" w:after="60"/>
            </w:pPr>
            <w:r>
              <w:rPr>
                <w:rFonts w:ascii="Arial" w:hAnsi="Arial"/>
                <w:b w:val="0"/>
                <w:i w:val="0"/>
                <w:color w:val="33465A"/>
                <w:sz w:val="19"/>
              </w:rPr>
              <w:t>Personal account, unfiltered paste, unapproved channel.</w:t>
            </w:r>
          </w:p>
        </w:tc>
      </w:tr>
      <w:tr>
        <w:tc>
          <w:tcPr>
            <w:tcW w:type="dxa" w:w="1587"/>
          </w:tcPr>
          <w:p>
            <w:pPr>
              <w:spacing w:before="60" w:after="60"/>
            </w:pPr>
            <w:r>
              <w:rPr>
                <w:rFonts w:ascii="Arial" w:hAnsi="Arial"/>
                <w:b/>
                <w:i w:val="0"/>
                <w:color w:val="0E2841"/>
                <w:sz w:val="19"/>
              </w:rPr>
              <w:t>Manager</w:t>
            </w:r>
          </w:p>
        </w:tc>
        <w:tc>
          <w:tcPr>
            <w:tcW w:type="dxa" w:w="1474"/>
          </w:tcPr>
          <w:p>
            <w:pPr>
              <w:spacing w:before="60" w:after="60"/>
            </w:pPr>
            <w:r>
              <w:rPr>
                <w:rFonts w:ascii="Arial" w:hAnsi="Arial"/>
                <w:b w:val="0"/>
                <w:i w:val="0"/>
                <w:color w:val="33465A"/>
                <w:sz w:val="19"/>
              </w:rPr>
              <w:t>Hassan</w:t>
            </w:r>
          </w:p>
        </w:tc>
        <w:tc>
          <w:tcPr>
            <w:tcW w:type="dxa" w:w="6690"/>
          </w:tcPr>
          <w:p>
            <w:pPr>
              <w:spacing w:before="60" w:after="60"/>
            </w:pPr>
            <w:r>
              <w:rPr>
                <w:rFonts w:ascii="Arial" w:hAnsi="Arial"/>
                <w:b w:val="0"/>
                <w:i w:val="0"/>
                <w:color w:val="33465A"/>
                <w:sz w:val="19"/>
              </w:rPr>
              <w:t>Compressed the deadline, consumed the output with no provenance question, presented it onward.</w:t>
            </w:r>
          </w:p>
        </w:tc>
      </w:tr>
      <w:tr>
        <w:tc>
          <w:tcPr>
            <w:tcW w:type="dxa" w:w="1587"/>
          </w:tcPr>
          <w:p>
            <w:pPr>
              <w:spacing w:before="60" w:after="60"/>
            </w:pPr>
            <w:r>
              <w:rPr>
                <w:rFonts w:ascii="Arial" w:hAnsi="Arial"/>
                <w:b/>
                <w:i w:val="0"/>
                <w:color w:val="0E2841"/>
                <w:sz w:val="19"/>
              </w:rPr>
              <w:t>Peer</w:t>
            </w:r>
          </w:p>
        </w:tc>
        <w:tc>
          <w:tcPr>
            <w:tcW w:type="dxa" w:w="1474"/>
          </w:tcPr>
          <w:p>
            <w:pPr>
              <w:spacing w:before="60" w:after="60"/>
            </w:pPr>
            <w:r>
              <w:rPr>
                <w:rFonts w:ascii="Arial" w:hAnsi="Arial"/>
                <w:b w:val="0"/>
                <w:i w:val="0"/>
                <w:color w:val="33465A"/>
                <w:sz w:val="19"/>
              </w:rPr>
              <w:t>Omar</w:t>
            </w:r>
          </w:p>
        </w:tc>
        <w:tc>
          <w:tcPr>
            <w:tcW w:type="dxa" w:w="6690"/>
          </w:tcPr>
          <w:p>
            <w:pPr>
              <w:spacing w:before="60" w:after="60"/>
            </w:pPr>
            <w:r>
              <w:rPr>
                <w:rFonts w:ascii="Arial" w:hAnsi="Arial"/>
                <w:b w:val="0"/>
                <w:i w:val="0"/>
                <w:color w:val="33465A"/>
                <w:sz w:val="19"/>
              </w:rPr>
              <w:t>Forwarded outside the organisation without checking.</w:t>
            </w:r>
          </w:p>
        </w:tc>
      </w:tr>
      <w:tr>
        <w:tc>
          <w:tcPr>
            <w:tcW w:type="dxa" w:w="1587"/>
          </w:tcPr>
          <w:p>
            <w:pPr>
              <w:spacing w:before="60" w:after="60"/>
            </w:pPr>
            <w:r>
              <w:rPr>
                <w:rFonts w:ascii="Arial" w:hAnsi="Arial"/>
                <w:b/>
                <w:i w:val="0"/>
                <w:color w:val="0E2841"/>
                <w:sz w:val="19"/>
              </w:rPr>
              <w:t>Department</w:t>
            </w:r>
          </w:p>
        </w:tc>
        <w:tc>
          <w:tcPr>
            <w:tcW w:type="dxa" w:w="1474"/>
          </w:tcPr>
          <w:p>
            <w:pPr>
              <w:spacing w:before="60" w:after="60"/>
            </w:pPr>
            <w:r>
              <w:rPr>
                <w:rFonts w:ascii="Arial" w:hAnsi="Arial"/>
                <w:b w:val="0"/>
                <w:i w:val="0"/>
                <w:color w:val="33465A"/>
                <w:sz w:val="19"/>
              </w:rPr>
            </w:r>
          </w:p>
        </w:tc>
        <w:tc>
          <w:tcPr>
            <w:tcW w:type="dxa" w:w="6690"/>
          </w:tcPr>
          <w:p>
            <w:pPr>
              <w:spacing w:before="60" w:after="60"/>
            </w:pPr>
            <w:r>
              <w:rPr>
                <w:rFonts w:ascii="Arial" w:hAnsi="Arial"/>
                <w:b w:val="0"/>
                <w:i w:val="0"/>
                <w:color w:val="33465A"/>
                <w:sz w:val="19"/>
              </w:rPr>
              <w:t>Four-month licence delay. No classification training. No logging requirement. Over-broad standard export.</w:t>
            </w:r>
          </w:p>
        </w:tc>
      </w:tr>
      <w:tr>
        <w:tc>
          <w:tcPr>
            <w:tcW w:type="dxa" w:w="1587"/>
          </w:tcPr>
          <w:p>
            <w:pPr>
              <w:spacing w:before="60" w:after="60"/>
            </w:pPr>
            <w:r>
              <w:rPr>
                <w:rFonts w:ascii="Arial" w:hAnsi="Arial"/>
                <w:b/>
                <w:i w:val="0"/>
                <w:color w:val="0E2841"/>
                <w:sz w:val="19"/>
              </w:rPr>
              <w:t>Organisation</w:t>
            </w:r>
          </w:p>
        </w:tc>
        <w:tc>
          <w:tcPr>
            <w:tcW w:type="dxa" w:w="1474"/>
          </w:tcPr>
          <w:p>
            <w:pPr>
              <w:spacing w:before="60" w:after="60"/>
            </w:pPr>
            <w:r>
              <w:rPr>
                <w:rFonts w:ascii="Arial" w:hAnsi="Arial"/>
                <w:b w:val="0"/>
                <w:i w:val="0"/>
                <w:color w:val="33465A"/>
                <w:sz w:val="19"/>
              </w:rPr>
            </w:r>
          </w:p>
        </w:tc>
        <w:tc>
          <w:tcPr>
            <w:tcW w:type="dxa" w:w="6690"/>
          </w:tcPr>
          <w:p>
            <w:pPr>
              <w:spacing w:before="60" w:after="60"/>
            </w:pPr>
            <w:r>
              <w:rPr>
                <w:rFonts w:ascii="Arial" w:hAnsi="Arial"/>
                <w:b w:val="0"/>
                <w:i w:val="0"/>
                <w:color w:val="33465A"/>
                <w:sz w:val="19"/>
              </w:rPr>
              <w:t>A policy nobody could name, and no sanctioned path when the locked-down device blocked the work.</w:t>
            </w:r>
          </w:p>
        </w:tc>
      </w:tr>
    </w:tbl>
    <w:tbl>
      <w:tblPr>
        <w:tblW w:type="auto" w:w="0"/>
        <w:jc w:val="center"/>
        <w:tblLook w:firstColumn="1" w:firstRow="1" w:lastColumn="0" w:lastRow="0" w:noHBand="0" w:noVBand="1" w:val="04A0"/>
        <w:tblBorders>
          <w:top w:val="single" w:sz="4" w:color="F3EDDE"/>
          <w:left w:val="single" w:sz="4" w:color="F3EDDE"/>
          <w:bottom w:val="single" w:sz="4" w:color="F3EDDE"/>
          <w:right w:val="single" w:sz="4" w:color="F3EDDE"/>
          <w:insideH w:val="single" w:sz="4" w:color="F3EDDE"/>
          <w:insideV w:val="single" w:sz="4" w:color="F3EDDE"/>
        </w:tblBorders>
      </w:tblPr>
      <w:tblGrid>
        <w:gridCol w:w="9752"/>
      </w:tblGrid>
      <w:tr>
        <w:tc>
          <w:tcPr>
            <w:tcW w:type="dxa" w:w="9752"/>
            <w:shd w:val="clear" w:fill="F3EDDE"/>
          </w:tcPr>
          <w:p>
            <w:pPr>
              <w:spacing w:before="60" w:after="60"/>
            </w:pPr>
            <w:r>
              <w:rPr>
                <w:rFonts w:ascii="Arial" w:hAnsi="Arial"/>
                <w:b/>
                <w:i w:val="0"/>
                <w:color w:val="8A5A00"/>
                <w:sz w:val="20"/>
              </w:rPr>
              <w:t>The move to make: ask “if Noura had been off sick that day, would this have happened anyway?” Almost certainly yes, to whoever else was handed a 16:40 deadline with no tool. That is how they know it is systemic rather than personal.</w:t>
            </w:r>
          </w:p>
        </w:tc>
      </w:tr>
    </w:tbl>
    <w:p>
      <w:pPr>
        <w:spacing w:after="40"/>
      </w:pPr>
    </w:p>
    <w:p>
      <w:r>
        <w:br w:type="page"/>
      </w:r>
    </w:p>
    <w:p>
      <w:pPr>
        <w:spacing w:before="80" w:after="100"/>
      </w:pPr>
      <w:r>
        <w:rPr>
          <w:rFonts w:ascii="Arial" w:hAnsi="Arial"/>
          <w:b/>
          <w:i w:val="0"/>
          <w:color w:val="0E2841"/>
          <w:sz w:val="26"/>
        </w:rPr>
        <w:t>Q3. The earliest, cheapest control</w:t>
      </w:r>
    </w:p>
    <w:p>
      <w:pPr>
        <w:spacing w:after="120"/>
      </w:pPr>
      <w:r>
        <w:rPr>
          <w:rFonts w:ascii="Arial" w:hAnsi="Arial"/>
          <w:b w:val="0"/>
          <w:i/>
          <w:color w:val="6B7C8F"/>
          <w:sz w:val="18"/>
        </w:rPr>
        <w:t>Rank these with the room.</w:t>
      </w:r>
    </w:p>
    <w:tbl>
      <w:tblPr>
        <w:tblW w:type="auto" w:w="0"/>
        <w:jc w:val="center"/>
        <w:tblLook w:firstColumn="1" w:firstRow="1" w:lastColumn="0" w:lastRow="0" w:noHBand="0" w:noVBand="1" w:val="04A0"/>
        <w:tblBorders>
          <w:top w:val="single" w:sz="4" w:color="D5DBE0"/>
          <w:left w:val="single" w:sz="4" w:color="D5DBE0"/>
          <w:bottom w:val="single" w:sz="4" w:color="D5DBE0"/>
          <w:right w:val="single" w:sz="4" w:color="D5DBE0"/>
          <w:insideH w:val="single" w:sz="4" w:color="D5DBE0"/>
          <w:insideV w:val="single" w:sz="4" w:color="D5DBE0"/>
        </w:tblBorders>
      </w:tblPr>
      <w:tblGrid>
        <w:gridCol w:w="3251"/>
        <w:gridCol w:w="3251"/>
        <w:gridCol w:w="3251"/>
      </w:tblGrid>
      <w:tr>
        <w:tc>
          <w:tcPr>
            <w:tcW w:type="dxa" w:w="3969"/>
            <w:shd w:val="clear" w:fill="0E2841"/>
          </w:tcPr>
          <w:p>
            <w:pPr>
              <w:spacing w:before="40" w:after="40"/>
            </w:pPr>
            <w:r>
              <w:rPr>
                <w:rFonts w:ascii="Arial" w:hAnsi="Arial"/>
                <w:b/>
                <w:i w:val="0"/>
                <w:color w:val="FFFFFF"/>
                <w:sz w:val="17"/>
              </w:rPr>
              <w:t>Control</w:t>
            </w:r>
          </w:p>
        </w:tc>
        <w:tc>
          <w:tcPr>
            <w:tcW w:type="dxa" w:w="2041"/>
            <w:shd w:val="clear" w:fill="0E2841"/>
          </w:tcPr>
          <w:p>
            <w:pPr>
              <w:spacing w:before="40" w:after="40"/>
            </w:pPr>
            <w:r>
              <w:rPr>
                <w:rFonts w:ascii="Arial" w:hAnsi="Arial"/>
                <w:b/>
                <w:i w:val="0"/>
                <w:color w:val="FFFFFF"/>
                <w:sz w:val="17"/>
              </w:rPr>
              <w:t>Cost</w:t>
            </w:r>
          </w:p>
        </w:tc>
        <w:tc>
          <w:tcPr>
            <w:tcW w:type="dxa" w:w="3742"/>
            <w:shd w:val="clear" w:fill="0E2841"/>
          </w:tcPr>
          <w:p>
            <w:pPr>
              <w:spacing w:before="40" w:after="40"/>
            </w:pPr>
            <w:r>
              <w:rPr>
                <w:rFonts w:ascii="Arial" w:hAnsi="Arial"/>
                <w:b/>
                <w:i w:val="0"/>
                <w:color w:val="FFFFFF"/>
                <w:sz w:val="17"/>
              </w:rPr>
              <w:t>Where it stops the chain</w:t>
            </w:r>
          </w:p>
        </w:tc>
      </w:tr>
      <w:tr>
        <w:tc>
          <w:tcPr>
            <w:tcW w:type="dxa" w:w="3969"/>
            <w:shd w:val="clear" w:fill="E6F2EE"/>
          </w:tcPr>
          <w:p>
            <w:pPr>
              <w:spacing w:before="60" w:after="60"/>
            </w:pPr>
            <w:r>
              <w:rPr>
                <w:rFonts w:ascii="Arial" w:hAnsi="Arial"/>
                <w:b/>
                <w:i w:val="0"/>
                <w:color w:val="0E2841"/>
                <w:sz w:val="19"/>
              </w:rPr>
              <w:t>Resolve the licence request</w:t>
            </w:r>
          </w:p>
        </w:tc>
        <w:tc>
          <w:tcPr>
            <w:tcW w:type="dxa" w:w="2041"/>
            <w:shd w:val="clear" w:fill="E6F2EE"/>
          </w:tcPr>
          <w:p>
            <w:pPr>
              <w:spacing w:before="60" w:after="60"/>
            </w:pPr>
            <w:r>
              <w:rPr>
                <w:rFonts w:ascii="Arial" w:hAnsi="Arial"/>
                <w:b w:val="0"/>
                <w:i w:val="0"/>
                <w:color w:val="33465A"/>
                <w:sz w:val="19"/>
              </w:rPr>
              <w:t>One licence fee</w:t>
            </w:r>
          </w:p>
        </w:tc>
        <w:tc>
          <w:tcPr>
            <w:tcW w:type="dxa" w:w="3742"/>
            <w:shd w:val="clear" w:fill="E6F2EE"/>
          </w:tcPr>
          <w:p>
            <w:pPr>
              <w:spacing w:before="60" w:after="60"/>
            </w:pPr>
            <w:r>
              <w:rPr>
                <w:rFonts w:ascii="Arial" w:hAnsi="Arial"/>
                <w:b w:val="0"/>
                <w:i w:val="0"/>
                <w:color w:val="33465A"/>
                <w:sz w:val="19"/>
              </w:rPr>
              <w:t>Step 1. The whole chain never starts.</w:t>
            </w:r>
          </w:p>
        </w:tc>
      </w:tr>
      <w:tr>
        <w:tc>
          <w:tcPr>
            <w:tcW w:type="dxa" w:w="3969"/>
            <w:shd w:val="clear" w:fill="E6F2EE"/>
          </w:tcPr>
          <w:p>
            <w:pPr>
              <w:spacing w:before="60" w:after="60"/>
            </w:pPr>
            <w:r>
              <w:rPr>
                <w:rFonts w:ascii="Arial" w:hAnsi="Arial"/>
                <w:b/>
                <w:i w:val="0"/>
                <w:color w:val="0E2841"/>
                <w:sz w:val="19"/>
              </w:rPr>
              <w:t>Minimise the export. Do not include ID numbers a summary task never needs.</w:t>
            </w:r>
          </w:p>
        </w:tc>
        <w:tc>
          <w:tcPr>
            <w:tcW w:type="dxa" w:w="2041"/>
            <w:shd w:val="clear" w:fill="E6F2EE"/>
          </w:tcPr>
          <w:p>
            <w:pPr>
              <w:spacing w:before="60" w:after="60"/>
            </w:pPr>
            <w:r>
              <w:rPr>
                <w:rFonts w:ascii="Arial" w:hAnsi="Arial"/>
                <w:b w:val="0"/>
                <w:i w:val="0"/>
                <w:color w:val="33465A"/>
                <w:sz w:val="19"/>
              </w:rPr>
              <w:t>One config change, once</w:t>
            </w:r>
          </w:p>
        </w:tc>
        <w:tc>
          <w:tcPr>
            <w:tcW w:type="dxa" w:w="3742"/>
            <w:shd w:val="clear" w:fill="E6F2EE"/>
          </w:tcPr>
          <w:p>
            <w:pPr>
              <w:spacing w:before="60" w:after="60"/>
            </w:pPr>
            <w:r>
              <w:rPr>
                <w:rFonts w:ascii="Arial" w:hAnsi="Arial"/>
                <w:b w:val="0"/>
                <w:i w:val="0"/>
                <w:color w:val="33465A"/>
                <w:sz w:val="19"/>
              </w:rPr>
              <w:t>Step 3. The sensitive data never leaves the system.</w:t>
            </w:r>
          </w:p>
        </w:tc>
      </w:tr>
      <w:tr>
        <w:tc>
          <w:tcPr>
            <w:tcW w:type="dxa" w:w="3969"/>
          </w:tcPr>
          <w:p>
            <w:pPr>
              <w:spacing w:before="60" w:after="60"/>
            </w:pPr>
            <w:r>
              <w:rPr>
                <w:rFonts w:ascii="Arial" w:hAnsi="Arial"/>
                <w:b/>
                <w:i w:val="0"/>
                <w:color w:val="0E2841"/>
                <w:sz w:val="19"/>
              </w:rPr>
              <w:t>Classification marking on outputs</w:t>
            </w:r>
          </w:p>
        </w:tc>
        <w:tc>
          <w:tcPr>
            <w:tcW w:type="dxa" w:w="2041"/>
          </w:tcPr>
          <w:p>
            <w:pPr>
              <w:spacing w:before="60" w:after="60"/>
            </w:pPr>
            <w:r>
              <w:rPr>
                <w:rFonts w:ascii="Arial" w:hAnsi="Arial"/>
                <w:b w:val="0"/>
                <w:i w:val="0"/>
                <w:color w:val="33465A"/>
                <w:sz w:val="19"/>
              </w:rPr>
              <w:t>Free</w:t>
            </w:r>
          </w:p>
        </w:tc>
        <w:tc>
          <w:tcPr>
            <w:tcW w:type="dxa" w:w="3742"/>
          </w:tcPr>
          <w:p>
            <w:pPr>
              <w:spacing w:before="60" w:after="60"/>
            </w:pPr>
            <w:r>
              <w:rPr>
                <w:rFonts w:ascii="Arial" w:hAnsi="Arial"/>
                <w:b w:val="0"/>
                <w:i w:val="0"/>
                <w:color w:val="33465A"/>
                <w:sz w:val="19"/>
              </w:rPr>
              <w:t>Step 9. Omar sees a marking and stops.</w:t>
            </w:r>
          </w:p>
        </w:tc>
      </w:tr>
      <w:tr>
        <w:tc>
          <w:tcPr>
            <w:tcW w:type="dxa" w:w="3969"/>
          </w:tcPr>
          <w:p>
            <w:pPr>
              <w:spacing w:before="60" w:after="60"/>
            </w:pPr>
            <w:r>
              <w:rPr>
                <w:rFonts w:ascii="Arial" w:hAnsi="Arial"/>
                <w:b/>
                <w:i w:val="0"/>
                <w:color w:val="0E2841"/>
                <w:sz w:val="19"/>
              </w:rPr>
              <w:t>Approved channel for sharing</w:t>
            </w:r>
          </w:p>
        </w:tc>
        <w:tc>
          <w:tcPr>
            <w:tcW w:type="dxa" w:w="2041"/>
          </w:tcPr>
          <w:p>
            <w:pPr>
              <w:spacing w:before="60" w:after="60"/>
            </w:pPr>
            <w:r>
              <w:rPr>
                <w:rFonts w:ascii="Arial" w:hAnsi="Arial"/>
                <w:b w:val="0"/>
                <w:i w:val="0"/>
                <w:color w:val="33465A"/>
                <w:sz w:val="19"/>
              </w:rPr>
              <w:t>Low</w:t>
            </w:r>
          </w:p>
        </w:tc>
        <w:tc>
          <w:tcPr>
            <w:tcW w:type="dxa" w:w="3742"/>
          </w:tcPr>
          <w:p>
            <w:pPr>
              <w:spacing w:before="60" w:after="60"/>
            </w:pPr>
            <w:r>
              <w:rPr>
                <w:rFonts w:ascii="Arial" w:hAnsi="Arial"/>
                <w:b w:val="0"/>
                <w:i w:val="0"/>
                <w:color w:val="33465A"/>
                <w:sz w:val="19"/>
              </w:rPr>
              <w:t>Step 9.</w:t>
            </w:r>
          </w:p>
        </w:tc>
      </w:tr>
      <w:tr>
        <w:tc>
          <w:tcPr>
            <w:tcW w:type="dxa" w:w="3969"/>
          </w:tcPr>
          <w:p>
            <w:pPr>
              <w:spacing w:before="60" w:after="60"/>
            </w:pPr>
            <w:r>
              <w:rPr>
                <w:rFonts w:ascii="Arial" w:hAnsi="Arial"/>
                <w:b/>
                <w:i w:val="0"/>
                <w:color w:val="0E2841"/>
                <w:sz w:val="19"/>
              </w:rPr>
              <w:t>Manager asks “how was this produced?”</w:t>
            </w:r>
          </w:p>
        </w:tc>
        <w:tc>
          <w:tcPr>
            <w:tcW w:type="dxa" w:w="2041"/>
          </w:tcPr>
          <w:p>
            <w:pPr>
              <w:spacing w:before="60" w:after="60"/>
            </w:pPr>
            <w:r>
              <w:rPr>
                <w:rFonts w:ascii="Arial" w:hAnsi="Arial"/>
                <w:b w:val="0"/>
                <w:i w:val="0"/>
                <w:color w:val="33465A"/>
                <w:sz w:val="19"/>
              </w:rPr>
              <w:t>Free</w:t>
            </w:r>
          </w:p>
        </w:tc>
        <w:tc>
          <w:tcPr>
            <w:tcW w:type="dxa" w:w="3742"/>
          </w:tcPr>
          <w:p>
            <w:pPr>
              <w:spacing w:before="60" w:after="60"/>
            </w:pPr>
            <w:r>
              <w:rPr>
                <w:rFonts w:ascii="Arial" w:hAnsi="Arial"/>
                <w:b w:val="0"/>
                <w:i w:val="0"/>
                <w:color w:val="33465A"/>
                <w:sz w:val="19"/>
              </w:rPr>
              <w:t>Step 10, but only after the data has already gone.</w:t>
            </w:r>
          </w:p>
        </w:tc>
      </w:tr>
      <w:tr>
        <w:tc>
          <w:tcPr>
            <w:tcW w:type="dxa" w:w="3969"/>
            <w:shd w:val="clear" w:fill="F7E8E5"/>
          </w:tcPr>
          <w:p>
            <w:pPr>
              <w:spacing w:before="60" w:after="60"/>
            </w:pPr>
            <w:r>
              <w:rPr>
                <w:rFonts w:ascii="Arial" w:hAnsi="Arial"/>
                <w:b/>
                <w:i w:val="0"/>
                <w:color w:val="0E2841"/>
                <w:sz w:val="19"/>
              </w:rPr>
              <w:t>Train the officer</w:t>
            </w:r>
          </w:p>
        </w:tc>
        <w:tc>
          <w:tcPr>
            <w:tcW w:type="dxa" w:w="2041"/>
            <w:shd w:val="clear" w:fill="F7E8E5"/>
          </w:tcPr>
          <w:p>
            <w:pPr>
              <w:spacing w:before="60" w:after="60"/>
            </w:pPr>
            <w:r>
              <w:rPr>
                <w:rFonts w:ascii="Arial" w:hAnsi="Arial"/>
                <w:b w:val="0"/>
                <w:i w:val="0"/>
                <w:color w:val="33465A"/>
                <w:sz w:val="19"/>
              </w:rPr>
              <w:t>Highest, least reliable</w:t>
            </w:r>
          </w:p>
        </w:tc>
        <w:tc>
          <w:tcPr>
            <w:tcW w:type="dxa" w:w="3742"/>
            <w:shd w:val="clear" w:fill="F7E8E5"/>
          </w:tcPr>
          <w:p>
            <w:pPr>
              <w:spacing w:before="60" w:after="60"/>
            </w:pPr>
            <w:r>
              <w:rPr>
                <w:rFonts w:ascii="Arial" w:hAnsi="Arial"/>
                <w:b w:val="0"/>
                <w:i w:val="0"/>
                <w:color w:val="33465A"/>
                <w:sz w:val="19"/>
              </w:rPr>
              <w:t>Nowhere dependable. Training decays; deadlines do not.</w:t>
            </w:r>
          </w:p>
        </w:tc>
      </w:tr>
    </w:tbl>
    <w:p>
      <w:pPr>
        <w:spacing w:before="200" w:after="60"/>
      </w:pPr>
      <w:r>
        <w:rPr>
          <w:rFonts w:ascii="Arial" w:hAnsi="Arial"/>
          <w:b/>
          <w:i w:val="0"/>
          <w:color w:val="1B7A5A"/>
          <w:sz w:val="21"/>
        </w:rPr>
        <w:t>The two answers to land</w:t>
      </w:r>
    </w:p>
    <w:p>
      <w:pPr>
        <w:spacing w:after="120"/>
      </w:pPr>
      <w:r>
        <w:rPr>
          <w:rFonts w:ascii="Arial" w:hAnsi="Arial"/>
          <w:b w:val="0"/>
          <w:i w:val="0"/>
          <w:color w:val="33465A"/>
          <w:sz w:val="20"/>
        </w:rPr>
        <w:t>The licence, and the export. Both are cheap, both are one-time, and both work whether or not anyone remembers their training.</w:t>
      </w:r>
    </w:p>
    <w:p>
      <w:pPr>
        <w:spacing w:before="200" w:after="60"/>
      </w:pPr>
      <w:r>
        <w:rPr>
          <w:rFonts w:ascii="Arial" w:hAnsi="Arial"/>
          <w:b/>
          <w:i w:val="0"/>
          <w:color w:val="B03A2E"/>
          <w:sz w:val="21"/>
        </w:rPr>
        <w:t>Why “train the officer” fails here</w:t>
      </w:r>
    </w:p>
    <w:p>
      <w:pPr>
        <w:spacing w:after="120"/>
      </w:pPr>
      <w:r>
        <w:rPr>
          <w:rFonts w:ascii="Arial" w:hAnsi="Arial"/>
          <w:b w:val="0"/>
          <w:i w:val="0"/>
          <w:color w:val="33465A"/>
          <w:sz w:val="20"/>
        </w:rPr>
        <w:t>Noura's problem was not ignorance. It was that no available path existed. Training someone to follow a rule you have made impossible to follow produces guilt, not compliance, and it teaches people to hide the workaround rather than report it.</w:t>
      </w:r>
    </w:p>
    <w:p>
      <w:pPr>
        <w:spacing w:before="320" w:after="100"/>
      </w:pPr>
      <w:r>
        <w:rPr>
          <w:rFonts w:ascii="Arial" w:hAnsi="Arial"/>
          <w:b/>
          <w:i w:val="0"/>
          <w:color w:val="0E2841"/>
          <w:sz w:val="26"/>
        </w:rPr>
        <w:t>Q4. Monday changes</w:t>
      </w:r>
    </w:p>
    <w:p>
      <w:pPr>
        <w:spacing w:after="120"/>
      </w:pPr>
      <w:r>
        <w:rPr>
          <w:rFonts w:ascii="Arial" w:hAnsi="Arial"/>
          <w:b w:val="0"/>
          <w:i/>
          <w:color w:val="6B7C8F"/>
          <w:sz w:val="18"/>
        </w:rPr>
        <w:t>Strong answers name an owner and a date. Look for:</w:t>
      </w:r>
    </w:p>
    <w:p>
      <w:pPr>
        <w:pStyle w:val="ListBullet"/>
        <w:spacing w:after="60"/>
      </w:pPr>
      <w:r>
        <w:rPr>
          <w:rFonts w:ascii="Arial" w:hAnsi="Arial"/>
          <w:b w:val="0"/>
          <w:i w:val="0"/>
          <w:color w:val="33465A"/>
          <w:sz w:val="20"/>
        </w:rPr>
        <w:t>Escalate every pending AI licence request, and publish a decision SLA</w:t>
      </w:r>
    </w:p>
    <w:p>
      <w:pPr>
        <w:pStyle w:val="ListBullet"/>
        <w:spacing w:after="60"/>
      </w:pPr>
      <w:r>
        <w:rPr>
          <w:rFonts w:ascii="Arial" w:hAnsi="Arial"/>
          <w:b w:val="0"/>
          <w:i w:val="0"/>
          <w:color w:val="33465A"/>
          <w:sz w:val="20"/>
        </w:rPr>
        <w:t>Review standard exports for over-collection. Strip ID numbers where the task never needs them.</w:t>
      </w:r>
    </w:p>
    <w:p>
      <w:pPr>
        <w:pStyle w:val="ListBullet"/>
        <w:spacing w:after="60"/>
      </w:pPr>
      <w:r>
        <w:rPr>
          <w:rFonts w:ascii="Arial" w:hAnsi="Arial"/>
          <w:b w:val="0"/>
          <w:i w:val="0"/>
          <w:color w:val="33465A"/>
          <w:sz w:val="20"/>
        </w:rPr>
        <w:t>A one-page classification guide, on the wall, naming the tiers for the data this team actually handles</w:t>
      </w:r>
    </w:p>
    <w:p>
      <w:pPr>
        <w:pStyle w:val="ListBullet"/>
        <w:spacing w:after="60"/>
      </w:pPr>
      <w:r>
        <w:rPr>
          <w:rFonts w:ascii="Arial" w:hAnsi="Arial"/>
          <w:b w:val="0"/>
          <w:i w:val="0"/>
          <w:color w:val="33465A"/>
          <w:sz w:val="20"/>
        </w:rPr>
        <w:t>Add “how was this produced?” to the manager's checklist for anything going to committee</w:t>
      </w:r>
    </w:p>
    <w:p>
      <w:pPr>
        <w:pStyle w:val="ListBullet"/>
        <w:spacing w:after="60"/>
      </w:pPr>
      <w:r>
        <w:rPr>
          <w:rFonts w:ascii="Arial" w:hAnsi="Arial"/>
          <w:b w:val="0"/>
          <w:i w:val="0"/>
          <w:color w:val="33465A"/>
          <w:sz w:val="20"/>
        </w:rPr>
        <w:t>A named, sanctioned route for “I need a tool the locked-down device will not allow”</w:t>
      </w:r>
    </w:p>
    <w:p>
      <w:pPr>
        <w:pStyle w:val="ListBullet"/>
        <w:spacing w:after="60"/>
      </w:pPr>
      <w:r>
        <w:rPr>
          <w:rFonts w:ascii="Arial" w:hAnsi="Arial"/>
          <w:b w:val="0"/>
          <w:i w:val="0"/>
          <w:color w:val="33465A"/>
          <w:sz w:val="20"/>
        </w:rPr>
        <w:t>Amnesty framing for reporting: no disciplinary consequence for self-reporting within 24 hours</w:t>
      </w:r>
    </w:p>
    <w:p>
      <w:r>
        <w:br w:type="page"/>
      </w:r>
    </w:p>
    <w:p>
      <w:pPr>
        <w:spacing w:after="120"/>
      </w:pPr>
      <w:r>
        <w:rPr>
          <w:rFonts w:ascii="Arial" w:hAnsi="Arial"/>
          <w:b/>
          <w:i w:val="0"/>
          <w:color w:val="0E2841"/>
          <w:sz w:val="38"/>
        </w:rPr>
        <w:t>Running it</w:t>
      </w:r>
    </w:p>
    <w:tbl>
      <w:tblPr>
        <w:tblW w:type="auto" w:w="0"/>
        <w:jc w:val="center"/>
        <w:tblLook w:firstColumn="1" w:firstRow="1" w:lastColumn="0" w:lastRow="0" w:noHBand="0" w:noVBand="1" w:val="04A0"/>
        <w:tblBorders>
          <w:top w:val="single" w:sz="4" w:color="D5DBE0"/>
          <w:left w:val="single" w:sz="4" w:color="D5DBE0"/>
          <w:bottom w:val="single" w:sz="4" w:color="D5DBE0"/>
          <w:right w:val="single" w:sz="4" w:color="D5DBE0"/>
          <w:insideH w:val="single" w:sz="4" w:color="D5DBE0"/>
          <w:insideV w:val="single" w:sz="4" w:color="D5DBE0"/>
        </w:tblBorders>
      </w:tblPr>
      <w:tblGrid>
        <w:gridCol w:w="4876"/>
        <w:gridCol w:w="4876"/>
      </w:tblGrid>
      <w:tr>
        <w:tc>
          <w:tcPr>
            <w:tcW w:type="dxa" w:w="7710"/>
            <w:shd w:val="clear" w:fill="0E2841"/>
          </w:tcPr>
          <w:p>
            <w:pPr>
              <w:spacing w:before="40" w:after="40"/>
            </w:pPr>
            <w:r>
              <w:rPr>
                <w:rFonts w:ascii="Arial" w:hAnsi="Arial"/>
                <w:b/>
                <w:i w:val="0"/>
                <w:color w:val="FFFFFF"/>
                <w:sz w:val="17"/>
              </w:rPr>
              <w:t>Stage</w:t>
            </w:r>
          </w:p>
        </w:tc>
        <w:tc>
          <w:tcPr>
            <w:tcW w:type="dxa" w:w="2041"/>
            <w:shd w:val="clear" w:fill="0E2841"/>
          </w:tcPr>
          <w:p>
            <w:pPr>
              <w:spacing w:before="40" w:after="40"/>
            </w:pPr>
            <w:r>
              <w:rPr>
                <w:rFonts w:ascii="Arial" w:hAnsi="Arial"/>
                <w:b/>
                <w:i w:val="0"/>
                <w:color w:val="FFFFFF"/>
                <w:sz w:val="17"/>
              </w:rPr>
              <w:t>Minutes</w:t>
            </w:r>
          </w:p>
        </w:tc>
      </w:tr>
      <w:tr>
        <w:tc>
          <w:tcPr>
            <w:tcW w:type="dxa" w:w="7710"/>
          </w:tcPr>
          <w:p>
            <w:pPr>
              <w:spacing w:before="60" w:after="60"/>
            </w:pPr>
            <w:r>
              <w:rPr>
                <w:rFonts w:ascii="Arial" w:hAnsi="Arial"/>
                <w:b/>
                <w:i w:val="0"/>
                <w:color w:val="0E2841"/>
                <w:sz w:val="19"/>
              </w:rPr>
              <w:t>Read the scenario</w:t>
            </w:r>
          </w:p>
        </w:tc>
        <w:tc>
          <w:tcPr>
            <w:tcW w:type="dxa" w:w="2041"/>
          </w:tcPr>
          <w:p>
            <w:pPr>
              <w:spacing w:before="60" w:after="60"/>
            </w:pPr>
            <w:r>
              <w:rPr>
                <w:rFonts w:ascii="Arial" w:hAnsi="Arial"/>
                <w:b w:val="0"/>
                <w:i w:val="0"/>
                <w:color w:val="33465A"/>
                <w:sz w:val="19"/>
              </w:rPr>
              <w:t>5</w:t>
            </w:r>
          </w:p>
        </w:tc>
      </w:tr>
      <w:tr>
        <w:tc>
          <w:tcPr>
            <w:tcW w:type="dxa" w:w="7710"/>
          </w:tcPr>
          <w:p>
            <w:pPr>
              <w:spacing w:before="60" w:after="60"/>
            </w:pPr>
            <w:r>
              <w:rPr>
                <w:rFonts w:ascii="Arial" w:hAnsi="Arial"/>
                <w:b/>
                <w:i w:val="0"/>
                <w:color w:val="0E2841"/>
                <w:sz w:val="19"/>
              </w:rPr>
              <w:t>Table work on Q1 to Q4</w:t>
            </w:r>
          </w:p>
        </w:tc>
        <w:tc>
          <w:tcPr>
            <w:tcW w:type="dxa" w:w="2041"/>
          </w:tcPr>
          <w:p>
            <w:pPr>
              <w:spacing w:before="60" w:after="60"/>
            </w:pPr>
            <w:r>
              <w:rPr>
                <w:rFonts w:ascii="Arial" w:hAnsi="Arial"/>
                <w:b w:val="0"/>
                <w:i w:val="0"/>
                <w:color w:val="33465A"/>
                <w:sz w:val="19"/>
              </w:rPr>
              <w:t>20</w:t>
            </w:r>
          </w:p>
        </w:tc>
      </w:tr>
      <w:tr>
        <w:tc>
          <w:tcPr>
            <w:tcW w:type="dxa" w:w="7710"/>
          </w:tcPr>
          <w:p>
            <w:pPr>
              <w:spacing w:before="60" w:after="60"/>
            </w:pPr>
            <w:r>
              <w:rPr>
                <w:rFonts w:ascii="Arial" w:hAnsi="Arial"/>
                <w:b/>
                <w:i w:val="0"/>
                <w:color w:val="0E2841"/>
                <w:sz w:val="19"/>
              </w:rPr>
              <w:t>Plenary</w:t>
            </w:r>
          </w:p>
        </w:tc>
        <w:tc>
          <w:tcPr>
            <w:tcW w:type="dxa" w:w="2041"/>
          </w:tcPr>
          <w:p>
            <w:pPr>
              <w:spacing w:before="60" w:after="60"/>
            </w:pPr>
            <w:r>
              <w:rPr>
                <w:rFonts w:ascii="Arial" w:hAnsi="Arial"/>
                <w:b w:val="0"/>
                <w:i w:val="0"/>
                <w:color w:val="33465A"/>
                <w:sz w:val="19"/>
              </w:rPr>
              <w:t>15</w:t>
            </w:r>
          </w:p>
        </w:tc>
      </w:tr>
    </w:tbl>
    <w:p>
      <w:pPr>
        <w:spacing w:before="200" w:after="60"/>
      </w:pPr>
      <w:r>
        <w:rPr>
          <w:rFonts w:ascii="Arial" w:hAnsi="Arial"/>
          <w:b/>
          <w:i w:val="0"/>
          <w:color w:val="0088FF"/>
          <w:sz w:val="21"/>
        </w:rPr>
        <w:t>Mix the tables</w:t>
      </w:r>
    </w:p>
    <w:p>
      <w:pPr>
        <w:spacing w:after="120"/>
      </w:pPr>
      <w:r>
        <w:rPr>
          <w:rFonts w:ascii="Arial" w:hAnsi="Arial"/>
          <w:b w:val="0"/>
          <w:i w:val="0"/>
          <w:color w:val="33465A"/>
          <w:sz w:val="20"/>
        </w:rPr>
        <w:t>If you have participants at different levels, split them. The manager-level failures are invisible to a room of graduates only.</w:t>
      </w:r>
    </w:p>
    <w:p>
      <w:pPr>
        <w:spacing w:before="200" w:after="60"/>
      </w:pPr>
      <w:r>
        <w:rPr>
          <w:rFonts w:ascii="Arial" w:hAnsi="Arial"/>
          <w:b/>
          <w:i w:val="0"/>
          <w:color w:val="0088FF"/>
          <w:sz w:val="21"/>
        </w:rPr>
        <w:t>Watch for the two failure modes</w:t>
      </w:r>
    </w:p>
    <w:p>
      <w:pPr>
        <w:spacing w:after="40"/>
      </w:pPr>
      <w:r>
        <w:rPr>
          <w:rFonts w:ascii="Arial" w:hAnsi="Arial"/>
          <w:b/>
          <w:i w:val="0"/>
          <w:color w:val="0E2841"/>
          <w:sz w:val="20"/>
        </w:rPr>
        <w:t>Pile-on.</w:t>
      </w:r>
    </w:p>
    <w:p>
      <w:pPr>
        <w:spacing w:after="120"/>
      </w:pPr>
      <w:r>
        <w:rPr>
          <w:rFonts w:ascii="Arial" w:hAnsi="Arial"/>
          <w:b w:val="0"/>
          <w:i w:val="0"/>
          <w:color w:val="33465A"/>
          <w:sz w:val="20"/>
        </w:rPr>
        <w:t>The room converges on Noura. Interrupt: “She had a deadline and no tool. What would you have done at 16:52?” Usually silence.</w:t>
      </w:r>
    </w:p>
    <w:p>
      <w:pPr>
        <w:spacing w:after="40"/>
      </w:pPr>
      <w:r>
        <w:rPr>
          <w:rFonts w:ascii="Arial" w:hAnsi="Arial"/>
          <w:b/>
          <w:i w:val="0"/>
          <w:color w:val="0E2841"/>
          <w:sz w:val="20"/>
        </w:rPr>
        <w:t>Total absolution.</w:t>
      </w:r>
    </w:p>
    <w:p>
      <w:pPr>
        <w:spacing w:after="120"/>
      </w:pPr>
      <w:r>
        <w:rPr>
          <w:rFonts w:ascii="Arial" w:hAnsi="Arial"/>
          <w:b w:val="0"/>
          <w:i w:val="0"/>
          <w:color w:val="33465A"/>
          <w:sz w:val="20"/>
        </w:rPr>
        <w:t>“It is all the system's fault.” Push back. The personal account and the WhatsApp share were still her calls. Systemic causes do not erase individual choices; they explain why the choice was available.</w:t>
      </w:r>
    </w:p>
    <w:p>
      <w:pPr>
        <w:spacing w:before="200" w:after="60"/>
      </w:pPr>
      <w:r>
        <w:rPr>
          <w:rFonts w:ascii="Arial" w:hAnsi="Arial"/>
          <w:b/>
          <w:i w:val="0"/>
          <w:color w:val="0088FF"/>
          <w:sz w:val="21"/>
        </w:rPr>
        <w:t>How to close it</w:t>
      </w:r>
    </w:p>
    <w:tbl>
      <w:tblPr>
        <w:tblW w:type="auto" w:w="0"/>
        <w:jc w:val="center"/>
        <w:tblLook w:firstColumn="1" w:firstRow="1" w:lastColumn="0" w:lastRow="0" w:noHBand="0" w:noVBand="1" w:val="04A0"/>
        <w:tblBorders>
          <w:top w:val="single" w:sz="4" w:color="F4F8F9"/>
          <w:left w:val="single" w:sz="4" w:color="F4F8F9"/>
          <w:bottom w:val="single" w:sz="4" w:color="F4F8F9"/>
          <w:right w:val="single" w:sz="4" w:color="F4F8F9"/>
          <w:insideH w:val="single" w:sz="4" w:color="F4F8F9"/>
          <w:insideV w:val="single" w:sz="4" w:color="F4F8F9"/>
        </w:tblBorders>
      </w:tblPr>
      <w:tblGrid>
        <w:gridCol w:w="9752"/>
      </w:tblGrid>
      <w:tr>
        <w:tc>
          <w:tcPr>
            <w:tcW w:type="dxa" w:w="9752"/>
            <w:shd w:val="clear" w:fill="F4F8F9"/>
          </w:tcPr>
          <w:p>
            <w:pPr>
              <w:spacing w:before="60" w:after="60"/>
            </w:pPr>
            <w:r>
              <w:rPr>
                <w:rFonts w:ascii="Arial" w:hAnsi="Arial"/>
                <w:b/>
                <w:i w:val="0"/>
                <w:color w:val="0E2841"/>
                <w:sz w:val="21"/>
              </w:rPr>
              <w:t>“Every serious incident looks obvious afterwards and reasonable at the time. The question is never whether people will take shortcuts under pressure. They will. The question is whether the shortcut is still safe.”</w:t>
            </w:r>
          </w:p>
        </w:tc>
      </w:tr>
    </w:tbl>
    <w:p>
      <w:pPr>
        <w:spacing w:after="40"/>
      </w:pPr>
    </w:p>
    <w:p>
      <w:pPr>
        <w:spacing w:before="200" w:after="60"/>
      </w:pPr>
      <w:r>
        <w:rPr>
          <w:rFonts w:ascii="Arial" w:hAnsi="Arial"/>
          <w:b/>
          <w:i w:val="0"/>
          <w:color w:val="0088FF"/>
          <w:sz w:val="21"/>
        </w:rPr>
        <w:t>Then move straight to the checklist</w:t>
      </w:r>
    </w:p>
    <w:p>
      <w:pPr>
        <w:spacing w:after="120"/>
      </w:pPr>
      <w:r>
        <w:rPr>
          <w:rFonts w:ascii="Arial" w:hAnsi="Arial"/>
          <w:b w:val="0"/>
          <w:i w:val="0"/>
          <w:color w:val="33465A"/>
          <w:sz w:val="20"/>
        </w:rPr>
        <w:t>The transition matters. They have just watched a chain of things nobody knew, and the checklist asks them what they do not know. Say that out loud as you hand it out.</w:t>
      </w:r>
    </w:p>
    <w:sectPr w:rsidR="00FC693F" w:rsidRPr="0006063C" w:rsidSect="00034616">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33465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