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60"/>
      </w:pPr>
      <w:r>
        <w:rPr>
          <w:rFonts w:ascii="Arial" w:hAnsi="Arial"/>
          <w:b/>
          <w:i w:val="0"/>
          <w:color w:val="0E2841"/>
          <w:sz w:val="40"/>
        </w:rPr>
        <w:t>Case Study: “It was just a summary”</w:t>
      </w:r>
    </w:p>
    <w:p>
      <w:pPr>
        <w:spacing w:after="160"/>
      </w:pPr>
      <w:r>
        <w:rPr>
          <w:rFonts w:ascii="Arial" w:hAnsi="Arial"/>
          <w:b w:val="0"/>
          <w:i/>
          <w:color w:val="6B7C8F"/>
          <w:sz w:val="22"/>
        </w:rPr>
        <w:t>A data incident, reconstructed</w:t>
      </w:r>
    </w:p>
    <w:tbl>
      <w:tblPr>
        <w:tblW w:type="auto" w:w="0"/>
        <w:jc w:val="center"/>
        <w:tblLook w:firstColumn="1" w:firstRow="1" w:lastColumn="0" w:lastRow="0" w:noHBand="0" w:noVBand="1" w:val="04A0"/>
        <w:tblBorders>
          <w:top w:val="single" w:sz="4" w:color="F7E8E5"/>
          <w:left w:val="single" w:sz="4" w:color="F7E8E5"/>
          <w:bottom w:val="single" w:sz="4" w:color="F7E8E5"/>
          <w:right w:val="single" w:sz="4" w:color="F7E8E5"/>
          <w:insideH w:val="single" w:sz="4" w:color="F7E8E5"/>
          <w:insideV w:val="single" w:sz="4" w:color="F7E8E5"/>
        </w:tblBorders>
      </w:tblPr>
      <w:tblGrid>
        <w:gridCol w:w="9752"/>
      </w:tblGrid>
      <w:tr>
        <w:tc>
          <w:tcPr>
            <w:tcW w:type="dxa" w:w="9752"/>
            <w:shd w:val="clear" w:fill="F7E8E5"/>
          </w:tcPr>
          <w:p>
            <w:pPr>
              <w:spacing w:after="40" w:before="40"/>
            </w:pPr>
            <w:r>
              <w:rPr>
                <w:rFonts w:ascii="Arial" w:hAnsi="Arial"/>
                <w:b/>
                <w:i w:val="0"/>
                <w:color w:val="B03A2E"/>
                <w:sz w:val="17"/>
              </w:rPr>
              <w:t>SYNTHETIC TRAINING MATERIAL, invented scenario. No real person, department, incident or decision is described. Created for a training exercise only.</w:t>
            </w:r>
          </w:p>
        </w:tc>
      </w:tr>
    </w:tbl>
    <w:p>
      <w:pPr>
        <w:spacing w:after="40"/>
      </w:pPr>
    </w:p>
    <w:p>
      <w:pPr>
        <w:spacing w:after="120"/>
      </w:pPr>
      <w:r>
        <w:rPr>
          <w:rFonts w:ascii="Arial" w:hAnsi="Arial"/>
          <w:b/>
          <w:i w:val="0"/>
          <w:color w:val="0E2841"/>
          <w:sz w:val="21"/>
        </w:rPr>
        <w:t>There is no hacker and no villain. There are eight ordinary decisions, each of which felt reasonable at the time.</w:t>
      </w:r>
    </w:p>
    <w:p>
      <w:pPr>
        <w:spacing w:before="320" w:after="120"/>
      </w:pPr>
      <w:r>
        <w:rPr>
          <w:rFonts w:ascii="Arial" w:hAnsi="Arial"/>
          <w:b/>
          <w:i w:val="0"/>
          <w:color w:val="0E2841"/>
          <w:sz w:val="26"/>
        </w:rPr>
        <w:t>The people</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4876"/>
        <w:gridCol w:w="4876"/>
      </w:tblGrid>
      <w:tr>
        <w:tc>
          <w:tcPr>
            <w:tcW w:type="dxa" w:w="2381"/>
            <w:shd w:val="clear" w:fill="0E2841"/>
          </w:tcPr>
          <w:p>
            <w:pPr>
              <w:spacing w:after="40" w:before="40"/>
            </w:pPr>
            <w:r>
              <w:rPr>
                <w:rFonts w:ascii="Arial" w:hAnsi="Arial"/>
                <w:b/>
                <w:i w:val="0"/>
                <w:color w:val="FFFFFF"/>
                <w:sz w:val="18"/>
              </w:rPr>
            </w:r>
          </w:p>
        </w:tc>
        <w:tc>
          <w:tcPr>
            <w:tcW w:type="dxa" w:w="7370"/>
            <w:shd w:val="clear" w:fill="0E2841"/>
          </w:tcPr>
          <w:p>
            <w:pPr>
              <w:spacing w:after="40" w:before="40"/>
            </w:pPr>
            <w:r>
              <w:rPr>
                <w:rFonts w:ascii="Arial" w:hAnsi="Arial"/>
                <w:b/>
                <w:i w:val="0"/>
                <w:color w:val="FFFFFF"/>
                <w:sz w:val="18"/>
              </w:rPr>
              <w:t>Role</w:t>
            </w:r>
          </w:p>
        </w:tc>
      </w:tr>
      <w:tr>
        <w:tc>
          <w:tcPr>
            <w:tcW w:type="dxa" w:w="2381"/>
          </w:tcPr>
          <w:p>
            <w:pPr>
              <w:spacing w:after="40" w:before="40"/>
            </w:pPr>
            <w:r>
              <w:rPr>
                <w:rFonts w:ascii="Arial" w:hAnsi="Arial"/>
                <w:b w:val="0"/>
                <w:i w:val="0"/>
                <w:color w:val="33465A"/>
                <w:sz w:val="19"/>
              </w:rPr>
              <w:t>Noura</w:t>
            </w:r>
          </w:p>
        </w:tc>
        <w:tc>
          <w:tcPr>
            <w:tcW w:type="dxa" w:w="7370"/>
          </w:tcPr>
          <w:p>
            <w:pPr>
              <w:spacing w:after="40" w:before="40"/>
            </w:pPr>
            <w:r>
              <w:rPr>
                <w:rFonts w:ascii="Arial" w:hAnsi="Arial"/>
                <w:b w:val="0"/>
                <w:i w:val="0"/>
                <w:color w:val="33465A"/>
                <w:sz w:val="19"/>
              </w:rPr>
              <w:t>Licensing officer. Eight months in post, first government role.</w:t>
            </w:r>
          </w:p>
        </w:tc>
      </w:tr>
      <w:tr>
        <w:tc>
          <w:tcPr>
            <w:tcW w:type="dxa" w:w="2381"/>
          </w:tcPr>
          <w:p>
            <w:pPr>
              <w:spacing w:after="40" w:before="40"/>
            </w:pPr>
            <w:r>
              <w:rPr>
                <w:rFonts w:ascii="Arial" w:hAnsi="Arial"/>
                <w:b w:val="0"/>
                <w:i w:val="0"/>
                <w:color w:val="33465A"/>
                <w:sz w:val="19"/>
              </w:rPr>
              <w:t>Hassan</w:t>
            </w:r>
          </w:p>
        </w:tc>
        <w:tc>
          <w:tcPr>
            <w:tcW w:type="dxa" w:w="7370"/>
          </w:tcPr>
          <w:p>
            <w:pPr>
              <w:spacing w:after="40" w:before="40"/>
            </w:pPr>
            <w:r>
              <w:rPr>
                <w:rFonts w:ascii="Arial" w:hAnsi="Arial"/>
                <w:b w:val="0"/>
                <w:i w:val="0"/>
                <w:color w:val="33465A"/>
                <w:sz w:val="19"/>
              </w:rPr>
              <w:t>Her manager. Head of Service Improvement.</w:t>
            </w:r>
          </w:p>
        </w:tc>
      </w:tr>
      <w:tr>
        <w:tc>
          <w:tcPr>
            <w:tcW w:type="dxa" w:w="2381"/>
          </w:tcPr>
          <w:p>
            <w:pPr>
              <w:spacing w:after="40" w:before="40"/>
            </w:pPr>
            <w:r>
              <w:rPr>
                <w:rFonts w:ascii="Arial" w:hAnsi="Arial"/>
                <w:b w:val="0"/>
                <w:i w:val="0"/>
                <w:color w:val="33465A"/>
                <w:sz w:val="19"/>
              </w:rPr>
              <w:t>Omar</w:t>
            </w:r>
          </w:p>
        </w:tc>
        <w:tc>
          <w:tcPr>
            <w:tcW w:type="dxa" w:w="7370"/>
          </w:tcPr>
          <w:p>
            <w:pPr>
              <w:spacing w:after="40" w:before="40"/>
            </w:pPr>
            <w:r>
              <w:rPr>
                <w:rFonts w:ascii="Arial" w:hAnsi="Arial"/>
                <w:b w:val="0"/>
                <w:i w:val="0"/>
                <w:color w:val="33465A"/>
                <w:sz w:val="19"/>
              </w:rPr>
              <w:t>A colleague on the same team.</w:t>
            </w:r>
          </w:p>
        </w:tc>
      </w:tr>
      <w:tr>
        <w:tc>
          <w:tcPr>
            <w:tcW w:type="dxa" w:w="2381"/>
          </w:tcPr>
          <w:p>
            <w:pPr>
              <w:spacing w:after="40" w:before="40"/>
            </w:pPr>
            <w:r>
              <w:rPr>
                <w:rFonts w:ascii="Arial" w:hAnsi="Arial"/>
                <w:b w:val="0"/>
                <w:i w:val="0"/>
                <w:color w:val="33465A"/>
                <w:sz w:val="19"/>
              </w:rPr>
              <w:t>Delta Advisory</w:t>
            </w:r>
          </w:p>
        </w:tc>
        <w:tc>
          <w:tcPr>
            <w:tcW w:type="dxa" w:w="7370"/>
          </w:tcPr>
          <w:p>
            <w:pPr>
              <w:spacing w:after="40" w:before="40"/>
            </w:pPr>
            <w:r>
              <w:rPr>
                <w:rFonts w:ascii="Arial" w:hAnsi="Arial"/>
                <w:b w:val="0"/>
                <w:i w:val="0"/>
                <w:color w:val="33465A"/>
                <w:sz w:val="19"/>
              </w:rPr>
              <w:t>An external consultancy supporting a service redesign.</w:t>
            </w:r>
          </w:p>
        </w:tc>
      </w:tr>
    </w:tbl>
    <w:p>
      <w:pPr>
        <w:spacing w:before="320" w:after="120"/>
      </w:pPr>
      <w:r>
        <w:rPr>
          <w:rFonts w:ascii="Arial" w:hAnsi="Arial"/>
          <w:b/>
          <w:i w:val="0"/>
          <w:color w:val="0E2841"/>
          <w:sz w:val="26"/>
        </w:rPr>
        <w:t>The timeline</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1474"/>
            <w:shd w:val="clear" w:fill="0E2841"/>
          </w:tcPr>
          <w:p>
            <w:pPr>
              <w:spacing w:after="40" w:before="40"/>
            </w:pPr>
            <w:r>
              <w:rPr>
                <w:rFonts w:ascii="Arial" w:hAnsi="Arial"/>
                <w:b/>
                <w:i w:val="0"/>
                <w:color w:val="FFFFFF"/>
                <w:sz w:val="18"/>
              </w:rPr>
              <w:t>Date</w:t>
            </w:r>
          </w:p>
        </w:tc>
        <w:tc>
          <w:tcPr>
            <w:tcW w:type="dxa" w:w="1020"/>
            <w:shd w:val="clear" w:fill="0E2841"/>
          </w:tcPr>
          <w:p>
            <w:pPr>
              <w:spacing w:after="40" w:before="40"/>
            </w:pPr>
            <w:r>
              <w:rPr>
                <w:rFonts w:ascii="Arial" w:hAnsi="Arial"/>
                <w:b/>
                <w:i w:val="0"/>
                <w:color w:val="FFFFFF"/>
                <w:sz w:val="18"/>
              </w:rPr>
              <w:t>Time</w:t>
            </w:r>
          </w:p>
        </w:tc>
        <w:tc>
          <w:tcPr>
            <w:tcW w:type="dxa" w:w="7257"/>
            <w:shd w:val="clear" w:fill="0E2841"/>
          </w:tcPr>
          <w:p>
            <w:pPr>
              <w:spacing w:after="40" w:before="40"/>
            </w:pPr>
            <w:r>
              <w:rPr>
                <w:rFonts w:ascii="Arial" w:hAnsi="Arial"/>
                <w:b/>
                <w:i w:val="0"/>
                <w:color w:val="FFFFFF"/>
                <w:sz w:val="18"/>
              </w:rPr>
              <w:t>What happened</w:t>
            </w:r>
          </w:p>
        </w:tc>
      </w:tr>
      <w:tr>
        <w:tc>
          <w:tcPr>
            <w:tcW w:type="dxa" w:w="1474"/>
          </w:tcPr>
          <w:p>
            <w:pPr>
              <w:spacing w:after="40" w:before="40"/>
            </w:pPr>
            <w:r>
              <w:rPr>
                <w:rFonts w:ascii="Arial" w:hAnsi="Arial"/>
                <w:b w:val="0"/>
                <w:i w:val="0"/>
                <w:color w:val="33465A"/>
                <w:sz w:val="19"/>
              </w:rPr>
              <w:t>14 March</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Noura requests an enterprise AI licence through the standard IT form. It enters the approvals queue.</w:t>
            </w:r>
          </w:p>
        </w:tc>
      </w:tr>
      <w:tr>
        <w:tc>
          <w:tcPr>
            <w:tcW w:type="dxa" w:w="1474"/>
          </w:tcPr>
          <w:p>
            <w:pPr>
              <w:spacing w:after="40" w:before="40"/>
            </w:pPr>
            <w:r>
              <w:rPr>
                <w:rFonts w:ascii="Arial" w:hAnsi="Arial"/>
                <w:b w:val="0"/>
                <w:i w:val="0"/>
                <w:color w:val="33465A"/>
                <w:sz w:val="19"/>
              </w:rPr>
              <w:t>Late April</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She follows up. She is told it is “with procurement.”</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09:15</w:t>
            </w:r>
          </w:p>
        </w:tc>
        <w:tc>
          <w:tcPr>
            <w:tcW w:type="dxa" w:w="7257"/>
            <w:shd w:val="clear" w:fill="F3EDDE"/>
          </w:tcPr>
          <w:p>
            <w:pPr>
              <w:spacing w:after="40" w:before="40"/>
            </w:pPr>
            <w:r>
              <w:rPr>
                <w:rFonts w:ascii="Arial" w:hAnsi="Arial"/>
                <w:b w:val="0"/>
                <w:i w:val="0"/>
                <w:color w:val="33465A"/>
                <w:sz w:val="19"/>
              </w:rPr>
              <w:t>Hassan asks for a summary of Q2 complaint themes for a committee on Thursday. 340 records, mostly free text. He says end of week is fine.</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16:40</w:t>
            </w:r>
          </w:p>
        </w:tc>
        <w:tc>
          <w:tcPr>
            <w:tcW w:type="dxa" w:w="7257"/>
            <w:shd w:val="clear" w:fill="F3EDDE"/>
          </w:tcPr>
          <w:p>
            <w:pPr>
              <w:spacing w:after="40" w:before="40"/>
            </w:pPr>
            <w:r>
              <w:rPr>
                <w:rFonts w:ascii="Arial" w:hAnsi="Arial"/>
                <w:b w:val="0"/>
                <w:i w:val="0"/>
                <w:color w:val="33465A"/>
                <w:sz w:val="19"/>
              </w:rPr>
              <w:t>The committee moves to tomorrow morning. He needs it before she leaves today.</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16:52</w:t>
            </w:r>
          </w:p>
        </w:tc>
        <w:tc>
          <w:tcPr>
            <w:tcW w:type="dxa" w:w="7257"/>
            <w:shd w:val="clear" w:fill="F3EDDE"/>
          </w:tcPr>
          <w:p>
            <w:pPr>
              <w:spacing w:after="40" w:before="40"/>
            </w:pPr>
            <w:r>
              <w:rPr>
                <w:rFonts w:ascii="Arial" w:hAnsi="Arial"/>
                <w:b w:val="0"/>
                <w:i w:val="0"/>
                <w:color w:val="33465A"/>
                <w:sz w:val="19"/>
              </w:rPr>
              <w:t>She exports the complaint records to CSV. The standard export includes complainant names, phone numbers, the free text, and, for around 60 records from the older intake form, Emirates ID numbers. She removes no columns. She is not sure which matter, and she has twenty minutes.</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17:05</w:t>
            </w:r>
          </w:p>
        </w:tc>
        <w:tc>
          <w:tcPr>
            <w:tcW w:type="dxa" w:w="7257"/>
            <w:shd w:val="clear" w:fill="F3EDDE"/>
          </w:tcPr>
          <w:p>
            <w:pPr>
              <w:spacing w:after="40" w:before="40"/>
            </w:pPr>
            <w:r>
              <w:rPr>
                <w:rFonts w:ascii="Arial" w:hAnsi="Arial"/>
                <w:b w:val="0"/>
                <w:i w:val="0"/>
                <w:color w:val="33465A"/>
                <w:sz w:val="19"/>
              </w:rPr>
              <w:t>Her work laptop is locked down and she cannot install anything. She opens her PERSONAL AI account on her OWN laptop and pastes the file in.</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17:28</w:t>
            </w:r>
          </w:p>
        </w:tc>
        <w:tc>
          <w:tcPr>
            <w:tcW w:type="dxa" w:w="7257"/>
            <w:shd w:val="clear" w:fill="F3EDDE"/>
          </w:tcPr>
          <w:p>
            <w:pPr>
              <w:spacing w:after="40" w:before="40"/>
            </w:pPr>
            <w:r>
              <w:rPr>
                <w:rFonts w:ascii="Arial" w:hAnsi="Arial"/>
                <w:b w:val="0"/>
                <w:i w:val="0"/>
                <w:color w:val="33465A"/>
                <w:sz w:val="19"/>
              </w:rPr>
              <w:t>The output is genuinely good. Six clear themes, well evidenced, better than she would have produced by hand at that hour.</w:t>
            </w:r>
          </w:p>
        </w:tc>
      </w:tr>
      <w:tr>
        <w:tc>
          <w:tcPr>
            <w:tcW w:type="dxa" w:w="1474"/>
            <w:shd w:val="clear" w:fill="F3EDDE"/>
          </w:tcPr>
          <w:p>
            <w:pPr>
              <w:spacing w:after="40" w:before="40"/>
            </w:pPr>
            <w:r>
              <w:rPr>
                <w:rFonts w:ascii="Arial" w:hAnsi="Arial"/>
                <w:b w:val="0"/>
                <w:i w:val="0"/>
                <w:color w:val="33465A"/>
                <w:sz w:val="19"/>
              </w:rPr>
              <w:t>8 July</w:t>
            </w:r>
          </w:p>
        </w:tc>
        <w:tc>
          <w:tcPr>
            <w:tcW w:type="dxa" w:w="1020"/>
            <w:shd w:val="clear" w:fill="F3EDDE"/>
          </w:tcPr>
          <w:p>
            <w:pPr>
              <w:spacing w:after="40" w:before="40"/>
            </w:pPr>
            <w:r>
              <w:rPr>
                <w:rFonts w:ascii="Arial" w:hAnsi="Arial"/>
                <w:b w:val="0"/>
                <w:i w:val="0"/>
                <w:color w:val="33465A"/>
                <w:sz w:val="19"/>
              </w:rPr>
              <w:t>17:35</w:t>
            </w:r>
          </w:p>
        </w:tc>
        <w:tc>
          <w:tcPr>
            <w:tcW w:type="dxa" w:w="7257"/>
            <w:shd w:val="clear" w:fill="F3EDDE"/>
          </w:tcPr>
          <w:p>
            <w:pPr>
              <w:spacing w:after="40" w:before="40"/>
            </w:pPr>
            <w:r>
              <w:rPr>
                <w:rFonts w:ascii="Arial" w:hAnsi="Arial"/>
                <w:b w:val="0"/>
                <w:i w:val="0"/>
                <w:color w:val="33465A"/>
                <w:sz w:val="19"/>
              </w:rPr>
              <w:t>So Hassan sees it before the morning, she posts it into the team WhatsApp group.</w:t>
            </w:r>
          </w:p>
        </w:tc>
      </w:tr>
      <w:tr>
        <w:tc>
          <w:tcPr>
            <w:tcW w:type="dxa" w:w="1474"/>
          </w:tcPr>
          <w:p>
            <w:pPr>
              <w:spacing w:after="40" w:before="40"/>
            </w:pPr>
            <w:r>
              <w:rPr>
                <w:rFonts w:ascii="Arial" w:hAnsi="Arial"/>
                <w:b w:val="0"/>
                <w:i w:val="0"/>
                <w:color w:val="33465A"/>
                <w:sz w:val="19"/>
              </w:rPr>
              <w:t>9 July</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Hassan presents the summary to the committee. It is well received. Nobody asks how it was produced.</w:t>
            </w:r>
          </w:p>
        </w:tc>
      </w:tr>
      <w:tr>
        <w:tc>
          <w:tcPr>
            <w:tcW w:type="dxa" w:w="1474"/>
          </w:tcPr>
          <w:p>
            <w:pPr>
              <w:spacing w:after="40" w:before="40"/>
            </w:pPr>
            <w:r>
              <w:rPr>
                <w:rFonts w:ascii="Arial" w:hAnsi="Arial"/>
                <w:b w:val="0"/>
                <w:i w:val="0"/>
                <w:color w:val="33465A"/>
                <w:sz w:val="19"/>
              </w:rPr>
              <w:t>14 July</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Omar, helping Delta Advisory scope the redesign, forwards the summary from WhatsApp to his contact there: “might save you some time.”</w:t>
            </w:r>
          </w:p>
        </w:tc>
      </w:tr>
      <w:tr>
        <w:tc>
          <w:tcPr>
            <w:tcW w:type="dxa" w:w="1474"/>
          </w:tcPr>
          <w:p>
            <w:pPr>
              <w:spacing w:after="40" w:before="40"/>
            </w:pPr>
            <w:r>
              <w:rPr>
                <w:rFonts w:ascii="Arial" w:hAnsi="Arial"/>
                <w:b w:val="0"/>
                <w:i w:val="0"/>
                <w:color w:val="33465A"/>
                <w:sz w:val="19"/>
              </w:rPr>
              <w:t>2 August</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A Delta Advisory draft, shared with a third party, contains a near-verbatim extract, including a complaint description detailed enough to identify the business that made it.</w:t>
            </w:r>
          </w:p>
        </w:tc>
      </w:tr>
      <w:tr>
        <w:tc>
          <w:tcPr>
            <w:tcW w:type="dxa" w:w="1474"/>
          </w:tcPr>
          <w:p>
            <w:pPr>
              <w:spacing w:after="40" w:before="40"/>
            </w:pPr>
            <w:r>
              <w:rPr>
                <w:rFonts w:ascii="Arial" w:hAnsi="Arial"/>
                <w:b w:val="0"/>
                <w:i w:val="0"/>
                <w:color w:val="33465A"/>
                <w:sz w:val="19"/>
              </w:rPr>
              <w:t>5 August</w:t>
            </w:r>
          </w:p>
        </w:tc>
        <w:tc>
          <w:tcPr>
            <w:tcW w:type="dxa" w:w="1020"/>
          </w:tcPr>
          <w:p>
            <w:pPr>
              <w:spacing w:after="40" w:before="40"/>
            </w:pPr>
            <w:r>
              <w:rPr>
                <w:rFonts w:ascii="Arial" w:hAnsi="Arial"/>
                <w:b w:val="0"/>
                <w:i w:val="0"/>
                <w:color w:val="33465A"/>
                <w:sz w:val="19"/>
              </w:rPr>
            </w:r>
          </w:p>
        </w:tc>
        <w:tc>
          <w:tcPr>
            <w:tcW w:type="dxa" w:w="7257"/>
          </w:tcPr>
          <w:p>
            <w:pPr>
              <w:spacing w:after="40" w:before="40"/>
            </w:pPr>
            <w:r>
              <w:rPr>
                <w:rFonts w:ascii="Arial" w:hAnsi="Arial"/>
                <w:b w:val="0"/>
                <w:i w:val="0"/>
                <w:color w:val="33465A"/>
                <w:sz w:val="19"/>
              </w:rPr>
              <w:t>That business calls the department to ask how their complaint reached a consultancy.</w:t>
            </w:r>
          </w:p>
        </w:tc>
      </w:tr>
    </w:tbl>
    <w:p>
      <w:pPr>
        <w:spacing w:after="120"/>
      </w:pPr>
      <w:r>
        <w:rPr>
          <w:rFonts w:ascii="Arial" w:hAnsi="Arial"/>
          <w:b w:val="0"/>
          <w:i/>
          <w:color w:val="6B7C8F"/>
          <w:sz w:val="18"/>
        </w:rPr>
        <w:t>Everything shaded happened inside 55 minutes on one afternoon.</w:t>
      </w:r>
    </w:p>
    <w:p>
      <w:r>
        <w:br w:type="page"/>
      </w:r>
    </w:p>
    <w:p>
      <w:pPr>
        <w:spacing w:before="40" w:after="160"/>
      </w:pPr>
      <w:r>
        <w:rPr>
          <w:rFonts w:ascii="Arial" w:hAnsi="Arial"/>
          <w:b/>
          <w:i w:val="0"/>
          <w:color w:val="0E2841"/>
          <w:sz w:val="40"/>
        </w:rPr>
        <w:t>Your task</w:t>
      </w:r>
    </w:p>
    <w:p>
      <w:pPr>
        <w:spacing w:after="120"/>
      </w:pPr>
      <w:r>
        <w:rPr>
          <w:rFonts w:ascii="Arial" w:hAnsi="Arial"/>
          <w:b w:val="0"/>
          <w:i/>
          <w:color w:val="6B7C8F"/>
          <w:sz w:val="20"/>
        </w:rPr>
        <w:t>Work in your table. Forty minutes.</w:t>
      </w:r>
    </w:p>
    <w:tbl>
      <w:tblPr>
        <w:tblW w:type="auto" w:w="0"/>
        <w:jc w:val="center"/>
        <w:tblLook w:firstColumn="1" w:firstRow="1" w:lastColumn="0" w:lastRow="0" w:noHBand="0" w:noVBand="1" w:val="04A0"/>
        <w:tblBorders>
          <w:top w:val="single" w:sz="4" w:color="F7E8E5"/>
          <w:left w:val="single" w:sz="4" w:color="F7E8E5"/>
          <w:bottom w:val="single" w:sz="4" w:color="F7E8E5"/>
          <w:right w:val="single" w:sz="4" w:color="F7E8E5"/>
          <w:insideH w:val="single" w:sz="4" w:color="F7E8E5"/>
          <w:insideV w:val="single" w:sz="4" w:color="F7E8E5"/>
        </w:tblBorders>
      </w:tblPr>
      <w:tblGrid>
        <w:gridCol w:w="9752"/>
      </w:tblGrid>
      <w:tr>
        <w:tc>
          <w:tcPr>
            <w:tcW w:type="dxa" w:w="9752"/>
            <w:shd w:val="clear" w:fill="F7E8E5"/>
          </w:tcPr>
          <w:p>
            <w:pPr>
              <w:spacing w:after="40" w:before="40"/>
            </w:pPr>
            <w:r>
              <w:rPr>
                <w:rFonts w:ascii="Arial" w:hAnsi="Arial"/>
                <w:b/>
                <w:i w:val="0"/>
                <w:color w:val="B03A2E"/>
                <w:sz w:val="20"/>
              </w:rPr>
              <w:t>⚠  You may NOT answer Q3 with “the officer should have known better.” That is not a control. It is a wish.</w:t>
            </w:r>
          </w:p>
        </w:tc>
      </w:tr>
    </w:tbl>
    <w:p>
      <w:pPr>
        <w:spacing w:after="40"/>
      </w:pPr>
    </w:p>
    <w:p>
      <w:pPr>
        <w:spacing w:before="200" w:after="120"/>
      </w:pPr>
      <w:r>
        <w:rPr>
          <w:rFonts w:ascii="Arial" w:hAnsi="Arial"/>
          <w:b/>
          <w:i w:val="0"/>
          <w:color w:val="0E2841"/>
          <w:sz w:val="26"/>
        </w:rPr>
        <w:t>Q1 · List every failure point in this chain</w:t>
      </w:r>
    </w:p>
    <w:p>
      <w:pPr>
        <w:spacing w:after="120"/>
      </w:pPr>
      <w:r>
        <w:rPr>
          <w:rFonts w:ascii="Arial" w:hAnsi="Arial"/>
          <w:b w:val="0"/>
          <w:i/>
          <w:color w:val="6B7C8F"/>
          <w:sz w:val="18"/>
        </w:rPr>
        <w:t>Twelve are findable. Eight is a good table. Be specific about what failed and when.</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2438"/>
        <w:gridCol w:w="2438"/>
        <w:gridCol w:w="2438"/>
        <w:gridCol w:w="2438"/>
      </w:tblGrid>
      <w:tr>
        <w:tc>
          <w:tcPr>
            <w:tcW w:type="dxa" w:w="680"/>
            <w:shd w:val="clear" w:fill="0E2841"/>
          </w:tcPr>
          <w:p>
            <w:pPr>
              <w:spacing w:after="40" w:before="40"/>
            </w:pPr>
            <w:r>
              <w:rPr>
                <w:rFonts w:ascii="Arial" w:hAnsi="Arial"/>
                <w:b/>
                <w:i w:val="0"/>
                <w:color w:val="FFFFFF"/>
                <w:sz w:val="18"/>
              </w:rPr>
              <w:t>#</w:t>
            </w:r>
          </w:p>
        </w:tc>
        <w:tc>
          <w:tcPr>
            <w:tcW w:type="dxa" w:w="4876"/>
            <w:shd w:val="clear" w:fill="0E2841"/>
          </w:tcPr>
          <w:p>
            <w:pPr>
              <w:spacing w:after="40" w:before="40"/>
            </w:pPr>
            <w:r>
              <w:rPr>
                <w:rFonts w:ascii="Arial" w:hAnsi="Arial"/>
                <w:b/>
                <w:i w:val="0"/>
                <w:color w:val="FFFFFF"/>
                <w:sz w:val="18"/>
              </w:rPr>
              <w:t>Failure point</w:t>
            </w:r>
          </w:p>
        </w:tc>
        <w:tc>
          <w:tcPr>
            <w:tcW w:type="dxa" w:w="1474"/>
            <w:shd w:val="clear" w:fill="0E2841"/>
          </w:tcPr>
          <w:p>
            <w:pPr>
              <w:spacing w:after="40" w:before="40"/>
            </w:pPr>
            <w:r>
              <w:rPr>
                <w:rFonts w:ascii="Arial" w:hAnsi="Arial"/>
                <w:b/>
                <w:i w:val="0"/>
                <w:color w:val="FFFFFF"/>
                <w:sz w:val="18"/>
              </w:rPr>
              <w:t>When</w:t>
            </w:r>
          </w:p>
        </w:tc>
        <w:tc>
          <w:tcPr>
            <w:tcW w:type="dxa" w:w="2721"/>
            <w:shd w:val="clear" w:fill="0E2841"/>
          </w:tcPr>
          <w:p>
            <w:pPr>
              <w:spacing w:after="40" w:before="40"/>
            </w:pPr>
            <w:r>
              <w:rPr>
                <w:rFonts w:ascii="Arial" w:hAnsi="Arial"/>
                <w:b/>
                <w:i w:val="0"/>
                <w:color w:val="FFFFFF"/>
                <w:sz w:val="18"/>
              </w:rPr>
              <w:t>Could it have been caught here? How?</w:t>
            </w:r>
          </w:p>
        </w:tc>
      </w:tr>
      <w:tr>
        <w:tc>
          <w:tcPr>
            <w:tcW w:type="dxa" w:w="680"/>
          </w:tcPr>
          <w:p>
            <w:pPr>
              <w:spacing w:before="140" w:after="140"/>
            </w:pPr>
            <w:r>
              <w:rPr>
                <w:rFonts w:ascii="Arial" w:hAnsi="Arial"/>
                <w:b/>
                <w:i w:val="0"/>
                <w:color w:val="6B7C8F"/>
                <w:sz w:val="18"/>
              </w:rPr>
              <w:t>1</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2</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3</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4</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5</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6</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7</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8</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9</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10</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11</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12</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13</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r>
        <w:tc>
          <w:tcPr>
            <w:tcW w:type="dxa" w:w="680"/>
          </w:tcPr>
          <w:p>
            <w:pPr>
              <w:spacing w:before="140" w:after="140"/>
            </w:pPr>
            <w:r>
              <w:rPr>
                <w:rFonts w:ascii="Arial" w:hAnsi="Arial"/>
                <w:b/>
                <w:i w:val="0"/>
                <w:color w:val="6B7C8F"/>
                <w:sz w:val="18"/>
              </w:rPr>
              <w:t>14</w:t>
            </w:r>
          </w:p>
        </w:tc>
        <w:tc>
          <w:tcPr>
            <w:tcW w:type="dxa" w:w="4876"/>
          </w:tcPr>
          <w:p>
            <w:pPr>
              <w:spacing w:before="140" w:after="140"/>
            </w:pPr>
          </w:p>
        </w:tc>
        <w:tc>
          <w:tcPr>
            <w:tcW w:type="dxa" w:w="1474"/>
          </w:tcPr>
          <w:p>
            <w:pPr>
              <w:spacing w:before="140" w:after="140"/>
            </w:pPr>
          </w:p>
        </w:tc>
        <w:tc>
          <w:tcPr>
            <w:tcW w:type="dxa" w:w="2721"/>
          </w:tcPr>
          <w:p>
            <w:pPr>
              <w:spacing w:before="140" w:after="140"/>
            </w:pPr>
          </w:p>
        </w:tc>
      </w:tr>
    </w:tbl>
    <w:p>
      <w:pPr>
        <w:spacing w:before="320" w:after="120"/>
      </w:pPr>
      <w:r>
        <w:rPr>
          <w:rFonts w:ascii="Arial" w:hAnsi="Arial"/>
          <w:b/>
          <w:i w:val="0"/>
          <w:color w:val="0E2841"/>
          <w:sz w:val="26"/>
        </w:rPr>
        <w:t>Q2 · Who is accountable, and at how many levels?</w:t>
      </w:r>
    </w:p>
    <w:p>
      <w:pPr>
        <w:spacing w:after="120"/>
      </w:pPr>
      <w:r>
        <w:rPr>
          <w:rFonts w:ascii="Arial" w:hAnsi="Arial"/>
          <w:b w:val="0"/>
          <w:i/>
          <w:color w:val="6B7C8F"/>
          <w:sz w:val="18"/>
        </w:rPr>
        <w:t>Five levels are in play. Do not stop at one name.</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3251"/>
        <w:gridCol w:w="3251"/>
        <w:gridCol w:w="3251"/>
      </w:tblGrid>
      <w:tr>
        <w:tc>
          <w:tcPr>
            <w:tcW w:type="dxa" w:w="2041"/>
            <w:shd w:val="clear" w:fill="0E2841"/>
          </w:tcPr>
          <w:p>
            <w:pPr>
              <w:spacing w:after="40" w:before="40"/>
            </w:pPr>
            <w:r>
              <w:rPr>
                <w:rFonts w:ascii="Arial" w:hAnsi="Arial"/>
                <w:b/>
                <w:i w:val="0"/>
                <w:color w:val="FFFFFF"/>
                <w:sz w:val="18"/>
              </w:rPr>
              <w:t>Level</w:t>
            </w:r>
          </w:p>
        </w:tc>
        <w:tc>
          <w:tcPr>
            <w:tcW w:type="dxa" w:w="2494"/>
            <w:shd w:val="clear" w:fill="0E2841"/>
          </w:tcPr>
          <w:p>
            <w:pPr>
              <w:spacing w:after="40" w:before="40"/>
            </w:pPr>
            <w:r>
              <w:rPr>
                <w:rFonts w:ascii="Arial" w:hAnsi="Arial"/>
                <w:b/>
                <w:i w:val="0"/>
                <w:color w:val="FFFFFF"/>
                <w:sz w:val="18"/>
              </w:rPr>
              <w:t>Who</w:t>
            </w:r>
          </w:p>
        </w:tc>
        <w:tc>
          <w:tcPr>
            <w:tcW w:type="dxa" w:w="5216"/>
            <w:shd w:val="clear" w:fill="0E2841"/>
          </w:tcPr>
          <w:p>
            <w:pPr>
              <w:spacing w:after="40" w:before="40"/>
            </w:pPr>
            <w:r>
              <w:rPr>
                <w:rFonts w:ascii="Arial" w:hAnsi="Arial"/>
                <w:b/>
                <w:i w:val="0"/>
                <w:color w:val="FFFFFF"/>
                <w:sz w:val="18"/>
              </w:rPr>
              <w:t>Accountable for what</w:t>
            </w:r>
          </w:p>
        </w:tc>
      </w:tr>
      <w:tr>
        <w:tc>
          <w:tcPr>
            <w:tcW w:type="dxa" w:w="2041"/>
            <w:shd w:val="clear" w:fill="F4F8F9"/>
          </w:tcPr>
          <w:p>
            <w:pPr>
              <w:spacing w:before="160" w:after="160"/>
            </w:pPr>
            <w:r>
              <w:rPr>
                <w:rFonts w:ascii="Arial" w:hAnsi="Arial"/>
                <w:b/>
                <w:i w:val="0"/>
                <w:color w:val="0E2841"/>
                <w:sz w:val="19"/>
              </w:rPr>
              <w:t>Individual</w:t>
            </w:r>
          </w:p>
        </w:tc>
        <w:tc>
          <w:tcPr>
            <w:tcW w:type="dxa" w:w="2494"/>
          </w:tcPr>
          <w:p>
            <w:pPr>
              <w:spacing w:before="160" w:after="160"/>
            </w:pPr>
          </w:p>
        </w:tc>
        <w:tc>
          <w:tcPr>
            <w:tcW w:type="dxa" w:w="5216"/>
          </w:tcPr>
          <w:p>
            <w:pPr>
              <w:spacing w:before="160" w:after="160"/>
            </w:pPr>
          </w:p>
        </w:tc>
      </w:tr>
      <w:tr>
        <w:tc>
          <w:tcPr>
            <w:tcW w:type="dxa" w:w="2041"/>
            <w:shd w:val="clear" w:fill="F4F8F9"/>
          </w:tcPr>
          <w:p>
            <w:pPr>
              <w:spacing w:before="160" w:after="160"/>
            </w:pPr>
            <w:r>
              <w:rPr>
                <w:rFonts w:ascii="Arial" w:hAnsi="Arial"/>
                <w:b/>
                <w:i w:val="0"/>
                <w:color w:val="0E2841"/>
                <w:sz w:val="19"/>
              </w:rPr>
              <w:t>Manager</w:t>
            </w:r>
          </w:p>
        </w:tc>
        <w:tc>
          <w:tcPr>
            <w:tcW w:type="dxa" w:w="2494"/>
          </w:tcPr>
          <w:p>
            <w:pPr>
              <w:spacing w:before="160" w:after="160"/>
            </w:pPr>
          </w:p>
        </w:tc>
        <w:tc>
          <w:tcPr>
            <w:tcW w:type="dxa" w:w="5216"/>
          </w:tcPr>
          <w:p>
            <w:pPr>
              <w:spacing w:before="160" w:after="160"/>
            </w:pPr>
          </w:p>
        </w:tc>
      </w:tr>
      <w:tr>
        <w:tc>
          <w:tcPr>
            <w:tcW w:type="dxa" w:w="2041"/>
            <w:shd w:val="clear" w:fill="F4F8F9"/>
          </w:tcPr>
          <w:p>
            <w:pPr>
              <w:spacing w:before="160" w:after="160"/>
            </w:pPr>
            <w:r>
              <w:rPr>
                <w:rFonts w:ascii="Arial" w:hAnsi="Arial"/>
                <w:b/>
                <w:i w:val="0"/>
                <w:color w:val="0E2841"/>
                <w:sz w:val="19"/>
              </w:rPr>
              <w:t>Peer / colleague</w:t>
            </w:r>
          </w:p>
        </w:tc>
        <w:tc>
          <w:tcPr>
            <w:tcW w:type="dxa" w:w="2494"/>
          </w:tcPr>
          <w:p>
            <w:pPr>
              <w:spacing w:before="160" w:after="160"/>
            </w:pPr>
          </w:p>
        </w:tc>
        <w:tc>
          <w:tcPr>
            <w:tcW w:type="dxa" w:w="5216"/>
          </w:tcPr>
          <w:p>
            <w:pPr>
              <w:spacing w:before="160" w:after="160"/>
            </w:pPr>
          </w:p>
        </w:tc>
      </w:tr>
      <w:tr>
        <w:tc>
          <w:tcPr>
            <w:tcW w:type="dxa" w:w="2041"/>
            <w:shd w:val="clear" w:fill="F4F8F9"/>
          </w:tcPr>
          <w:p>
            <w:pPr>
              <w:spacing w:before="160" w:after="160"/>
            </w:pPr>
            <w:r>
              <w:rPr>
                <w:rFonts w:ascii="Arial" w:hAnsi="Arial"/>
                <w:b/>
                <w:i w:val="0"/>
                <w:color w:val="0E2841"/>
                <w:sz w:val="19"/>
              </w:rPr>
              <w:t>Department</w:t>
            </w:r>
          </w:p>
        </w:tc>
        <w:tc>
          <w:tcPr>
            <w:tcW w:type="dxa" w:w="2494"/>
          </w:tcPr>
          <w:p>
            <w:pPr>
              <w:spacing w:before="160" w:after="160"/>
            </w:pPr>
          </w:p>
        </w:tc>
        <w:tc>
          <w:tcPr>
            <w:tcW w:type="dxa" w:w="5216"/>
          </w:tcPr>
          <w:p>
            <w:pPr>
              <w:spacing w:before="160" w:after="160"/>
            </w:pPr>
          </w:p>
        </w:tc>
      </w:tr>
      <w:tr>
        <w:tc>
          <w:tcPr>
            <w:tcW w:type="dxa" w:w="2041"/>
            <w:shd w:val="clear" w:fill="F4F8F9"/>
          </w:tcPr>
          <w:p>
            <w:pPr>
              <w:spacing w:before="160" w:after="160"/>
            </w:pPr>
            <w:r>
              <w:rPr>
                <w:rFonts w:ascii="Arial" w:hAnsi="Arial"/>
                <w:b/>
                <w:i w:val="0"/>
                <w:color w:val="0E2841"/>
                <w:sz w:val="19"/>
              </w:rPr>
              <w:t>Organisation</w:t>
            </w:r>
          </w:p>
        </w:tc>
        <w:tc>
          <w:tcPr>
            <w:tcW w:type="dxa" w:w="2494"/>
          </w:tcPr>
          <w:p>
            <w:pPr>
              <w:spacing w:before="160" w:after="160"/>
            </w:pPr>
          </w:p>
        </w:tc>
        <w:tc>
          <w:tcPr>
            <w:tcW w:type="dxa" w:w="5216"/>
          </w:tcPr>
          <w:p>
            <w:pPr>
              <w:spacing w:before="160" w:after="160"/>
            </w:pPr>
          </w:p>
        </w:tc>
      </w:tr>
    </w:tbl>
    <w:p>
      <w:pPr>
        <w:spacing w:after="120"/>
      </w:pPr>
      <w:r>
        <w:rPr>
          <w:rFonts w:ascii="Arial" w:hAnsi="Arial"/>
          <w:b w:val="0"/>
          <w:i/>
          <w:color w:val="6B7C8F"/>
          <w:sz w:val="18"/>
        </w:rPr>
        <w:t>Test your answer: if Noura had been off sick that day, would this have happened anyway, to whoever else was handed a 16:40 deadline with no tool?</w:t>
      </w:r>
    </w:p>
    <w:p>
      <w:r>
        <w:br w:type="page"/>
      </w:r>
    </w:p>
    <w:p>
      <w:pPr>
        <w:spacing w:before="120" w:after="120"/>
      </w:pPr>
      <w:r>
        <w:rPr>
          <w:rFonts w:ascii="Arial" w:hAnsi="Arial"/>
          <w:b/>
          <w:i w:val="0"/>
          <w:color w:val="0E2841"/>
          <w:sz w:val="26"/>
        </w:rPr>
        <w:t>Q3 · Which control stops this earliest and most cheaply?</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2438"/>
        <w:gridCol w:w="2438"/>
        <w:gridCol w:w="2438"/>
        <w:gridCol w:w="2438"/>
      </w:tblGrid>
      <w:tr>
        <w:tc>
          <w:tcPr>
            <w:tcW w:type="dxa" w:w="4195"/>
            <w:shd w:val="clear" w:fill="0E2841"/>
          </w:tcPr>
          <w:p>
            <w:pPr>
              <w:spacing w:after="40" w:before="40"/>
            </w:pPr>
            <w:r>
              <w:rPr>
                <w:rFonts w:ascii="Arial" w:hAnsi="Arial"/>
                <w:b/>
                <w:i w:val="0"/>
                <w:color w:val="FFFFFF"/>
                <w:sz w:val="18"/>
              </w:rPr>
              <w:t>Candidate control</w:t>
            </w:r>
          </w:p>
        </w:tc>
        <w:tc>
          <w:tcPr>
            <w:tcW w:type="dxa" w:w="1361"/>
            <w:shd w:val="clear" w:fill="0E2841"/>
          </w:tcPr>
          <w:p>
            <w:pPr>
              <w:spacing w:after="40" w:before="40"/>
            </w:pPr>
            <w:r>
              <w:rPr>
                <w:rFonts w:ascii="Arial" w:hAnsi="Arial"/>
                <w:b/>
                <w:i w:val="0"/>
                <w:color w:val="FFFFFF"/>
                <w:sz w:val="18"/>
              </w:rPr>
              <w:t>Cost</w:t>
            </w:r>
          </w:p>
        </w:tc>
        <w:tc>
          <w:tcPr>
            <w:tcW w:type="dxa" w:w="3515"/>
            <w:shd w:val="clear" w:fill="0E2841"/>
          </w:tcPr>
          <w:p>
            <w:pPr>
              <w:spacing w:after="40" w:before="40"/>
            </w:pPr>
            <w:r>
              <w:rPr>
                <w:rFonts w:ascii="Arial" w:hAnsi="Arial"/>
                <w:b/>
                <w:i w:val="0"/>
                <w:color w:val="FFFFFF"/>
                <w:sz w:val="18"/>
              </w:rPr>
              <w:t>Where in the chain does it stop this?</w:t>
            </w:r>
          </w:p>
        </w:tc>
        <w:tc>
          <w:tcPr>
            <w:tcW w:type="dxa" w:w="680"/>
            <w:shd w:val="clear" w:fill="0E2841"/>
          </w:tcPr>
          <w:p>
            <w:pPr>
              <w:spacing w:after="40" w:before="40"/>
            </w:pPr>
            <w:r>
              <w:rPr>
                <w:rFonts w:ascii="Arial" w:hAnsi="Arial"/>
                <w:b/>
                <w:i w:val="0"/>
                <w:color w:val="FFFFFF"/>
                <w:sz w:val="18"/>
              </w:rPr>
              <w:t>Rank</w:t>
            </w:r>
          </w:p>
        </w:tc>
      </w:tr>
      <w:tr>
        <w:tc>
          <w:tcPr>
            <w:tcW w:type="dxa" w:w="4195"/>
          </w:tcPr>
          <w:p>
            <w:pPr>
              <w:spacing w:before="140" w:after="140"/>
            </w:pPr>
            <w:r>
              <w:rPr>
                <w:rFonts w:ascii="Arial" w:hAnsi="Arial"/>
                <w:b w:val="0"/>
                <w:i w:val="0"/>
                <w:color w:val="33465A"/>
                <w:sz w:val="19"/>
              </w:rPr>
              <w:t>Resolve the pending licence request</w:t>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t>Minimise the standard export (drop unneeded columns)</w:t>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t>Classification marking on outputs</w:t>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t>An approved channel for sharing</w:t>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t>Manager asks “how was this produced?”</w:t>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r>
          </w:p>
        </w:tc>
        <w:tc>
          <w:tcPr>
            <w:tcW w:type="dxa" w:w="1361"/>
          </w:tcPr>
          <w:p>
            <w:pPr>
              <w:spacing w:before="140" w:after="140"/>
            </w:pPr>
          </w:p>
        </w:tc>
        <w:tc>
          <w:tcPr>
            <w:tcW w:type="dxa" w:w="3515"/>
          </w:tcPr>
          <w:p>
            <w:pPr>
              <w:spacing w:before="140" w:after="140"/>
            </w:pPr>
          </w:p>
        </w:tc>
        <w:tc>
          <w:tcPr>
            <w:tcW w:type="dxa" w:w="680"/>
          </w:tcPr>
          <w:p>
            <w:pPr>
              <w:spacing w:before="140" w:after="140"/>
            </w:pPr>
          </w:p>
        </w:tc>
      </w:tr>
      <w:tr>
        <w:tc>
          <w:tcPr>
            <w:tcW w:type="dxa" w:w="4195"/>
          </w:tcPr>
          <w:p>
            <w:pPr>
              <w:spacing w:before="140" w:after="140"/>
            </w:pPr>
            <w:r>
              <w:rPr>
                <w:rFonts w:ascii="Arial" w:hAnsi="Arial"/>
                <w:b w:val="0"/>
                <w:i w:val="0"/>
                <w:color w:val="33465A"/>
                <w:sz w:val="19"/>
              </w:rPr>
            </w:r>
          </w:p>
        </w:tc>
        <w:tc>
          <w:tcPr>
            <w:tcW w:type="dxa" w:w="1361"/>
          </w:tcPr>
          <w:p>
            <w:pPr>
              <w:spacing w:before="140" w:after="140"/>
            </w:pPr>
          </w:p>
        </w:tc>
        <w:tc>
          <w:tcPr>
            <w:tcW w:type="dxa" w:w="3515"/>
          </w:tcPr>
          <w:p>
            <w:pPr>
              <w:spacing w:before="140" w:after="140"/>
            </w:pPr>
          </w:p>
        </w:tc>
        <w:tc>
          <w:tcPr>
            <w:tcW w:type="dxa" w:w="680"/>
          </w:tcPr>
          <w:p>
            <w:pPr>
              <w:spacing w:before="140" w:after="140"/>
            </w:pPr>
          </w:p>
        </w:tc>
      </w:tr>
    </w:tbl>
    <w:p>
      <w:pPr>
        <w:spacing w:after="120"/>
      </w:pPr>
      <w:r>
        <w:rPr>
          <w:rFonts w:ascii="Arial" w:hAnsi="Arial"/>
          <w:b w:val="0"/>
          <w:i/>
          <w:color w:val="6B7C8F"/>
          <w:sz w:val="18"/>
        </w:rPr>
        <w:t>Rank 1 = stops it earliest and cheapest. Two of these are one-time changes that work whether or not anyone remembers their training.</w:t>
      </w:r>
    </w:p>
    <w:p>
      <w:pPr>
        <w:spacing w:before="320" w:after="120"/>
      </w:pPr>
      <w:r>
        <w:rPr>
          <w:rFonts w:ascii="Arial" w:hAnsi="Arial"/>
          <w:b/>
          <w:i w:val="0"/>
          <w:color w:val="0E2841"/>
          <w:sz w:val="26"/>
        </w:rPr>
        <w:t>Q4 · What would you change on Monday?</w:t>
      </w:r>
    </w:p>
    <w:p>
      <w:pPr>
        <w:spacing w:after="120"/>
      </w:pPr>
      <w:r>
        <w:rPr>
          <w:rFonts w:ascii="Arial" w:hAnsi="Arial"/>
          <w:b w:val="0"/>
          <w:i/>
          <w:color w:val="6B7C8F"/>
          <w:sz w:val="18"/>
        </w:rPr>
        <w:t>Three things. Each needs a named owner and a date. An action without an owner is a wish.</w:t>
      </w:r>
    </w:p>
    <w:tbl>
      <w:tblPr>
        <w:tblW w:type="auto" w:w="0"/>
        <w:jc w:val="center"/>
        <w:tblLook w:firstColumn="1" w:firstRow="1" w:lastColumn="0" w:lastRow="0" w:noHBand="0" w:noVBand="1" w:val="04A0"/>
        <w:tblBorders>
          <w:top w:val="single" w:sz="4" w:color="D5DBE0"/>
          <w:left w:val="single" w:sz="4" w:color="D5DBE0"/>
          <w:bottom w:val="single" w:sz="4" w:color="D5DBE0"/>
          <w:right w:val="single" w:sz="4" w:color="D5DBE0"/>
          <w:insideH w:val="single" w:sz="4" w:color="D5DBE0"/>
          <w:insideV w:val="single" w:sz="4" w:color="D5DBE0"/>
        </w:tblBorders>
      </w:tblPr>
      <w:tblGrid>
        <w:gridCol w:w="2438"/>
        <w:gridCol w:w="2438"/>
        <w:gridCol w:w="2438"/>
        <w:gridCol w:w="2438"/>
      </w:tblGrid>
      <w:tr>
        <w:tc>
          <w:tcPr>
            <w:tcW w:type="dxa" w:w="680"/>
            <w:shd w:val="clear" w:fill="0E2841"/>
          </w:tcPr>
          <w:p>
            <w:pPr>
              <w:spacing w:after="40" w:before="40"/>
            </w:pPr>
            <w:r>
              <w:rPr>
                <w:rFonts w:ascii="Arial" w:hAnsi="Arial"/>
                <w:b/>
                <w:i w:val="0"/>
                <w:color w:val="FFFFFF"/>
                <w:sz w:val="18"/>
              </w:rPr>
              <w:t>#</w:t>
            </w:r>
          </w:p>
        </w:tc>
        <w:tc>
          <w:tcPr>
            <w:tcW w:type="dxa" w:w="5329"/>
            <w:shd w:val="clear" w:fill="0E2841"/>
          </w:tcPr>
          <w:p>
            <w:pPr>
              <w:spacing w:after="40" w:before="40"/>
            </w:pPr>
            <w:r>
              <w:rPr>
                <w:rFonts w:ascii="Arial" w:hAnsi="Arial"/>
                <w:b/>
                <w:i w:val="0"/>
                <w:color w:val="FFFFFF"/>
                <w:sz w:val="18"/>
              </w:rPr>
              <w:t>Change</w:t>
            </w:r>
          </w:p>
        </w:tc>
        <w:tc>
          <w:tcPr>
            <w:tcW w:type="dxa" w:w="2268"/>
            <w:shd w:val="clear" w:fill="0E2841"/>
          </w:tcPr>
          <w:p>
            <w:pPr>
              <w:spacing w:after="40" w:before="40"/>
            </w:pPr>
            <w:r>
              <w:rPr>
                <w:rFonts w:ascii="Arial" w:hAnsi="Arial"/>
                <w:b/>
                <w:i w:val="0"/>
                <w:color w:val="FFFFFF"/>
                <w:sz w:val="18"/>
              </w:rPr>
              <w:t>Owner</w:t>
            </w:r>
          </w:p>
        </w:tc>
        <w:tc>
          <w:tcPr>
            <w:tcW w:type="dxa" w:w="1474"/>
            <w:shd w:val="clear" w:fill="0E2841"/>
          </w:tcPr>
          <w:p>
            <w:pPr>
              <w:spacing w:after="40" w:before="40"/>
            </w:pPr>
            <w:r>
              <w:rPr>
                <w:rFonts w:ascii="Arial" w:hAnsi="Arial"/>
                <w:b/>
                <w:i w:val="0"/>
                <w:color w:val="FFFFFF"/>
                <w:sz w:val="18"/>
              </w:rPr>
              <w:t>By when</w:t>
            </w:r>
          </w:p>
        </w:tc>
      </w:tr>
      <w:tr>
        <w:tc>
          <w:tcPr>
            <w:tcW w:type="dxa" w:w="680"/>
          </w:tcPr>
          <w:p>
            <w:pPr>
              <w:spacing w:before="200" w:after="200"/>
            </w:pPr>
            <w:r>
              <w:rPr>
                <w:rFonts w:ascii="Arial" w:hAnsi="Arial"/>
                <w:b/>
                <w:i w:val="0"/>
                <w:color w:val="6B7C8F"/>
                <w:sz w:val="18"/>
              </w:rPr>
              <w:t>1</w:t>
            </w:r>
          </w:p>
        </w:tc>
        <w:tc>
          <w:tcPr>
            <w:tcW w:type="dxa" w:w="5329"/>
          </w:tcPr>
          <w:p>
            <w:pPr>
              <w:spacing w:before="200" w:after="200"/>
            </w:pPr>
          </w:p>
        </w:tc>
        <w:tc>
          <w:tcPr>
            <w:tcW w:type="dxa" w:w="2268"/>
          </w:tcPr>
          <w:p>
            <w:pPr>
              <w:spacing w:before="200" w:after="200"/>
            </w:pPr>
          </w:p>
        </w:tc>
        <w:tc>
          <w:tcPr>
            <w:tcW w:type="dxa" w:w="1474"/>
          </w:tcPr>
          <w:p>
            <w:pPr>
              <w:spacing w:before="200" w:after="200"/>
            </w:pPr>
          </w:p>
        </w:tc>
      </w:tr>
      <w:tr>
        <w:tc>
          <w:tcPr>
            <w:tcW w:type="dxa" w:w="680"/>
          </w:tcPr>
          <w:p>
            <w:pPr>
              <w:spacing w:before="200" w:after="200"/>
            </w:pPr>
            <w:r>
              <w:rPr>
                <w:rFonts w:ascii="Arial" w:hAnsi="Arial"/>
                <w:b/>
                <w:i w:val="0"/>
                <w:color w:val="6B7C8F"/>
                <w:sz w:val="18"/>
              </w:rPr>
              <w:t>2</w:t>
            </w:r>
          </w:p>
        </w:tc>
        <w:tc>
          <w:tcPr>
            <w:tcW w:type="dxa" w:w="5329"/>
          </w:tcPr>
          <w:p>
            <w:pPr>
              <w:spacing w:before="200" w:after="200"/>
            </w:pPr>
          </w:p>
        </w:tc>
        <w:tc>
          <w:tcPr>
            <w:tcW w:type="dxa" w:w="2268"/>
          </w:tcPr>
          <w:p>
            <w:pPr>
              <w:spacing w:before="200" w:after="200"/>
            </w:pPr>
          </w:p>
        </w:tc>
        <w:tc>
          <w:tcPr>
            <w:tcW w:type="dxa" w:w="1474"/>
          </w:tcPr>
          <w:p>
            <w:pPr>
              <w:spacing w:before="200" w:after="200"/>
            </w:pPr>
          </w:p>
        </w:tc>
      </w:tr>
      <w:tr>
        <w:tc>
          <w:tcPr>
            <w:tcW w:type="dxa" w:w="680"/>
          </w:tcPr>
          <w:p>
            <w:pPr>
              <w:spacing w:before="200" w:after="200"/>
            </w:pPr>
            <w:r>
              <w:rPr>
                <w:rFonts w:ascii="Arial" w:hAnsi="Arial"/>
                <w:b/>
                <w:i w:val="0"/>
                <w:color w:val="6B7C8F"/>
                <w:sz w:val="18"/>
              </w:rPr>
              <w:t>3</w:t>
            </w:r>
          </w:p>
        </w:tc>
        <w:tc>
          <w:tcPr>
            <w:tcW w:type="dxa" w:w="5329"/>
          </w:tcPr>
          <w:p>
            <w:pPr>
              <w:spacing w:before="200" w:after="200"/>
            </w:pPr>
          </w:p>
        </w:tc>
        <w:tc>
          <w:tcPr>
            <w:tcW w:type="dxa" w:w="2268"/>
          </w:tcPr>
          <w:p>
            <w:pPr>
              <w:spacing w:before="200" w:after="200"/>
            </w:pPr>
          </w:p>
        </w:tc>
        <w:tc>
          <w:tcPr>
            <w:tcW w:type="dxa" w:w="1474"/>
          </w:tcPr>
          <w:p>
            <w:pPr>
              <w:spacing w:before="200" w:after="200"/>
            </w:pPr>
          </w:p>
        </w:tc>
      </w:tr>
      <w:tr>
        <w:tc>
          <w:tcPr>
            <w:tcW w:type="dxa" w:w="680"/>
          </w:tcPr>
          <w:p>
            <w:pPr>
              <w:spacing w:before="200" w:after="200"/>
            </w:pPr>
            <w:r>
              <w:rPr>
                <w:rFonts w:ascii="Arial" w:hAnsi="Arial"/>
                <w:b/>
                <w:i w:val="0"/>
                <w:color w:val="6B7C8F"/>
                <w:sz w:val="18"/>
              </w:rPr>
              <w:t>4</w:t>
            </w:r>
          </w:p>
        </w:tc>
        <w:tc>
          <w:tcPr>
            <w:tcW w:type="dxa" w:w="5329"/>
          </w:tcPr>
          <w:p>
            <w:pPr>
              <w:spacing w:before="200" w:after="200"/>
            </w:pPr>
          </w:p>
        </w:tc>
        <w:tc>
          <w:tcPr>
            <w:tcW w:type="dxa" w:w="2268"/>
          </w:tcPr>
          <w:p>
            <w:pPr>
              <w:spacing w:before="200" w:after="200"/>
            </w:pPr>
          </w:p>
        </w:tc>
        <w:tc>
          <w:tcPr>
            <w:tcW w:type="dxa" w:w="1474"/>
          </w:tcPr>
          <w:p>
            <w:pPr>
              <w:spacing w:before="200" w:after="200"/>
            </w:pPr>
          </w:p>
        </w:tc>
      </w:tr>
    </w:tbl>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33465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