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55555"/>
          <w:sz w:val="20"/>
        </w:rPr>
        <w:t>VITAL PAKISTAN TRUST</w:t>
      </w:r>
    </w:p>
    <w:p>
      <w:pPr>
        <w:spacing w:after="200"/>
      </w:pPr>
      <w:r>
        <w:rPr>
          <w:b w:val="0"/>
          <w:i w:val="0"/>
          <w:color w:val="555555"/>
          <w:sz w:val="18"/>
        </w:rPr>
        <w:t>Supply Chain / Procurement &amp; Programme Analytics</w:t>
      </w:r>
    </w:p>
    <w:p>
      <w:pPr>
        <w:spacing w:after="40"/>
      </w:pPr>
      <w:r>
        <w:rPr>
          <w:b/>
          <w:color w:val="1F3B57"/>
          <w:sz w:val="44"/>
        </w:rPr>
        <w:t>Problem Statement</w:t>
      </w:r>
    </w:p>
    <w:p>
      <w:pPr>
        <w:spacing w:after="160"/>
        <w:pBdr>
          <w:bottom w:val="single" w:sz="8" w:space="3" w:color="1F3B57"/>
        </w:pBdr>
      </w:pPr>
      <w:r>
        <w:rPr>
          <w:b/>
          <w:color w:val="555555"/>
          <w:sz w:val="24"/>
        </w:rPr>
        <w:t>Dashboard: Consumption Analysis in View of Current Projects and Products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474"/>
            <w:shd w:val="clear" w:fill="1F3B57"/>
          </w:tcPr>
          <w:p>
            <w:pPr>
              <w:spacing w:after="40"/>
            </w:pPr>
            <w:r/>
            <w:r>
              <w:rPr>
                <w:b/>
                <w:color w:val="FFFFFF"/>
                <w:sz w:val="19"/>
              </w:rPr>
              <w:t>Field</w:t>
            </w:r>
          </w:p>
        </w:tc>
        <w:tc>
          <w:tcPr>
            <w:tcW w:type="dxa" w:w="3572"/>
            <w:shd w:val="clear" w:fill="1F3B57"/>
          </w:tcPr>
          <w:p>
            <w:pPr>
              <w:spacing w:after="40"/>
            </w:pPr>
            <w:r/>
            <w:r>
              <w:rPr>
                <w:b/>
                <w:color w:val="FFFFFF"/>
                <w:sz w:val="19"/>
              </w:rPr>
              <w:t>Detail</w:t>
            </w:r>
          </w:p>
        </w:tc>
        <w:tc>
          <w:tcPr>
            <w:tcW w:type="dxa" w:w="1361"/>
            <w:shd w:val="clear" w:fill="1F3B57"/>
          </w:tcPr>
          <w:p>
            <w:pPr>
              <w:spacing w:after="40"/>
            </w:pPr>
            <w:r/>
            <w:r>
              <w:rPr>
                <w:b/>
                <w:color w:val="FFFFFF"/>
                <w:sz w:val="19"/>
              </w:rPr>
              <w:t>Field</w:t>
            </w:r>
          </w:p>
        </w:tc>
        <w:tc>
          <w:tcPr>
            <w:tcW w:type="dxa" w:w="2835"/>
            <w:shd w:val="clear" w:fill="1F3B57"/>
          </w:tcPr>
          <w:p>
            <w:pPr>
              <w:spacing w:after="40"/>
            </w:pPr>
            <w:r/>
            <w:r>
              <w:rPr>
                <w:b/>
                <w:color w:val="FFFFFF"/>
                <w:sz w:val="19"/>
              </w:rPr>
              <w:t>Detail</w:t>
            </w:r>
          </w:p>
        </w:tc>
      </w:tr>
      <w:tr>
        <w:tc>
          <w:tcPr>
            <w:tcW w:type="dxa" w:w="1474"/>
          </w:tcPr>
          <w:p>
            <w:pPr>
              <w:spacing w:after="40"/>
            </w:pPr>
            <w:r/>
            <w:r>
              <w:rPr>
                <w:sz w:val="19"/>
              </w:rPr>
              <w:t>Document Title</w:t>
            </w:r>
          </w:p>
        </w:tc>
        <w:tc>
          <w:tcPr>
            <w:tcW w:type="dxa" w:w="3572"/>
          </w:tcPr>
          <w:p>
            <w:pPr>
              <w:spacing w:after="40"/>
            </w:pPr>
            <w:r/>
            <w:r>
              <w:rPr>
                <w:sz w:val="19"/>
              </w:rPr>
              <w:t>Problem Definition – Consumption Analysis Dashboard</w:t>
            </w:r>
          </w:p>
        </w:tc>
        <w:tc>
          <w:tcPr>
            <w:tcW w:type="dxa" w:w="1361"/>
          </w:tcPr>
          <w:p>
            <w:pPr>
              <w:spacing w:after="40"/>
            </w:pPr>
            <w:r/>
            <w:r>
              <w:rPr>
                <w:sz w:val="19"/>
              </w:rPr>
              <w:t>Version</w:t>
            </w:r>
          </w:p>
        </w:tc>
        <w:tc>
          <w:tcPr>
            <w:tcW w:type="dxa" w:w="2835"/>
          </w:tcPr>
          <w:p>
            <w:pPr>
              <w:spacing w:after="40"/>
            </w:pPr>
            <w:r/>
            <w:r>
              <w:rPr>
                <w:sz w:val="19"/>
              </w:rPr>
              <w:t>1.0 (Draft)</w:t>
            </w:r>
          </w:p>
        </w:tc>
      </w:tr>
      <w:tr>
        <w:tc>
          <w:tcPr>
            <w:tcW w:type="dxa" w:w="1474"/>
            <w:shd w:val="clear" w:fill="F2F5F8"/>
          </w:tcPr>
          <w:p>
            <w:pPr>
              <w:spacing w:after="40"/>
            </w:pPr>
            <w:r/>
            <w:r>
              <w:rPr>
                <w:sz w:val="19"/>
              </w:rPr>
              <w:t>Department</w:t>
            </w:r>
          </w:p>
        </w:tc>
        <w:tc>
          <w:tcPr>
            <w:tcW w:type="dxa" w:w="3572"/>
            <w:shd w:val="clear" w:fill="F2F5F8"/>
          </w:tcPr>
          <w:p>
            <w:pPr>
              <w:spacing w:after="40"/>
            </w:pPr>
            <w:r/>
            <w:r>
              <w:rPr>
                <w:sz w:val="19"/>
              </w:rPr>
              <w:t>Procurement / Supply Chain with Programme &amp; Finance</w:t>
            </w:r>
          </w:p>
        </w:tc>
        <w:tc>
          <w:tcPr>
            <w:tcW w:type="dxa" w:w="1361"/>
            <w:shd w:val="clear" w:fill="F2F5F8"/>
          </w:tcPr>
          <w:p>
            <w:pPr>
              <w:spacing w:after="40"/>
            </w:pPr>
            <w:r/>
            <w:r>
              <w:rPr>
                <w:sz w:val="19"/>
              </w:rPr>
              <w:t>Date</w:t>
            </w:r>
          </w:p>
        </w:tc>
        <w:tc>
          <w:tcPr>
            <w:tcW w:type="dxa" w:w="2835"/>
            <w:shd w:val="clear" w:fill="F2F5F8"/>
          </w:tcPr>
          <w:p>
            <w:pPr>
              <w:spacing w:after="40"/>
            </w:pPr>
            <w:r/>
            <w:r>
              <w:rPr>
                <w:sz w:val="19"/>
              </w:rPr>
              <w:t>29 October 2026</w:t>
            </w:r>
          </w:p>
        </w:tc>
      </w:tr>
      <w:tr>
        <w:tc>
          <w:tcPr>
            <w:tcW w:type="dxa" w:w="1474"/>
          </w:tcPr>
          <w:p>
            <w:pPr>
              <w:spacing w:after="40"/>
            </w:pPr>
            <w:r/>
            <w:r>
              <w:rPr>
                <w:sz w:val="19"/>
              </w:rPr>
              <w:t>Prepared By</w:t>
            </w:r>
          </w:p>
        </w:tc>
        <w:tc>
          <w:tcPr>
            <w:tcW w:type="dxa" w:w="3572"/>
          </w:tcPr>
          <w:p>
            <w:pPr>
              <w:spacing w:after="40"/>
            </w:pPr>
            <w:r/>
            <w:r>
              <w:rPr>
                <w:sz w:val="19"/>
              </w:rPr>
              <w:t>Business Analysis – Digital Transformation</w:t>
            </w:r>
          </w:p>
        </w:tc>
        <w:tc>
          <w:tcPr>
            <w:tcW w:type="dxa" w:w="1361"/>
          </w:tcPr>
          <w:p>
            <w:pPr>
              <w:spacing w:after="40"/>
            </w:pPr>
            <w:r/>
            <w:r>
              <w:rPr>
                <w:sz w:val="19"/>
              </w:rPr>
              <w:t>Status</w:t>
            </w:r>
          </w:p>
        </w:tc>
        <w:tc>
          <w:tcPr>
            <w:tcW w:type="dxa" w:w="2835"/>
          </w:tcPr>
          <w:p>
            <w:pPr>
              <w:spacing w:after="40"/>
            </w:pPr>
            <w:r/>
            <w:r>
              <w:rPr>
                <w:sz w:val="19"/>
              </w:rPr>
              <w:t>For Review &amp; Approval</w:t>
            </w:r>
          </w:p>
        </w:tc>
      </w:tr>
      <w:tr>
        <w:tc>
          <w:tcPr>
            <w:tcW w:type="dxa" w:w="1474"/>
            <w:shd w:val="clear" w:fill="F2F5F8"/>
          </w:tcPr>
          <w:p>
            <w:pPr>
              <w:spacing w:after="40"/>
            </w:pPr>
            <w:r/>
            <w:r>
              <w:rPr>
                <w:sz w:val="19"/>
              </w:rPr>
              <w:t>Data Source</w:t>
            </w:r>
          </w:p>
        </w:tc>
        <w:tc>
          <w:tcPr>
            <w:tcW w:type="dxa" w:w="3572"/>
            <w:shd w:val="clear" w:fill="F2F5F8"/>
          </w:tcPr>
          <w:p>
            <w:pPr>
              <w:spacing w:after="40"/>
            </w:pPr>
            <w:r/>
            <w:r>
              <w:rPr>
                <w:sz w:val="19"/>
              </w:rPr>
              <w:t>Oracle (ERP – procurement, inventory, finance)</w:t>
            </w:r>
          </w:p>
        </w:tc>
        <w:tc>
          <w:tcPr>
            <w:tcW w:type="dxa" w:w="1361"/>
            <w:shd w:val="clear" w:fill="F2F5F8"/>
          </w:tcPr>
          <w:p>
            <w:pPr>
              <w:spacing w:after="40"/>
            </w:pPr>
            <w:r/>
            <w:r>
              <w:rPr>
                <w:sz w:val="19"/>
              </w:rPr>
              <w:t>Solution Type</w:t>
            </w:r>
          </w:p>
        </w:tc>
        <w:tc>
          <w:tcPr>
            <w:tcW w:type="dxa" w:w="2835"/>
            <w:shd w:val="clear" w:fill="F2F5F8"/>
          </w:tcPr>
          <w:p>
            <w:pPr>
              <w:spacing w:after="40"/>
            </w:pPr>
            <w:r/>
            <w:r>
              <w:rPr>
                <w:sz w:val="19"/>
              </w:rPr>
              <w:t>Power BI / Internal Dashboard</w:t>
            </w:r>
          </w:p>
        </w:tc>
      </w:tr>
      <w:tr>
        <w:tc>
          <w:tcPr>
            <w:tcW w:type="dxa" w:w="1474"/>
          </w:tcPr>
          <w:p>
            <w:pPr>
              <w:spacing w:after="40"/>
            </w:pPr>
            <w:r/>
            <w:r>
              <w:rPr>
                <w:sz w:val="19"/>
              </w:rPr>
              <w:t>Approver</w:t>
            </w:r>
          </w:p>
        </w:tc>
        <w:tc>
          <w:tcPr>
            <w:tcW w:type="dxa" w:w="3572"/>
          </w:tcPr>
          <w:p>
            <w:pPr>
              <w:spacing w:after="40"/>
            </w:pPr>
            <w:r/>
            <w:r>
              <w:rPr>
                <w:sz w:val="19"/>
              </w:rPr>
              <w:t>Head of Procurement / Director Finance &amp; Operations</w:t>
            </w:r>
          </w:p>
        </w:tc>
        <w:tc>
          <w:tcPr>
            <w:tcW w:type="dxa" w:w="1361"/>
          </w:tcPr>
          <w:p>
            <w:pPr>
              <w:spacing w:after="40"/>
            </w:pPr>
            <w:r/>
            <w:r>
              <w:rPr>
                <w:sz w:val="19"/>
              </w:rPr>
              <w:t>Related Artefact</w:t>
            </w:r>
          </w:p>
        </w:tc>
        <w:tc>
          <w:tcPr>
            <w:tcW w:type="dxa" w:w="2835"/>
          </w:tcPr>
          <w:p>
            <w:pPr>
              <w:spacing w:after="40"/>
            </w:pPr>
            <w:r/>
            <w:r>
              <w:rPr>
                <w:sz w:val="19"/>
              </w:rPr>
              <w:t>BRD / PRD (to follow)</w:t>
            </w:r>
          </w:p>
        </w:tc>
      </w:tr>
    </w:tbl>
    <w:p>
      <w:pPr>
        <w:spacing w:after="40"/>
      </w:pPr>
    </w:p>
    <w:p>
      <w:pPr>
        <w:pStyle w:val="Heading1"/>
      </w:pPr>
      <w:r>
        <w:t>1. Background</w:t>
      </w:r>
    </w:p>
    <w:p>
      <w:pPr>
        <w:spacing w:after="120"/>
      </w:pPr>
      <w:r>
        <w:rPr>
          <w:b w:val="0"/>
          <w:i w:val="0"/>
        </w:rPr>
        <w:t>Vital Pakistan Trust (“VPT”) delivers health and community programmes through multiple donor-funded and self-funded projects that run concurrently across several districts. Each project consumes a continuous stream of products — medicines, medical and surgical consumables, laboratory supplies, nutrition commodities, equipment and general items — which are requisitioned, purchased, received and issued through the Oracle ERP.</w:t>
      </w:r>
    </w:p>
    <w:p>
      <w:pPr>
        <w:spacing w:after="120"/>
      </w:pPr>
      <w:r>
        <w:rPr>
          <w:b w:val="0"/>
          <w:i w:val="0"/>
        </w:rPr>
        <w:t>Every transaction required to understand consumption already exists in Oracle: requisitions, purchase orders, receipts, inventory issues, stock balances and the related project codes, item codes and costs. What does not exist is a consolidated, project-wise and product-wise view of that data. Management can see individual documents, but it cannot readily see the trend of consumption, compare it against the investment made in purchasing those products, or judge whether the value being consumed is proportionate to the results a project is delivering.</w:t>
      </w:r>
    </w:p>
    <w:p>
      <w:pPr>
        <w:spacing w:after="120"/>
      </w:pPr>
      <w:r>
        <w:rPr>
          <w:b w:val="0"/>
          <w:i w:val="0"/>
        </w:rPr>
        <w:t>This document defines the business problem that the proposed Consumption Analysis dashboard is intended to solve. It establishes a shared understanding of the current gap, its impact and the outcome expected, before any requirements, data model or technical design work is undertaken.</w:t>
      </w:r>
    </w:p>
    <w:p>
      <w:pPr>
        <w:pStyle w:val="Heading1"/>
      </w:pPr>
      <w:r>
        <w:t>2. Problem Statement</w:t>
      </w:r>
    </w:p>
    <w:tbl>
      <w:tblPr>
        <w:tblStyle w:val="TableGrid"/>
        <w:tblW w:type="auto" w:w="0"/>
        <w:tblLook w:firstColumn="1" w:firstRow="1" w:lastColumn="0" w:lastRow="0" w:noHBand="0" w:noVBand="1" w:val="04A0"/>
      </w:tblPr>
      <w:tblGrid>
        <w:gridCol w:w="9858"/>
      </w:tblGrid>
      <w:tr>
        <w:tc>
          <w:tcPr>
            <w:tcW w:type="dxa" w:w="9858"/>
            <w:shd w:val="clear" w:fill="EEF3F8"/>
          </w:tcPr>
          <w:p>
            <w:pPr>
              <w:spacing w:after="80"/>
            </w:pPr>
            <w:r/>
            <w:r>
              <w:rPr>
                <w:sz w:val="21"/>
              </w:rPr>
              <w:t>Vital Pakistan Trust cannot currently determine, on a timely and reliable basis, how much of each product has been consumed by which project, at what cost, and whether that consumption represents value for the investment made in purchasing it. Although the underlying procurement, inventory and cost transactions are captured in Oracle, they are fragmented across modules and project codes and must be extracted and consolidated manually — a slow, error-prone and largely retrospective exercise. As a result, procurement is driven by estimated demand rather than evidence, and management cannot identify over-consumption, under-utilisation, price escalation, product leakage or stock-out risk while there is still time to act. This gap is compounded by the absence of any trend analysis that links product consumption to the projects that generate it.</w:t>
            </w:r>
          </w:p>
        </w:tc>
      </w:tr>
    </w:tbl>
    <w:p>
      <w:pPr>
        <w:spacing w:after="200"/>
      </w:pPr>
      <w:r>
        <w:rPr>
          <w:b w:val="0"/>
          <w:i/>
          <w:sz w:val="20"/>
        </w:rPr>
        <w:t>In short: the data exists, the visibility does not — and every decision taken without it carries a cost, a compliance risk, or both.</w:t>
      </w:r>
    </w:p>
    <w:p>
      <w:pPr>
        <w:pStyle w:val="Heading1"/>
      </w:pPr>
      <w:r>
        <w:t>3. Current State – What Happens Today</w:t>
      </w:r>
    </w:p>
    <w:p>
      <w:pPr>
        <w:spacing w:after="120"/>
      </w:pPr>
      <w:r>
        <w:rPr>
          <w:b w:val="0"/>
          <w:i w:val="0"/>
        </w:rPr>
        <w:t>The following observations describe the existing process. Each is a candidate root cause of the problem stated above.</w:t>
      </w:r>
    </w:p>
    <w:p>
      <w:pPr>
        <w:pStyle w:val="ListBullet"/>
        <w:spacing w:after="60"/>
        <w:ind w:left="369"/>
      </w:pPr>
      <w:r>
        <w:rPr>
          <w:b/>
        </w:rPr>
        <w:t>Fragmented reporting.</w:t>
      </w:r>
      <w:r>
        <w:t xml:space="preserve"> Oracle holds the transactions, but no single report combines project, product, quantity, value and period in one view. Consolidation is done in Excel by compiling several exports from different modules.</w:t>
      </w:r>
    </w:p>
    <w:p>
      <w:pPr>
        <w:pStyle w:val="ListBullet"/>
        <w:spacing w:after="60"/>
        <w:ind w:left="369"/>
      </w:pPr>
      <w:r>
        <w:rPr>
          <w:b/>
        </w:rPr>
        <w:t>Retrospective and delayed reporting.</w:t>
      </w:r>
      <w:r>
        <w:t xml:space="preserve"> Consumption and procurement figures are compiled monthly or quarterly, and often only after a specific query is raised. By the time the report is ready, the reporting period has closed.</w:t>
      </w:r>
    </w:p>
    <w:p>
      <w:pPr>
        <w:pStyle w:val="ListBullet"/>
        <w:spacing w:after="60"/>
        <w:ind w:left="369"/>
      </w:pPr>
      <w:r>
        <w:rPr>
          <w:b/>
        </w:rPr>
        <w:t>Inconsistent project and product attribution.</w:t>
      </w:r>
      <w:r>
        <w:t xml:space="preserve"> Project codes are applied inconsistently — some issues are charged to generic or shared cost centres, so the same product cannot always be attributed to a single project or beneficiary group.</w:t>
      </w:r>
    </w:p>
    <w:p>
      <w:pPr>
        <w:pStyle w:val="ListBullet"/>
        <w:spacing w:after="60"/>
        <w:ind w:left="369"/>
      </w:pPr>
      <w:r>
        <w:rPr>
          <w:b/>
        </w:rPr>
        <w:t>No linkage between investment and consumption.</w:t>
      </w:r>
      <w:r>
        <w:t xml:space="preserve"> The Trust can see how much it spent, but not whether the quantity consumed was reasonable, whether unit prices rose between purchases, or whether consumption per beneficiary changed.</w:t>
      </w:r>
    </w:p>
    <w:p>
      <w:pPr>
        <w:pStyle w:val="ListBullet"/>
        <w:spacing w:after="60"/>
        <w:ind w:left="369"/>
      </w:pPr>
      <w:r>
        <w:rPr>
          <w:b/>
        </w:rPr>
        <w:t>Demand estimation by judgement, not evidence.</w:t>
      </w:r>
      <w:r>
        <w:t xml:space="preserve"> Re-order quantities are based on historical intuition and field requests rather than consumption trends, leading to both overstocking (expiry and blocked capital) and stock-outs at service delivery points.</w:t>
      </w:r>
    </w:p>
    <w:p>
      <w:pPr>
        <w:pStyle w:val="ListBullet"/>
        <w:spacing w:after="60"/>
        <w:ind w:left="369"/>
      </w:pPr>
      <w:r>
        <w:rPr>
          <w:b/>
        </w:rPr>
        <w:t>Limited oversight, anomaly detection and audit trail.</w:t>
      </w:r>
      <w:r>
        <w:t xml:space="preserve"> There is no systematic mechanism to flag abnormal consumption, unexplained variances, duplicate purchases, or products purchased but not consumed, which weakens internal control and donor audit readiness.</w:t>
      </w:r>
    </w:p>
    <w:p>
      <w:pPr>
        <w:pStyle w:val="ListBullet"/>
        <w:spacing w:after="60"/>
        <w:ind w:left="369"/>
      </w:pPr>
      <w:r>
        <w:rPr>
          <w:b/>
        </w:rPr>
        <w:t>Duplicated effort and conflicting numbers.</w:t>
      </w:r>
      <w:r>
        <w:t xml:space="preserve"> Multiple programme, procurement and finance teams maintain parallel versions of the same figures, creating rework and inter-departmental reconciliation disputes.</w:t>
      </w:r>
    </w:p>
    <w:p>
      <w:pPr>
        <w:pStyle w:val="Heading1"/>
      </w:pPr>
      <w:r>
        <w:t>4. Impact of the Problem</w:t>
      </w:r>
    </w:p>
    <w:tbl>
      <w:tblPr>
        <w:tblStyle w:val="TableGrid"/>
        <w:tblW w:type="auto" w:w="0"/>
        <w:jc w:val="center"/>
        <w:tblLook w:firstColumn="1" w:firstRow="1" w:lastColumn="0" w:lastRow="0" w:noHBand="0" w:noVBand="1" w:val="04A0"/>
      </w:tblPr>
      <w:tblGrid>
        <w:gridCol w:w="4929"/>
        <w:gridCol w:w="4929"/>
      </w:tblGrid>
      <w:tr>
        <w:tc>
          <w:tcPr>
            <w:tcW w:type="dxa" w:w="1814"/>
            <w:shd w:val="clear" w:fill="1F3B57"/>
          </w:tcPr>
          <w:p>
            <w:pPr>
              <w:spacing w:after="40"/>
            </w:pPr>
            <w:r/>
            <w:r>
              <w:rPr>
                <w:b/>
                <w:color w:val="FFFFFF"/>
                <w:sz w:val="19"/>
              </w:rPr>
              <w:t>Area</w:t>
            </w:r>
          </w:p>
        </w:tc>
        <w:tc>
          <w:tcPr>
            <w:tcW w:type="dxa" w:w="7427"/>
            <w:shd w:val="clear" w:fill="1F3B57"/>
          </w:tcPr>
          <w:p>
            <w:pPr>
              <w:spacing w:after="40"/>
            </w:pPr>
            <w:r/>
            <w:r>
              <w:rPr>
                <w:b/>
                <w:color w:val="FFFFFF"/>
                <w:sz w:val="19"/>
              </w:rPr>
              <w:t>Consequence if the problem is not addressed</w:t>
            </w:r>
          </w:p>
        </w:tc>
      </w:tr>
      <w:tr>
        <w:tc>
          <w:tcPr>
            <w:tcW w:type="dxa" w:w="1814"/>
          </w:tcPr>
          <w:p>
            <w:pPr>
              <w:spacing w:after="40"/>
            </w:pPr>
            <w:r/>
            <w:r>
              <w:rPr>
                <w:sz w:val="19"/>
              </w:rPr>
              <w:t>Financial</w:t>
            </w:r>
          </w:p>
        </w:tc>
        <w:tc>
          <w:tcPr>
            <w:tcW w:type="dxa" w:w="7427"/>
          </w:tcPr>
          <w:p>
            <w:pPr>
              <w:spacing w:after="40"/>
            </w:pPr>
            <w:r/>
            <w:r>
              <w:rPr>
                <w:sz w:val="19"/>
              </w:rPr>
              <w:t>Budget leakage and blocked working capital in slow-moving stock; inability to evidence value for money to donors; avoidable emergency and split purchases at higher unit prices.</w:t>
            </w:r>
          </w:p>
        </w:tc>
      </w:tr>
      <w:tr>
        <w:tc>
          <w:tcPr>
            <w:tcW w:type="dxa" w:w="1814"/>
            <w:shd w:val="clear" w:fill="F2F5F8"/>
          </w:tcPr>
          <w:p>
            <w:pPr>
              <w:spacing w:after="40"/>
            </w:pPr>
            <w:r/>
            <w:r>
              <w:rPr>
                <w:sz w:val="19"/>
              </w:rPr>
              <w:t>Operational</w:t>
            </w:r>
          </w:p>
        </w:tc>
        <w:tc>
          <w:tcPr>
            <w:tcW w:type="dxa" w:w="7427"/>
            <w:shd w:val="clear" w:fill="F2F5F8"/>
          </w:tcPr>
          <w:p>
            <w:pPr>
              <w:spacing w:after="40"/>
            </w:pPr>
            <w:r/>
            <w:r>
              <w:rPr>
                <w:sz w:val="19"/>
              </w:rPr>
              <w:t>Stock-outs of critical medicines at service delivery points; expiry and wastage of over-purchased products; delayed project activities.</w:t>
            </w:r>
          </w:p>
        </w:tc>
      </w:tr>
      <w:tr>
        <w:tc>
          <w:tcPr>
            <w:tcW w:type="dxa" w:w="1814"/>
          </w:tcPr>
          <w:p>
            <w:pPr>
              <w:spacing w:after="40"/>
            </w:pPr>
            <w:r/>
            <w:r>
              <w:rPr>
                <w:sz w:val="19"/>
              </w:rPr>
              <w:t>Programmatic</w:t>
            </w:r>
          </w:p>
        </w:tc>
        <w:tc>
          <w:tcPr>
            <w:tcW w:type="dxa" w:w="7427"/>
          </w:tcPr>
          <w:p>
            <w:pPr>
              <w:spacing w:after="40"/>
            </w:pPr>
            <w:r/>
            <w:r>
              <w:rPr>
                <w:sz w:val="19"/>
              </w:rPr>
              <w:t>Consumption per beneficiary and cost per service cannot be calculated, so programme effectiveness and value for money cannot be demonstrated.</w:t>
            </w:r>
          </w:p>
        </w:tc>
      </w:tr>
      <w:tr>
        <w:tc>
          <w:tcPr>
            <w:tcW w:type="dxa" w:w="1814"/>
            <w:shd w:val="clear" w:fill="F2F5F8"/>
          </w:tcPr>
          <w:p>
            <w:pPr>
              <w:spacing w:after="40"/>
            </w:pPr>
            <w:r/>
            <w:r>
              <w:rPr>
                <w:sz w:val="19"/>
              </w:rPr>
              <w:t>Compliance &amp; Audit</w:t>
            </w:r>
          </w:p>
        </w:tc>
        <w:tc>
          <w:tcPr>
            <w:tcW w:type="dxa" w:w="7427"/>
            <w:shd w:val="clear" w:fill="F2F5F8"/>
          </w:tcPr>
          <w:p>
            <w:pPr>
              <w:spacing w:after="40"/>
            </w:pPr>
            <w:r/>
            <w:r>
              <w:rPr>
                <w:sz w:val="19"/>
              </w:rPr>
              <w:t>Weak audit trail on project-charged consumption; exposure on donor reporting and on requirement of traceability from purchase to end use.</w:t>
            </w:r>
          </w:p>
        </w:tc>
      </w:tr>
      <w:tr>
        <w:tc>
          <w:tcPr>
            <w:tcW w:type="dxa" w:w="1814"/>
          </w:tcPr>
          <w:p>
            <w:pPr>
              <w:spacing w:after="40"/>
            </w:pPr>
            <w:r/>
            <w:r>
              <w:rPr>
                <w:sz w:val="19"/>
              </w:rPr>
              <w:t>Decision-making</w:t>
            </w:r>
          </w:p>
        </w:tc>
        <w:tc>
          <w:tcPr>
            <w:tcW w:type="dxa" w:w="7427"/>
          </w:tcPr>
          <w:p>
            <w:pPr>
              <w:spacing w:after="40"/>
            </w:pPr>
            <w:r/>
            <w:r>
              <w:rPr>
                <w:sz w:val="19"/>
              </w:rPr>
              <w:t>Senior management receives historical, static figures and takes procurement, budgeting and project continuation decisions late and on incomplete information.</w:t>
            </w:r>
          </w:p>
        </w:tc>
      </w:tr>
      <w:tr>
        <w:tc>
          <w:tcPr>
            <w:tcW w:type="dxa" w:w="1814"/>
            <w:shd w:val="clear" w:fill="F2F5F8"/>
          </w:tcPr>
          <w:p>
            <w:pPr>
              <w:spacing w:after="40"/>
            </w:pPr>
            <w:r/>
            <w:r>
              <w:rPr>
                <w:sz w:val="19"/>
              </w:rPr>
              <w:t>Governance &amp; Capacity</w:t>
            </w:r>
          </w:p>
        </w:tc>
        <w:tc>
          <w:tcPr>
            <w:tcW w:type="dxa" w:w="7427"/>
            <w:shd w:val="clear" w:fill="F2F5F8"/>
          </w:tcPr>
          <w:p>
            <w:pPr>
              <w:spacing w:after="40"/>
            </w:pPr>
            <w:r/>
            <w:r>
              <w:rPr>
                <w:sz w:val="19"/>
              </w:rPr>
              <w:t>Teams spend disproportionate time in manual data compilation instead of analysis and improvement.</w:t>
            </w:r>
          </w:p>
        </w:tc>
      </w:tr>
    </w:tbl>
    <w:p>
      <w:pPr>
        <w:spacing w:after="40"/>
      </w:pPr>
    </w:p>
    <w:p>
      <w:pPr>
        <w:pStyle w:val="Heading1"/>
      </w:pPr>
      <w:r>
        <w:t>5. Objective and Desired State</w:t>
      </w:r>
    </w:p>
    <w:p>
      <w:pPr>
        <w:spacing w:after="120"/>
      </w:pPr>
      <w:r>
        <w:rPr>
          <w:b w:val="0"/>
          <w:i w:val="0"/>
        </w:rPr>
        <w:t>The objective is to deliver a single, trusted Consumption Analysis dashboard, fed directly from Oracle, that presents for every active project and every product the trend of consumption, the investment committed to date and the relationship between the two — enabling management to act on consumption patterns rather than merely report them.</w:t>
      </w:r>
    </w:p>
    <w:p>
      <w:pPr>
        <w:spacing w:after="80"/>
      </w:pPr>
      <w:r>
        <w:rPr>
          <w:b w:val="0"/>
          <w:i w:val="0"/>
        </w:rPr>
        <w:t>In the desired state:</w:t>
      </w:r>
    </w:p>
    <w:p>
      <w:pPr>
        <w:pStyle w:val="ListBullet"/>
        <w:spacing w:after="60"/>
        <w:ind w:left="369"/>
      </w:pPr>
      <w:r>
        <w:t>Project managers can see consumption versus procurement for their project at any point in time, not only at month-end.</w:t>
      </w:r>
    </w:p>
    <w:p>
      <w:pPr>
        <w:pStyle w:val="ListBullet"/>
        <w:spacing w:after="60"/>
        <w:ind w:left="369"/>
      </w:pPr>
      <w:r>
        <w:t>Procurement can plan requirement quantities and timing from consumption trends and lead times, reducing both stock-outs and expiry.</w:t>
      </w:r>
    </w:p>
    <w:p>
      <w:pPr>
        <w:pStyle w:val="ListBullet"/>
        <w:spacing w:after="60"/>
        <w:ind w:left="369"/>
      </w:pPr>
      <w:r>
        <w:t>Finance can reconcile project-wise product investment with actual consumption and identify variances, price escalation and unspent or over-committed balances.</w:t>
      </w:r>
    </w:p>
    <w:p>
      <w:pPr>
        <w:pStyle w:val="ListBullet"/>
        <w:spacing w:after="60"/>
        <w:ind w:left="369"/>
      </w:pPr>
      <w:r>
        <w:t>Management receives a one-page trend view — top products by value, month-on-month movement, and exceptions — with drill-down to project, product, and transaction level.</w:t>
      </w:r>
    </w:p>
    <w:p>
      <w:pPr>
        <w:pStyle w:val="ListBullet"/>
        <w:spacing w:after="60"/>
        <w:ind w:left="369"/>
      </w:pPr>
      <w:r>
        <w:t>Audit and compliance can trace any product from purchase through issue to project, with a complete and consistent record.</w:t>
      </w:r>
    </w:p>
    <w:p>
      <w:pPr>
        <w:pStyle w:val="Heading1"/>
      </w:pPr>
      <w:r>
        <w:t>6. Scope</w:t>
      </w:r>
    </w:p>
    <w:tbl>
      <w:tblPr>
        <w:tblStyle w:val="TableGrid"/>
        <w:tblW w:type="auto" w:w="0"/>
        <w:jc w:val="center"/>
        <w:tblLook w:firstColumn="1" w:firstRow="1" w:lastColumn="0" w:lastRow="0" w:noHBand="0" w:noVBand="1" w:val="04A0"/>
      </w:tblPr>
      <w:tblGrid>
        <w:gridCol w:w="4929"/>
        <w:gridCol w:w="4929"/>
      </w:tblGrid>
      <w:tr>
        <w:tc>
          <w:tcPr>
            <w:tcW w:type="dxa" w:w="4620"/>
            <w:shd w:val="clear" w:fill="1F3B57"/>
          </w:tcPr>
          <w:p>
            <w:pPr>
              <w:spacing w:after="40"/>
            </w:pPr>
            <w:r/>
            <w:r>
              <w:rPr>
                <w:b/>
                <w:color w:val="FFFFFF"/>
                <w:sz w:val="19"/>
              </w:rPr>
              <w:t>In Scope</w:t>
            </w:r>
          </w:p>
        </w:tc>
        <w:tc>
          <w:tcPr>
            <w:tcW w:type="dxa" w:w="4620"/>
            <w:shd w:val="clear" w:fill="1F3B57"/>
          </w:tcPr>
          <w:p>
            <w:pPr>
              <w:spacing w:after="40"/>
            </w:pPr>
            <w:r/>
            <w:r>
              <w:rPr>
                <w:b/>
                <w:color w:val="FFFFFF"/>
                <w:sz w:val="19"/>
              </w:rPr>
              <w:t>Out of Scope (for this phase)</w:t>
            </w:r>
          </w:p>
        </w:tc>
      </w:tr>
      <w:tr>
        <w:tc>
          <w:tcPr>
            <w:tcW w:type="dxa" w:w="4620"/>
          </w:tcPr>
          <w:p>
            <w:pPr>
              <w:spacing w:after="40"/>
            </w:pPr>
            <w:r/>
            <w:r>
              <w:rPr>
                <w:sz w:val="19"/>
              </w:rPr>
              <w:t>Historical consumption and procurement transactions extracted from Oracle, by project and product.</w:t>
            </w:r>
          </w:p>
        </w:tc>
        <w:tc>
          <w:tcPr>
            <w:tcW w:type="dxa" w:w="4620"/>
          </w:tcPr>
          <w:p>
            <w:pPr>
              <w:spacing w:after="40"/>
            </w:pPr>
            <w:r/>
            <w:r>
              <w:rPr>
                <w:sz w:val="19"/>
              </w:rPr>
              <w:t>Replacement or modification of Oracle transactional processes and master data governance.</w:t>
            </w:r>
          </w:p>
        </w:tc>
      </w:tr>
      <w:tr>
        <w:tc>
          <w:tcPr>
            <w:tcW w:type="dxa" w:w="4620"/>
            <w:shd w:val="clear" w:fill="F2F5F8"/>
          </w:tcPr>
          <w:p>
            <w:pPr>
              <w:spacing w:after="40"/>
            </w:pPr>
            <w:r/>
            <w:r>
              <w:rPr>
                <w:sz w:val="19"/>
              </w:rPr>
              <w:t>Trend analysis: month-on-month / quarter-on-quarter consumption and investment by project and product.</w:t>
            </w:r>
          </w:p>
        </w:tc>
        <w:tc>
          <w:tcPr>
            <w:tcW w:type="dxa" w:w="4620"/>
            <w:shd w:val="clear" w:fill="F2F5F8"/>
          </w:tcPr>
          <w:p>
            <w:pPr>
              <w:spacing w:after="40"/>
            </w:pPr>
            <w:r/>
            <w:r>
              <w:rPr>
                <w:sz w:val="19"/>
              </w:rPr>
              <w:t>Full financial accounting, donor invoicing and grant profitability reporting.</w:t>
            </w:r>
          </w:p>
        </w:tc>
      </w:tr>
      <w:tr>
        <w:tc>
          <w:tcPr>
            <w:tcW w:type="dxa" w:w="4620"/>
          </w:tcPr>
          <w:p>
            <w:pPr>
              <w:spacing w:after="40"/>
            </w:pPr>
            <w:r/>
            <w:r>
              <w:rPr>
                <w:sz w:val="19"/>
              </w:rPr>
              <w:t>Product-wise investment versus consumption comparison, including unit price movement and cost per unit of service/beneficiary where data permits.</w:t>
            </w:r>
          </w:p>
        </w:tc>
        <w:tc>
          <w:tcPr>
            <w:tcW w:type="dxa" w:w="4620"/>
          </w:tcPr>
          <w:p>
            <w:pPr>
              <w:spacing w:after="40"/>
            </w:pPr>
            <w:r/>
            <w:r>
              <w:rPr>
                <w:sz w:val="19"/>
              </w:rPr>
              <w:t>Warehouse-level stock counting, physical verification or bin-card digitisation.</w:t>
            </w:r>
          </w:p>
        </w:tc>
      </w:tr>
      <w:tr>
        <w:tc>
          <w:tcPr>
            <w:tcW w:type="dxa" w:w="4620"/>
            <w:shd w:val="clear" w:fill="F2F5F8"/>
          </w:tcPr>
          <w:p>
            <w:pPr>
              <w:spacing w:after="40"/>
            </w:pPr>
            <w:r/>
            <w:r>
              <w:rPr>
                <w:sz w:val="19"/>
              </w:rPr>
              <w:t>Exception reporting: over/under consumption against budget or norm, slow-moving and near-expiry items, price variances.</w:t>
            </w:r>
          </w:p>
        </w:tc>
        <w:tc>
          <w:tcPr>
            <w:tcW w:type="dxa" w:w="4620"/>
            <w:shd w:val="clear" w:fill="F2F5F8"/>
          </w:tcPr>
          <w:p>
            <w:pPr>
              <w:spacing w:after="40"/>
            </w:pPr>
            <w:r/>
            <w:r>
              <w:rPr>
                <w:sz w:val="19"/>
              </w:rPr>
              <w:t>HR, payroll, fleet and fixed-asset modules.</w:t>
            </w:r>
          </w:p>
        </w:tc>
      </w:tr>
      <w:tr>
        <w:tc>
          <w:tcPr>
            <w:tcW w:type="dxa" w:w="4620"/>
          </w:tcPr>
          <w:p>
            <w:pPr>
              <w:spacing w:after="40"/>
            </w:pPr>
            <w:r/>
            <w:r>
              <w:rPr>
                <w:sz w:val="19"/>
              </w:rPr>
              <w:t>Drill-down from summary KPI to project, product, purchase document and inventory issue.</w:t>
            </w:r>
          </w:p>
        </w:tc>
        <w:tc>
          <w:tcPr>
            <w:tcW w:type="dxa" w:w="4620"/>
          </w:tcPr>
          <w:p>
            <w:pPr>
              <w:spacing w:after="40"/>
            </w:pPr>
            <w:r/>
            <w:r>
              <w:rPr>
                <w:sz w:val="19"/>
              </w:rPr>
              <w:t>Predictive machine-learning forecasting (candidate for a later phase).</w:t>
            </w:r>
          </w:p>
        </w:tc>
      </w:tr>
      <w:tr>
        <w:tc>
          <w:tcPr>
            <w:tcW w:type="dxa" w:w="4620"/>
            <w:shd w:val="clear" w:fill="F2F5F8"/>
          </w:tcPr>
          <w:p>
            <w:pPr>
              <w:spacing w:after="40"/>
            </w:pPr>
            <w:r/>
            <w:r>
              <w:rPr>
                <w:sz w:val="19"/>
              </w:rPr>
              <w:t>Standard filters: project, donor, product category, location, period, currency.</w:t>
            </w:r>
          </w:p>
        </w:tc>
        <w:tc>
          <w:tcPr>
            <w:tcW w:type="dxa" w:w="4620"/>
            <w:shd w:val="clear" w:fill="F2F5F8"/>
          </w:tcPr>
          <w:p>
            <w:pPr>
              <w:spacing w:after="40"/>
            </w:pPr>
            <w:r/>
            <w:r>
              <w:rPr>
                <w:sz w:val="19"/>
              </w:rPr>
              <w:t>External data sources other than Oracle and approved programme beneficiary counts.</w:t>
            </w:r>
          </w:p>
        </w:tc>
      </w:tr>
    </w:tbl>
    <w:p>
      <w:pPr>
        <w:spacing w:after="40"/>
      </w:pPr>
    </w:p>
    <w:p>
      <w:pPr>
        <w:pStyle w:val="Heading1"/>
      </w:pPr>
      <w:r>
        <w:t>7. Stakeholders and the Questions They Need Answered</w:t>
      </w:r>
    </w:p>
    <w:tbl>
      <w:tblPr>
        <w:tblStyle w:val="TableGrid"/>
        <w:tblW w:type="auto" w:w="0"/>
        <w:jc w:val="center"/>
        <w:tblLook w:firstColumn="1" w:firstRow="1" w:lastColumn="0" w:lastRow="0" w:noHBand="0" w:noVBand="1" w:val="04A0"/>
      </w:tblPr>
      <w:tblGrid>
        <w:gridCol w:w="4929"/>
        <w:gridCol w:w="4929"/>
      </w:tblGrid>
      <w:tr>
        <w:tc>
          <w:tcPr>
            <w:tcW w:type="dxa" w:w="2721"/>
            <w:shd w:val="clear" w:fill="1F3B57"/>
          </w:tcPr>
          <w:p>
            <w:pPr>
              <w:spacing w:after="40"/>
            </w:pPr>
            <w:r/>
            <w:r>
              <w:rPr>
                <w:b/>
                <w:color w:val="FFFFFF"/>
                <w:sz w:val="19"/>
              </w:rPr>
              <w:t>Stakeholder</w:t>
            </w:r>
          </w:p>
        </w:tc>
        <w:tc>
          <w:tcPr>
            <w:tcW w:type="dxa" w:w="6520"/>
            <w:shd w:val="clear" w:fill="1F3B57"/>
          </w:tcPr>
          <w:p>
            <w:pPr>
              <w:spacing w:after="40"/>
            </w:pPr>
            <w:r/>
            <w:r>
              <w:rPr>
                <w:b/>
                <w:color w:val="FFFFFF"/>
                <w:sz w:val="19"/>
              </w:rPr>
              <w:t>Core question the dashboard must answer</w:t>
            </w:r>
          </w:p>
        </w:tc>
      </w:tr>
      <w:tr>
        <w:tc>
          <w:tcPr>
            <w:tcW w:type="dxa" w:w="2721"/>
          </w:tcPr>
          <w:p>
            <w:pPr>
              <w:spacing w:after="40"/>
            </w:pPr>
            <w:r/>
            <w:r>
              <w:rPr>
                <w:sz w:val="19"/>
              </w:rPr>
              <w:t>Executive Management / Board</w:t>
            </w:r>
          </w:p>
        </w:tc>
        <w:tc>
          <w:tcPr>
            <w:tcW w:type="dxa" w:w="6520"/>
          </w:tcPr>
          <w:p>
            <w:pPr>
              <w:spacing w:after="40"/>
            </w:pPr>
            <w:r/>
            <w:r>
              <w:rPr>
                <w:sz w:val="19"/>
              </w:rPr>
              <w:t>Are our projects consuming value in line with plan, and where is the risk?</w:t>
            </w:r>
          </w:p>
        </w:tc>
      </w:tr>
      <w:tr>
        <w:tc>
          <w:tcPr>
            <w:tcW w:type="dxa" w:w="2721"/>
            <w:shd w:val="clear" w:fill="F2F5F8"/>
          </w:tcPr>
          <w:p>
            <w:pPr>
              <w:spacing w:after="40"/>
            </w:pPr>
            <w:r/>
            <w:r>
              <w:rPr>
                <w:sz w:val="19"/>
              </w:rPr>
              <w:t>Head of Procurement</w:t>
            </w:r>
          </w:p>
        </w:tc>
        <w:tc>
          <w:tcPr>
            <w:tcW w:type="dxa" w:w="6520"/>
            <w:shd w:val="clear" w:fill="F2F5F8"/>
          </w:tcPr>
          <w:p>
            <w:pPr>
              <w:spacing w:after="40"/>
            </w:pPr>
            <w:r/>
            <w:r>
              <w:rPr>
                <w:sz w:val="19"/>
              </w:rPr>
              <w:t>What is being consumed, in what quantity and at what price — and what should we buy next?</w:t>
            </w:r>
          </w:p>
        </w:tc>
      </w:tr>
      <w:tr>
        <w:tc>
          <w:tcPr>
            <w:tcW w:type="dxa" w:w="2721"/>
          </w:tcPr>
          <w:p>
            <w:pPr>
              <w:spacing w:after="40"/>
            </w:pPr>
            <w:r/>
            <w:r>
              <w:rPr>
                <w:sz w:val="19"/>
              </w:rPr>
              <w:t>Programme / Project Managers</w:t>
            </w:r>
          </w:p>
        </w:tc>
        <w:tc>
          <w:tcPr>
            <w:tcW w:type="dxa" w:w="6520"/>
          </w:tcPr>
          <w:p>
            <w:pPr>
              <w:spacing w:after="40"/>
            </w:pPr>
            <w:r/>
            <w:r>
              <w:rPr>
                <w:sz w:val="19"/>
              </w:rPr>
              <w:t>How much of each product has my project consumed against what was purchased for it?</w:t>
            </w:r>
          </w:p>
        </w:tc>
      </w:tr>
      <w:tr>
        <w:tc>
          <w:tcPr>
            <w:tcW w:type="dxa" w:w="2721"/>
            <w:shd w:val="clear" w:fill="F2F5F8"/>
          </w:tcPr>
          <w:p>
            <w:pPr>
              <w:spacing w:after="40"/>
            </w:pPr>
            <w:r/>
            <w:r>
              <w:rPr>
                <w:sz w:val="19"/>
              </w:rPr>
              <w:t>Finance &amp; Grants</w:t>
            </w:r>
          </w:p>
        </w:tc>
        <w:tc>
          <w:tcPr>
            <w:tcW w:type="dxa" w:w="6520"/>
            <w:shd w:val="clear" w:fill="F2F5F8"/>
          </w:tcPr>
          <w:p>
            <w:pPr>
              <w:spacing w:after="40"/>
            </w:pPr>
            <w:r/>
            <w:r>
              <w:rPr>
                <w:sz w:val="19"/>
              </w:rPr>
              <w:t>Does consumption reconcile with investment, and what variances need explanation for donors?</w:t>
            </w:r>
          </w:p>
        </w:tc>
      </w:tr>
      <w:tr>
        <w:tc>
          <w:tcPr>
            <w:tcW w:type="dxa" w:w="2721"/>
          </w:tcPr>
          <w:p>
            <w:pPr>
              <w:spacing w:after="40"/>
            </w:pPr>
            <w:r/>
            <w:r>
              <w:rPr>
                <w:sz w:val="19"/>
              </w:rPr>
              <w:t>Supply Chain / Warehouse</w:t>
            </w:r>
          </w:p>
        </w:tc>
        <w:tc>
          <w:tcPr>
            <w:tcW w:type="dxa" w:w="6520"/>
          </w:tcPr>
          <w:p>
            <w:pPr>
              <w:spacing w:after="40"/>
            </w:pPr>
            <w:r/>
            <w:r>
              <w:rPr>
                <w:sz w:val="19"/>
              </w:rPr>
              <w:t>Which products are moving, which are slow-moving or near expiry, and when will stock-out occur?</w:t>
            </w:r>
          </w:p>
        </w:tc>
      </w:tr>
      <w:tr>
        <w:tc>
          <w:tcPr>
            <w:tcW w:type="dxa" w:w="2721"/>
            <w:shd w:val="clear" w:fill="F2F5F8"/>
          </w:tcPr>
          <w:p>
            <w:pPr>
              <w:spacing w:after="40"/>
            </w:pPr>
            <w:r/>
            <w:r>
              <w:rPr>
                <w:sz w:val="19"/>
              </w:rPr>
              <w:t>Internal Audit / Compliance</w:t>
            </w:r>
          </w:p>
        </w:tc>
        <w:tc>
          <w:tcPr>
            <w:tcW w:type="dxa" w:w="6520"/>
            <w:shd w:val="clear" w:fill="F2F5F8"/>
          </w:tcPr>
          <w:p>
            <w:pPr>
              <w:spacing w:after="40"/>
            </w:pPr>
            <w:r/>
            <w:r>
              <w:rPr>
                <w:sz w:val="19"/>
              </w:rPr>
              <w:t>Can any consumption figure be traced to a source document and justified?</w:t>
            </w:r>
          </w:p>
        </w:tc>
      </w:tr>
    </w:tbl>
    <w:p>
      <w:pPr>
        <w:spacing w:after="40"/>
      </w:pPr>
    </w:p>
    <w:p>
      <w:pPr>
        <w:pStyle w:val="Heading1"/>
      </w:pPr>
      <w:r>
        <w:t>8. Success Criteria and Indicative KPIs</w:t>
      </w:r>
    </w:p>
    <w:p>
      <w:pPr>
        <w:spacing w:after="120"/>
      </w:pPr>
      <w:r>
        <w:rPr>
          <w:b w:val="0"/>
          <w:i w:val="0"/>
        </w:rPr>
        <w:t>The problem will be considered solved when the dashboard is in routine use and the following measures are met (baseline to be confirmed during requirements gathering):</w:t>
      </w:r>
    </w:p>
    <w:tbl>
      <w:tblPr>
        <w:tblStyle w:val="TableGrid"/>
        <w:tblW w:type="auto" w:w="0"/>
        <w:jc w:val="center"/>
        <w:tblLook w:firstColumn="1" w:firstRow="1" w:lastColumn="0" w:lastRow="0" w:noHBand="0" w:noVBand="1" w:val="04A0"/>
      </w:tblPr>
      <w:tblGrid>
        <w:gridCol w:w="4929"/>
        <w:gridCol w:w="4929"/>
      </w:tblGrid>
      <w:tr>
        <w:tc>
          <w:tcPr>
            <w:tcW w:type="dxa" w:w="3969"/>
            <w:shd w:val="clear" w:fill="1F3B57"/>
          </w:tcPr>
          <w:p>
            <w:pPr>
              <w:spacing w:after="40"/>
            </w:pPr>
            <w:r/>
            <w:r>
              <w:rPr>
                <w:b/>
                <w:color w:val="FFFFFF"/>
                <w:sz w:val="19"/>
              </w:rPr>
              <w:t>Measure</w:t>
            </w:r>
          </w:p>
        </w:tc>
        <w:tc>
          <w:tcPr>
            <w:tcW w:type="dxa" w:w="5272"/>
            <w:shd w:val="clear" w:fill="1F3B57"/>
          </w:tcPr>
          <w:p>
            <w:pPr>
              <w:spacing w:after="40"/>
            </w:pPr>
            <w:r/>
            <w:r>
              <w:rPr>
                <w:b/>
                <w:color w:val="FFFFFF"/>
                <w:sz w:val="19"/>
              </w:rPr>
              <w:t>Indicative Target</w:t>
            </w:r>
          </w:p>
        </w:tc>
      </w:tr>
      <w:tr>
        <w:tc>
          <w:tcPr>
            <w:tcW w:type="dxa" w:w="3969"/>
          </w:tcPr>
          <w:p>
            <w:pPr>
              <w:spacing w:after="40"/>
            </w:pPr>
            <w:r/>
            <w:r>
              <w:rPr>
                <w:sz w:val="19"/>
              </w:rPr>
              <w:t>Consumption report availability after period close</w:t>
            </w:r>
          </w:p>
        </w:tc>
        <w:tc>
          <w:tcPr>
            <w:tcW w:type="dxa" w:w="5272"/>
          </w:tcPr>
          <w:p>
            <w:pPr>
              <w:spacing w:after="40"/>
            </w:pPr>
            <w:r/>
            <w:r>
              <w:rPr>
                <w:sz w:val="19"/>
              </w:rPr>
              <w:t>Within 3 working days, self-service (from 10–15 days manual)</w:t>
            </w:r>
          </w:p>
        </w:tc>
      </w:tr>
      <w:tr>
        <w:tc>
          <w:tcPr>
            <w:tcW w:type="dxa" w:w="3969"/>
            <w:shd w:val="clear" w:fill="F2F5F8"/>
          </w:tcPr>
          <w:p>
            <w:pPr>
              <w:spacing w:after="40"/>
            </w:pPr>
            <w:r/>
            <w:r>
              <w:rPr>
                <w:sz w:val="19"/>
              </w:rPr>
              <w:t>Manual effort spent compiling consumption data</w:t>
            </w:r>
          </w:p>
        </w:tc>
        <w:tc>
          <w:tcPr>
            <w:tcW w:type="dxa" w:w="5272"/>
            <w:shd w:val="clear" w:fill="F2F5F8"/>
          </w:tcPr>
          <w:p>
            <w:pPr>
              <w:spacing w:after="40"/>
            </w:pPr>
            <w:r/>
            <w:r>
              <w:rPr>
                <w:sz w:val="19"/>
              </w:rPr>
              <w:t>Reduced by at least 70%</w:t>
            </w:r>
          </w:p>
        </w:tc>
      </w:tr>
      <w:tr>
        <w:tc>
          <w:tcPr>
            <w:tcW w:type="dxa" w:w="3969"/>
          </w:tcPr>
          <w:p>
            <w:pPr>
              <w:spacing w:after="40"/>
            </w:pPr>
            <w:r/>
            <w:r>
              <w:rPr>
                <w:sz w:val="19"/>
              </w:rPr>
              <w:t>Single source of truth for project-wise consumption</w:t>
            </w:r>
          </w:p>
        </w:tc>
        <w:tc>
          <w:tcPr>
            <w:tcW w:type="dxa" w:w="5272"/>
          </w:tcPr>
          <w:p>
            <w:pPr>
              <w:spacing w:after="40"/>
            </w:pPr>
            <w:r/>
            <w:r>
              <w:rPr>
                <w:sz w:val="19"/>
              </w:rPr>
              <w:t>100% of active projects and product categories covered</w:t>
            </w:r>
          </w:p>
        </w:tc>
      </w:tr>
      <w:tr>
        <w:tc>
          <w:tcPr>
            <w:tcW w:type="dxa" w:w="3969"/>
            <w:shd w:val="clear" w:fill="F2F5F8"/>
          </w:tcPr>
          <w:p>
            <w:pPr>
              <w:spacing w:after="40"/>
            </w:pPr>
            <w:r/>
            <w:r>
              <w:rPr>
                <w:sz w:val="19"/>
              </w:rPr>
              <w:t>Consumption vs. investment variance visibility</w:t>
            </w:r>
          </w:p>
        </w:tc>
        <w:tc>
          <w:tcPr>
            <w:tcW w:type="dxa" w:w="5272"/>
            <w:shd w:val="clear" w:fill="F2F5F8"/>
          </w:tcPr>
          <w:p>
            <w:pPr>
              <w:spacing w:after="40"/>
            </w:pPr>
            <w:r/>
            <w:r>
              <w:rPr>
                <w:sz w:val="19"/>
              </w:rPr>
              <w:t>Available at project, product and monthly level</w:t>
            </w:r>
          </w:p>
        </w:tc>
      </w:tr>
      <w:tr>
        <w:tc>
          <w:tcPr>
            <w:tcW w:type="dxa" w:w="3969"/>
          </w:tcPr>
          <w:p>
            <w:pPr>
              <w:spacing w:after="40"/>
            </w:pPr>
            <w:r/>
            <w:r>
              <w:rPr>
                <w:sz w:val="19"/>
              </w:rPr>
              <w:t>Identification of slow-moving / near-expiry stock</w:t>
            </w:r>
          </w:p>
        </w:tc>
        <w:tc>
          <w:tcPr>
            <w:tcW w:type="dxa" w:w="5272"/>
          </w:tcPr>
          <w:p>
            <w:pPr>
              <w:spacing w:after="40"/>
            </w:pPr>
            <w:r/>
            <w:r>
              <w:rPr>
                <w:sz w:val="19"/>
              </w:rPr>
              <w:t>Flagged automatically with action owner</w:t>
            </w:r>
          </w:p>
        </w:tc>
      </w:tr>
      <w:tr>
        <w:tc>
          <w:tcPr>
            <w:tcW w:type="dxa" w:w="3969"/>
            <w:shd w:val="clear" w:fill="F2F5F8"/>
          </w:tcPr>
          <w:p>
            <w:pPr>
              <w:spacing w:after="40"/>
            </w:pPr>
            <w:r/>
            <w:r>
              <w:rPr>
                <w:sz w:val="19"/>
              </w:rPr>
              <w:t>Procurement plan basis</w:t>
            </w:r>
          </w:p>
        </w:tc>
        <w:tc>
          <w:tcPr>
            <w:tcW w:type="dxa" w:w="5272"/>
            <w:shd w:val="clear" w:fill="F2F5F8"/>
          </w:tcPr>
          <w:p>
            <w:pPr>
              <w:spacing w:after="40"/>
            </w:pPr>
            <w:r/>
            <w:r>
              <w:rPr>
                <w:sz w:val="19"/>
              </w:rPr>
              <w:t>Requirement quantities derived from consumption trend and lead time, documented</w:t>
            </w:r>
          </w:p>
        </w:tc>
      </w:tr>
    </w:tbl>
    <w:p>
      <w:pPr>
        <w:spacing w:after="40"/>
      </w:pPr>
    </w:p>
    <w:p>
      <w:pPr>
        <w:spacing w:after="80"/>
      </w:pPr>
      <w:r>
        <w:rPr>
          <w:b w:val="0"/>
          <w:i w:val="0"/>
        </w:rPr>
        <w:t>Operational KPIs to be presented on the dashboard:</w:t>
      </w:r>
    </w:p>
    <w:p>
      <w:pPr>
        <w:pStyle w:val="ListBullet"/>
        <w:spacing w:after="60"/>
        <w:ind w:left="369"/>
      </w:pPr>
      <w:r>
        <w:t>Consumption value vs. procurement value per project (and consumption-to-purchase ratio).</w:t>
      </w:r>
    </w:p>
    <w:p>
      <w:pPr>
        <w:pStyle w:val="ListBullet"/>
        <w:spacing w:after="60"/>
        <w:ind w:left="369"/>
      </w:pPr>
      <w:r>
        <w:t>Month-on-month consumption trend by product and product category.</w:t>
      </w:r>
    </w:p>
    <w:p>
      <w:pPr>
        <w:pStyle w:val="ListBullet"/>
        <w:spacing w:after="60"/>
        <w:ind w:left="369"/>
      </w:pPr>
      <w:r>
        <w:t>Top products by consumption value and by quantity; Pareto view of spend.</w:t>
      </w:r>
    </w:p>
    <w:p>
      <w:pPr>
        <w:pStyle w:val="ListBullet"/>
        <w:spacing w:after="60"/>
        <w:ind w:left="369"/>
      </w:pPr>
      <w:r>
        <w:t>Average unit price movement per product between purchase cycles (price variance).</w:t>
      </w:r>
    </w:p>
    <w:p>
      <w:pPr>
        <w:pStyle w:val="ListBullet"/>
        <w:spacing w:after="60"/>
        <w:ind w:left="369"/>
      </w:pPr>
      <w:r>
        <w:t>Cost per beneficiary / per service where project beneficiary data is available.</w:t>
      </w:r>
    </w:p>
    <w:p>
      <w:pPr>
        <w:pStyle w:val="ListBullet"/>
        <w:spacing w:after="60"/>
        <w:ind w:left="369"/>
      </w:pPr>
      <w:r>
        <w:t>Stock turnover, days of cover, slow-moving items, near-expiry quantity and wastage value.</w:t>
      </w:r>
    </w:p>
    <w:p>
      <w:pPr>
        <w:pStyle w:val="ListBullet"/>
        <w:spacing w:after="60"/>
        <w:ind w:left="369"/>
      </w:pPr>
      <w:r>
        <w:t>Stock-out incidents and purchase lead time by product category.</w:t>
      </w:r>
    </w:p>
    <w:p>
      <w:pPr>
        <w:pStyle w:val="ListBullet"/>
        <w:spacing w:after="60"/>
        <w:ind w:left="369"/>
      </w:pPr>
      <w:r>
        <w:t>Budget utilisation and burn rate per project, with variance against consumption.</w:t>
      </w:r>
    </w:p>
    <w:p>
      <w:pPr>
        <w:pStyle w:val="Heading1"/>
      </w:pPr>
      <w:r>
        <w:t>9. Oracle Data Requirements (Indicative)</w:t>
      </w:r>
    </w:p>
    <w:p>
      <w:pPr>
        <w:spacing w:after="120"/>
      </w:pPr>
      <w:r>
        <w:rPr>
          <w:b w:val="0"/>
          <w:i w:val="0"/>
        </w:rPr>
        <w:t>The following data elements are required from Oracle. Exact tables, views and reporting schema will be confirmed with the IT / ERP team during the requirements phase.</w:t>
      </w:r>
    </w:p>
    <w:tbl>
      <w:tblPr>
        <w:tblStyle w:val="TableGrid"/>
        <w:tblW w:type="auto" w:w="0"/>
        <w:jc w:val="center"/>
        <w:tblLook w:firstColumn="1" w:firstRow="1" w:lastColumn="0" w:lastRow="0" w:noHBand="0" w:noVBand="1" w:val="04A0"/>
      </w:tblPr>
      <w:tblGrid>
        <w:gridCol w:w="4929"/>
        <w:gridCol w:w="4929"/>
      </w:tblGrid>
      <w:tr>
        <w:tc>
          <w:tcPr>
            <w:tcW w:type="dxa" w:w="2268"/>
            <w:shd w:val="clear" w:fill="1F3B57"/>
          </w:tcPr>
          <w:p>
            <w:pPr>
              <w:spacing w:after="40"/>
            </w:pPr>
            <w:r/>
            <w:r>
              <w:rPr>
                <w:b/>
                <w:color w:val="FFFFFF"/>
                <w:sz w:val="19"/>
              </w:rPr>
              <w:t>Data Domain</w:t>
            </w:r>
          </w:p>
        </w:tc>
        <w:tc>
          <w:tcPr>
            <w:tcW w:type="dxa" w:w="6973"/>
            <w:shd w:val="clear" w:fill="1F3B57"/>
          </w:tcPr>
          <w:p>
            <w:pPr>
              <w:spacing w:after="40"/>
            </w:pPr>
            <w:r/>
            <w:r>
              <w:rPr>
                <w:b/>
                <w:color w:val="FFFFFF"/>
                <w:sz w:val="19"/>
              </w:rPr>
              <w:t>Required Elements</w:t>
            </w:r>
          </w:p>
        </w:tc>
      </w:tr>
      <w:tr>
        <w:tc>
          <w:tcPr>
            <w:tcW w:type="dxa" w:w="2268"/>
          </w:tcPr>
          <w:p>
            <w:pPr>
              <w:spacing w:after="40"/>
            </w:pPr>
            <w:r/>
            <w:r>
              <w:rPr>
                <w:sz w:val="19"/>
              </w:rPr>
              <w:t>Project / Award</w:t>
            </w:r>
          </w:p>
        </w:tc>
        <w:tc>
          <w:tcPr>
            <w:tcW w:type="dxa" w:w="6973"/>
          </w:tcPr>
          <w:p>
            <w:pPr>
              <w:spacing w:after="40"/>
            </w:pPr>
            <w:r/>
            <w:r>
              <w:rPr>
                <w:sz w:val="19"/>
              </w:rPr>
              <w:t>Project code, project name, donor/grant, status, start and end date, budget, cost centre</w:t>
            </w:r>
          </w:p>
        </w:tc>
      </w:tr>
      <w:tr>
        <w:tc>
          <w:tcPr>
            <w:tcW w:type="dxa" w:w="2268"/>
            <w:shd w:val="clear" w:fill="F2F5F8"/>
          </w:tcPr>
          <w:p>
            <w:pPr>
              <w:spacing w:after="40"/>
            </w:pPr>
            <w:r/>
            <w:r>
              <w:rPr>
                <w:sz w:val="19"/>
              </w:rPr>
              <w:t>Product / Item Master</w:t>
            </w:r>
          </w:p>
        </w:tc>
        <w:tc>
          <w:tcPr>
            <w:tcW w:type="dxa" w:w="6973"/>
            <w:shd w:val="clear" w:fill="F2F5F8"/>
          </w:tcPr>
          <w:p>
            <w:pPr>
              <w:spacing w:after="40"/>
            </w:pPr>
            <w:r/>
            <w:r>
              <w:rPr>
                <w:sz w:val="19"/>
              </w:rPr>
              <w:t>Item code, description, category (medicine, consumable, equipment, general), unit of measure, pack size</w:t>
            </w:r>
          </w:p>
        </w:tc>
      </w:tr>
      <w:tr>
        <w:tc>
          <w:tcPr>
            <w:tcW w:type="dxa" w:w="2268"/>
          </w:tcPr>
          <w:p>
            <w:pPr>
              <w:spacing w:after="40"/>
            </w:pPr>
            <w:r/>
            <w:r>
              <w:rPr>
                <w:sz w:val="19"/>
              </w:rPr>
              <w:t>Procurement</w:t>
            </w:r>
          </w:p>
        </w:tc>
        <w:tc>
          <w:tcPr>
            <w:tcW w:type="dxa" w:w="6973"/>
          </w:tcPr>
          <w:p>
            <w:pPr>
              <w:spacing w:after="40"/>
            </w:pPr>
            <w:r/>
            <w:r>
              <w:rPr>
                <w:sz w:val="19"/>
              </w:rPr>
              <w:t>Requisition number and date, purchase order number and date, supplier, quantity ordered, unit price, currency, taxes</w:t>
            </w:r>
          </w:p>
        </w:tc>
      </w:tr>
      <w:tr>
        <w:tc>
          <w:tcPr>
            <w:tcW w:type="dxa" w:w="2268"/>
            <w:shd w:val="clear" w:fill="F2F5F8"/>
          </w:tcPr>
          <w:p>
            <w:pPr>
              <w:spacing w:after="40"/>
            </w:pPr>
            <w:r/>
            <w:r>
              <w:rPr>
                <w:sz w:val="19"/>
              </w:rPr>
              <w:t>Receipts</w:t>
            </w:r>
          </w:p>
        </w:tc>
        <w:tc>
          <w:tcPr>
            <w:tcW w:type="dxa" w:w="6973"/>
            <w:shd w:val="clear" w:fill="F2F5F8"/>
          </w:tcPr>
          <w:p>
            <w:pPr>
              <w:spacing w:after="40"/>
            </w:pPr>
            <w:r/>
            <w:r>
              <w:rPr>
                <w:sz w:val="19"/>
              </w:rPr>
              <w:t>Receipt date, received quantity, warehouse / inventory organisation, batch and expiry date</w:t>
            </w:r>
          </w:p>
        </w:tc>
      </w:tr>
      <w:tr>
        <w:tc>
          <w:tcPr>
            <w:tcW w:type="dxa" w:w="2268"/>
          </w:tcPr>
          <w:p>
            <w:pPr>
              <w:spacing w:after="40"/>
            </w:pPr>
            <w:r/>
            <w:r>
              <w:rPr>
                <w:sz w:val="19"/>
              </w:rPr>
              <w:t>Consumption</w:t>
            </w:r>
          </w:p>
        </w:tc>
        <w:tc>
          <w:tcPr>
            <w:tcW w:type="dxa" w:w="6973"/>
          </w:tcPr>
          <w:p>
            <w:pPr>
              <w:spacing w:after="40"/>
            </w:pPr>
            <w:r/>
            <w:r>
              <w:rPr>
                <w:sz w:val="19"/>
              </w:rPr>
              <w:t>Inventory issue date, issued quantity, issue type (project, department, transfer), destination, project charged</w:t>
            </w:r>
          </w:p>
        </w:tc>
      </w:tr>
      <w:tr>
        <w:tc>
          <w:tcPr>
            <w:tcW w:type="dxa" w:w="2268"/>
            <w:shd w:val="clear" w:fill="F2F5F8"/>
          </w:tcPr>
          <w:p>
            <w:pPr>
              <w:spacing w:after="40"/>
            </w:pPr>
            <w:r/>
            <w:r>
              <w:rPr>
                <w:sz w:val="19"/>
              </w:rPr>
              <w:t>Cost / Finance</w:t>
            </w:r>
          </w:p>
        </w:tc>
        <w:tc>
          <w:tcPr>
            <w:tcW w:type="dxa" w:w="6973"/>
            <w:shd w:val="clear" w:fill="F2F5F8"/>
          </w:tcPr>
          <w:p>
            <w:pPr>
              <w:spacing w:after="40"/>
            </w:pPr>
            <w:r/>
            <w:r>
              <w:rPr>
                <w:sz w:val="19"/>
              </w:rPr>
              <w:t>Unit cost, total cost charged to project, GL account, period, budget vs. actual</w:t>
            </w:r>
          </w:p>
        </w:tc>
      </w:tr>
      <w:tr>
        <w:tc>
          <w:tcPr>
            <w:tcW w:type="dxa" w:w="2268"/>
          </w:tcPr>
          <w:p>
            <w:pPr>
              <w:spacing w:after="40"/>
            </w:pPr>
            <w:r/>
            <w:r>
              <w:rPr>
                <w:sz w:val="19"/>
              </w:rPr>
              <w:t>Reference</w:t>
            </w:r>
          </w:p>
        </w:tc>
        <w:tc>
          <w:tcPr>
            <w:tcW w:type="dxa" w:w="6973"/>
          </w:tcPr>
          <w:p>
            <w:pPr>
              <w:spacing w:after="40"/>
            </w:pPr>
            <w:r/>
            <w:r>
              <w:rPr>
                <w:sz w:val="19"/>
              </w:rPr>
              <w:t>Period / fiscal calendar, warehouse and location codes, supplier master</w:t>
            </w:r>
          </w:p>
        </w:tc>
      </w:tr>
    </w:tbl>
    <w:p>
      <w:pPr>
        <w:spacing w:after="40"/>
      </w:pPr>
    </w:p>
    <w:p>
      <w:pPr>
        <w:spacing w:after="200"/>
      </w:pPr>
      <w:r>
        <w:rPr>
          <w:b w:val="0"/>
          <w:i/>
          <w:sz w:val="19"/>
        </w:rPr>
        <w:t>Prerequisite: consistent application of project codes and item codes at the point of transaction in Oracle. Where master data quality is poor, a cleansing and mapping exercise will be a condition of delivery.</w:t>
      </w:r>
    </w:p>
    <w:p>
      <w:pPr>
        <w:pStyle w:val="Heading1"/>
      </w:pPr>
      <w:r>
        <w:t>10. Assumptions, Constraints and Risks</w:t>
      </w:r>
    </w:p>
    <w:p>
      <w:pPr>
        <w:pStyle w:val="Heading2"/>
      </w:pPr>
      <w:r>
        <w:t>10.1 Assumptions</w:t>
      </w:r>
    </w:p>
    <w:p>
      <w:pPr>
        <w:pStyle w:val="ListBullet"/>
        <w:spacing w:after="60"/>
        <w:ind w:left="369"/>
      </w:pPr>
      <w:r>
        <w:t>Oracle records all material procurement and consumption transactions for all in-scope projects.</w:t>
      </w:r>
    </w:p>
    <w:p>
      <w:pPr>
        <w:pStyle w:val="ListBullet"/>
        <w:spacing w:after="60"/>
        <w:ind w:left="369"/>
      </w:pPr>
      <w:r>
        <w:t>IT can provide read-only access to the required Oracle data or a scheduled extract.</w:t>
      </w:r>
    </w:p>
    <w:p>
      <w:pPr>
        <w:pStyle w:val="ListBullet"/>
        <w:spacing w:after="60"/>
        <w:ind w:left="369"/>
      </w:pPr>
      <w:r>
        <w:t>Project codes and item codes are sufficiently populated to allow attribution; exceptions will be handled through a mapping table.</w:t>
      </w:r>
    </w:p>
    <w:p>
      <w:pPr>
        <w:pStyle w:val="ListBullet"/>
        <w:spacing w:after="60"/>
        <w:ind w:left="369"/>
      </w:pPr>
      <w:r>
        <w:t>A business owner (Head of Procurement) will validate definitions such as “consumption”, “investment” and “period”.</w:t>
      </w:r>
    </w:p>
    <w:p>
      <w:pPr>
        <w:pStyle w:val="Heading2"/>
      </w:pPr>
      <w:r>
        <w:t>10.2 Constraints</w:t>
      </w:r>
    </w:p>
    <w:p>
      <w:pPr>
        <w:pStyle w:val="ListBullet"/>
        <w:spacing w:after="60"/>
        <w:ind w:left="369"/>
      </w:pPr>
      <w:r>
        <w:t>Data privacy and security: extracts must be handled in line with VPT's information-security policy; only aggregate, role-appropriate data is exposed on dashboards.</w:t>
      </w:r>
    </w:p>
    <w:p>
      <w:pPr>
        <w:pStyle w:val="ListBullet"/>
        <w:spacing w:after="60"/>
        <w:ind w:left="369"/>
      </w:pPr>
      <w:r>
        <w:t>Licensing and infrastructure: dashboard hosting and refresh capacity must be approved by IT.</w:t>
      </w:r>
    </w:p>
    <w:p>
      <w:pPr>
        <w:pStyle w:val="ListBullet"/>
        <w:spacing w:after="60"/>
        <w:ind w:left="369"/>
      </w:pPr>
      <w:r>
        <w:t>Delivery timeline and resource availability of the Oracle/IT team.</w:t>
      </w:r>
    </w:p>
    <w:p>
      <w:pPr>
        <w:pStyle w:val="Heading2"/>
      </w:pPr>
      <w:r>
        <w:t>10.3 Risks</w:t>
      </w:r>
    </w:p>
    <w:tbl>
      <w:tblPr>
        <w:tblStyle w:val="TableGrid"/>
        <w:tblW w:type="auto" w:w="0"/>
        <w:jc w:val="center"/>
        <w:tblLook w:firstColumn="1" w:firstRow="1" w:lastColumn="0" w:lastRow="0" w:noHBand="0" w:noVBand="1" w:val="04A0"/>
      </w:tblPr>
      <w:tblGrid>
        <w:gridCol w:w="3286"/>
        <w:gridCol w:w="3286"/>
        <w:gridCol w:w="3286"/>
      </w:tblGrid>
      <w:tr>
        <w:tc>
          <w:tcPr>
            <w:tcW w:type="dxa" w:w="3402"/>
            <w:shd w:val="clear" w:fill="1F3B57"/>
          </w:tcPr>
          <w:p>
            <w:pPr>
              <w:spacing w:after="40"/>
            </w:pPr>
            <w:r/>
            <w:r>
              <w:rPr>
                <w:b/>
                <w:color w:val="FFFFFF"/>
                <w:sz w:val="19"/>
              </w:rPr>
              <w:t>Risk</w:t>
            </w:r>
          </w:p>
        </w:tc>
        <w:tc>
          <w:tcPr>
            <w:tcW w:type="dxa" w:w="2438"/>
            <w:shd w:val="clear" w:fill="1F3B57"/>
          </w:tcPr>
          <w:p>
            <w:pPr>
              <w:spacing w:after="40"/>
            </w:pPr>
            <w:r/>
            <w:r>
              <w:rPr>
                <w:b/>
                <w:color w:val="FFFFFF"/>
                <w:sz w:val="19"/>
              </w:rPr>
              <w:t>Impact</w:t>
            </w:r>
          </w:p>
        </w:tc>
        <w:tc>
          <w:tcPr>
            <w:tcW w:type="dxa" w:w="3402"/>
            <w:shd w:val="clear" w:fill="1F3B57"/>
          </w:tcPr>
          <w:p>
            <w:pPr>
              <w:spacing w:after="40"/>
            </w:pPr>
            <w:r/>
            <w:r>
              <w:rPr>
                <w:b/>
                <w:color w:val="FFFFFF"/>
                <w:sz w:val="19"/>
              </w:rPr>
              <w:t>Mitigation</w:t>
            </w:r>
          </w:p>
        </w:tc>
      </w:tr>
      <w:tr>
        <w:tc>
          <w:tcPr>
            <w:tcW w:type="dxa" w:w="3402"/>
          </w:tcPr>
          <w:p>
            <w:pPr>
              <w:spacing w:after="40"/>
            </w:pPr>
            <w:r/>
            <w:r>
              <w:rPr>
                <w:sz w:val="19"/>
              </w:rPr>
              <w:t>Poor master data quality (missing or misused project codes)</w:t>
            </w:r>
          </w:p>
        </w:tc>
        <w:tc>
          <w:tcPr>
            <w:tcW w:type="dxa" w:w="2438"/>
          </w:tcPr>
          <w:p>
            <w:pPr>
              <w:spacing w:after="40"/>
            </w:pPr>
            <w:r/>
            <w:r>
              <w:rPr>
                <w:sz w:val="19"/>
              </w:rPr>
              <w:t>Figures unreliable; trust in dashboard lost</w:t>
            </w:r>
          </w:p>
        </w:tc>
        <w:tc>
          <w:tcPr>
            <w:tcW w:type="dxa" w:w="3402"/>
          </w:tcPr>
          <w:p>
            <w:pPr>
              <w:spacing w:after="40"/>
            </w:pPr>
            <w:r/>
            <w:r>
              <w:rPr>
                <w:sz w:val="19"/>
              </w:rPr>
              <w:t>Data cleansing and validation before go-live; exception log with owners</w:t>
            </w:r>
          </w:p>
        </w:tc>
      </w:tr>
      <w:tr>
        <w:tc>
          <w:tcPr>
            <w:tcW w:type="dxa" w:w="3402"/>
            <w:shd w:val="clear" w:fill="F2F5F8"/>
          </w:tcPr>
          <w:p>
            <w:pPr>
              <w:spacing w:after="40"/>
            </w:pPr>
            <w:r/>
            <w:r>
              <w:rPr>
                <w:sz w:val="19"/>
              </w:rPr>
              <w:t>Delayed or restricted Oracle access</w:t>
            </w:r>
          </w:p>
        </w:tc>
        <w:tc>
          <w:tcPr>
            <w:tcW w:type="dxa" w:w="2438"/>
            <w:shd w:val="clear" w:fill="F2F5F8"/>
          </w:tcPr>
          <w:p>
            <w:pPr>
              <w:spacing w:after="40"/>
            </w:pPr>
            <w:r/>
            <w:r>
              <w:rPr>
                <w:sz w:val="19"/>
              </w:rPr>
              <w:t>Delivery schedule slips</w:t>
            </w:r>
          </w:p>
        </w:tc>
        <w:tc>
          <w:tcPr>
            <w:tcW w:type="dxa" w:w="3402"/>
            <w:shd w:val="clear" w:fill="F2F5F8"/>
          </w:tcPr>
          <w:p>
            <w:pPr>
              <w:spacing w:after="40"/>
            </w:pPr>
            <w:r/>
            <w:r>
              <w:rPr>
                <w:sz w:val="19"/>
              </w:rPr>
              <w:t>Agree extract mechanism and owner at project initiation</w:t>
            </w:r>
          </w:p>
        </w:tc>
      </w:tr>
      <w:tr>
        <w:tc>
          <w:tcPr>
            <w:tcW w:type="dxa" w:w="3402"/>
          </w:tcPr>
          <w:p>
            <w:pPr>
              <w:spacing w:after="40"/>
            </w:pPr>
            <w:r/>
            <w:r>
              <w:rPr>
                <w:sz w:val="19"/>
              </w:rPr>
              <w:t>Definitions not agreed across departments</w:t>
            </w:r>
          </w:p>
        </w:tc>
        <w:tc>
          <w:tcPr>
            <w:tcW w:type="dxa" w:w="2438"/>
          </w:tcPr>
          <w:p>
            <w:pPr>
              <w:spacing w:after="40"/>
            </w:pPr>
            <w:r/>
            <w:r>
              <w:rPr>
                <w:sz w:val="19"/>
              </w:rPr>
              <w:t>Conflicting numbers persist</w:t>
            </w:r>
          </w:p>
        </w:tc>
        <w:tc>
          <w:tcPr>
            <w:tcW w:type="dxa" w:w="3402"/>
          </w:tcPr>
          <w:p>
            <w:pPr>
              <w:spacing w:after="40"/>
            </w:pPr>
            <w:r/>
            <w:r>
              <w:rPr>
                <w:sz w:val="19"/>
              </w:rPr>
              <w:t>Sign-off on KPI definitions in the BRD</w:t>
            </w:r>
          </w:p>
        </w:tc>
      </w:tr>
      <w:tr>
        <w:tc>
          <w:tcPr>
            <w:tcW w:type="dxa" w:w="3402"/>
            <w:shd w:val="clear" w:fill="F2F5F8"/>
          </w:tcPr>
          <w:p>
            <w:pPr>
              <w:spacing w:after="40"/>
            </w:pPr>
            <w:r/>
            <w:r>
              <w:rPr>
                <w:sz w:val="19"/>
              </w:rPr>
              <w:t>Dashboard built but not adopted</w:t>
            </w:r>
          </w:p>
        </w:tc>
        <w:tc>
          <w:tcPr>
            <w:tcW w:type="dxa" w:w="2438"/>
            <w:shd w:val="clear" w:fill="F2F5F8"/>
          </w:tcPr>
          <w:p>
            <w:pPr>
              <w:spacing w:after="40"/>
            </w:pPr>
            <w:r/>
            <w:r>
              <w:rPr>
                <w:sz w:val="19"/>
              </w:rPr>
              <w:t>Problem remains unsolved</w:t>
            </w:r>
          </w:p>
        </w:tc>
        <w:tc>
          <w:tcPr>
            <w:tcW w:type="dxa" w:w="3402"/>
            <w:shd w:val="clear" w:fill="F2F5F8"/>
          </w:tcPr>
          <w:p>
            <w:pPr>
              <w:spacing w:after="40"/>
            </w:pPr>
            <w:r/>
            <w:r>
              <w:rPr>
                <w:sz w:val="19"/>
              </w:rPr>
              <w:t>Embed in monthly review cycle; assign owners for exceptions</w:t>
            </w:r>
          </w:p>
        </w:tc>
      </w:tr>
    </w:tbl>
    <w:p>
      <w:pPr>
        <w:spacing w:after="40"/>
      </w:pPr>
    </w:p>
    <w:p>
      <w:pPr>
        <w:pStyle w:val="Heading1"/>
      </w:pPr>
      <w:r>
        <w:t>11. Next Steps</w:t>
      </w:r>
    </w:p>
    <w:p>
      <w:pPr>
        <w:pStyle w:val="ListBullet"/>
        <w:spacing w:after="60"/>
        <w:ind w:left="369"/>
      </w:pPr>
      <w:r>
        <w:rPr>
          <w:b/>
        </w:rPr>
        <w:t>1.</w:t>
      </w:r>
      <w:r>
        <w:t xml:space="preserve"> Review and approve this problem statement with Procurement, Programme and Finance.</w:t>
      </w:r>
    </w:p>
    <w:p>
      <w:pPr>
        <w:pStyle w:val="ListBullet"/>
        <w:spacing w:after="60"/>
        <w:ind w:left="369"/>
      </w:pPr>
      <w:r>
        <w:rPr>
          <w:b/>
        </w:rPr>
        <w:t>2.</w:t>
      </w:r>
      <w:r>
        <w:t xml:space="preserve"> Confirm scope boundary and KPI definitions in a follow-up workshop.</w:t>
      </w:r>
    </w:p>
    <w:p>
      <w:pPr>
        <w:pStyle w:val="ListBullet"/>
        <w:spacing w:after="60"/>
        <w:ind w:left="369"/>
      </w:pPr>
      <w:r>
        <w:rPr>
          <w:b/>
        </w:rPr>
        <w:t>3.</w:t>
      </w:r>
      <w:r>
        <w:t xml:space="preserve"> Obtain Oracle data dictionary, extract sample data and assess data quality.</w:t>
      </w:r>
    </w:p>
    <w:p>
      <w:pPr>
        <w:pStyle w:val="ListBullet"/>
        <w:spacing w:after="60"/>
        <w:ind w:left="369"/>
      </w:pPr>
      <w:r>
        <w:rPr>
          <w:b/>
        </w:rPr>
        <w:t>4.</w:t>
      </w:r>
      <w:r>
        <w:t xml:space="preserve"> Prepare the BRD and dashboard wireframes / PRD, then proceed to development.</w:t>
      </w:r>
    </w:p>
    <w:p/>
    <w:tbl>
      <w:tblPr>
        <w:tblStyle w:val="TableGrid"/>
        <w:tblW w:type="auto" w:w="0"/>
        <w:tblLook w:firstColumn="1" w:firstRow="1" w:lastColumn="0" w:lastRow="0" w:noHBand="0" w:noVBand="1" w:val="04A0"/>
      </w:tblPr>
      <w:tblGrid>
        <w:gridCol w:w="2464"/>
        <w:gridCol w:w="2464"/>
        <w:gridCol w:w="2464"/>
        <w:gridCol w:w="2464"/>
      </w:tblGrid>
      <w:tr>
        <w:tc>
          <w:tcPr>
            <w:tcW w:type="dxa" w:w="2464"/>
            <w:shd w:val="clear" w:fill="EEF3F8"/>
          </w:tcPr>
          <w:p>
            <w:pPr>
              <w:spacing w:after="20"/>
            </w:pPr>
            <w:r/>
            <w:r>
              <w:rPr>
                <w:b/>
                <w:sz w:val="19"/>
              </w:rPr>
              <w:t>Prepared By</w:t>
            </w:r>
          </w:p>
        </w:tc>
        <w:tc>
          <w:tcPr>
            <w:tcW w:type="dxa" w:w="2464"/>
            <w:shd w:val="clear" w:fill="EEF3F8"/>
          </w:tcPr>
          <w:p>
            <w:pPr>
              <w:spacing w:after="20"/>
            </w:pPr>
            <w:r/>
            <w:r>
              <w:rPr>
                <w:b/>
                <w:sz w:val="19"/>
              </w:rPr>
              <w:t>Reviewed By</w:t>
            </w:r>
          </w:p>
        </w:tc>
        <w:tc>
          <w:tcPr>
            <w:tcW w:type="dxa" w:w="2464"/>
            <w:shd w:val="clear" w:fill="EEF3F8"/>
          </w:tcPr>
          <w:p>
            <w:pPr>
              <w:spacing w:after="20"/>
            </w:pPr>
            <w:r/>
            <w:r>
              <w:rPr>
                <w:b/>
                <w:sz w:val="19"/>
              </w:rPr>
              <w:t>Approved By</w:t>
            </w:r>
          </w:p>
        </w:tc>
        <w:tc>
          <w:tcPr>
            <w:tcW w:type="dxa" w:w="2464"/>
            <w:shd w:val="clear" w:fill="EEF3F8"/>
          </w:tcPr>
          <w:p>
            <w:pPr>
              <w:spacing w:after="20"/>
            </w:pPr>
            <w:r/>
            <w:r>
              <w:rPr>
                <w:b/>
                <w:sz w:val="19"/>
              </w:rPr>
              <w:t>Date</w:t>
            </w:r>
          </w:p>
        </w:tc>
      </w:tr>
      <w:tr>
        <w:tc>
          <w:tcPr>
            <w:tcW w:type="dxa" w:w="2464"/>
          </w:tcPr>
          <w:p>
            <w:pPr>
              <w:spacing w:after="20"/>
            </w:pPr>
            <w:r/>
            <w:r>
              <w:br/>
              <w:br/>
              <w:t>________________</w:t>
            </w:r>
          </w:p>
        </w:tc>
        <w:tc>
          <w:tcPr>
            <w:tcW w:type="dxa" w:w="2464"/>
          </w:tcPr>
          <w:p>
            <w:pPr>
              <w:spacing w:after="20"/>
            </w:pPr>
            <w:r/>
            <w:r>
              <w:br/>
              <w:br/>
              <w:t>________________</w:t>
            </w:r>
          </w:p>
        </w:tc>
        <w:tc>
          <w:tcPr>
            <w:tcW w:type="dxa" w:w="2464"/>
          </w:tcPr>
          <w:p>
            <w:pPr>
              <w:spacing w:after="20"/>
            </w:pPr>
            <w:r/>
            <w:r>
              <w:br/>
              <w:br/>
              <w:t>________________</w:t>
            </w:r>
          </w:p>
        </w:tc>
        <w:tc>
          <w:tcPr>
            <w:tcW w:type="dxa" w:w="2464"/>
          </w:tcPr>
          <w:p>
            <w:pPr>
              <w:spacing w:after="20"/>
            </w:pPr>
            <w:r/>
            <w:r>
              <w:br/>
              <w:br/>
              <w:t>________________</w:t>
            </w:r>
          </w:p>
        </w:tc>
      </w:tr>
    </w:tbl>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B5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